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E4A82">
      <w:pPr>
        <w:rPr>
          <w:rFonts w:cs="仿宋_GB2312"/>
          <w:sz w:val="36"/>
          <w:szCs w:val="36"/>
        </w:rPr>
      </w:pPr>
    </w:p>
    <w:p w14:paraId="179D0C5C">
      <w:pPr>
        <w:rPr>
          <w:rFonts w:cs="仿宋_GB2312"/>
          <w:sz w:val="36"/>
          <w:szCs w:val="36"/>
        </w:rPr>
      </w:pPr>
    </w:p>
    <w:p w14:paraId="7EEFE28F">
      <w:pPr>
        <w:rPr>
          <w:rFonts w:cs="仿宋_GB2312"/>
          <w:sz w:val="36"/>
          <w:szCs w:val="36"/>
        </w:rPr>
      </w:pPr>
    </w:p>
    <w:p w14:paraId="53D3908B">
      <w:pPr>
        <w:rPr>
          <w:rFonts w:cs="仿宋_GB2312"/>
          <w:sz w:val="36"/>
          <w:szCs w:val="36"/>
        </w:rPr>
      </w:pPr>
    </w:p>
    <w:p w14:paraId="765D036D">
      <w:pPr>
        <w:rPr>
          <w:rFonts w:cs="仿宋_GB2312"/>
          <w:sz w:val="36"/>
          <w:szCs w:val="36"/>
        </w:rPr>
      </w:pPr>
    </w:p>
    <w:p w14:paraId="6959721E">
      <w:pPr>
        <w:adjustRightInd w:val="0"/>
        <w:snapToGrid w:val="0"/>
        <w:jc w:val="center"/>
        <w:outlineLvl w:val="0"/>
        <w:rPr>
          <w:bCs/>
          <w:sz w:val="72"/>
          <w:szCs w:val="72"/>
        </w:rPr>
      </w:pPr>
      <w:r>
        <w:rPr>
          <w:rFonts w:hint="eastAsia"/>
          <w:bCs/>
          <w:sz w:val="72"/>
          <w:szCs w:val="72"/>
        </w:rPr>
        <w:t>建设项目环境影响报告表</w:t>
      </w:r>
    </w:p>
    <w:p w14:paraId="277BDD1D">
      <w:pPr>
        <w:adjustRightInd w:val="0"/>
        <w:snapToGrid w:val="0"/>
        <w:spacing w:before="192" w:beforeLines="80"/>
        <w:jc w:val="center"/>
        <w:rPr>
          <w:bCs/>
          <w:sz w:val="48"/>
          <w:szCs w:val="48"/>
        </w:rPr>
      </w:pPr>
      <w:r>
        <w:rPr>
          <w:rFonts w:hint="eastAsia"/>
          <w:bCs/>
          <w:sz w:val="48"/>
          <w:szCs w:val="48"/>
        </w:rPr>
        <w:t>（污染影响类）</w:t>
      </w:r>
    </w:p>
    <w:p w14:paraId="55DE70CF">
      <w:pPr>
        <w:jc w:val="center"/>
        <w:rPr>
          <w:sz w:val="52"/>
          <w:szCs w:val="52"/>
        </w:rPr>
      </w:pPr>
    </w:p>
    <w:p w14:paraId="519A95C8">
      <w:pPr>
        <w:jc w:val="center"/>
        <w:rPr>
          <w:sz w:val="52"/>
          <w:szCs w:val="52"/>
        </w:rPr>
      </w:pPr>
    </w:p>
    <w:p w14:paraId="3270F8AB">
      <w:pPr>
        <w:ind w:firstLine="1040"/>
        <w:rPr>
          <w:sz w:val="44"/>
          <w:szCs w:val="44"/>
        </w:rPr>
      </w:pPr>
    </w:p>
    <w:p w14:paraId="330077E3">
      <w:pPr>
        <w:ind w:firstLine="1040"/>
        <w:rPr>
          <w:sz w:val="44"/>
          <w:szCs w:val="44"/>
        </w:rPr>
      </w:pPr>
    </w:p>
    <w:p w14:paraId="3404090C">
      <w:pPr>
        <w:ind w:firstLine="1040"/>
        <w:rPr>
          <w:sz w:val="44"/>
          <w:szCs w:val="44"/>
        </w:rPr>
      </w:pPr>
    </w:p>
    <w:p w14:paraId="19DBD313">
      <w:pPr>
        <w:ind w:firstLine="1040"/>
        <w:rPr>
          <w:sz w:val="44"/>
          <w:szCs w:val="44"/>
        </w:rPr>
      </w:pPr>
    </w:p>
    <w:p w14:paraId="4703A687">
      <w:pPr>
        <w:adjustRightInd w:val="0"/>
        <w:snapToGrid w:val="0"/>
        <w:spacing w:line="360" w:lineRule="auto"/>
        <w:rPr>
          <w:rFonts w:hint="eastAsia"/>
          <w:b w:val="0"/>
          <w:bCs w:val="0"/>
          <w:sz w:val="36"/>
          <w:szCs w:val="36"/>
        </w:rPr>
      </w:pPr>
    </w:p>
    <w:p w14:paraId="2DB53C92">
      <w:pPr>
        <w:adjustRightInd w:val="0"/>
        <w:snapToGrid w:val="0"/>
        <w:spacing w:line="360" w:lineRule="auto"/>
        <w:rPr>
          <w:rFonts w:hint="eastAsia"/>
          <w:b w:val="0"/>
          <w:bCs w:val="0"/>
          <w:sz w:val="36"/>
          <w:szCs w:val="36"/>
        </w:rPr>
      </w:pPr>
    </w:p>
    <w:p w14:paraId="45A0AE20">
      <w:pPr>
        <w:adjustRightInd w:val="0"/>
        <w:snapToGrid w:val="0"/>
        <w:spacing w:line="360" w:lineRule="auto"/>
        <w:ind w:left="2518" w:leftChars="342" w:hanging="1800" w:hangingChars="500"/>
        <w:rPr>
          <w:rFonts w:hint="default" w:eastAsia="宋体"/>
          <w:b w:val="0"/>
          <w:bCs w:val="0"/>
          <w:sz w:val="24"/>
          <w:lang w:val="en-US" w:eastAsia="zh-CN"/>
        </w:rPr>
      </w:pPr>
      <w:r>
        <w:rPr>
          <w:rFonts w:hint="eastAsia"/>
          <w:b w:val="0"/>
          <w:bCs w:val="0"/>
          <w:sz w:val="36"/>
          <w:szCs w:val="36"/>
        </w:rPr>
        <w:t>项目名称：</w:t>
      </w:r>
      <w:r>
        <w:rPr>
          <w:rFonts w:hint="eastAsia"/>
          <w:b w:val="0"/>
          <w:bCs w:val="0"/>
          <w:sz w:val="36"/>
          <w:szCs w:val="36"/>
          <w:u w:val="single"/>
          <w:lang w:val="en-US" w:eastAsia="zh-CN"/>
        </w:rPr>
        <w:t>年产60万套电池系统及壳体、车身总成一体化项目</w:t>
      </w:r>
    </w:p>
    <w:p w14:paraId="4044CA4E">
      <w:pPr>
        <w:adjustRightInd w:val="0"/>
        <w:snapToGrid w:val="0"/>
        <w:spacing w:line="360" w:lineRule="auto"/>
        <w:ind w:firstLine="720" w:firstLineChars="200"/>
        <w:rPr>
          <w:rFonts w:hint="default" w:eastAsia="宋体"/>
          <w:b w:val="0"/>
          <w:bCs w:val="0"/>
          <w:sz w:val="36"/>
          <w:szCs w:val="36"/>
          <w:u w:val="single"/>
          <w:lang w:val="en-US" w:eastAsia="zh-CN"/>
        </w:rPr>
      </w:pPr>
      <w:r>
        <w:rPr>
          <w:rFonts w:hint="eastAsia"/>
          <w:b w:val="0"/>
          <w:bCs w:val="0"/>
          <w:sz w:val="36"/>
          <w:szCs w:val="36"/>
        </w:rPr>
        <w:t>建设单位（盖章）：</w:t>
      </w:r>
      <w:r>
        <w:rPr>
          <w:rFonts w:hint="eastAsia"/>
          <w:b w:val="0"/>
          <w:bCs w:val="0"/>
          <w:sz w:val="36"/>
          <w:szCs w:val="36"/>
          <w:u w:val="single"/>
          <w:lang w:val="en-US" w:eastAsia="zh-CN"/>
        </w:rPr>
        <w:t xml:space="preserve">芜湖奇能科技有限公司        </w:t>
      </w:r>
    </w:p>
    <w:p w14:paraId="2A11F385">
      <w:pPr>
        <w:adjustRightInd w:val="0"/>
        <w:snapToGrid w:val="0"/>
        <w:spacing w:line="360" w:lineRule="auto"/>
        <w:ind w:firstLine="720" w:firstLineChars="200"/>
        <w:rPr>
          <w:b w:val="0"/>
          <w:bCs w:val="0"/>
          <w:sz w:val="36"/>
          <w:szCs w:val="36"/>
          <w:u w:val="single"/>
        </w:rPr>
      </w:pPr>
      <w:r>
        <w:rPr>
          <w:rFonts w:hint="eastAsia"/>
          <w:b w:val="0"/>
          <w:bCs w:val="0"/>
          <w:sz w:val="36"/>
          <w:szCs w:val="36"/>
        </w:rPr>
        <w:t>编制日期：</w:t>
      </w:r>
      <w:r>
        <w:rPr>
          <w:b w:val="0"/>
          <w:bCs w:val="0"/>
          <w:sz w:val="36"/>
          <w:szCs w:val="36"/>
          <w:u w:val="single"/>
        </w:rPr>
        <w:t xml:space="preserve"> </w:t>
      </w:r>
      <w:r>
        <w:rPr>
          <w:rFonts w:hint="eastAsia"/>
          <w:b w:val="0"/>
          <w:bCs w:val="0"/>
          <w:sz w:val="36"/>
          <w:szCs w:val="36"/>
          <w:u w:val="single"/>
          <w:lang w:val="en-US" w:eastAsia="zh-CN"/>
        </w:rPr>
        <w:t xml:space="preserve">         </w:t>
      </w:r>
      <w:r>
        <w:rPr>
          <w:b w:val="0"/>
          <w:bCs w:val="0"/>
          <w:sz w:val="36"/>
          <w:szCs w:val="36"/>
          <w:u w:val="single"/>
        </w:rPr>
        <w:t>20</w:t>
      </w:r>
      <w:r>
        <w:rPr>
          <w:rFonts w:hint="eastAsia"/>
          <w:b w:val="0"/>
          <w:bCs w:val="0"/>
          <w:sz w:val="36"/>
          <w:szCs w:val="36"/>
          <w:u w:val="single"/>
        </w:rPr>
        <w:t>2</w:t>
      </w:r>
      <w:r>
        <w:rPr>
          <w:rFonts w:hint="eastAsia"/>
          <w:b w:val="0"/>
          <w:bCs w:val="0"/>
          <w:sz w:val="36"/>
          <w:szCs w:val="36"/>
          <w:u w:val="single"/>
          <w:lang w:val="en-US" w:eastAsia="zh-CN"/>
        </w:rPr>
        <w:t>5</w:t>
      </w:r>
      <w:r>
        <w:rPr>
          <w:rFonts w:hint="eastAsia"/>
          <w:b w:val="0"/>
          <w:bCs w:val="0"/>
          <w:sz w:val="36"/>
          <w:szCs w:val="36"/>
          <w:u w:val="single"/>
        </w:rPr>
        <w:t>年</w:t>
      </w:r>
      <w:r>
        <w:rPr>
          <w:rFonts w:hint="eastAsia"/>
          <w:b w:val="0"/>
          <w:bCs w:val="0"/>
          <w:sz w:val="36"/>
          <w:szCs w:val="36"/>
          <w:u w:val="single"/>
          <w:lang w:val="en-US" w:eastAsia="zh-CN"/>
        </w:rPr>
        <w:t>6</w:t>
      </w:r>
      <w:r>
        <w:rPr>
          <w:rFonts w:hint="eastAsia"/>
          <w:b w:val="0"/>
          <w:bCs w:val="0"/>
          <w:sz w:val="36"/>
          <w:szCs w:val="36"/>
          <w:u w:val="single"/>
        </w:rPr>
        <w:t>月</w:t>
      </w:r>
      <w:r>
        <w:rPr>
          <w:rFonts w:hint="eastAsia"/>
          <w:b w:val="0"/>
          <w:bCs w:val="0"/>
          <w:sz w:val="36"/>
          <w:szCs w:val="36"/>
          <w:u w:val="single"/>
          <w:lang w:val="en-US" w:eastAsia="zh-CN"/>
        </w:rPr>
        <w:t xml:space="preserve">               </w:t>
      </w:r>
    </w:p>
    <w:p w14:paraId="0DB7FF59">
      <w:pPr>
        <w:adjustRightInd w:val="0"/>
        <w:snapToGrid w:val="0"/>
        <w:spacing w:line="288" w:lineRule="auto"/>
        <w:ind w:firstLine="1040"/>
        <w:rPr>
          <w:sz w:val="36"/>
          <w:szCs w:val="36"/>
          <w:u w:val="single"/>
        </w:rPr>
      </w:pPr>
      <w:bookmarkStart w:id="0" w:name="_Hlk57884087"/>
    </w:p>
    <w:p w14:paraId="3157B45A">
      <w:pPr>
        <w:adjustRightInd w:val="0"/>
        <w:snapToGrid w:val="0"/>
        <w:spacing w:line="288" w:lineRule="auto"/>
        <w:rPr>
          <w:sz w:val="36"/>
          <w:szCs w:val="36"/>
        </w:rPr>
      </w:pPr>
    </w:p>
    <w:p w14:paraId="0CAEAC9A">
      <w:pPr>
        <w:adjustRightInd w:val="0"/>
        <w:snapToGrid w:val="0"/>
        <w:spacing w:line="288" w:lineRule="auto"/>
        <w:ind w:firstLine="1040"/>
        <w:rPr>
          <w:sz w:val="36"/>
          <w:szCs w:val="36"/>
        </w:rPr>
      </w:pPr>
    </w:p>
    <w:bookmarkEnd w:id="0"/>
    <w:p w14:paraId="2420437F">
      <w:pPr>
        <w:adjustRightInd w:val="0"/>
        <w:snapToGrid w:val="0"/>
        <w:spacing w:line="288" w:lineRule="auto"/>
        <w:jc w:val="center"/>
        <w:rPr>
          <w:sz w:val="36"/>
          <w:szCs w:val="36"/>
        </w:rPr>
      </w:pPr>
      <w:r>
        <w:rPr>
          <w:rFonts w:hint="eastAsia"/>
          <w:sz w:val="36"/>
          <w:szCs w:val="36"/>
        </w:rPr>
        <w:t>中华人民共和国生态环境部制</w:t>
      </w:r>
    </w:p>
    <w:p w14:paraId="304EAA03">
      <w:pPr>
        <w:adjustRightInd w:val="0"/>
        <w:snapToGrid w:val="0"/>
        <w:spacing w:line="288" w:lineRule="auto"/>
        <w:ind w:firstLine="1040"/>
        <w:rPr>
          <w:sz w:val="36"/>
          <w:szCs w:val="36"/>
        </w:rPr>
      </w:pPr>
    </w:p>
    <w:p w14:paraId="4ADFCFF6">
      <w:pPr>
        <w:adjustRightInd w:val="0"/>
        <w:snapToGrid w:val="0"/>
        <w:spacing w:line="288" w:lineRule="auto"/>
        <w:ind w:firstLine="1040"/>
        <w:rPr>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bookmarkStart w:id="20" w:name="_GoBack"/>
      <w:bookmarkEnd w:id="20"/>
    </w:p>
    <w:p w14:paraId="5CCAA28F">
      <w:pPr>
        <w:pStyle w:val="54"/>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一、建设项目基本情况</w:t>
      </w:r>
    </w:p>
    <w:tbl>
      <w:tblPr>
        <w:tblStyle w:val="59"/>
        <w:tblW w:w="91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05"/>
        <w:gridCol w:w="2152"/>
        <w:gridCol w:w="1860"/>
        <w:gridCol w:w="3480"/>
      </w:tblGrid>
      <w:tr w14:paraId="088BF2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31" w:hRule="atLeast"/>
          <w:jc w:val="center"/>
        </w:trPr>
        <w:tc>
          <w:tcPr>
            <w:tcW w:w="1705" w:type="dxa"/>
            <w:tcMar>
              <w:top w:w="16" w:type="dxa"/>
              <w:left w:w="16" w:type="dxa"/>
              <w:right w:w="16" w:type="dxa"/>
            </w:tcMar>
            <w:vAlign w:val="center"/>
          </w:tcPr>
          <w:p w14:paraId="64CB3CE9">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492" w:type="dxa"/>
            <w:gridSpan w:val="3"/>
            <w:vAlign w:val="center"/>
          </w:tcPr>
          <w:p w14:paraId="63ECA53D">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年产60万套电池系统及壳体、车身总成一体化项目</w:t>
            </w:r>
          </w:p>
        </w:tc>
      </w:tr>
      <w:tr w14:paraId="7C2131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1705" w:type="dxa"/>
            <w:tcMar>
              <w:top w:w="16" w:type="dxa"/>
              <w:left w:w="16" w:type="dxa"/>
              <w:right w:w="16" w:type="dxa"/>
            </w:tcMar>
            <w:vAlign w:val="center"/>
          </w:tcPr>
          <w:p w14:paraId="7BF21DF2">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项目代码</w:t>
            </w:r>
          </w:p>
        </w:tc>
        <w:tc>
          <w:tcPr>
            <w:tcW w:w="7492" w:type="dxa"/>
            <w:gridSpan w:val="3"/>
            <w:vAlign w:val="center"/>
          </w:tcPr>
          <w:p w14:paraId="1273B631">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color w:val="auto"/>
                <w:sz w:val="24"/>
                <w:lang w:val="en-US" w:eastAsia="zh-CN"/>
              </w:rPr>
              <w:t>2411-340208-04-01-266539</w:t>
            </w:r>
          </w:p>
        </w:tc>
      </w:tr>
      <w:tr w14:paraId="31F903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1705" w:type="dxa"/>
            <w:tcMar>
              <w:top w:w="16" w:type="dxa"/>
              <w:left w:w="16" w:type="dxa"/>
              <w:right w:w="16" w:type="dxa"/>
            </w:tcMar>
            <w:vAlign w:val="center"/>
          </w:tcPr>
          <w:p w14:paraId="206A0CC2">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建设单位联系人</w:t>
            </w:r>
          </w:p>
        </w:tc>
        <w:tc>
          <w:tcPr>
            <w:tcW w:w="2152" w:type="dxa"/>
            <w:vAlign w:val="center"/>
          </w:tcPr>
          <w:p w14:paraId="1F783908">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应蕾</w:t>
            </w:r>
          </w:p>
        </w:tc>
        <w:tc>
          <w:tcPr>
            <w:tcW w:w="1860" w:type="dxa"/>
            <w:vAlign w:val="center"/>
          </w:tcPr>
          <w:p w14:paraId="6230B77A">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联系方式</w:t>
            </w:r>
          </w:p>
        </w:tc>
        <w:tc>
          <w:tcPr>
            <w:tcW w:w="3480" w:type="dxa"/>
            <w:vAlign w:val="center"/>
          </w:tcPr>
          <w:p w14:paraId="01FBBFC8">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13956178075</w:t>
            </w:r>
          </w:p>
        </w:tc>
      </w:tr>
      <w:tr w14:paraId="065240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1705" w:type="dxa"/>
            <w:tcMar>
              <w:top w:w="16" w:type="dxa"/>
              <w:left w:w="16" w:type="dxa"/>
              <w:right w:w="16" w:type="dxa"/>
            </w:tcMar>
            <w:vAlign w:val="center"/>
          </w:tcPr>
          <w:p w14:paraId="3914508E">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建设地点</w:t>
            </w:r>
          </w:p>
        </w:tc>
        <w:tc>
          <w:tcPr>
            <w:tcW w:w="7492" w:type="dxa"/>
            <w:gridSpan w:val="3"/>
            <w:vAlign w:val="center"/>
          </w:tcPr>
          <w:p w14:paraId="5B632A15">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安徽芜湖三山经济开发区凤栖路以南、夏家湖路以西地块</w:t>
            </w:r>
          </w:p>
        </w:tc>
      </w:tr>
      <w:tr w14:paraId="37C01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03" w:hRule="atLeast"/>
          <w:jc w:val="center"/>
        </w:trPr>
        <w:tc>
          <w:tcPr>
            <w:tcW w:w="1705" w:type="dxa"/>
            <w:tcMar>
              <w:top w:w="16" w:type="dxa"/>
              <w:left w:w="16" w:type="dxa"/>
              <w:right w:w="16" w:type="dxa"/>
            </w:tcMar>
            <w:vAlign w:val="center"/>
          </w:tcPr>
          <w:p w14:paraId="1C924B2C">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地理坐标</w:t>
            </w:r>
          </w:p>
        </w:tc>
        <w:tc>
          <w:tcPr>
            <w:tcW w:w="7492" w:type="dxa"/>
            <w:gridSpan w:val="3"/>
            <w:vAlign w:val="center"/>
          </w:tcPr>
          <w:p w14:paraId="335AA6DC">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bCs/>
                <w:sz w:val="24"/>
              </w:rPr>
              <w:t>经度118°11′33.65</w:t>
            </w:r>
            <w:r>
              <w:rPr>
                <w:rFonts w:hint="default" w:ascii="Times New Roman" w:hAnsi="Times New Roman" w:cs="Times New Roman" w:eastAsiaTheme="minorEastAsia"/>
                <w:bCs/>
                <w:sz w:val="24"/>
                <w:lang w:val="en-US" w:eastAsia="zh-CN"/>
              </w:rPr>
              <w:t>3</w:t>
            </w:r>
            <w:r>
              <w:rPr>
                <w:rFonts w:hint="default" w:ascii="Times New Roman" w:hAnsi="Times New Roman" w:cs="Times New Roman" w:eastAsiaTheme="minorEastAsia"/>
                <w:bCs/>
                <w:sz w:val="24"/>
              </w:rPr>
              <w:t>″，纬度31°12′32.789″</w:t>
            </w:r>
          </w:p>
        </w:tc>
      </w:tr>
      <w:tr w14:paraId="1D5D9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05" w:type="dxa"/>
            <w:tcMar>
              <w:top w:w="16" w:type="dxa"/>
              <w:left w:w="16" w:type="dxa"/>
              <w:right w:w="16" w:type="dxa"/>
            </w:tcMar>
            <w:vAlign w:val="center"/>
          </w:tcPr>
          <w:p w14:paraId="5E6D2615">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国民经济</w:t>
            </w:r>
          </w:p>
          <w:p w14:paraId="1C5ADCC1">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行业类别</w:t>
            </w:r>
          </w:p>
        </w:tc>
        <w:tc>
          <w:tcPr>
            <w:tcW w:w="2152" w:type="dxa"/>
            <w:vAlign w:val="center"/>
          </w:tcPr>
          <w:p w14:paraId="64D3ABE2">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C3670汽车零部件及配件制造</w:t>
            </w:r>
          </w:p>
        </w:tc>
        <w:tc>
          <w:tcPr>
            <w:tcW w:w="1860" w:type="dxa"/>
            <w:vAlign w:val="center"/>
          </w:tcPr>
          <w:p w14:paraId="2775D9CA">
            <w:pPr>
              <w:adjustRightInd w:val="0"/>
              <w:snapToGrid w:val="0"/>
              <w:jc w:val="center"/>
              <w:rPr>
                <w:rFonts w:hint="default" w:ascii="Times New Roman" w:hAnsi="Times New Roman" w:cs="Times New Roman"/>
                <w:sz w:val="24"/>
              </w:rPr>
            </w:pPr>
            <w:bookmarkStart w:id="1" w:name="_Hlk49843745"/>
            <w:r>
              <w:rPr>
                <w:rFonts w:hint="default" w:ascii="Times New Roman" w:hAnsi="Times New Roman" w:cs="Times New Roman"/>
                <w:sz w:val="24"/>
              </w:rPr>
              <w:t>建设项目</w:t>
            </w:r>
          </w:p>
          <w:p w14:paraId="6F30E84E">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行业类别</w:t>
            </w:r>
            <w:bookmarkEnd w:id="1"/>
          </w:p>
        </w:tc>
        <w:tc>
          <w:tcPr>
            <w:tcW w:w="3480" w:type="dxa"/>
            <w:vAlign w:val="center"/>
          </w:tcPr>
          <w:p w14:paraId="424CF4F1">
            <w:pPr>
              <w:adjustRightInd w:val="0"/>
              <w:snapToGrid w:val="0"/>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“三十三、汽车制造业 36”中的“71、汽车整车制造361；汽车用发动机制造362；改装汽车制造363；低速汽车制造364；电车制造365；汽车车身、挂车制造366；汽车零部件及配件制造367”</w:t>
            </w:r>
          </w:p>
        </w:tc>
      </w:tr>
      <w:tr w14:paraId="40E10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551" w:hRule="atLeast"/>
          <w:jc w:val="center"/>
        </w:trPr>
        <w:tc>
          <w:tcPr>
            <w:tcW w:w="1705" w:type="dxa"/>
            <w:tcMar>
              <w:top w:w="16" w:type="dxa"/>
              <w:left w:w="16" w:type="dxa"/>
              <w:right w:w="16" w:type="dxa"/>
            </w:tcMar>
            <w:vAlign w:val="center"/>
          </w:tcPr>
          <w:p w14:paraId="2B869859">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建设性质</w:t>
            </w:r>
          </w:p>
        </w:tc>
        <w:tc>
          <w:tcPr>
            <w:tcW w:w="2152" w:type="dxa"/>
            <w:vAlign w:val="center"/>
          </w:tcPr>
          <w:p w14:paraId="658F4674">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新建（迁建）</w:t>
            </w:r>
          </w:p>
          <w:p w14:paraId="448EABDA">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改建</w:t>
            </w:r>
          </w:p>
          <w:p w14:paraId="3063B0A0">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扩建</w:t>
            </w:r>
          </w:p>
          <w:p w14:paraId="7B7BA936">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技术改造</w:t>
            </w:r>
          </w:p>
        </w:tc>
        <w:tc>
          <w:tcPr>
            <w:tcW w:w="1860" w:type="dxa"/>
            <w:vAlign w:val="center"/>
          </w:tcPr>
          <w:p w14:paraId="52177A92">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建设项目</w:t>
            </w:r>
          </w:p>
          <w:p w14:paraId="69C619EA">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申报情形</w:t>
            </w:r>
          </w:p>
        </w:tc>
        <w:tc>
          <w:tcPr>
            <w:tcW w:w="3480" w:type="dxa"/>
            <w:vAlign w:val="center"/>
          </w:tcPr>
          <w:p w14:paraId="6FDD0EE8">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首次申报项目</w:t>
            </w:r>
          </w:p>
          <w:p w14:paraId="0E91BF83">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不予批准后再次申报项目</w:t>
            </w:r>
          </w:p>
          <w:p w14:paraId="086CC75B">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超五年重新审核项目</w:t>
            </w:r>
          </w:p>
          <w:p w14:paraId="50289B77">
            <w:pPr>
              <w:jc w:val="left"/>
              <w:rPr>
                <w:rFonts w:hint="default" w:ascii="Times New Roman" w:hAnsi="Times New Roman" w:cs="Times New Roman"/>
                <w:sz w:val="24"/>
              </w:rPr>
            </w:pPr>
            <w:r>
              <w:rPr>
                <w:rFonts w:hint="eastAsia" w:ascii="Times New Roman" w:hAnsi="Times New Roman" w:cs="Times New Roman"/>
                <w:sz w:val="24"/>
                <w:lang w:eastAsia="zh-CN"/>
              </w:rPr>
              <w:t>□</w:t>
            </w:r>
            <w:r>
              <w:rPr>
                <w:rFonts w:hint="default" w:ascii="Times New Roman" w:hAnsi="Times New Roman" w:cs="Times New Roman"/>
                <w:sz w:val="24"/>
              </w:rPr>
              <w:t>重大变动重新报批项目</w:t>
            </w:r>
          </w:p>
        </w:tc>
      </w:tr>
      <w:tr w14:paraId="2A203D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05" w:type="dxa"/>
            <w:tcMar>
              <w:top w:w="16" w:type="dxa"/>
              <w:left w:w="16" w:type="dxa"/>
              <w:right w:w="16" w:type="dxa"/>
            </w:tcMar>
            <w:vAlign w:val="center"/>
          </w:tcPr>
          <w:p w14:paraId="12ED054D">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项目审批（核准/</w:t>
            </w:r>
          </w:p>
          <w:p w14:paraId="29F10ADA">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备案）部门（选填）</w:t>
            </w:r>
          </w:p>
        </w:tc>
        <w:tc>
          <w:tcPr>
            <w:tcW w:w="2152" w:type="dxa"/>
            <w:vAlign w:val="center"/>
          </w:tcPr>
          <w:p w14:paraId="1F3A29A9">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安徽芜湖三山经济开发区管委会经济发展局</w:t>
            </w:r>
          </w:p>
        </w:tc>
        <w:tc>
          <w:tcPr>
            <w:tcW w:w="1860" w:type="dxa"/>
            <w:vAlign w:val="center"/>
          </w:tcPr>
          <w:p w14:paraId="155CF16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w:t>
            </w:r>
          </w:p>
          <w:p w14:paraId="29A6521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备案）文号（选填）</w:t>
            </w:r>
          </w:p>
        </w:tc>
        <w:tc>
          <w:tcPr>
            <w:tcW w:w="3480" w:type="dxa"/>
            <w:vAlign w:val="center"/>
          </w:tcPr>
          <w:p w14:paraId="6CA8FDDF">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val="en-US" w:eastAsia="zh-CN"/>
              </w:rPr>
              <w:t>/</w:t>
            </w:r>
          </w:p>
        </w:tc>
      </w:tr>
      <w:tr w14:paraId="5E225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5" w:hRule="atLeast"/>
          <w:jc w:val="center"/>
        </w:trPr>
        <w:tc>
          <w:tcPr>
            <w:tcW w:w="1705" w:type="dxa"/>
            <w:tcMar>
              <w:top w:w="16" w:type="dxa"/>
              <w:left w:w="16" w:type="dxa"/>
              <w:right w:w="16" w:type="dxa"/>
            </w:tcMar>
            <w:vAlign w:val="center"/>
          </w:tcPr>
          <w:p w14:paraId="31F5DA37">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总投资（万元）</w:t>
            </w:r>
          </w:p>
        </w:tc>
        <w:tc>
          <w:tcPr>
            <w:tcW w:w="2152" w:type="dxa"/>
            <w:vAlign w:val="center"/>
          </w:tcPr>
          <w:p w14:paraId="3FC12D46">
            <w:pPr>
              <w:adjustRightInd w:val="0"/>
              <w:snapToGrid w:val="0"/>
              <w:jc w:val="center"/>
              <w:rPr>
                <w:rFonts w:hint="default" w:ascii="Times New Roman" w:hAnsi="Times New Roman" w:cs="Times New Roman"/>
                <w:sz w:val="24"/>
                <w:lang w:val="en-US"/>
              </w:rPr>
            </w:pPr>
            <w:r>
              <w:rPr>
                <w:rFonts w:hint="default" w:ascii="Times New Roman" w:hAnsi="Times New Roman" w:cs="Times New Roman"/>
                <w:sz w:val="24"/>
                <w:lang w:val="en-US" w:eastAsia="zh-CN"/>
              </w:rPr>
              <w:t>25000</w:t>
            </w:r>
          </w:p>
        </w:tc>
        <w:tc>
          <w:tcPr>
            <w:tcW w:w="1860" w:type="dxa"/>
            <w:tcMar>
              <w:top w:w="16" w:type="dxa"/>
              <w:left w:w="16" w:type="dxa"/>
              <w:right w:w="16" w:type="dxa"/>
            </w:tcMar>
            <w:vAlign w:val="center"/>
          </w:tcPr>
          <w:p w14:paraId="70F2A03B">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环保投资（万元）</w:t>
            </w:r>
          </w:p>
        </w:tc>
        <w:tc>
          <w:tcPr>
            <w:tcW w:w="3480" w:type="dxa"/>
            <w:vAlign w:val="center"/>
          </w:tcPr>
          <w:p w14:paraId="26F9F46A">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150</w:t>
            </w:r>
          </w:p>
        </w:tc>
      </w:tr>
      <w:tr w14:paraId="72A360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28" w:hRule="atLeast"/>
          <w:jc w:val="center"/>
        </w:trPr>
        <w:tc>
          <w:tcPr>
            <w:tcW w:w="1705" w:type="dxa"/>
            <w:tcMar>
              <w:top w:w="16" w:type="dxa"/>
              <w:left w:w="16" w:type="dxa"/>
              <w:right w:w="16" w:type="dxa"/>
            </w:tcMar>
            <w:vAlign w:val="center"/>
          </w:tcPr>
          <w:p w14:paraId="67B4898E">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环保投资占比（%）</w:t>
            </w:r>
          </w:p>
        </w:tc>
        <w:tc>
          <w:tcPr>
            <w:tcW w:w="2152" w:type="dxa"/>
            <w:vAlign w:val="center"/>
          </w:tcPr>
          <w:p w14:paraId="140DF111">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0.6</w:t>
            </w:r>
          </w:p>
        </w:tc>
        <w:tc>
          <w:tcPr>
            <w:tcW w:w="1860" w:type="dxa"/>
            <w:tcMar>
              <w:top w:w="16" w:type="dxa"/>
              <w:left w:w="16" w:type="dxa"/>
              <w:right w:w="16" w:type="dxa"/>
            </w:tcMar>
            <w:vAlign w:val="center"/>
          </w:tcPr>
          <w:p w14:paraId="75E5E2E7">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施工工期</w:t>
            </w:r>
          </w:p>
        </w:tc>
        <w:tc>
          <w:tcPr>
            <w:tcW w:w="3480" w:type="dxa"/>
            <w:vAlign w:val="center"/>
          </w:tcPr>
          <w:p w14:paraId="0F3EADEF">
            <w:pPr>
              <w:adjustRightInd w:val="0"/>
              <w:snapToGrid w:val="0"/>
              <w:jc w:val="center"/>
              <w:rPr>
                <w:rFonts w:hint="default" w:ascii="Times New Roman" w:hAnsi="Times New Roman" w:cs="Times New Roman"/>
                <w:sz w:val="24"/>
              </w:rPr>
            </w:pPr>
            <w:r>
              <w:rPr>
                <w:rFonts w:hint="eastAsia" w:cs="Times New Roman"/>
                <w:sz w:val="24"/>
                <w:lang w:val="en-US" w:eastAsia="zh-CN"/>
              </w:rPr>
              <w:t>10</w:t>
            </w:r>
            <w:r>
              <w:rPr>
                <w:rFonts w:hint="default" w:ascii="Times New Roman" w:hAnsi="Times New Roman" w:cs="Times New Roman"/>
                <w:sz w:val="24"/>
              </w:rPr>
              <w:t>个月</w:t>
            </w:r>
          </w:p>
        </w:tc>
      </w:tr>
      <w:tr w14:paraId="12A8E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4" w:hRule="atLeast"/>
          <w:jc w:val="center"/>
        </w:trPr>
        <w:tc>
          <w:tcPr>
            <w:tcW w:w="1705" w:type="dxa"/>
            <w:tcMar>
              <w:top w:w="16" w:type="dxa"/>
              <w:left w:w="16" w:type="dxa"/>
              <w:right w:w="16" w:type="dxa"/>
            </w:tcMar>
            <w:vAlign w:val="center"/>
          </w:tcPr>
          <w:p w14:paraId="00BD9EF5">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是否开工建设</w:t>
            </w:r>
          </w:p>
        </w:tc>
        <w:tc>
          <w:tcPr>
            <w:tcW w:w="2152" w:type="dxa"/>
            <w:vAlign w:val="center"/>
          </w:tcPr>
          <w:p w14:paraId="0587DAAC">
            <w:pPr>
              <w:adjustRightInd w:val="0"/>
              <w:snapToGrid w:val="0"/>
              <w:rPr>
                <w:rFonts w:hint="default" w:ascii="Times New Roman" w:hAnsi="Times New Roman" w:cs="Times New Roman"/>
                <w:sz w:val="24"/>
              </w:rPr>
            </w:pPr>
            <w:r>
              <w:rPr>
                <w:rFonts w:hint="default" w:ascii="Times New Roman" w:hAnsi="Times New Roman" w:cs="Times New Roman"/>
                <w:sz w:val="24"/>
              </w:rPr>
              <w:sym w:font="Wingdings 2" w:char="0052"/>
            </w:r>
            <w:r>
              <w:rPr>
                <w:rFonts w:hint="default" w:ascii="Times New Roman" w:hAnsi="Times New Roman" w:cs="Times New Roman"/>
                <w:sz w:val="24"/>
              </w:rPr>
              <w:t>否</w:t>
            </w:r>
          </w:p>
          <w:p w14:paraId="47DCBEC5">
            <w:pPr>
              <w:adjustRightInd w:val="0"/>
              <w:snapToGrid w:val="0"/>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是</w:t>
            </w:r>
          </w:p>
        </w:tc>
        <w:tc>
          <w:tcPr>
            <w:tcW w:w="1860" w:type="dxa"/>
            <w:tcMar>
              <w:top w:w="16" w:type="dxa"/>
              <w:left w:w="16" w:type="dxa"/>
              <w:right w:w="16" w:type="dxa"/>
            </w:tcMar>
            <w:vAlign w:val="center"/>
          </w:tcPr>
          <w:p w14:paraId="7A8F5912">
            <w:pPr>
              <w:adjustRightInd w:val="0"/>
              <w:snapToGrid w:val="0"/>
              <w:jc w:val="center"/>
              <w:rPr>
                <w:rFonts w:hint="default" w:ascii="Times New Roman" w:hAnsi="Times New Roman" w:cs="Times New Roman"/>
                <w:spacing w:val="-6"/>
                <w:sz w:val="24"/>
              </w:rPr>
            </w:pPr>
            <w:r>
              <w:rPr>
                <w:rFonts w:hint="default" w:ascii="Times New Roman" w:hAnsi="Times New Roman" w:cs="Times New Roman"/>
                <w:spacing w:val="-6"/>
                <w:sz w:val="24"/>
              </w:rPr>
              <w:t>用地（用海）</w:t>
            </w:r>
          </w:p>
          <w:p w14:paraId="68590FC2">
            <w:pPr>
              <w:adjustRightInd w:val="0"/>
              <w:snapToGrid w:val="0"/>
              <w:jc w:val="center"/>
              <w:rPr>
                <w:rFonts w:hint="default" w:ascii="Times New Roman" w:hAnsi="Times New Roman" w:cs="Times New Roman"/>
                <w:sz w:val="24"/>
              </w:rPr>
            </w:pPr>
            <w:r>
              <w:rPr>
                <w:rFonts w:hint="default" w:ascii="Times New Roman" w:hAnsi="Times New Roman" w:cs="Times New Roman"/>
                <w:spacing w:val="-6"/>
                <w:sz w:val="24"/>
              </w:rPr>
              <w:t>面积（m</w:t>
            </w:r>
            <w:r>
              <w:rPr>
                <w:rFonts w:hint="default" w:ascii="Times New Roman" w:hAnsi="Times New Roman" w:cs="Times New Roman"/>
                <w:spacing w:val="-6"/>
                <w:sz w:val="24"/>
                <w:vertAlign w:val="superscript"/>
              </w:rPr>
              <w:t>2</w:t>
            </w:r>
            <w:r>
              <w:rPr>
                <w:rFonts w:hint="default" w:ascii="Times New Roman" w:hAnsi="Times New Roman" w:cs="Times New Roman"/>
                <w:spacing w:val="-6"/>
                <w:sz w:val="24"/>
              </w:rPr>
              <w:t>）</w:t>
            </w:r>
          </w:p>
        </w:tc>
        <w:tc>
          <w:tcPr>
            <w:tcW w:w="3480" w:type="dxa"/>
            <w:vAlign w:val="center"/>
          </w:tcPr>
          <w:p w14:paraId="3BBE6802">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40214.58</w:t>
            </w:r>
          </w:p>
        </w:tc>
      </w:tr>
      <w:tr w14:paraId="082BF1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4" w:hRule="atLeast"/>
          <w:jc w:val="center"/>
        </w:trPr>
        <w:tc>
          <w:tcPr>
            <w:tcW w:w="1705" w:type="dxa"/>
            <w:tcMar>
              <w:top w:w="16" w:type="dxa"/>
              <w:left w:w="16" w:type="dxa"/>
              <w:right w:w="16" w:type="dxa"/>
            </w:tcMar>
            <w:vAlign w:val="center"/>
          </w:tcPr>
          <w:p w14:paraId="0385CE6C">
            <w:pPr>
              <w:adjustRightInd w:val="0"/>
              <w:snapToGrid w:val="0"/>
              <w:jc w:val="center"/>
              <w:rPr>
                <w:rFonts w:hint="default" w:ascii="Times New Roman" w:hAnsi="Times New Roman" w:cs="Times New Roman"/>
                <w:sz w:val="24"/>
              </w:rPr>
            </w:pPr>
            <w:r>
              <w:rPr>
                <w:rFonts w:hint="default" w:ascii="Times New Roman" w:hAnsi="Times New Roman" w:cs="Times New Roman"/>
                <w:kern w:val="0"/>
                <w:sz w:val="24"/>
              </w:rPr>
              <w:t>专项评价设置情况</w:t>
            </w:r>
          </w:p>
        </w:tc>
        <w:tc>
          <w:tcPr>
            <w:tcW w:w="7492" w:type="dxa"/>
            <w:gridSpan w:val="3"/>
            <w:vAlign w:val="center"/>
          </w:tcPr>
          <w:p w14:paraId="4BE757E8">
            <w:pPr>
              <w:autoSpaceDE w:val="0"/>
              <w:autoSpaceDN w:val="0"/>
              <w:adjustRightInd w:val="0"/>
              <w:snapToGrid w:val="0"/>
              <w:jc w:val="center"/>
              <w:rPr>
                <w:rFonts w:hint="default" w:ascii="Times New Roman" w:hAnsi="Times New Roman" w:cs="Times New Roman"/>
                <w:b/>
                <w:bCs/>
                <w:kern w:val="0"/>
                <w:sz w:val="24"/>
                <w:lang w:val="en-US" w:eastAsia="zh-CN"/>
              </w:rPr>
            </w:pPr>
            <w:r>
              <w:rPr>
                <w:rFonts w:hint="default" w:ascii="Times New Roman" w:hAnsi="Times New Roman" w:cs="Times New Roman"/>
                <w:b/>
                <w:bCs/>
                <w:kern w:val="0"/>
                <w:sz w:val="24"/>
                <w:lang w:val="en-US" w:eastAsia="zh-CN"/>
              </w:rPr>
              <w:t>表1-1 专项评价设置原则表</w:t>
            </w:r>
          </w:p>
          <w:tbl>
            <w:tblPr>
              <w:tblStyle w:val="60"/>
              <w:tblW w:w="70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3733"/>
              <w:gridCol w:w="2145"/>
            </w:tblGrid>
            <w:tr w14:paraId="509139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142" w:type="dxa"/>
                  <w:tcBorders>
                    <w:tl2br w:val="nil"/>
                    <w:tr2bl w:val="nil"/>
                  </w:tcBorders>
                  <w:vAlign w:val="center"/>
                </w:tcPr>
                <w:p w14:paraId="77D0FE7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专项评价的类别</w:t>
                  </w:r>
                </w:p>
              </w:tc>
              <w:tc>
                <w:tcPr>
                  <w:tcW w:w="3733" w:type="dxa"/>
                  <w:tcBorders>
                    <w:tl2br w:val="nil"/>
                    <w:tr2bl w:val="nil"/>
                  </w:tcBorders>
                  <w:vAlign w:val="center"/>
                </w:tcPr>
                <w:p w14:paraId="0E568544">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设置原则</w:t>
                  </w:r>
                </w:p>
              </w:tc>
              <w:tc>
                <w:tcPr>
                  <w:tcW w:w="2145" w:type="dxa"/>
                  <w:tcBorders>
                    <w:tl2br w:val="nil"/>
                    <w:tr2bl w:val="nil"/>
                  </w:tcBorders>
                  <w:vAlign w:val="center"/>
                </w:tcPr>
                <w:p w14:paraId="7A03EE24">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符合情况</w:t>
                  </w:r>
                </w:p>
              </w:tc>
            </w:tr>
            <w:tr w14:paraId="15D77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42" w:type="dxa"/>
                  <w:tcBorders>
                    <w:tl2br w:val="nil"/>
                    <w:tr2bl w:val="nil"/>
                  </w:tcBorders>
                  <w:vAlign w:val="center"/>
                </w:tcPr>
                <w:p w14:paraId="03BDF9F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大气</w:t>
                  </w:r>
                </w:p>
              </w:tc>
              <w:tc>
                <w:tcPr>
                  <w:tcW w:w="3733" w:type="dxa"/>
                  <w:tcBorders>
                    <w:tl2br w:val="nil"/>
                    <w:tr2bl w:val="nil"/>
                  </w:tcBorders>
                  <w:vAlign w:val="center"/>
                </w:tcPr>
                <w:p w14:paraId="7DF0079E">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排放废气含有毒有害污染物、二噁英、氰化物、氯气且厂界外500米范围内有环境空气保护目标的建设项目</w:t>
                  </w:r>
                </w:p>
              </w:tc>
              <w:tc>
                <w:tcPr>
                  <w:tcW w:w="2145" w:type="dxa"/>
                  <w:tcBorders>
                    <w:tl2br w:val="nil"/>
                    <w:tr2bl w:val="nil"/>
                  </w:tcBorders>
                  <w:vAlign w:val="center"/>
                </w:tcPr>
                <w:p w14:paraId="6C3D89C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不符合，本项目不产生及排放有毒有害污染物</w:t>
                  </w:r>
                </w:p>
              </w:tc>
            </w:tr>
            <w:tr w14:paraId="0B13C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42" w:type="dxa"/>
                  <w:tcBorders>
                    <w:tl2br w:val="nil"/>
                    <w:tr2bl w:val="nil"/>
                  </w:tcBorders>
                  <w:vAlign w:val="center"/>
                </w:tcPr>
                <w:p w14:paraId="23EA6F5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地表水</w:t>
                  </w:r>
                </w:p>
              </w:tc>
              <w:tc>
                <w:tcPr>
                  <w:tcW w:w="3733" w:type="dxa"/>
                  <w:tcBorders>
                    <w:tl2br w:val="nil"/>
                    <w:tr2bl w:val="nil"/>
                  </w:tcBorders>
                  <w:vAlign w:val="center"/>
                </w:tcPr>
                <w:p w14:paraId="0A52085E">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新增工业废水直排建设项目（槽罐车外送污水处理厂的除外）；新增废水直排的污水集中处理厂</w:t>
                  </w:r>
                </w:p>
              </w:tc>
              <w:tc>
                <w:tcPr>
                  <w:tcW w:w="2145" w:type="dxa"/>
                  <w:tcBorders>
                    <w:tl2br w:val="nil"/>
                    <w:tr2bl w:val="nil"/>
                  </w:tcBorders>
                  <w:vAlign w:val="center"/>
                </w:tcPr>
                <w:p w14:paraId="255ACCA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不符合，本项目废水间接排放，不属于废水直排建设项目</w:t>
                  </w:r>
                </w:p>
              </w:tc>
            </w:tr>
          </w:tbl>
          <w:p w14:paraId="56AA363C">
            <w:pPr>
              <w:adjustRightInd w:val="0"/>
              <w:snapToGrid w:val="0"/>
              <w:jc w:val="center"/>
              <w:rPr>
                <w:rFonts w:hint="default" w:ascii="Times New Roman" w:hAnsi="Times New Roman" w:cs="Times New Roman"/>
                <w:sz w:val="24"/>
                <w:lang w:val="en-US" w:eastAsia="zh-CN"/>
              </w:rPr>
            </w:pPr>
          </w:p>
        </w:tc>
      </w:tr>
      <w:tr w14:paraId="2A9B4D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0" w:hRule="atLeast"/>
          <w:jc w:val="center"/>
        </w:trPr>
        <w:tc>
          <w:tcPr>
            <w:tcW w:w="1705" w:type="dxa"/>
            <w:vAlign w:val="center"/>
          </w:tcPr>
          <w:p w14:paraId="75032BC9">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专项评价设置情况</w:t>
            </w:r>
          </w:p>
        </w:tc>
        <w:tc>
          <w:tcPr>
            <w:tcW w:w="7492" w:type="dxa"/>
            <w:gridSpan w:val="3"/>
            <w:vAlign w:val="center"/>
          </w:tcPr>
          <w:tbl>
            <w:tblPr>
              <w:tblStyle w:val="60"/>
              <w:tblW w:w="70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3733"/>
              <w:gridCol w:w="2145"/>
            </w:tblGrid>
            <w:tr w14:paraId="2192AC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42" w:type="dxa"/>
                  <w:tcBorders>
                    <w:tl2br w:val="nil"/>
                    <w:tr2bl w:val="nil"/>
                  </w:tcBorders>
                  <w:vAlign w:val="center"/>
                </w:tcPr>
                <w:p w14:paraId="3765430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环境风险</w:t>
                  </w:r>
                </w:p>
              </w:tc>
              <w:tc>
                <w:tcPr>
                  <w:tcW w:w="3733" w:type="dxa"/>
                  <w:tcBorders>
                    <w:tl2br w:val="nil"/>
                    <w:tr2bl w:val="nil"/>
                  </w:tcBorders>
                  <w:vAlign w:val="center"/>
                </w:tcPr>
                <w:p w14:paraId="341D62BC">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有毒有害和易燃易爆危险物质存储量超过临界量的建设项目</w:t>
                  </w:r>
                </w:p>
              </w:tc>
              <w:tc>
                <w:tcPr>
                  <w:tcW w:w="2145" w:type="dxa"/>
                  <w:tcBorders>
                    <w:tl2br w:val="nil"/>
                    <w:tr2bl w:val="nil"/>
                  </w:tcBorders>
                  <w:vAlign w:val="center"/>
                </w:tcPr>
                <w:p w14:paraId="05C94FC7">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不符合，本项目无有毒有害和易燃易爆危险物质存储</w:t>
                  </w:r>
                </w:p>
              </w:tc>
            </w:tr>
            <w:tr w14:paraId="137D4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42" w:type="dxa"/>
                  <w:tcBorders>
                    <w:tl2br w:val="nil"/>
                    <w:tr2bl w:val="nil"/>
                  </w:tcBorders>
                  <w:vAlign w:val="center"/>
                </w:tcPr>
                <w:p w14:paraId="2AC36923">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生态</w:t>
                  </w:r>
                </w:p>
              </w:tc>
              <w:tc>
                <w:tcPr>
                  <w:tcW w:w="3733" w:type="dxa"/>
                  <w:tcBorders>
                    <w:tl2br w:val="nil"/>
                    <w:tr2bl w:val="nil"/>
                  </w:tcBorders>
                  <w:vAlign w:val="center"/>
                </w:tcPr>
                <w:p w14:paraId="3E86961C">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取水口下游500m范围内有重要水生生物的自然产卵场、索饵场，越冬场和洄游通道的新增河道取水的污染类建设项目</w:t>
                  </w:r>
                </w:p>
              </w:tc>
              <w:tc>
                <w:tcPr>
                  <w:tcW w:w="2145" w:type="dxa"/>
                  <w:tcBorders>
                    <w:tl2br w:val="nil"/>
                    <w:tr2bl w:val="nil"/>
                  </w:tcBorders>
                  <w:vAlign w:val="center"/>
                </w:tcPr>
                <w:p w14:paraId="39CA220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不符合，本项目用水由市政管网供给、不设置单独取水口</w:t>
                  </w:r>
                </w:p>
              </w:tc>
            </w:tr>
            <w:tr w14:paraId="67D2A5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42" w:type="dxa"/>
                  <w:tcBorders>
                    <w:tl2br w:val="nil"/>
                    <w:tr2bl w:val="nil"/>
                  </w:tcBorders>
                  <w:vAlign w:val="center"/>
                </w:tcPr>
                <w:p w14:paraId="71F59FD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海洋</w:t>
                  </w:r>
                </w:p>
              </w:tc>
              <w:tc>
                <w:tcPr>
                  <w:tcW w:w="3733" w:type="dxa"/>
                  <w:tcBorders>
                    <w:tl2br w:val="nil"/>
                    <w:tr2bl w:val="nil"/>
                  </w:tcBorders>
                  <w:vAlign w:val="center"/>
                </w:tcPr>
                <w:p w14:paraId="6A1BA6E2">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直接向海排放污染物的海洋工程建设项目</w:t>
                  </w:r>
                </w:p>
              </w:tc>
              <w:tc>
                <w:tcPr>
                  <w:tcW w:w="2145" w:type="dxa"/>
                  <w:tcBorders>
                    <w:tl2br w:val="nil"/>
                    <w:tr2bl w:val="nil"/>
                  </w:tcBorders>
                  <w:vAlign w:val="center"/>
                </w:tcPr>
                <w:p w14:paraId="42FB3BE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cs="Times New Roman"/>
                      <w:kern w:val="0"/>
                      <w:sz w:val="21"/>
                      <w:szCs w:val="21"/>
                      <w:vertAlign w:val="baseline"/>
                      <w:lang w:val="en-US" w:eastAsia="zh-CN"/>
                    </w:rPr>
                  </w:pPr>
                  <w:r>
                    <w:rPr>
                      <w:rFonts w:hint="default" w:ascii="Times New Roman" w:hAnsi="Times New Roman" w:cs="Times New Roman"/>
                      <w:kern w:val="0"/>
                      <w:sz w:val="21"/>
                      <w:szCs w:val="21"/>
                      <w:vertAlign w:val="baseline"/>
                      <w:lang w:val="en-US" w:eastAsia="zh-CN"/>
                    </w:rPr>
                    <w:t>不符合，本项目不向海洋排放污染物</w:t>
                  </w:r>
                </w:p>
              </w:tc>
            </w:tr>
          </w:tbl>
          <w:p w14:paraId="0B947A59">
            <w:pPr>
              <w:autoSpaceDE w:val="0"/>
              <w:autoSpaceDN w:val="0"/>
              <w:adjustRightInd w:val="0"/>
              <w:snapToGrid w:val="0"/>
              <w:ind w:firstLine="480" w:firstLineChars="200"/>
              <w:jc w:val="both"/>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综上，项目无需开展专项评价工作。</w:t>
            </w:r>
          </w:p>
        </w:tc>
      </w:tr>
      <w:tr w14:paraId="407E9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5" w:type="dxa"/>
            <w:vAlign w:val="center"/>
          </w:tcPr>
          <w:p w14:paraId="22FE0024">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规划情况</w:t>
            </w:r>
          </w:p>
        </w:tc>
        <w:tc>
          <w:tcPr>
            <w:tcW w:w="7492" w:type="dxa"/>
            <w:gridSpan w:val="3"/>
            <w:vAlign w:val="center"/>
          </w:tcPr>
          <w:p w14:paraId="04D02476">
            <w:pPr>
              <w:keepNext w:val="0"/>
              <w:keepLines w:val="0"/>
              <w:pageBreakBefore w:val="0"/>
              <w:widowControl w:val="0"/>
              <w:kinsoku/>
              <w:wordWrap/>
              <w:overflowPunct/>
              <w:topLinePunct w:val="0"/>
              <w:bidi w:val="0"/>
              <w:spacing w:line="360" w:lineRule="auto"/>
              <w:ind w:firstLine="480" w:firstLineChars="200"/>
              <w:jc w:val="left"/>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规划名称：《安徽芜湖三山经济开发区总体发展规划（2013~2030）》</w:t>
            </w:r>
          </w:p>
          <w:p w14:paraId="039552EC">
            <w:pPr>
              <w:keepNext w:val="0"/>
              <w:keepLines w:val="0"/>
              <w:pageBreakBefore w:val="0"/>
              <w:widowControl w:val="0"/>
              <w:kinsoku/>
              <w:wordWrap/>
              <w:overflowPunct/>
              <w:topLinePunct w:val="0"/>
              <w:bidi w:val="0"/>
              <w:spacing w:line="360" w:lineRule="auto"/>
              <w:ind w:firstLine="480" w:firstLineChars="200"/>
              <w:jc w:val="left"/>
              <w:textAlignment w:val="auto"/>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审批机关：</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安徽省人民政府</w:t>
            </w:r>
          </w:p>
          <w:p w14:paraId="7DD6B7F1">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kern w:val="0"/>
                <w:sz w:val="24"/>
              </w:rPr>
            </w:pPr>
            <w:r>
              <w:rPr>
                <w:rFonts w:hint="default" w:ascii="Times New Roman" w:hAnsi="Times New Roman" w:eastAsia="宋体" w:cs="Times New Roman"/>
                <w:caps w:val="0"/>
                <w:color w:val="000000" w:themeColor="text1"/>
                <w:sz w:val="24"/>
                <w:highlight w:val="none"/>
                <w14:textFill>
                  <w14:solidFill>
                    <w14:schemeClr w14:val="tx1"/>
                  </w14:solidFill>
                </w14:textFill>
              </w:rPr>
              <w:t>审批文件名称及文号：/</w:t>
            </w:r>
          </w:p>
        </w:tc>
      </w:tr>
      <w:tr w14:paraId="6837B2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705" w:type="dxa"/>
            <w:vAlign w:val="center"/>
          </w:tcPr>
          <w:p w14:paraId="548E9AC5">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规划环境影响</w:t>
            </w:r>
          </w:p>
          <w:p w14:paraId="7DD465DB">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评价情况</w:t>
            </w:r>
          </w:p>
        </w:tc>
        <w:tc>
          <w:tcPr>
            <w:tcW w:w="7492" w:type="dxa"/>
            <w:gridSpan w:val="3"/>
            <w:vAlign w:val="center"/>
          </w:tcPr>
          <w:p w14:paraId="18C882EA">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Cs/>
                <w:caps w:val="0"/>
                <w:color w:val="000000" w:themeColor="text1"/>
                <w:sz w:val="24"/>
                <w:szCs w:val="28"/>
                <w:highlight w:val="none"/>
                <w14:textFill>
                  <w14:solidFill>
                    <w14:schemeClr w14:val="tx1"/>
                  </w14:solidFill>
                </w14:textFill>
              </w:rPr>
            </w:pPr>
            <w:r>
              <w:rPr>
                <w:rFonts w:hint="default" w:ascii="Times New Roman" w:hAnsi="Times New Roman" w:eastAsia="宋体" w:cs="Times New Roman"/>
                <w:bCs/>
                <w:caps w:val="0"/>
                <w:color w:val="000000" w:themeColor="text1"/>
                <w:sz w:val="24"/>
                <w:szCs w:val="28"/>
                <w:highlight w:val="none"/>
                <w14:textFill>
                  <w14:solidFill>
                    <w14:schemeClr w14:val="tx1"/>
                  </w14:solidFill>
                </w14:textFill>
              </w:rPr>
              <w:t>规划环境影响评价文件名称：《安徽芜湖三山经济开发区总体发展规划（2023-2035 年）（调区）环境影响报告书》</w:t>
            </w:r>
          </w:p>
          <w:p w14:paraId="38FF2A12">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Cs/>
                <w:caps w:val="0"/>
                <w:color w:val="000000" w:themeColor="text1"/>
                <w:sz w:val="24"/>
                <w:szCs w:val="28"/>
                <w:highlight w:val="none"/>
                <w:lang w:val="en-US" w:eastAsia="zh-CN"/>
                <w14:textFill>
                  <w14:solidFill>
                    <w14:schemeClr w14:val="tx1"/>
                  </w14:solidFill>
                </w14:textFill>
              </w:rPr>
            </w:pPr>
            <w:r>
              <w:rPr>
                <w:rFonts w:hint="default" w:ascii="Times New Roman" w:hAnsi="Times New Roman" w:eastAsia="宋体" w:cs="Times New Roman"/>
                <w:bCs/>
                <w:caps w:val="0"/>
                <w:color w:val="000000" w:themeColor="text1"/>
                <w:sz w:val="24"/>
                <w:szCs w:val="28"/>
                <w:highlight w:val="none"/>
                <w14:textFill>
                  <w14:solidFill>
                    <w14:schemeClr w14:val="tx1"/>
                  </w14:solidFill>
                </w14:textFill>
              </w:rPr>
              <w:t>审查机关：</w:t>
            </w:r>
            <w:r>
              <w:rPr>
                <w:rFonts w:hint="default" w:ascii="Times New Roman" w:hAnsi="Times New Roman" w:cs="Times New Roman"/>
                <w:bCs/>
                <w:caps w:val="0"/>
                <w:color w:val="000000" w:themeColor="text1"/>
                <w:sz w:val="24"/>
                <w:szCs w:val="28"/>
                <w:highlight w:val="none"/>
                <w:lang w:val="en-US" w:eastAsia="zh-CN"/>
                <w14:textFill>
                  <w14:solidFill>
                    <w14:schemeClr w14:val="tx1"/>
                  </w14:solidFill>
                </w14:textFill>
              </w:rPr>
              <w:t>安徽省生态环境厅</w:t>
            </w:r>
          </w:p>
          <w:p w14:paraId="334E3DF7">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eastAsia="宋体" w:cs="Times New Roman"/>
                <w:bCs/>
                <w:caps w:val="0"/>
                <w:color w:val="000000" w:themeColor="text1"/>
                <w:sz w:val="24"/>
                <w:szCs w:val="28"/>
                <w:highlight w:val="none"/>
                <w14:textFill>
                  <w14:solidFill>
                    <w14:schemeClr w14:val="tx1"/>
                  </w14:solidFill>
                </w14:textFill>
              </w:rPr>
              <w:t>审查文件名称及文号：《安徽芜湖三山经济开发区总体发展规划（2023-2035 年）（调区）环境影响报告书》审查意见》（皖环函〔2024〕1044号）</w:t>
            </w:r>
          </w:p>
        </w:tc>
      </w:tr>
      <w:tr w14:paraId="2A3EB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705" w:type="dxa"/>
            <w:vAlign w:val="center"/>
          </w:tcPr>
          <w:p w14:paraId="3BBD5BF3">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规划及规划环境影响评价符合性分析</w:t>
            </w:r>
          </w:p>
        </w:tc>
        <w:tc>
          <w:tcPr>
            <w:tcW w:w="7492" w:type="dxa"/>
            <w:gridSpan w:val="3"/>
            <w:vAlign w:val="center"/>
          </w:tcPr>
          <w:p w14:paraId="09DEBE4E">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rPr>
                <w:rFonts w:eastAsiaTheme="minorEastAsia"/>
                <w:b/>
                <w:bCs/>
                <w:color w:val="000000" w:themeColor="text1"/>
                <w:kern w:val="0"/>
                <w:sz w:val="24"/>
                <w:szCs w:val="20"/>
                <w:highlight w:val="none"/>
                <w14:textFill>
                  <w14:solidFill>
                    <w14:schemeClr w14:val="tx1"/>
                  </w14:solidFill>
                </w14:textFill>
              </w:rPr>
            </w:pPr>
            <w:r>
              <w:rPr>
                <w:rFonts w:hint="default" w:eastAsiaTheme="minorEastAsia"/>
                <w:b/>
                <w:bCs/>
                <w:color w:val="000000" w:themeColor="text1"/>
                <w:kern w:val="0"/>
                <w:sz w:val="24"/>
                <w:szCs w:val="20"/>
                <w:highlight w:val="none"/>
                <w:lang w:val="en-US" w:eastAsia="zh-CN"/>
                <w14:textFill>
                  <w14:solidFill>
                    <w14:schemeClr w14:val="tx1"/>
                  </w14:solidFill>
                </w14:textFill>
              </w:rPr>
              <w:t>1</w:t>
            </w:r>
            <w:r>
              <w:rPr>
                <w:rFonts w:hint="eastAsia" w:eastAsiaTheme="minorEastAsia"/>
                <w:b/>
                <w:bCs/>
                <w:color w:val="000000" w:themeColor="text1"/>
                <w:kern w:val="0"/>
                <w:sz w:val="24"/>
                <w:szCs w:val="20"/>
                <w:highlight w:val="none"/>
                <w:lang w:val="en-US" w:eastAsia="zh-CN"/>
                <w14:textFill>
                  <w14:solidFill>
                    <w14:schemeClr w14:val="tx1"/>
                  </w14:solidFill>
                </w14:textFill>
              </w:rPr>
              <w:t xml:space="preserve">、与规划相符性分析 </w:t>
            </w:r>
          </w:p>
          <w:p w14:paraId="7191F47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color w:val="000000" w:themeColor="text1"/>
                <w:kern w:val="0"/>
                <w:sz w:val="24"/>
                <w:szCs w:val="20"/>
                <w:highlight w:val="none"/>
                <w14:textFill>
                  <w14:solidFill>
                    <w14:schemeClr w14:val="tx1"/>
                  </w14:solidFill>
                </w14:textFill>
              </w:rPr>
            </w:pP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1</w:t>
            </w:r>
            <w:r>
              <w:rPr>
                <w:rFonts w:hint="eastAsia" w:eastAsiaTheme="minorEastAsia"/>
                <w:color w:val="000000" w:themeColor="text1"/>
                <w:kern w:val="0"/>
                <w:sz w:val="24"/>
                <w:szCs w:val="20"/>
                <w:highlight w:val="none"/>
                <w:lang w:val="en-US" w:eastAsia="zh-CN"/>
                <w14:textFill>
                  <w14:solidFill>
                    <w14:schemeClr w14:val="tx1"/>
                  </w14:solidFill>
                </w14:textFill>
              </w:rPr>
              <w:t xml:space="preserve">）开发区产业定位符合性分析 </w:t>
            </w:r>
          </w:p>
          <w:p w14:paraId="41FBF04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eastAsiaTheme="minorEastAsia"/>
                <w:color w:val="000000" w:themeColor="text1"/>
                <w:kern w:val="0"/>
                <w:sz w:val="24"/>
                <w:szCs w:val="20"/>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4"/>
                <w:szCs w:val="20"/>
                <w:highlight w:val="none"/>
                <w:lang w:val="en-US" w:eastAsia="zh-CN"/>
                <w14:textFill>
                  <w14:solidFill>
                    <w14:schemeClr w14:val="tx1"/>
                  </w14:solidFill>
                </w14:textFill>
              </w:rPr>
              <w:t>本项目位于安徽芜湖三山经济开发区凤栖路以南、夏家湖路以西地块。根据《安徽芜湖三山经济开发区总体发展规划》（2013-2030年）和《芜湖承接产业转移集中示范园区规划》，芜湖市三山经济开发区主导产业为装配制造业、现代物流、电子信息；优先进入的行业包括：汽车及零部件制造、船舶制造、通信和其他电子设备制造、物流业等行业；控制进入的行业包括；金属表面处理及热处理加工、电子元件制造、火力发电、其他仓储业等行业；禁止进入的行业包括；皮革加工羽毛（绒）加工及制品制造，化学原料和化学品制造业等行业，本项目属于C3849其他电池制造，不在控制进入及禁止行业内。符合《安徽芜湖三山经济开发区总体发展规划》（2013-2030年）。</w:t>
            </w:r>
          </w:p>
          <w:p w14:paraId="7D00A24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color w:val="000000" w:themeColor="text1"/>
                <w:kern w:val="0"/>
                <w:sz w:val="24"/>
                <w:szCs w:val="20"/>
                <w:highlight w:val="none"/>
                <w14:textFill>
                  <w14:solidFill>
                    <w14:schemeClr w14:val="tx1"/>
                  </w14:solidFill>
                </w14:textFill>
              </w:rPr>
            </w:pP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2</w:t>
            </w:r>
            <w:r>
              <w:rPr>
                <w:rFonts w:hint="eastAsia" w:eastAsiaTheme="minorEastAsia"/>
                <w:color w:val="000000" w:themeColor="text1"/>
                <w:kern w:val="0"/>
                <w:sz w:val="24"/>
                <w:szCs w:val="20"/>
                <w:highlight w:val="none"/>
                <w:lang w:val="en-US" w:eastAsia="zh-CN"/>
                <w14:textFill>
                  <w14:solidFill>
                    <w14:schemeClr w14:val="tx1"/>
                  </w14:solidFill>
                </w14:textFill>
              </w:rPr>
              <w:t xml:space="preserve">）用地规划符合性分析 </w:t>
            </w:r>
          </w:p>
          <w:p w14:paraId="56AAEF6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Theme="minorEastAsia"/>
                <w:color w:val="000000" w:themeColor="text1"/>
                <w:kern w:val="0"/>
                <w:sz w:val="24"/>
                <w:szCs w:val="20"/>
                <w:highlight w:val="none"/>
                <w:lang w:val="en-US" w:eastAsia="zh-CN"/>
                <w14:textFill>
                  <w14:solidFill>
                    <w14:schemeClr w14:val="tx1"/>
                  </w14:solidFill>
                </w14:textFill>
              </w:rPr>
            </w:pPr>
            <w:r>
              <w:rPr>
                <w:rFonts w:hint="eastAsia" w:eastAsiaTheme="minorEastAsia"/>
                <w:color w:val="000000" w:themeColor="text1"/>
                <w:kern w:val="0"/>
                <w:sz w:val="24"/>
                <w:szCs w:val="20"/>
                <w:highlight w:val="none"/>
                <w:lang w:val="en-US" w:eastAsia="zh-CN"/>
                <w14:textFill>
                  <w14:solidFill>
                    <w14:schemeClr w14:val="tx1"/>
                  </w14:solidFill>
                </w14:textFill>
              </w:rPr>
              <w:t>本项目位于</w:t>
            </w:r>
            <w:r>
              <w:rPr>
                <w:rFonts w:hint="eastAsia"/>
                <w:color w:val="000000" w:themeColor="text1"/>
                <w:kern w:val="0"/>
                <w:sz w:val="24"/>
                <w:highlight w:val="none"/>
                <w:lang w:eastAsia="zh-CN"/>
                <w14:textFill>
                  <w14:solidFill>
                    <w14:schemeClr w14:val="tx1"/>
                  </w14:solidFill>
                </w14:textFill>
              </w:rPr>
              <w:t>安徽芜湖三山经济开发区凤栖路以南、夏家湖路以西地块</w:t>
            </w:r>
            <w:r>
              <w:rPr>
                <w:rFonts w:hint="eastAsia" w:eastAsiaTheme="minorEastAsia"/>
                <w:color w:val="000000" w:themeColor="text1"/>
                <w:kern w:val="0"/>
                <w:sz w:val="24"/>
                <w:szCs w:val="20"/>
                <w:highlight w:val="none"/>
                <w:lang w:val="en-US" w:eastAsia="zh-CN"/>
                <w14:textFill>
                  <w14:solidFill>
                    <w14:schemeClr w14:val="tx1"/>
                  </w14:solidFill>
                </w14:textFill>
              </w:rPr>
              <w:t>，根据本项目所在地产权证，本项目用地性质属于工业用地。</w:t>
            </w:r>
          </w:p>
          <w:p w14:paraId="1B43510E">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80" w:firstLineChars="200"/>
              <w:jc w:val="left"/>
              <w:textAlignment w:val="auto"/>
              <w:rPr>
                <w:rFonts w:hint="default" w:eastAsiaTheme="minorEastAsia"/>
                <w:color w:val="000000" w:themeColor="text1"/>
                <w:kern w:val="0"/>
                <w:sz w:val="24"/>
                <w:szCs w:val="20"/>
                <w:highlight w:val="none"/>
                <w:lang w:val="en-US" w:eastAsia="zh-CN"/>
                <w14:textFill>
                  <w14:solidFill>
                    <w14:schemeClr w14:val="tx1"/>
                  </w14:solidFill>
                </w14:textFill>
              </w:rPr>
            </w:pPr>
            <w:r>
              <w:rPr>
                <w:rFonts w:hint="default" w:eastAsiaTheme="minorEastAsia"/>
                <w:color w:val="000000" w:themeColor="text1"/>
                <w:kern w:val="0"/>
                <w:sz w:val="24"/>
                <w:szCs w:val="20"/>
                <w:highlight w:val="none"/>
                <w:lang w:val="en-US" w:eastAsia="zh-CN"/>
                <w14:textFill>
                  <w14:solidFill>
                    <w14:schemeClr w14:val="tx1"/>
                  </w14:solidFill>
                </w14:textFill>
              </w:rPr>
              <w:t>根据《中共中央国务院关于建立国土空间规划体系并监督实施的若干意见》（中发（2019）18号）、自然资源部关于在全国开展</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三区三线</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划定工作的函（自然资函（2022）47号），</w:t>
            </w:r>
            <w:r>
              <w:rPr>
                <w:rFonts w:hint="eastAsia" w:eastAsiaTheme="minorEastAsia"/>
                <w:color w:val="000000" w:themeColor="text1"/>
                <w:kern w:val="0"/>
                <w:sz w:val="24"/>
                <w:szCs w:val="20"/>
                <w:highlight w:val="none"/>
                <w:lang w:val="en-US" w:eastAsia="zh-CN"/>
                <w14:textFill>
                  <w14:solidFill>
                    <w14:schemeClr w14:val="tx1"/>
                  </w14:solidFill>
                </w14:textFill>
              </w:rPr>
              <w:t>“三区”</w:t>
            </w:r>
            <w:r>
              <w:rPr>
                <w:rFonts w:hint="default" w:eastAsiaTheme="minorEastAsia"/>
                <w:color w:val="000000" w:themeColor="text1"/>
                <w:kern w:val="0"/>
                <w:sz w:val="24"/>
                <w:szCs w:val="20"/>
                <w:highlight w:val="none"/>
                <w:lang w:val="en-US" w:eastAsia="zh-CN"/>
                <w14:textFill>
                  <w14:solidFill>
                    <w14:schemeClr w14:val="tx1"/>
                  </w14:solidFill>
                </w14:textFill>
              </w:rPr>
              <w:t>是指城镇空间、农业空间和生态空间，</w:t>
            </w:r>
            <w:r>
              <w:rPr>
                <w:rFonts w:hint="eastAsia" w:eastAsiaTheme="minorEastAsia"/>
                <w:color w:val="000000" w:themeColor="text1"/>
                <w:kern w:val="0"/>
                <w:sz w:val="24"/>
                <w:szCs w:val="20"/>
                <w:highlight w:val="none"/>
                <w:lang w:val="en-US" w:eastAsia="zh-CN"/>
                <w14:textFill>
                  <w14:solidFill>
                    <w14:schemeClr w14:val="tx1"/>
                  </w14:solidFill>
                </w14:textFill>
              </w:rPr>
              <w:t>“三线”</w:t>
            </w:r>
            <w:r>
              <w:rPr>
                <w:rFonts w:hint="default" w:eastAsiaTheme="minorEastAsia"/>
                <w:color w:val="000000" w:themeColor="text1"/>
                <w:kern w:val="0"/>
                <w:sz w:val="24"/>
                <w:szCs w:val="20"/>
                <w:highlight w:val="none"/>
                <w:lang w:val="en-US" w:eastAsia="zh-CN"/>
                <w14:textFill>
                  <w14:solidFill>
                    <w14:schemeClr w14:val="tx1"/>
                  </w14:solidFill>
                </w14:textFill>
              </w:rPr>
              <w:t>是指生态保护红线、永久基本农田保护红线和城镇开发边界。根据《安徽省自然资源厅关于印发安徽省</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三区三线</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工作方案的通知》</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三区三线</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划定成果，本项目占地属于“三区三线”中划定的城镇开发边界以内（见</w:t>
            </w:r>
            <w:r>
              <w:rPr>
                <w:rFonts w:hint="eastAsia" w:eastAsiaTheme="minorEastAsia"/>
                <w:color w:val="000000" w:themeColor="text1"/>
                <w:kern w:val="0"/>
                <w:sz w:val="24"/>
                <w:szCs w:val="20"/>
                <w:highlight w:val="none"/>
                <w:lang w:val="en-US" w:eastAsia="zh-CN"/>
                <w14:textFill>
                  <w14:solidFill>
                    <w14:schemeClr w14:val="tx1"/>
                  </w14:solidFill>
                </w14:textFill>
              </w:rPr>
              <w:t>附图7</w:t>
            </w:r>
            <w:r>
              <w:rPr>
                <w:rFonts w:hint="default" w:eastAsiaTheme="minorEastAsia"/>
                <w:color w:val="000000" w:themeColor="text1"/>
                <w:kern w:val="0"/>
                <w:sz w:val="24"/>
                <w:szCs w:val="20"/>
                <w:highlight w:val="none"/>
                <w:lang w:val="en-US" w:eastAsia="zh-CN"/>
                <w14:textFill>
                  <w14:solidFill>
                    <w14:schemeClr w14:val="tx1"/>
                  </w14:solidFill>
                </w14:textFill>
              </w:rPr>
              <w:t>），本项目符合</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三区三线</w:t>
            </w:r>
            <w:r>
              <w:rPr>
                <w:rFonts w:hint="eastAsia" w:eastAsiaTheme="minorEastAsia"/>
                <w:color w:val="000000" w:themeColor="text1"/>
                <w:kern w:val="0"/>
                <w:sz w:val="24"/>
                <w:szCs w:val="20"/>
                <w:highlight w:val="none"/>
                <w:lang w:val="en-US" w:eastAsia="zh-CN"/>
                <w14:textFill>
                  <w14:solidFill>
                    <w14:schemeClr w14:val="tx1"/>
                  </w14:solidFill>
                </w14:textFill>
              </w:rPr>
              <w:t>”</w:t>
            </w:r>
            <w:r>
              <w:rPr>
                <w:rFonts w:hint="default" w:eastAsiaTheme="minorEastAsia"/>
                <w:color w:val="000000" w:themeColor="text1"/>
                <w:kern w:val="0"/>
                <w:sz w:val="24"/>
                <w:szCs w:val="20"/>
                <w:highlight w:val="none"/>
                <w:lang w:val="en-US" w:eastAsia="zh-CN"/>
                <w14:textFill>
                  <w14:solidFill>
                    <w14:schemeClr w14:val="tx1"/>
                  </w14:solidFill>
                </w14:textFill>
              </w:rPr>
              <w:t>相关要求，不涉及生态保护红线。</w:t>
            </w:r>
          </w:p>
          <w:p w14:paraId="11CE4BD3">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eastAsia" w:eastAsiaTheme="minorEastAsia"/>
                <w:color w:val="000000" w:themeColor="text1"/>
                <w:kern w:val="0"/>
                <w:sz w:val="24"/>
                <w:szCs w:val="20"/>
                <w:highlight w:val="none"/>
                <w:lang w:val="en-US" w:eastAsia="zh-CN"/>
                <w14:textFill>
                  <w14:solidFill>
                    <w14:schemeClr w14:val="tx1"/>
                  </w14:solidFill>
                </w14:textFill>
              </w:rPr>
              <w:t>因此本项目用地性质相符。</w:t>
            </w:r>
          </w:p>
          <w:p w14:paraId="473EB51B">
            <w:pPr>
              <w:keepNext w:val="0"/>
              <w:keepLines w:val="0"/>
              <w:pageBreakBefore w:val="0"/>
              <w:kinsoku/>
              <w:wordWrap/>
              <w:overflowPunct/>
              <w:topLinePunct w:val="0"/>
              <w:autoSpaceDE/>
              <w:autoSpaceDN/>
              <w:bidi w:val="0"/>
              <w:adjustRightInd/>
              <w:snapToGrid/>
              <w:spacing w:line="360" w:lineRule="auto"/>
              <w:ind w:left="0" w:firstLine="482" w:firstLineChars="20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eastAsia" w:cs="Times New Roman"/>
                <w:b/>
                <w:caps w:val="0"/>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b/>
                <w:caps w:val="0"/>
                <w:color w:val="000000" w:themeColor="text1"/>
                <w:sz w:val="24"/>
                <w:highlight w:val="none"/>
                <w14:textFill>
                  <w14:solidFill>
                    <w14:schemeClr w14:val="tx1"/>
                  </w14:solidFill>
                </w14:textFill>
              </w:rPr>
              <w:t>、</w:t>
            </w:r>
            <w:r>
              <w:rPr>
                <w:rFonts w:hint="default" w:ascii="Times New Roman" w:hAnsi="Times New Roman" w:cs="Times New Roman"/>
                <w:b/>
                <w:caps w:val="0"/>
                <w:color w:val="000000" w:themeColor="text1"/>
                <w:sz w:val="24"/>
                <w:highlight w:val="none"/>
                <w:lang w:val="en-US" w:eastAsia="zh-CN"/>
                <w14:textFill>
                  <w14:solidFill>
                    <w14:schemeClr w14:val="tx1"/>
                  </w14:solidFill>
                </w14:textFill>
              </w:rPr>
              <w:t>与规划</w:t>
            </w:r>
            <w:r>
              <w:rPr>
                <w:rFonts w:hint="eastAsia" w:cs="Times New Roman"/>
                <w:b/>
                <w:caps w:val="0"/>
                <w:color w:val="000000" w:themeColor="text1"/>
                <w:sz w:val="24"/>
                <w:highlight w:val="none"/>
                <w:lang w:val="en-US" w:eastAsia="zh-CN"/>
                <w14:textFill>
                  <w14:solidFill>
                    <w14:schemeClr w14:val="tx1"/>
                  </w14:solidFill>
                </w14:textFill>
              </w:rPr>
              <w:t>环评</w:t>
            </w:r>
            <w:r>
              <w:rPr>
                <w:rFonts w:hint="default" w:ascii="Times New Roman" w:hAnsi="Times New Roman" w:eastAsia="宋体" w:cs="Times New Roman"/>
                <w:b/>
                <w:caps w:val="0"/>
                <w:color w:val="000000" w:themeColor="text1"/>
                <w:sz w:val="24"/>
                <w:highlight w:val="none"/>
                <w14:textFill>
                  <w14:solidFill>
                    <w14:schemeClr w14:val="tx1"/>
                  </w14:solidFill>
                </w14:textFill>
              </w:rPr>
              <w:t>相符性分析</w:t>
            </w:r>
          </w:p>
          <w:p w14:paraId="4176168C">
            <w:pPr>
              <w:pStyle w:val="1103"/>
              <w:keepNext w:val="0"/>
              <w:keepLines w:val="0"/>
              <w:pageBreakBefore w:val="0"/>
              <w:kinsoku/>
              <w:wordWrap/>
              <w:overflowPunct/>
              <w:topLinePunct w:val="0"/>
              <w:autoSpaceDE/>
              <w:autoSpaceDN/>
              <w:bidi w:val="0"/>
              <w:adjustRightInd/>
              <w:spacing w:beforeLines="0" w:afterLines="0" w:line="360" w:lineRule="auto"/>
              <w:ind w:left="0" w:firstLine="480" w:firstLineChars="200"/>
              <w:jc w:val="both"/>
              <w:textAlignment w:val="auto"/>
              <w:rPr>
                <w:rFonts w:hint="default" w:ascii="Times New Roman" w:hAnsi="Times New Roman" w:eastAsia="宋体" w:cs="Times New Roman"/>
                <w:b w:val="0"/>
                <w:bCs/>
                <w:caps w:val="0"/>
                <w:color w:val="000000" w:themeColor="text1"/>
                <w:highlight w:val="none"/>
                <w14:textFill>
                  <w14:solidFill>
                    <w14:schemeClr w14:val="tx1"/>
                  </w14:solidFill>
                </w14:textFill>
              </w:rPr>
            </w:pPr>
            <w:r>
              <w:rPr>
                <w:rFonts w:hint="default" w:ascii="Times New Roman" w:hAnsi="Times New Roman" w:cs="Times New Roman"/>
                <w:b w:val="0"/>
                <w:bCs/>
                <w:caps w:val="0"/>
                <w:color w:val="000000" w:themeColor="text1"/>
                <w:highlight w:val="none"/>
                <w:lang w:val="en-US" w:eastAsia="zh-CN"/>
                <w14:textFill>
                  <w14:solidFill>
                    <w14:schemeClr w14:val="tx1"/>
                  </w14:solidFill>
                </w14:textFill>
              </w:rPr>
              <w:t>根</w:t>
            </w:r>
            <w:r>
              <w:rPr>
                <w:rFonts w:hint="default" w:ascii="Times New Roman" w:hAnsi="Times New Roman" w:eastAsia="宋体" w:cs="Times New Roman"/>
                <w:b w:val="0"/>
                <w:bCs/>
                <w:caps w:val="0"/>
                <w:color w:val="000000" w:themeColor="text1"/>
                <w:highlight w:val="none"/>
                <w14:textFill>
                  <w14:solidFill>
                    <w14:schemeClr w14:val="tx1"/>
                  </w14:solidFill>
                </w14:textFill>
              </w:rPr>
              <w:t>据《安徽芜湖三山经济开发区总体发展规划（2023-2035年）（调区）环境影响报告书》，现安徽芜湖三山经济开发区规划范围由原三山经济开发区和原芜湖长江大桥综合经济开发区共同组成。调整后，规划范围总面积为3043.2公顷，其中城镇开发边界用地面积为2908.43公顷，由三个区块组成。</w:t>
            </w:r>
          </w:p>
          <w:p w14:paraId="672A286D">
            <w:pPr>
              <w:pStyle w:val="1103"/>
              <w:keepNext w:val="0"/>
              <w:keepLines w:val="0"/>
              <w:pageBreakBefore w:val="0"/>
              <w:kinsoku/>
              <w:wordWrap/>
              <w:overflowPunct/>
              <w:topLinePunct w:val="0"/>
              <w:autoSpaceDE/>
              <w:autoSpaceDN/>
              <w:bidi w:val="0"/>
              <w:adjustRightInd/>
              <w:spacing w:beforeLines="0" w:afterLines="0" w:line="360" w:lineRule="auto"/>
              <w:ind w:left="0" w:firstLine="480" w:firstLineChars="200"/>
              <w:jc w:val="both"/>
              <w:textAlignment w:val="auto"/>
              <w:rPr>
                <w:rFonts w:hint="default" w:ascii="Times New Roman" w:hAnsi="Times New Roman" w:eastAsia="宋体" w:cs="Times New Roman"/>
                <w:b w:val="0"/>
                <w:bCs/>
                <w:caps w:val="0"/>
                <w:color w:val="000000" w:themeColor="text1"/>
                <w:highlight w:val="none"/>
                <w14:textFill>
                  <w14:solidFill>
                    <w14:schemeClr w14:val="tx1"/>
                  </w14:solidFill>
                </w14:textFill>
              </w:rPr>
            </w:pPr>
            <w:r>
              <w:rPr>
                <w:rFonts w:hint="default" w:ascii="Times New Roman" w:hAnsi="Times New Roman" w:eastAsia="宋体" w:cs="Times New Roman"/>
                <w:b w:val="0"/>
                <w:bCs/>
                <w:caps w:val="0"/>
                <w:color w:val="000000" w:themeColor="text1"/>
                <w:highlight w:val="none"/>
                <w14:textFill>
                  <w14:solidFill>
                    <w14:schemeClr w14:val="tx1"/>
                  </w14:solidFill>
                </w14:textFill>
              </w:rPr>
              <w:t>区块一面积为234.13公顷，其中城镇开发边界面积232.17公顷。四至范围为：北至裕民路、南抵纬三路、东至支经一路、西至高安河路。区块二面积为275.78公顷，其中城镇开发边界面积275.78公顷。四至范围为：北自支纬五路、南抵长江南路、东起支纬五路西至横山河路。区块三面积为2533.29公顷，其中城镇开发边界面积2400.48公顷。四至范围为：北自临港路、南抵小江和长江南路东起五华山路和莲花湖路、西至巢黄高速。</w:t>
            </w:r>
          </w:p>
          <w:p w14:paraId="7010894E">
            <w:pPr>
              <w:pStyle w:val="1103"/>
              <w:keepNext w:val="0"/>
              <w:keepLines w:val="0"/>
              <w:pageBreakBefore w:val="0"/>
              <w:kinsoku/>
              <w:wordWrap/>
              <w:overflowPunct/>
              <w:topLinePunct w:val="0"/>
              <w:autoSpaceDE/>
              <w:autoSpaceDN/>
              <w:bidi w:val="0"/>
              <w:adjustRightInd/>
              <w:spacing w:beforeLines="0" w:afterLines="0" w:line="360" w:lineRule="auto"/>
              <w:ind w:left="0" w:firstLine="480" w:firstLineChars="200"/>
              <w:jc w:val="both"/>
              <w:textAlignment w:val="auto"/>
              <w:rPr>
                <w:rFonts w:hint="default" w:ascii="Times New Roman" w:hAnsi="Times New Roman" w:cs="Times New Roman"/>
                <w:b w:val="0"/>
                <w:bCs/>
              </w:rPr>
            </w:pPr>
            <w:r>
              <w:rPr>
                <w:rFonts w:hint="default" w:ascii="Times New Roman" w:hAnsi="Times New Roman" w:eastAsia="宋体" w:cs="Times New Roman"/>
                <w:b w:val="0"/>
                <w:bCs/>
                <w:caps w:val="0"/>
                <w:color w:val="000000" w:themeColor="text1"/>
                <w:highlight w:val="none"/>
                <w14:textFill>
                  <w14:solidFill>
                    <w14:schemeClr w14:val="tx1"/>
                  </w14:solidFill>
                </w14:textFill>
              </w:rPr>
              <w:t>本项目位于安徽芜湖三山经济开发区</w:t>
            </w:r>
            <w:r>
              <w:rPr>
                <w:rFonts w:hint="default" w:ascii="Times New Roman" w:hAnsi="Times New Roman" w:cs="Times New Roman"/>
                <w:b w:val="0"/>
                <w:bCs/>
                <w:caps w:val="0"/>
                <w:color w:val="000000" w:themeColor="text1"/>
                <w:highlight w:val="none"/>
                <w:lang w:val="en-US" w:eastAsia="zh-CN"/>
                <w14:textFill>
                  <w14:solidFill>
                    <w14:schemeClr w14:val="tx1"/>
                  </w14:solidFill>
                </w14:textFill>
              </w:rPr>
              <w:t>凤栖路以南，夏家湖路以西地块</w:t>
            </w:r>
            <w:r>
              <w:rPr>
                <w:rFonts w:hint="default" w:ascii="Times New Roman" w:hAnsi="Times New Roman" w:eastAsia="宋体" w:cs="Times New Roman"/>
                <w:b w:val="0"/>
                <w:bCs/>
                <w:caps w:val="0"/>
                <w:color w:val="000000" w:themeColor="text1"/>
                <w:highlight w:val="none"/>
                <w14:textFill>
                  <w14:solidFill>
                    <w14:schemeClr w14:val="tx1"/>
                  </w14:solidFill>
                </w14:textFill>
              </w:rPr>
              <w:t>，属于安徽芜湖三山经济开发区区块三范围内。安徽芜湖三山经济开发区规划定位：总体定位：立足芜湖打造省域副中心和现代化大都市的新定位，统筹实施发展战略，深化区域协调发展，推进土地集约高效利用。建设高水平开发区。发展高水平产业，以大数据、互联网和人工智能等科技创新为重要手段，打造五大产业集群，建设服务业五大集聚区，发展都市型现代农业，加快一、二、三产业的集聚融通跨进安徽全省省级开发区第一方阵；开展高水平服务。不断提升城市服务功能,营造一流的营商环境，集聚高质量人才。争创国家级经济开发区。建设现代化中心区。以对接新发展格局为契机，以协同建设长三角一体化城市群为重点，有利于加快提升城区能级，扩大内需打造品</w:t>
            </w:r>
            <w:r>
              <w:rPr>
                <w:rFonts w:hint="default" w:ascii="Times New Roman" w:hAnsi="Times New Roman" w:eastAsia="宋体" w:cs="Times New Roman"/>
                <w:b w:val="0"/>
                <w:bCs/>
                <w:color w:val="000000"/>
                <w:kern w:val="0"/>
                <w:sz w:val="24"/>
                <w:szCs w:val="24"/>
                <w:lang w:val="en-US" w:eastAsia="zh-CN" w:bidi="ar"/>
              </w:rPr>
              <w:t xml:space="preserve">，改善营商环境。积极响应芜湖打造“四个名城”的总体布局，采取超常发展思路，实施“四城行动”，成为长沿岸独具特色的现代化 中心城区典。 </w:t>
            </w:r>
          </w:p>
          <w:p w14:paraId="4FFA74D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产业定位：构建以智能网联汽车、运输设备制造、金属新材料为主导产业，以临港物流、现代服务业为辅的现代化产业体系。</w:t>
            </w:r>
          </w:p>
          <w:p w14:paraId="0F7E67CC">
            <w:pPr>
              <w:keepNext w:val="0"/>
              <w:keepLines w:val="0"/>
              <w:pageBreakBefore w:val="0"/>
              <w:widowControl/>
              <w:suppressLineNumbers w:val="0"/>
              <w:kinsoku/>
              <w:wordWrap/>
              <w:overflowPunct/>
              <w:topLinePunct w:val="0"/>
              <w:autoSpaceDE/>
              <w:autoSpaceDN/>
              <w:bidi w:val="0"/>
              <w:adjustRightInd/>
              <w:spacing w:line="360" w:lineRule="auto"/>
              <w:ind w:left="0"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根据《安徽芜湖三山经济开发区总体发展规划（2023-2035年）（调区）环境影响报告书》中生态准入要求，本项目符合性见下表。</w:t>
            </w:r>
          </w:p>
          <w:p w14:paraId="42FEB7E4">
            <w:pPr>
              <w:pStyle w:val="1103"/>
              <w:spacing w:beforeLines="0" w:afterLines="0" w:line="240" w:lineRule="auto"/>
              <w:ind w:left="643" w:hanging="643" w:hangingChars="267"/>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表1-</w:t>
            </w:r>
            <w:r>
              <w:rPr>
                <w:rFonts w:hint="default" w:ascii="Times New Roman" w:hAnsi="Times New Roman" w:cs="Times New Roman"/>
                <w:caps w:val="0"/>
                <w:color w:val="000000" w:themeColor="text1"/>
                <w:highlight w:val="none"/>
                <w:lang w:val="en-US" w:eastAsia="zh-CN"/>
                <w14:textFill>
                  <w14:solidFill>
                    <w14:schemeClr w14:val="tx1"/>
                  </w14:solidFill>
                </w14:textFill>
              </w:rPr>
              <w:t>2本项目与规划环评生态准入要求符合性分析表</w:t>
            </w:r>
          </w:p>
          <w:tbl>
            <w:tblPr>
              <w:tblStyle w:val="59"/>
              <w:tblW w:w="72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1"/>
              <w:gridCol w:w="3614"/>
              <w:gridCol w:w="2183"/>
              <w:gridCol w:w="790"/>
            </w:tblGrid>
            <w:tr w14:paraId="69A206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9" w:hRule="atLeast"/>
                <w:tblHeader/>
                <w:jc w:val="center"/>
              </w:trPr>
              <w:tc>
                <w:tcPr>
                  <w:tcW w:w="449" w:type="pct"/>
                  <w:tcBorders>
                    <w:tl2br w:val="nil"/>
                    <w:tr2bl w:val="nil"/>
                  </w:tcBorders>
                  <w:vAlign w:val="center"/>
                </w:tcPr>
                <w:p w14:paraId="39FBB753">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t>清单要求</w:t>
                  </w:r>
                </w:p>
              </w:tc>
              <w:tc>
                <w:tcPr>
                  <w:tcW w:w="2496" w:type="pct"/>
                  <w:tcBorders>
                    <w:tl2br w:val="nil"/>
                    <w:tr2bl w:val="nil"/>
                  </w:tcBorders>
                  <w:vAlign w:val="center"/>
                </w:tcPr>
                <w:p w14:paraId="0A091377">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t>规划环评生态准入要求</w:t>
                  </w:r>
                </w:p>
              </w:tc>
              <w:tc>
                <w:tcPr>
                  <w:tcW w:w="1508" w:type="pct"/>
                  <w:tcBorders>
                    <w:tl2br w:val="nil"/>
                    <w:tr2bl w:val="nil"/>
                  </w:tcBorders>
                  <w:vAlign w:val="center"/>
                </w:tcPr>
                <w:p w14:paraId="35B42FEC">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t>本项目情况</w:t>
                  </w:r>
                </w:p>
              </w:tc>
              <w:tc>
                <w:tcPr>
                  <w:tcW w:w="545" w:type="pct"/>
                  <w:tcBorders>
                    <w:tl2br w:val="nil"/>
                    <w:tr2bl w:val="nil"/>
                  </w:tcBorders>
                  <w:vAlign w:val="center"/>
                </w:tcPr>
                <w:p w14:paraId="173F6717">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t>相符性</w:t>
                  </w:r>
                </w:p>
              </w:tc>
            </w:tr>
            <w:tr w14:paraId="2B4F96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9" w:hRule="atLeast"/>
                <w:jc w:val="center"/>
              </w:trPr>
              <w:tc>
                <w:tcPr>
                  <w:tcW w:w="449" w:type="pct"/>
                  <w:tcBorders>
                    <w:tl2br w:val="nil"/>
                    <w:tr2bl w:val="nil"/>
                  </w:tcBorders>
                  <w:vAlign w:val="center"/>
                </w:tcPr>
                <w:p w14:paraId="00BF079A">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限制</w:t>
                  </w:r>
                </w:p>
                <w:p w14:paraId="126B9F6E">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类</w:t>
                  </w:r>
                </w:p>
              </w:tc>
              <w:tc>
                <w:tcPr>
                  <w:tcW w:w="2496" w:type="pct"/>
                  <w:tcBorders>
                    <w:tl2br w:val="nil"/>
                    <w:tr2bl w:val="nil"/>
                  </w:tcBorders>
                  <w:vAlign w:val="center"/>
                </w:tcPr>
                <w:p w14:paraId="5942FE33">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①限制入园项目主要指国家现行产业政策中限制类、未禁止或未淘汰的污染型项目。这类项目应根据工业园区规划的产业发展方向，同时根据园区环境容量及其他环境条件从严要求，并严格执行环境影响评价制度，限制入园项目主要包括《产业结构调整指导目录》（2024 年本）中限制类项目；与工业园区规划的产业类型不相容的其他产业项目。②严格控制规划范围内新建重污染项目。</w:t>
                  </w:r>
                </w:p>
              </w:tc>
              <w:tc>
                <w:tcPr>
                  <w:tcW w:w="1508" w:type="pct"/>
                  <w:tcBorders>
                    <w:tl2br w:val="nil"/>
                    <w:tr2bl w:val="nil"/>
                  </w:tcBorders>
                  <w:vAlign w:val="center"/>
                </w:tcPr>
                <w:p w14:paraId="0BA4DC9E">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项目行业类别为汽车零部件及配件制造（C3670），对照《产业结构调整指导目录（2024年本）》，项目属于允许类。</w:t>
                  </w:r>
                </w:p>
                <w:p w14:paraId="2C853B61">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p>
              </w:tc>
              <w:tc>
                <w:tcPr>
                  <w:tcW w:w="545" w:type="pct"/>
                  <w:tcBorders>
                    <w:tl2br w:val="nil"/>
                    <w:tr2bl w:val="nil"/>
                  </w:tcBorders>
                  <w:vAlign w:val="center"/>
                </w:tcPr>
                <w:p w14:paraId="480C6E57">
                  <w:pPr>
                    <w:snapToGrid w:val="0"/>
                    <w:jc w:val="center"/>
                    <w:rPr>
                      <w:rFonts w:hint="default" w:ascii="Times New Roman" w:hAnsi="Times New Roman" w:cs="Times New Roman" w:eastAsiaTheme="minorEastAsia"/>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lang w:val="en-US" w:eastAsia="zh-CN"/>
                      <w14:textFill>
                        <w14:solidFill>
                          <w14:schemeClr w14:val="tx1"/>
                        </w14:solidFill>
                      </w14:textFill>
                    </w:rPr>
                    <w:t>符合</w:t>
                  </w:r>
                </w:p>
              </w:tc>
            </w:tr>
            <w:tr w14:paraId="025120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39" w:hRule="atLeast"/>
                <w:jc w:val="center"/>
              </w:trPr>
              <w:tc>
                <w:tcPr>
                  <w:tcW w:w="449" w:type="pct"/>
                  <w:tcBorders>
                    <w:tl2br w:val="nil"/>
                    <w:tr2bl w:val="nil"/>
                  </w:tcBorders>
                  <w:vAlign w:val="center"/>
                </w:tcPr>
                <w:p w14:paraId="5C484D6D">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 xml:space="preserve">禁止 </w:t>
                  </w:r>
                </w:p>
                <w:p w14:paraId="16DA2C34">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类</w:t>
                  </w:r>
                </w:p>
                <w:p w14:paraId="166498AF">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p>
              </w:tc>
              <w:tc>
                <w:tcPr>
                  <w:tcW w:w="2496" w:type="pct"/>
                  <w:tcBorders>
                    <w:tl2br w:val="nil"/>
                    <w:tr2bl w:val="nil"/>
                  </w:tcBorders>
                  <w:vAlign w:val="center"/>
                </w:tcPr>
                <w:p w14:paraId="571F2F8A">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 xml:space="preserve">①国家现行产业政策明令禁止或淘汰的产业和工艺，包括《产业结构调整指导目录》（2024年本）中淘汰类项目、《外商投资准入特别管理措施（负面清单)(2021年版）》中明令禁止的项目等。②禁止引入与《长江经济带发展负面清单指南》、《全面打造水清岸绿产业优美丽长江经济带的实施方案》、《中华人民共和国长江保护法》要求不相符的项目。③禁止违法利用、占用长江流域河湖岸线。禁止引入与《芜湖港总体规划》、《芜湖市长江岸线保护和开发利用总体规划》、《长江千线过江通道布局规划》等岸线及港口码头规划不相符的项目。④禁止违反《中华人民共和国河道管理条例》要求建设活动和行为。⑤禁止在长江干支流、重要湖泊岸线公里范围内新建、扩建化工项目。⑥禁止在长江干流岸线三公里范围内和重要支流岸线一公里范围内新建、改建扩建尾矿库、冶炼渣库和磷石膏库，以提升安全、生态环境保护水平为目的的改建除外。⑦禁止未经许可在长江干支流及湖泊新设、改设或扩大排污口。⑧禁止新建、扩建法律法规和相关政策明令禁止的落后产能项目。⑨禁止新建、扩建不符合国家产能置换要求的严重过剩产能行业的项目。⑩禁止新建、扩建不符合要求的高耗能高排放项目。⑪禁止新增钢铁、焦化、有色、石化、电解铝、水泥和平板玻璃等项目。⑫禁止新增使用燃煤、重油、生物质燃料等高污染燃料设施项目。⑬禁止建设“两重点一重大”化工项目（两重点：重点监管的危险工艺和终点监管的危险化学品；一重大：重大危险源）。 </w:t>
                  </w:r>
                </w:p>
                <w:p w14:paraId="6D15E166">
                  <w:pPr>
                    <w:keepNext w:val="0"/>
                    <w:keepLines w:val="0"/>
                    <w:widowControl/>
                    <w:suppressLineNumbers w:val="0"/>
                    <w:jc w:val="left"/>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kern w:val="0"/>
                      <w:sz w:val="21"/>
                      <w:szCs w:val="21"/>
                      <w:lang w:val="en-US" w:eastAsia="zh-CN" w:bidi="ar"/>
                    </w:rPr>
                    <w:t>⑭禁止新建、扩建低技术装备水平的船舶工业项目。⑮禁止建设用地不符合“三区三线” 以及国土空间规划用地要求。</w:t>
                  </w:r>
                </w:p>
              </w:tc>
              <w:tc>
                <w:tcPr>
                  <w:tcW w:w="1508" w:type="pct"/>
                  <w:tcBorders>
                    <w:tl2br w:val="nil"/>
                    <w:tr2bl w:val="nil"/>
                  </w:tcBorders>
                  <w:vAlign w:val="center"/>
                </w:tcPr>
                <w:p w14:paraId="2E24375C">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本项目产生的废气采取有效的处理处置措施，经处理达标后排放；本项目</w:t>
                  </w:r>
                  <w:r>
                    <w:rPr>
                      <w:rFonts w:hint="default" w:ascii="Times New Roman" w:hAnsi="Times New Roman" w:cs="Times New Roman" w:eastAsiaTheme="minorEastAsia"/>
                      <w:caps w:val="0"/>
                      <w:color w:val="000000" w:themeColor="text1"/>
                      <w:sz w:val="21"/>
                      <w:szCs w:val="21"/>
                      <w:highlight w:val="none"/>
                      <w:lang w:val="en-US" w:eastAsia="zh-CN"/>
                      <w14:textFill>
                        <w14:solidFill>
                          <w14:schemeClr w14:val="tx1"/>
                        </w14:solidFill>
                      </w14:textFill>
                    </w:rPr>
                    <w:t>产生的废水均处理后做到达标排放</w:t>
                  </w: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；固废做到综合利用或得到有效处置。企业落实总量控制要求，各类总量控制指标经批准后实施。</w:t>
                  </w:r>
                </w:p>
              </w:tc>
              <w:tc>
                <w:tcPr>
                  <w:tcW w:w="545" w:type="pct"/>
                  <w:tcBorders>
                    <w:tl2br w:val="nil"/>
                    <w:tr2bl w:val="nil"/>
                  </w:tcBorders>
                  <w:vAlign w:val="center"/>
                </w:tcPr>
                <w:p w14:paraId="2676DB71">
                  <w:pPr>
                    <w:snapToGrid w:val="0"/>
                    <w:jc w:val="center"/>
                    <w:rPr>
                      <w:rFonts w:hint="default" w:ascii="Times New Roman" w:hAnsi="Times New Roman" w:cs="Times New Roman" w:eastAsiaTheme="minorEastAsia"/>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lang w:val="en-US" w:eastAsia="zh-CN"/>
                      <w14:textFill>
                        <w14:solidFill>
                          <w14:schemeClr w14:val="tx1"/>
                        </w14:solidFill>
                      </w14:textFill>
                    </w:rPr>
                    <w:t>符合</w:t>
                  </w:r>
                </w:p>
              </w:tc>
            </w:tr>
            <w:tr w14:paraId="24C07C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49" w:hRule="atLeast"/>
                <w:jc w:val="center"/>
              </w:trPr>
              <w:tc>
                <w:tcPr>
                  <w:tcW w:w="449" w:type="pct"/>
                  <w:tcBorders>
                    <w:tl2br w:val="nil"/>
                    <w:tr2bl w:val="nil"/>
                  </w:tcBorders>
                  <w:vAlign w:val="center"/>
                </w:tcPr>
                <w:p w14:paraId="2CC40F6D">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其他</w:t>
                  </w:r>
                </w:p>
                <w:p w14:paraId="4D1BCFC6">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管控</w:t>
                  </w:r>
                </w:p>
                <w:p w14:paraId="2EBCA3AB">
                  <w:pPr>
                    <w:snapToGrid w:val="0"/>
                    <w:jc w:val="cente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t>要求</w:t>
                  </w:r>
                </w:p>
              </w:tc>
              <w:tc>
                <w:tcPr>
                  <w:tcW w:w="2496" w:type="pct"/>
                  <w:tcBorders>
                    <w:tl2br w:val="nil"/>
                    <w:tr2bl w:val="nil"/>
                  </w:tcBorders>
                  <w:vAlign w:val="center"/>
                </w:tcPr>
                <w:p w14:paraId="1577F17C">
                  <w:pPr>
                    <w:keepNext w:val="0"/>
                    <w:keepLines w:val="0"/>
                    <w:widowControl/>
                    <w:suppressLineNumbers w:val="0"/>
                    <w:jc w:val="left"/>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kern w:val="0"/>
                      <w:sz w:val="21"/>
                      <w:szCs w:val="21"/>
                      <w:lang w:val="en-US" w:eastAsia="zh-CN" w:bidi="ar"/>
                    </w:rPr>
                    <w:t>①与长江干支流河道管理边界线重叠或占用必须退让。②居住区周边设置产业管控区:禁止引入污染物排放量较大的工业企业或布设有明显异味和恶臭污染物排放生产车间及仓储。③新建、扩建、技改项目清洁生产应为国内先进及以上水平。④入区项目同时使用长江干支流河湖管理范围内建设活动必须配套建设有相应的船舶污染物、废弃物接收能力和相应污染应急处理能力</w:t>
                  </w:r>
                </w:p>
              </w:tc>
              <w:tc>
                <w:tcPr>
                  <w:tcW w:w="1508" w:type="pct"/>
                  <w:tcBorders>
                    <w:tl2br w:val="nil"/>
                    <w:tr2bl w:val="nil"/>
                  </w:tcBorders>
                  <w:vAlign w:val="center"/>
                </w:tcPr>
                <w:p w14:paraId="4C5EB05F">
                  <w:pPr>
                    <w:keepNext w:val="0"/>
                    <w:keepLines w:val="0"/>
                    <w:widowControl/>
                    <w:suppressLineNumbers w:val="0"/>
                    <w:jc w:val="left"/>
                    <w:rPr>
                      <w:rFonts w:hint="default" w:ascii="Times New Roman" w:hAnsi="Times New Roman" w:cs="Times New Roman" w:eastAsiaTheme="minorEastAsia"/>
                      <w:cap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kern w:val="0"/>
                      <w:sz w:val="21"/>
                      <w:szCs w:val="21"/>
                      <w:lang w:val="en-US" w:eastAsia="zh-CN" w:bidi="ar"/>
                    </w:rPr>
                    <w:t>本项目距离长江岸线约5.6km，不占用或与长江干支流河道管理边界线重叠；本项目位于安徽芜湖三山经济开发区凤栖路以南、夏家湖路以西地块，根据《安徽芜湖三山经济开发区总体发展规划（2023-2035年）（调区）环境影响报告书》中的三山经济开发区总体发展规划图，项目用地属于工业用地；本项目使用的设备均为行业内先进设备，清洁生产水平能够达到国内先进水平</w:t>
                  </w:r>
                </w:p>
              </w:tc>
              <w:tc>
                <w:tcPr>
                  <w:tcW w:w="545" w:type="pct"/>
                  <w:tcBorders>
                    <w:tl2br w:val="nil"/>
                    <w:tr2bl w:val="nil"/>
                  </w:tcBorders>
                  <w:vAlign w:val="center"/>
                </w:tcPr>
                <w:p w14:paraId="2E9FBF6F">
                  <w:pPr>
                    <w:snapToGrid w:val="0"/>
                    <w:jc w:val="center"/>
                    <w:rPr>
                      <w:rFonts w:hint="default" w:ascii="Times New Roman" w:hAnsi="Times New Roman" w:cs="Times New Roman" w:eastAsiaTheme="minorEastAsia"/>
                      <w:caps w:val="0"/>
                      <w:color w:val="auto"/>
                      <w:sz w:val="21"/>
                      <w:szCs w:val="21"/>
                      <w:highlight w:val="none"/>
                      <w:lang w:val="en-US" w:eastAsia="zh-CN"/>
                    </w:rPr>
                  </w:pPr>
                  <w:r>
                    <w:rPr>
                      <w:rFonts w:hint="eastAsia" w:cs="Times New Roman" w:eastAsiaTheme="minorEastAsia"/>
                      <w:caps w:val="0"/>
                      <w:color w:val="auto"/>
                      <w:sz w:val="21"/>
                      <w:szCs w:val="21"/>
                      <w:highlight w:val="none"/>
                      <w:lang w:val="en-US" w:eastAsia="zh-CN"/>
                    </w:rPr>
                    <w:t>符合</w:t>
                  </w:r>
                </w:p>
              </w:tc>
            </w:tr>
          </w:tbl>
          <w:p w14:paraId="56F2582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由上表可知，本项目不属于《安徽芜湖三山经济开发区总体发展规划（2023-2035年）（调区）环境影响报告书》生态准入要求中的限制类、禁止类项目，为允许类，本项目符合《安徽芜湖三山经济开发区总体发展规划（2023-2035年）（调区）环境影响报告书》中的生态准入要求。 </w:t>
            </w:r>
          </w:p>
          <w:p w14:paraId="3AACC94F">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 xml:space="preserve">2、与规划环评及审查意见相符性分析 </w:t>
            </w:r>
          </w:p>
          <w:p w14:paraId="7893824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本项目与《安徽芜湖三山经济开发区总体发展规划（2023-2035 年）（调区）环境影响报告书》相符性见下表</w:t>
            </w:r>
          </w:p>
          <w:p w14:paraId="5014F5BB">
            <w:pPr>
              <w:keepNext w:val="0"/>
              <w:keepLines w:val="0"/>
              <w:widowControl/>
              <w:suppressLineNumbers w:val="0"/>
              <w:jc w:val="center"/>
              <w:rPr>
                <w:rFonts w:hint="default"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表1-</w:t>
            </w:r>
            <w:r>
              <w:rPr>
                <w:rFonts w:hint="default" w:ascii="Times New Roman" w:hAnsi="Times New Roman" w:cs="Times New Roman"/>
                <w:b/>
                <w:bCs/>
                <w:caps w:val="0"/>
                <w:color w:val="000000" w:themeColor="text1"/>
                <w:sz w:val="24"/>
                <w:szCs w:val="24"/>
                <w:highlight w:val="none"/>
                <w:lang w:val="en-US" w:eastAsia="zh-CN"/>
                <w14:textFill>
                  <w14:solidFill>
                    <w14:schemeClr w14:val="tx1"/>
                  </w14:solidFill>
                </w14:textFill>
              </w:rPr>
              <w:t xml:space="preserve">2 </w:t>
            </w:r>
            <w:r>
              <w:rPr>
                <w:rFonts w:hint="default" w:ascii="Times New Roman" w:hAnsi="Times New Roman" w:eastAsia="宋体" w:cs="Times New Roman"/>
                <w:b/>
                <w:bCs/>
                <w:color w:val="000000"/>
                <w:kern w:val="0"/>
                <w:sz w:val="24"/>
                <w:szCs w:val="24"/>
                <w:lang w:val="en-US" w:eastAsia="zh-CN" w:bidi="ar"/>
              </w:rPr>
              <w:t>本项目与开发区规划环评及审查意见的相符性</w:t>
            </w:r>
          </w:p>
          <w:tbl>
            <w:tblPr>
              <w:tblStyle w:val="59"/>
              <w:tblW w:w="492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94"/>
              <w:gridCol w:w="2720"/>
              <w:gridCol w:w="1147"/>
            </w:tblGrid>
            <w:tr w14:paraId="7AECA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6" w:hRule="atLeast"/>
                <w:tblHeader/>
                <w:jc w:val="center"/>
              </w:trPr>
              <w:tc>
                <w:tcPr>
                  <w:tcW w:w="2299" w:type="pct"/>
                  <w:tcBorders>
                    <w:tl2br w:val="nil"/>
                    <w:tr2bl w:val="nil"/>
                  </w:tcBorders>
                  <w:vAlign w:val="center"/>
                </w:tcPr>
                <w:p w14:paraId="6AA085F4">
                  <w:pPr>
                    <w:keepNext w:val="0"/>
                    <w:keepLines w:val="0"/>
                    <w:widowControl/>
                    <w:suppressLineNumbers w:val="0"/>
                    <w:jc w:val="left"/>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kern w:val="0"/>
                      <w:sz w:val="21"/>
                      <w:szCs w:val="21"/>
                      <w:lang w:val="en-US" w:eastAsia="zh-CN" w:bidi="ar"/>
                    </w:rPr>
                    <w:t>规划及规划环评、审查意见内容</w:t>
                  </w:r>
                </w:p>
              </w:tc>
              <w:tc>
                <w:tcPr>
                  <w:tcW w:w="1899" w:type="pct"/>
                  <w:tcBorders>
                    <w:tl2br w:val="nil"/>
                    <w:tr2bl w:val="nil"/>
                  </w:tcBorders>
                  <w:vAlign w:val="center"/>
                </w:tcPr>
                <w:p w14:paraId="6B713854">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t>本项目情况</w:t>
                  </w:r>
                </w:p>
              </w:tc>
              <w:tc>
                <w:tcPr>
                  <w:tcW w:w="800" w:type="pct"/>
                  <w:tcBorders>
                    <w:tl2br w:val="nil"/>
                    <w:tr2bl w:val="nil"/>
                  </w:tcBorders>
                  <w:vAlign w:val="center"/>
                </w:tcPr>
                <w:p w14:paraId="3B33DB43">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t>相符性</w:t>
                  </w:r>
                </w:p>
              </w:tc>
            </w:tr>
            <w:tr w14:paraId="0406D6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6" w:hRule="atLeast"/>
                <w:tblHeader/>
                <w:jc w:val="center"/>
              </w:trPr>
              <w:tc>
                <w:tcPr>
                  <w:tcW w:w="2299" w:type="pct"/>
                  <w:tcBorders>
                    <w:tl2br w:val="nil"/>
                    <w:tr2bl w:val="nil"/>
                  </w:tcBorders>
                  <w:vAlign w:val="center"/>
                </w:tcPr>
                <w:p w14:paraId="38C5D814">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一）加强《规划》引领，坚持绿色协调发展。《规划》应全面贯彻落实习近平生态文明思想，加强《规划》与长江保护相关法律法规和政策、深入打好污染防治攻坚战相关要求、生态环境分区管控、国土空间总体规划的协调衔接，开发区部分区域位于城镇开发区边界外，建议优化调整。统筹推进开发区整体发展和生态保护，基于区域资源、生态、环境等制约因素合理控制开发利用强度和开发区建设时序，进一步提高土地利用效率，协调总体发展与区域环境保护的关系。推进开发区减污降碳协同共治、资源节约集约及循环化利用、能源智慧高效利用、环境风险防控等工作的落实，引导开发区高质量发展。认真落实开发区近期发展规划，着力推进开发区产业转型升级</w:t>
                  </w:r>
                </w:p>
              </w:tc>
              <w:tc>
                <w:tcPr>
                  <w:tcW w:w="1899" w:type="pct"/>
                  <w:tcBorders>
                    <w:tl2br w:val="nil"/>
                    <w:tr2bl w:val="nil"/>
                  </w:tcBorders>
                  <w:vAlign w:val="center"/>
                </w:tcPr>
                <w:p w14:paraId="6731C010">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kern w:val="0"/>
                      <w:sz w:val="21"/>
                      <w:szCs w:val="21"/>
                      <w:lang w:val="en-US" w:eastAsia="zh-CN" w:bidi="ar"/>
                    </w:rPr>
                    <w:t>本项目位于安徽芜湖三山经济开发区凤栖路以南、夏家湖路以西地块，根据《安徽芜湖三山经济开发区总体发展规划（2023-2035年）（调区）环境影响报告书》中的三山经济开发区总体发展规划图，项目用地属于工业用地，符合开发区规划。本项目行业类别为汽车零部件及配件制造（C3670）；对照《产业结构调整指导目录（2024年本）》，项目属于允许类。</w:t>
                  </w:r>
                </w:p>
              </w:tc>
              <w:tc>
                <w:tcPr>
                  <w:tcW w:w="800" w:type="pct"/>
                  <w:tcBorders>
                    <w:tl2br w:val="nil"/>
                    <w:tr2bl w:val="nil"/>
                  </w:tcBorders>
                  <w:vAlign w:val="center"/>
                </w:tcPr>
                <w:p w14:paraId="5130DDCD">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bl>
          <w:p w14:paraId="1B1944FD">
            <w:pPr>
              <w:keepNext w:val="0"/>
              <w:keepLines w:val="0"/>
              <w:widowControl/>
              <w:suppressLineNumbers w:val="0"/>
              <w:jc w:val="both"/>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p>
          <w:tbl>
            <w:tblPr>
              <w:tblStyle w:val="59"/>
              <w:tblW w:w="497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30"/>
              <w:gridCol w:w="2750"/>
              <w:gridCol w:w="1159"/>
            </w:tblGrid>
            <w:tr w14:paraId="2C95FC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3" w:hRule="atLeast"/>
                <w:tblHeader/>
                <w:jc w:val="center"/>
              </w:trPr>
              <w:tc>
                <w:tcPr>
                  <w:tcW w:w="2300" w:type="pct"/>
                  <w:tcBorders>
                    <w:tl2br w:val="nil"/>
                    <w:tr2bl w:val="nil"/>
                  </w:tcBorders>
                  <w:vAlign w:val="center"/>
                </w:tcPr>
                <w:p w14:paraId="782FC971">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和结构布局优化，结合区域生态环境承载力，确保产业发展与区域生态环境保护、人居环境质量保障相协调。</w:t>
                  </w:r>
                </w:p>
              </w:tc>
              <w:tc>
                <w:tcPr>
                  <w:tcW w:w="1899" w:type="pct"/>
                  <w:tcBorders>
                    <w:tl2br w:val="nil"/>
                    <w:tr2bl w:val="nil"/>
                  </w:tcBorders>
                  <w:vAlign w:val="center"/>
                </w:tcPr>
                <w:p w14:paraId="78598665">
                  <w:pPr>
                    <w:keepNext w:val="0"/>
                    <w:keepLines w:val="0"/>
                    <w:widowControl/>
                    <w:suppressLineNumbers w:val="0"/>
                    <w:jc w:val="left"/>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kern w:val="0"/>
                      <w:sz w:val="21"/>
                      <w:szCs w:val="21"/>
                      <w:lang w:val="en-US" w:eastAsia="zh-CN" w:bidi="ar"/>
                    </w:rPr>
                    <w:t>本项目不属于《安徽芜湖三山经济开发区总体发展规划（2023-2035年）（调区）环境影响报告书》生态准入要求中的限制类、禁止类项目。本项目符合《安徽芜湖三山经济开发区总体发展规划（2023-2035 年）（调区）环境影响报告书》中的生态准入要求。</w:t>
                  </w:r>
                </w:p>
              </w:tc>
              <w:tc>
                <w:tcPr>
                  <w:tcW w:w="800" w:type="pct"/>
                  <w:tcBorders>
                    <w:tl2br w:val="nil"/>
                    <w:tr2bl w:val="nil"/>
                  </w:tcBorders>
                  <w:vAlign w:val="center"/>
                </w:tcPr>
                <w:p w14:paraId="67AEF3A1">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r w14:paraId="1E862E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09" w:hRule="atLeast"/>
                <w:tblHeader/>
                <w:jc w:val="center"/>
              </w:trPr>
              <w:tc>
                <w:tcPr>
                  <w:tcW w:w="2300" w:type="pct"/>
                  <w:tcBorders>
                    <w:tl2br w:val="nil"/>
                    <w:tr2bl w:val="nil"/>
                  </w:tcBorders>
                  <w:vAlign w:val="center"/>
                </w:tcPr>
                <w:p w14:paraId="6DA60D73">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 xml:space="preserve">（二）严守环境质量底线，保护区域生态环境质量。开发区紧邻长江，省自然资源厅初核边界与长江干支流河湖管理边界线重叠交错，周边涉及龙窝湖细鳞斜颌鲴国家级水产种质资源保护区等生态敏感区，生态环境保护压力较大，应主动避让并与上述边界保持一定的缓冲防护距离；严格落实《长江保护法》和长江经济带发展负面清单要求， 严禁违法侵占长江干支流岸线，加强河湖岸线边界外1公里范围内企业的环境管理、转型升级和淘汰退出等工作。开发区应坚 </w:t>
                  </w:r>
                </w:p>
                <w:p w14:paraId="3830378C">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持“生态优先、绿色发展”的战略定位以生态环境质量改善、防范环境风险为核心，明确开发区发展存在的环境制约因素。根据国家和我省大气、水、土壤、环境风险防范和固体废物污染防治相关要求，妥善解决区域现存生态环境问题，确保开发区建设项目污染物长期稳定达标排放，区域生态环境质量持续改善。</w:t>
                  </w:r>
                </w:p>
              </w:tc>
              <w:tc>
                <w:tcPr>
                  <w:tcW w:w="1899" w:type="pct"/>
                  <w:tcBorders>
                    <w:tl2br w:val="nil"/>
                    <w:tr2bl w:val="nil"/>
                  </w:tcBorders>
                  <w:vAlign w:val="center"/>
                </w:tcPr>
                <w:p w14:paraId="0031D81D">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本项目位于安徽芜湖三山经济开发区凤栖路以南、夏家湖路以西地块，距离长江岸线约5.6km，不在长江干流支流岸线1公里范围内。项目废水主要为生活污水，生活污水经化粪池处理后经市政污水管网进入芜湖市滨江污水处理厂。</w:t>
                  </w:r>
                </w:p>
                <w:p w14:paraId="3E84D170">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c>
                <w:tcPr>
                  <w:tcW w:w="800" w:type="pct"/>
                  <w:tcBorders>
                    <w:tl2br w:val="nil"/>
                    <w:tr2bl w:val="nil"/>
                  </w:tcBorders>
                  <w:vAlign w:val="center"/>
                </w:tcPr>
                <w:p w14:paraId="09019218">
                  <w:pPr>
                    <w:snapToGrid w:val="0"/>
                    <w:jc w:val="cente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r w14:paraId="066E46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4" w:hRule="atLeast"/>
                <w:tblHeader/>
                <w:jc w:val="center"/>
              </w:trPr>
              <w:tc>
                <w:tcPr>
                  <w:tcW w:w="2300" w:type="pct"/>
                  <w:tcBorders>
                    <w:tl2br w:val="nil"/>
                    <w:tr2bl w:val="nil"/>
                  </w:tcBorders>
                  <w:vAlign w:val="center"/>
                </w:tcPr>
                <w:p w14:paraId="2024E038">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 xml:space="preserve">（三）优化空间布局，加强生态环境分区管控。落实生态环境分区管控要求， 结合国家和省长江经济带发展负面清 单管控要求及区域资源优势和环境制 约因素、开发区产业定位等，进一步完善调区规划，优化功能分区和空间布局。合理规划不同功能区的环境保护空间，严禁不符合管控要求的各类开发建设活动，规划实施应加强对长江的保护，不得损害周边水环境、大气环境、声环境以及重要生态敏感区的环境质量和生态功能。 </w:t>
                  </w:r>
                </w:p>
                <w:p w14:paraId="31538C32">
                  <w:pPr>
                    <w:keepNext w:val="0"/>
                    <w:keepLines w:val="0"/>
                    <w:widowControl/>
                    <w:suppressLineNumbers w:val="0"/>
                    <w:jc w:val="left"/>
                    <w:rPr>
                      <w:rFonts w:hint="default" w:ascii="Times New Roman" w:hAnsi="Times New Roman" w:cs="Times New Roman" w:eastAsiaTheme="minorEastAsia"/>
                      <w:color w:val="000000"/>
                      <w:kern w:val="0"/>
                      <w:sz w:val="21"/>
                      <w:szCs w:val="21"/>
                      <w:lang w:val="en-US" w:eastAsia="zh-CN" w:bidi="ar"/>
                    </w:rPr>
                  </w:pPr>
                </w:p>
              </w:tc>
              <w:tc>
                <w:tcPr>
                  <w:tcW w:w="1899" w:type="pct"/>
                  <w:tcBorders>
                    <w:tl2br w:val="nil"/>
                    <w:tr2bl w:val="nil"/>
                  </w:tcBorders>
                  <w:vAlign w:val="center"/>
                </w:tcPr>
                <w:p w14:paraId="193C8BB9">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本项目无需设置环境防护距离，本项目废气、废水、噪声均设有污染物处理措施，项目废气、废水、噪声均能够达标 排放，本项目对周围环境影响在可接受范围内。</w:t>
                  </w:r>
                </w:p>
                <w:p w14:paraId="020A5A41">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c>
                <w:tcPr>
                  <w:tcW w:w="800" w:type="pct"/>
                  <w:tcBorders>
                    <w:tl2br w:val="nil"/>
                    <w:tr2bl w:val="nil"/>
                  </w:tcBorders>
                  <w:vAlign w:val="center"/>
                </w:tcPr>
                <w:p w14:paraId="397FCC68">
                  <w:pPr>
                    <w:snapToGrid w:val="0"/>
                    <w:jc w:val="cente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r w14:paraId="4C732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3" w:hRule="atLeast"/>
                <w:tblHeader/>
                <w:jc w:val="center"/>
              </w:trPr>
              <w:tc>
                <w:tcPr>
                  <w:tcW w:w="2300" w:type="pct"/>
                  <w:tcBorders>
                    <w:tl2br w:val="nil"/>
                    <w:tr2bl w:val="nil"/>
                  </w:tcBorders>
                  <w:vAlign w:val="center"/>
                </w:tcPr>
                <w:p w14:paraId="6A8B1C4B">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做好开发区工业企业与周边地表水体、居住区、种质资源保护区等各类环境保护目标的有效隔离，居住区和保护地周边严禁布设生态环境影响较大的建设项目，保障区域生态环境安全，实现产业发展与区域生态环境保护相协调。开发区内现有化工企业与主导产业不符，且位于长江干支流附近，建议搬迁。</w:t>
                  </w:r>
                </w:p>
              </w:tc>
              <w:tc>
                <w:tcPr>
                  <w:tcW w:w="1899" w:type="pct"/>
                  <w:tcBorders>
                    <w:tl2br w:val="nil"/>
                    <w:tr2bl w:val="nil"/>
                  </w:tcBorders>
                  <w:vAlign w:val="center"/>
                </w:tcPr>
                <w:p w14:paraId="0AC959D7">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c>
                <w:tcPr>
                  <w:tcW w:w="800" w:type="pct"/>
                  <w:tcBorders>
                    <w:tl2br w:val="nil"/>
                    <w:tr2bl w:val="nil"/>
                  </w:tcBorders>
                  <w:vAlign w:val="center"/>
                </w:tcPr>
                <w:p w14:paraId="4A6357EA">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r>
            <w:tr w14:paraId="089393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2" w:hRule="atLeast"/>
                <w:tblHeader/>
                <w:jc w:val="center"/>
              </w:trPr>
              <w:tc>
                <w:tcPr>
                  <w:tcW w:w="2300" w:type="pct"/>
                  <w:tcBorders>
                    <w:tl2br w:val="nil"/>
                    <w:tr2bl w:val="nil"/>
                  </w:tcBorders>
                  <w:vAlign w:val="center"/>
                </w:tcPr>
                <w:p w14:paraId="1CA7204B">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四）完善环保基础设施建设，强化环境污染防控。按照环保基础设施适当超前建设的原则，根据主导产业、开发时序和开发强度，进一步优化区域供水、排水、供气、供热及中水回用等规划。开发区应加快区域环保基础设施建设，鉴于芜湖市滨江污水处理厂收水量已 接近处理规模，在芜湖市滨江污水处理厂取得新的排污口批复并完成扩建前， 区块三原则上不得新增工业废水排放。结合区域环境质量现状，细化开发区污染防治基础设施建设、运行管理要求及应急处理处置方案，合理设定处理规模和排放指标，保障开发区周边空气环</w:t>
                  </w:r>
                </w:p>
                <w:p w14:paraId="14F34133">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境持续改善。及时启动污水处理厂提标改造，确保水环境功能不降低，受纳水体、下游水环境保护目标及相关考核断面稳定达标。</w:t>
                  </w:r>
                </w:p>
                <w:p w14:paraId="0F991757">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p>
              </w:tc>
              <w:tc>
                <w:tcPr>
                  <w:tcW w:w="1899" w:type="pct"/>
                  <w:tcBorders>
                    <w:tl2br w:val="nil"/>
                    <w:tr2bl w:val="nil"/>
                  </w:tcBorders>
                  <w:vAlign w:val="center"/>
                </w:tcPr>
                <w:p w14:paraId="331E0756">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本项目位于安徽芜湖三山经济开发区凤栖路以南、夏家湖路以西地块，属于园区内区块三位置。项目废水主要为生活污水，生活污水经化粪池处理后经市政污水管网进入滨江污水处理厂，不会对芜湖市滨江污水处理厂产生冲击负荷。故本项目废水能够接管进入芜湖市滨江污水处理厂处理。</w:t>
                  </w:r>
                </w:p>
                <w:p w14:paraId="58557997">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c>
                <w:tcPr>
                  <w:tcW w:w="800" w:type="pct"/>
                  <w:tcBorders>
                    <w:tl2br w:val="nil"/>
                    <w:tr2bl w:val="nil"/>
                  </w:tcBorders>
                  <w:vAlign w:val="center"/>
                </w:tcPr>
                <w:p w14:paraId="11916070">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r w14:paraId="3B831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9" w:hRule="atLeast"/>
                <w:tblHeader/>
                <w:jc w:val="center"/>
              </w:trPr>
              <w:tc>
                <w:tcPr>
                  <w:tcW w:w="2300" w:type="pct"/>
                  <w:tcBorders>
                    <w:tl2br w:val="nil"/>
                    <w:tr2bl w:val="nil"/>
                  </w:tcBorders>
                  <w:vAlign w:val="center"/>
                </w:tcPr>
                <w:p w14:paraId="2D079800">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 xml:space="preserve">（五）细化生态环境准入清单，推动高质量发展。应根据规划区域调整，结合主导产业、区域生态环境质量现状、生态环境分区管控、国土空间总体规划和现行生态环境管理要求等，进一步加强产业准入管理。严格执行国家产业政策，严禁引入不符合长江流域生态环境保护要求的项目，严格控制与规划主导产业不相关且水污染物排放量大的项目入区，严禁不符合相关区域及行业准入要求的项目入区。开发区引进项目的清洁生产水平应达到国内同行业先进水平。严禁 </w:t>
                  </w:r>
                </w:p>
                <w:p w14:paraId="6AE75EC9">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不符合相关规定的工业废水排入市政污水收集处理设施。</w:t>
                  </w:r>
                </w:p>
              </w:tc>
              <w:tc>
                <w:tcPr>
                  <w:tcW w:w="1899" w:type="pct"/>
                  <w:tcBorders>
                    <w:tl2br w:val="nil"/>
                    <w:tr2bl w:val="nil"/>
                  </w:tcBorders>
                  <w:vAlign w:val="center"/>
                </w:tcPr>
                <w:p w14:paraId="32DE7DE0">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本项目行业类别为汽车零部件及配件制造（C3670），对照《产业结构调整指导目录（2024年本）》，项目属于允许类。</w:t>
                  </w:r>
                </w:p>
                <w:p w14:paraId="2EFA78D6">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c>
                <w:tcPr>
                  <w:tcW w:w="800" w:type="pct"/>
                  <w:tcBorders>
                    <w:tl2br w:val="nil"/>
                    <w:tr2bl w:val="nil"/>
                  </w:tcBorders>
                  <w:vAlign w:val="center"/>
                </w:tcPr>
                <w:p w14:paraId="2B6FD4DB">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r w14:paraId="0B4E5C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06" w:hRule="atLeast"/>
                <w:tblHeader/>
                <w:jc w:val="center"/>
              </w:trPr>
              <w:tc>
                <w:tcPr>
                  <w:tcW w:w="2300" w:type="pct"/>
                  <w:tcBorders>
                    <w:tl2br w:val="nil"/>
                    <w:tr2bl w:val="nil"/>
                  </w:tcBorders>
                  <w:vAlign w:val="center"/>
                </w:tcPr>
                <w:p w14:paraId="16F6E9B7">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 xml:space="preserve">（六）提升环境管理水平，加强生态环境风险防控。着力提升开发区环境管理水平，统筹考虑区域内污染物排放、固体废物(含危险废物)管理、环境风险防范等生态环境管理要求，健全区域风险防范体系和生态安全保障体系。开发区紧邻长江，区域雨水经小江排入龙窝湖细鳞斜颌鲴国家级水产种质资源保护区应全面落实环境风险三级防控，加强开发区内重要环境风险源管控，做好开发区重大环境风险源的识别与管控，确保事故废水与外环境有效隔离、及时处置。 </w:t>
                  </w:r>
                </w:p>
                <w:p w14:paraId="1568E076">
                  <w:pPr>
                    <w:keepNext w:val="0"/>
                    <w:keepLines w:val="0"/>
                    <w:widowControl/>
                    <w:suppressLineNumbers w:val="0"/>
                    <w:jc w:val="left"/>
                    <w:rPr>
                      <w:rFonts w:hint="default" w:ascii="Times New Roman" w:hAnsi="Times New Roman" w:cs="Times New Roman" w:eastAsiaTheme="minorEastAsia"/>
                      <w:b/>
                      <w:bCs/>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加强日常环境监管与监测，落实各项境管理要求。在规划实施过程中，适时开展规划环境影响的跟踪评价。结合规划环评及跟踪评价成果，同步更新“区域评估+环境标准”成果。</w:t>
                  </w:r>
                </w:p>
              </w:tc>
              <w:tc>
                <w:tcPr>
                  <w:tcW w:w="1899" w:type="pct"/>
                  <w:tcBorders>
                    <w:tl2br w:val="nil"/>
                    <w:tr2bl w:val="nil"/>
                  </w:tcBorders>
                  <w:vAlign w:val="center"/>
                </w:tcPr>
                <w:p w14:paraId="3A1D4CB1">
                  <w:pPr>
                    <w:keepNext w:val="0"/>
                    <w:keepLines w:val="0"/>
                    <w:widowControl/>
                    <w:suppressLineNumbers w:val="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kern w:val="0"/>
                      <w:sz w:val="21"/>
                      <w:szCs w:val="21"/>
                      <w:lang w:val="en-US" w:eastAsia="zh-CN" w:bidi="ar"/>
                    </w:rPr>
                    <w:t>项目建成后按照相关规定实施自行监测工作，同时落实风险防控制度。</w:t>
                  </w:r>
                </w:p>
                <w:p w14:paraId="59B5502D">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p>
              </w:tc>
              <w:tc>
                <w:tcPr>
                  <w:tcW w:w="800" w:type="pct"/>
                  <w:tcBorders>
                    <w:tl2br w:val="nil"/>
                    <w:tr2bl w:val="nil"/>
                  </w:tcBorders>
                  <w:vAlign w:val="center"/>
                </w:tcPr>
                <w:p w14:paraId="61FE47D7">
                  <w:pPr>
                    <w:snapToGrid w:val="0"/>
                    <w:jc w:val="center"/>
                    <w:rPr>
                      <w:rFonts w:hint="default" w:ascii="Times New Roman" w:hAnsi="Times New Roman" w:cs="Times New Roman" w:eastAsiaTheme="minorEastAsia"/>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caps w:val="0"/>
                      <w:color w:val="000000" w:themeColor="text1"/>
                      <w:sz w:val="21"/>
                      <w:szCs w:val="21"/>
                      <w:highlight w:val="none"/>
                      <w:lang w:val="en-US" w:eastAsia="zh-CN"/>
                      <w14:textFill>
                        <w14:solidFill>
                          <w14:schemeClr w14:val="tx1"/>
                        </w14:solidFill>
                      </w14:textFill>
                    </w:rPr>
                    <w:t>符合</w:t>
                  </w:r>
                </w:p>
              </w:tc>
            </w:tr>
          </w:tbl>
          <w:p w14:paraId="36B51ED6">
            <w:pPr>
              <w:keepNext w:val="0"/>
              <w:keepLines w:val="0"/>
              <w:widowControl/>
              <w:suppressLineNumbers w:val="0"/>
              <w:jc w:val="left"/>
              <w:rPr>
                <w:rFonts w:hint="default" w:ascii="Times New Roman" w:hAnsi="Times New Roman" w:cs="Times New Roman"/>
              </w:rPr>
            </w:pPr>
          </w:p>
          <w:p w14:paraId="7DBA335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由上表可知，本项目的建设符合《安徽芜湖三山经济开发区总体发展规划（2023-2035年）（调区）环境影响报告书》审查意见要求。</w:t>
            </w:r>
          </w:p>
        </w:tc>
      </w:tr>
      <w:tr w14:paraId="0AB771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05" w:type="dxa"/>
            <w:vAlign w:val="center"/>
          </w:tcPr>
          <w:p w14:paraId="426DD70A">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其他符合性分析</w:t>
            </w:r>
          </w:p>
        </w:tc>
        <w:tc>
          <w:tcPr>
            <w:tcW w:w="7492" w:type="dxa"/>
            <w:gridSpan w:val="3"/>
            <w:vAlign w:val="center"/>
          </w:tcPr>
          <w:p w14:paraId="0ADF6BDC">
            <w:pPr>
              <w:spacing w:line="360" w:lineRule="auto"/>
              <w:ind w:firstLine="482" w:firstLineChars="200"/>
              <w:rPr>
                <w:rFonts w:hint="default" w:ascii="Times New Roman" w:hAnsi="Times New Roman" w:cs="Times New Roman"/>
                <w:b/>
                <w:kern w:val="0"/>
                <w:sz w:val="24"/>
              </w:rPr>
            </w:pPr>
            <w:r>
              <w:rPr>
                <w:rFonts w:hint="default" w:ascii="Times New Roman" w:hAnsi="Times New Roman" w:cs="Times New Roman"/>
                <w:b/>
                <w:kern w:val="0"/>
                <w:sz w:val="24"/>
              </w:rPr>
              <w:t>1、建设项目产业政策符合性</w:t>
            </w:r>
          </w:p>
          <w:p w14:paraId="4FFC02A5">
            <w:pPr>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cs="Times New Roman"/>
                <w:sz w:val="24"/>
              </w:rPr>
              <w:t>根据国民经济行业分类(GB/T4754-2017)，本项目属于其中“C</w:t>
            </w:r>
            <w:r>
              <w:rPr>
                <w:rFonts w:hint="default" w:ascii="Times New Roman" w:hAnsi="Times New Roman" w:cs="Times New Roman"/>
                <w:sz w:val="24"/>
                <w:lang w:val="en-US" w:eastAsia="zh-CN"/>
              </w:rPr>
              <w:t>3670汽车零部件及配件制造</w:t>
            </w:r>
            <w:r>
              <w:rPr>
                <w:rFonts w:hint="default" w:ascii="Times New Roman" w:hAnsi="Times New Roman" w:cs="Times New Roman"/>
                <w:sz w:val="24"/>
              </w:rPr>
              <w:t>”。经核查，对照《产业结构调整指导目录》（2024年），本项目不属于鼓励类、限制类和淘汰类范畴</w:t>
            </w:r>
            <w:r>
              <w:rPr>
                <w:rFonts w:hint="default" w:ascii="Times New Roman" w:hAnsi="Times New Roman" w:cs="Times New Roman"/>
                <w:color w:val="auto"/>
                <w:sz w:val="24"/>
              </w:rPr>
              <w:t>，视为允许类，与产业政策相符，另外项目不属于《安徽省工业产业结构调整指导目录（2007年本）》中的鼓励类、淘汰类和限制类，视为允许类。亦不属于其它相关法律法规要求淘汰和限制的产业。本项目不属于《市场准入负面清单（202</w:t>
            </w:r>
            <w:r>
              <w:rPr>
                <w:rFonts w:hint="eastAsia" w:cs="Times New Roman"/>
                <w:color w:val="auto"/>
                <w:sz w:val="24"/>
                <w:lang w:val="en-US" w:eastAsia="zh-CN"/>
              </w:rPr>
              <w:t>5</w:t>
            </w:r>
            <w:r>
              <w:rPr>
                <w:rFonts w:hint="default" w:ascii="Times New Roman" w:hAnsi="Times New Roman" w:cs="Times New Roman"/>
                <w:color w:val="auto"/>
                <w:sz w:val="24"/>
              </w:rPr>
              <w:t>年版）》中的负面清单，本项目不属于《安徽省节能减排及应对气候变化工作领导小组关于印发安徽省“两高”项目管理名录（试行）的通知》（皖节能﹝2022</w:t>
            </w:r>
            <w:r>
              <w:rPr>
                <w:rFonts w:hint="eastAsia" w:ascii="宋体" w:hAnsi="宋体" w:eastAsia="宋体" w:cs="宋体"/>
                <w:color w:val="auto"/>
                <w:sz w:val="24"/>
              </w:rPr>
              <w:t>〕</w:t>
            </w:r>
            <w:r>
              <w:rPr>
                <w:rFonts w:hint="default" w:ascii="Times New Roman" w:hAnsi="Times New Roman" w:cs="Times New Roman"/>
                <w:color w:val="auto"/>
                <w:sz w:val="24"/>
              </w:rPr>
              <w:t>2号）中的“两高”项目。项目已于</w:t>
            </w:r>
            <w:r>
              <w:rPr>
                <w:rFonts w:hint="default" w:ascii="Times New Roman" w:hAnsi="Times New Roman" w:cs="Times New Roman"/>
                <w:color w:val="auto"/>
                <w:sz w:val="24"/>
                <w:lang w:val="en-US" w:eastAsia="zh-CN"/>
              </w:rPr>
              <w:t>2024</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11</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22</w:t>
            </w:r>
            <w:r>
              <w:rPr>
                <w:rFonts w:hint="default" w:ascii="Times New Roman" w:hAnsi="Times New Roman" w:cs="Times New Roman"/>
                <w:color w:val="auto"/>
                <w:sz w:val="24"/>
              </w:rPr>
              <w:t>日获得</w:t>
            </w:r>
            <w:r>
              <w:rPr>
                <w:rFonts w:hint="default" w:ascii="Times New Roman" w:hAnsi="Times New Roman" w:cs="Times New Roman"/>
                <w:color w:val="auto"/>
                <w:sz w:val="24"/>
                <w:lang w:val="en-US" w:eastAsia="zh-CN"/>
              </w:rPr>
              <w:t>安徽芜湖三山经济开发区管委会经济发展局</w:t>
            </w:r>
            <w:r>
              <w:rPr>
                <w:rFonts w:hint="default" w:ascii="Times New Roman" w:hAnsi="Times New Roman" w:cs="Times New Roman"/>
                <w:color w:val="auto"/>
                <w:sz w:val="24"/>
              </w:rPr>
              <w:t>的备案，项目代码为：</w:t>
            </w:r>
            <w:r>
              <w:rPr>
                <w:rFonts w:hint="default" w:ascii="Times New Roman" w:hAnsi="Times New Roman" w:cs="Times New Roman"/>
                <w:color w:val="auto"/>
                <w:sz w:val="24"/>
                <w:lang w:val="en-US" w:eastAsia="zh-CN"/>
              </w:rPr>
              <w:t>2411-340208-04-01-266539</w:t>
            </w:r>
            <w:r>
              <w:rPr>
                <w:rFonts w:hint="default" w:ascii="Times New Roman" w:hAnsi="Times New Roman" w:cs="Times New Roman"/>
                <w:color w:val="auto"/>
                <w:sz w:val="24"/>
              </w:rPr>
              <w:t>。因此，项目符合国家和地方相关产业政策。</w:t>
            </w:r>
          </w:p>
          <w:p w14:paraId="492B7BE6">
            <w:pPr>
              <w:adjustRightInd w:val="0"/>
              <w:spacing w:line="360" w:lineRule="auto"/>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2</w:t>
            </w:r>
            <w:r>
              <w:rPr>
                <w:rFonts w:hint="default" w:ascii="Times New Roman" w:hAnsi="Times New Roman" w:cs="Times New Roman"/>
                <w:b/>
                <w:bCs/>
                <w:color w:val="auto"/>
                <w:sz w:val="24"/>
              </w:rPr>
              <w:t>、与周边环境相容性分析</w:t>
            </w:r>
          </w:p>
          <w:p w14:paraId="127CD77C">
            <w:pPr>
              <w:adjustRightInd w:val="0"/>
              <w:spacing w:line="360" w:lineRule="auto"/>
              <w:ind w:firstLine="480" w:firstLineChars="200"/>
              <w:jc w:val="left"/>
              <w:rPr>
                <w:rFonts w:hint="default" w:ascii="Times New Roman" w:hAnsi="Times New Roman" w:eastAsia="宋体" w:cs="Times New Roman"/>
                <w:b/>
                <w:bCs/>
                <w:color w:val="000000"/>
                <w:sz w:val="24"/>
              </w:rPr>
            </w:pPr>
            <w:r>
              <w:rPr>
                <w:rStyle w:val="73"/>
                <w:rFonts w:hint="default" w:ascii="Times New Roman" w:hAnsi="Times New Roman" w:cs="Times New Roman"/>
                <w:color w:val="auto"/>
                <w:kern w:val="0"/>
                <w:sz w:val="24"/>
              </w:rPr>
              <w:t>项目选址位于</w:t>
            </w:r>
            <w:r>
              <w:rPr>
                <w:rStyle w:val="73"/>
                <w:rFonts w:hint="default" w:ascii="Times New Roman" w:hAnsi="Times New Roman" w:cs="Times New Roman"/>
                <w:color w:val="auto"/>
                <w:kern w:val="0"/>
                <w:sz w:val="24"/>
                <w:lang w:val="en-US" w:eastAsia="zh-CN"/>
              </w:rPr>
              <w:t>安徽芜湖三山经济开发区凤栖路以南、夏家湖路以西地块</w:t>
            </w:r>
            <w:r>
              <w:rPr>
                <w:rStyle w:val="73"/>
                <w:rFonts w:hint="default" w:ascii="Times New Roman" w:hAnsi="Times New Roman" w:cs="Times New Roman"/>
                <w:color w:val="auto"/>
                <w:kern w:val="0"/>
                <w:sz w:val="24"/>
              </w:rPr>
              <w:t>，</w:t>
            </w:r>
            <w:r>
              <w:rPr>
                <w:rStyle w:val="73"/>
                <w:rFonts w:hint="eastAsia" w:cs="Times New Roman"/>
                <w:color w:val="auto"/>
                <w:kern w:val="0"/>
                <w:sz w:val="24"/>
                <w:lang w:val="en-US" w:eastAsia="zh-CN"/>
              </w:rPr>
              <w:t>项目北侧为芜湖电工机械有限公司，南侧为空地，西侧为安徽中良智能传动科技，东侧为安徽勤业玻璃、芜湖中民科技建材、以及芜湖中天管柱。</w:t>
            </w:r>
            <w:r>
              <w:rPr>
                <w:rStyle w:val="73"/>
                <w:rFonts w:hint="default" w:ascii="Times New Roman" w:hAnsi="Times New Roman" w:cs="Times New Roman"/>
                <w:color w:val="auto"/>
                <w:kern w:val="0"/>
                <w:sz w:val="24"/>
              </w:rPr>
              <w:t>根据不动产权证（详见附件</w:t>
            </w:r>
            <w:r>
              <w:rPr>
                <w:rStyle w:val="73"/>
                <w:rFonts w:hint="eastAsia" w:cs="Times New Roman"/>
                <w:color w:val="auto"/>
                <w:kern w:val="0"/>
                <w:sz w:val="24"/>
                <w:lang w:val="en-US" w:eastAsia="zh-CN"/>
              </w:rPr>
              <w:t>6</w:t>
            </w:r>
            <w:r>
              <w:rPr>
                <w:rStyle w:val="73"/>
                <w:rFonts w:hint="default" w:ascii="Times New Roman" w:hAnsi="Times New Roman" w:cs="Times New Roman"/>
                <w:color w:val="auto"/>
                <w:kern w:val="0"/>
                <w:sz w:val="24"/>
              </w:rPr>
              <w:t>），项目建设地为工业用地，项目用地选址可行。项目</w:t>
            </w:r>
            <w:r>
              <w:rPr>
                <w:rStyle w:val="73"/>
                <w:rFonts w:hint="default" w:ascii="Times New Roman" w:hAnsi="Times New Roman" w:cs="Times New Roman"/>
                <w:color w:val="auto"/>
                <w:kern w:val="0"/>
                <w:sz w:val="24"/>
                <w:lang w:val="en-US" w:eastAsia="zh-CN"/>
              </w:rPr>
              <w:t>不在</w:t>
            </w:r>
            <w:r>
              <w:rPr>
                <w:rStyle w:val="73"/>
                <w:rFonts w:hint="default" w:ascii="Times New Roman" w:hAnsi="Times New Roman" w:cs="Times New Roman"/>
                <w:color w:val="auto"/>
                <w:kern w:val="0"/>
                <w:sz w:val="24"/>
              </w:rPr>
              <w:t>《自然资源要素支撑产业高质量发展指导目录（2024年本）》</w:t>
            </w:r>
            <w:r>
              <w:rPr>
                <w:rStyle w:val="73"/>
                <w:rFonts w:hint="default" w:ascii="Times New Roman" w:hAnsi="Times New Roman" w:cs="Times New Roman"/>
                <w:color w:val="auto"/>
                <w:kern w:val="0"/>
                <w:sz w:val="24"/>
                <w:lang w:val="en-US" w:eastAsia="zh-CN"/>
              </w:rPr>
              <w:t>禁止类和限制类范围内</w:t>
            </w:r>
            <w:r>
              <w:rPr>
                <w:rStyle w:val="73"/>
                <w:rFonts w:hint="default" w:ascii="Times New Roman" w:hAnsi="Times New Roman" w:cs="Times New Roman"/>
                <w:color w:val="auto"/>
                <w:kern w:val="0"/>
                <w:sz w:val="24"/>
              </w:rPr>
              <w:t>。因此，建设项目与区域规划相符，与用地性质相符，选址可行。</w:t>
            </w:r>
          </w:p>
          <w:p w14:paraId="606EBBDD">
            <w:pPr>
              <w:spacing w:line="360" w:lineRule="auto"/>
              <w:ind w:firstLine="482" w:firstLineChars="20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3、与《关于以改善环境质量为核心加强环境影响评价管理的通知》（环环评</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2016</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150号）符合性分析</w:t>
            </w:r>
          </w:p>
          <w:p w14:paraId="68940E9C">
            <w:pPr>
              <w:autoSpaceDE w:val="0"/>
              <w:autoSpaceDN w:val="0"/>
              <w:adjustRightInd w:val="0"/>
              <w:snapToGrid w:val="0"/>
              <w:spacing w:line="360" w:lineRule="auto"/>
              <w:ind w:firstLine="480" w:firstLineChars="200"/>
              <w:rPr>
                <w:rFonts w:hint="default" w:ascii="Times New Roman" w:hAnsi="Times New Roman" w:eastAsia="宋体" w:cs="Times New Roman"/>
                <w:color w:val="000000"/>
                <w:kern w:val="24"/>
                <w:sz w:val="24"/>
              </w:rPr>
            </w:pPr>
            <w:r>
              <w:rPr>
                <w:rFonts w:hint="default" w:ascii="Times New Roman" w:hAnsi="Times New Roman" w:eastAsia="宋体" w:cs="Times New Roman"/>
                <w:color w:val="000000"/>
                <w:kern w:val="24"/>
                <w:sz w:val="24"/>
              </w:rPr>
              <w:t>根据《关于以改善环境质量为核心加强环境影响评价管理的通知》（环环评</w:t>
            </w:r>
            <w:r>
              <w:rPr>
                <w:rFonts w:hint="eastAsia" w:ascii="宋体" w:hAnsi="宋体" w:eastAsia="宋体" w:cs="宋体"/>
                <w:color w:val="000000"/>
                <w:kern w:val="24"/>
                <w:sz w:val="24"/>
              </w:rPr>
              <w:t>〔</w:t>
            </w:r>
            <w:r>
              <w:rPr>
                <w:rFonts w:hint="default" w:ascii="Times New Roman" w:hAnsi="Times New Roman" w:eastAsia="宋体" w:cs="Times New Roman"/>
                <w:color w:val="000000"/>
                <w:kern w:val="24"/>
                <w:sz w:val="24"/>
              </w:rPr>
              <w:t>2016</w:t>
            </w:r>
            <w:r>
              <w:rPr>
                <w:rFonts w:hint="eastAsia" w:ascii="宋体" w:hAnsi="宋体" w:eastAsia="宋体" w:cs="宋体"/>
                <w:color w:val="000000"/>
                <w:kern w:val="24"/>
                <w:sz w:val="24"/>
              </w:rPr>
              <w:t>〕</w:t>
            </w:r>
            <w:r>
              <w:rPr>
                <w:rFonts w:hint="default" w:ascii="Times New Roman" w:hAnsi="Times New Roman" w:eastAsia="宋体" w:cs="Times New Roman"/>
                <w:color w:val="000000"/>
                <w:kern w:val="24"/>
                <w:sz w:val="24"/>
              </w:rPr>
              <w:t>150号）</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为适应以改善环境质量为核心的环境管理要求，切实加强环境影响评价（以下简称环评）管理，落实</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生态保护红线、环境质量底线、资源利用上线和环境准入负面清单</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约束</w:t>
            </w:r>
            <w:r>
              <w:rPr>
                <w:rFonts w:hint="default" w:ascii="Times New Roman" w:hAnsi="Times New Roman" w:eastAsia="宋体" w:cs="Times New Roman"/>
                <w:color w:val="000000"/>
                <w:kern w:val="24"/>
                <w:sz w:val="24"/>
                <w:lang w:eastAsia="zh-CN"/>
              </w:rPr>
              <w:t>”</w:t>
            </w:r>
            <w:r>
              <w:rPr>
                <w:rFonts w:hint="default" w:ascii="Times New Roman" w:hAnsi="Times New Roman" w:eastAsia="宋体" w:cs="Times New Roman"/>
                <w:color w:val="000000"/>
                <w:kern w:val="24"/>
                <w:sz w:val="24"/>
              </w:rPr>
              <w:t>。</w:t>
            </w:r>
          </w:p>
          <w:p w14:paraId="1430ADA2">
            <w:pPr>
              <w:autoSpaceDE w:val="0"/>
              <w:autoSpaceDN w:val="0"/>
              <w:adjustRightInd w:val="0"/>
              <w:snapToGrid w:val="0"/>
              <w:jc w:val="center"/>
              <w:rPr>
                <w:rFonts w:hint="default" w:ascii="Times New Roman" w:hAnsi="Times New Roman" w:eastAsia="宋体" w:cs="Times New Roman"/>
                <w:b/>
                <w:color w:val="000000"/>
                <w:kern w:val="0"/>
                <w:sz w:val="24"/>
              </w:rPr>
            </w:pPr>
            <w:r>
              <w:rPr>
                <w:rFonts w:hint="default" w:ascii="Times New Roman" w:hAnsi="Times New Roman" w:eastAsia="宋体" w:cs="Times New Roman"/>
                <w:b/>
                <w:color w:val="000000"/>
                <w:kern w:val="0"/>
                <w:sz w:val="24"/>
              </w:rPr>
              <w:t>表1-</w:t>
            </w:r>
            <w:r>
              <w:rPr>
                <w:rFonts w:hint="default" w:ascii="Times New Roman" w:hAnsi="Times New Roman" w:cs="Times New Roman"/>
                <w:b/>
                <w:color w:val="000000"/>
                <w:kern w:val="0"/>
                <w:sz w:val="24"/>
                <w:lang w:val="en-US" w:eastAsia="zh-CN"/>
              </w:rPr>
              <w:t>3</w:t>
            </w:r>
            <w:r>
              <w:rPr>
                <w:rFonts w:hint="default" w:ascii="Times New Roman" w:hAnsi="Times New Roman" w:eastAsia="宋体" w:cs="Times New Roman"/>
                <w:b/>
                <w:color w:val="000000"/>
                <w:kern w:val="0"/>
                <w:sz w:val="24"/>
              </w:rPr>
              <w:t xml:space="preserve">  本项目与</w:t>
            </w:r>
            <w:r>
              <w:rPr>
                <w:rFonts w:hint="default" w:ascii="Times New Roman" w:hAnsi="Times New Roman" w:eastAsia="宋体" w:cs="Times New Roman"/>
                <w:b/>
                <w:bCs/>
                <w:color w:val="000000"/>
                <w:sz w:val="24"/>
              </w:rPr>
              <w:t>《关于以改善环境质量为核心加强环境影响评价管理的通知》（环环评</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2016</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150号）</w:t>
            </w:r>
            <w:r>
              <w:rPr>
                <w:rFonts w:hint="default" w:ascii="Times New Roman" w:hAnsi="Times New Roman" w:eastAsia="宋体" w:cs="Times New Roman"/>
                <w:b/>
                <w:color w:val="000000"/>
                <w:kern w:val="0"/>
                <w:sz w:val="24"/>
              </w:rPr>
              <w:t>相符性</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6"/>
              <w:gridCol w:w="751"/>
              <w:gridCol w:w="2651"/>
              <w:gridCol w:w="2722"/>
              <w:gridCol w:w="756"/>
            </w:tblGrid>
            <w:tr w14:paraId="2DE83F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03443164">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序号</w:t>
                  </w:r>
                </w:p>
              </w:tc>
              <w:tc>
                <w:tcPr>
                  <w:tcW w:w="516" w:type="pct"/>
                  <w:noWrap w:val="0"/>
                  <w:vAlign w:val="center"/>
                </w:tcPr>
                <w:p w14:paraId="1993B30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内容</w:t>
                  </w:r>
                </w:p>
              </w:tc>
              <w:tc>
                <w:tcPr>
                  <w:tcW w:w="1820" w:type="pct"/>
                  <w:noWrap w:val="0"/>
                  <w:vAlign w:val="center"/>
                </w:tcPr>
                <w:p w14:paraId="12B5B55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要求</w:t>
                  </w:r>
                </w:p>
              </w:tc>
              <w:tc>
                <w:tcPr>
                  <w:tcW w:w="1869" w:type="pct"/>
                  <w:noWrap w:val="0"/>
                  <w:vAlign w:val="center"/>
                </w:tcPr>
                <w:p w14:paraId="6D3238E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本项目情况</w:t>
                  </w:r>
                </w:p>
              </w:tc>
              <w:tc>
                <w:tcPr>
                  <w:tcW w:w="519" w:type="pct"/>
                  <w:noWrap w:val="0"/>
                  <w:vAlign w:val="center"/>
                </w:tcPr>
                <w:p w14:paraId="2FBB8A2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相符性</w:t>
                  </w:r>
                </w:p>
              </w:tc>
            </w:tr>
            <w:tr w14:paraId="5998C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2A2442F5">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w:t>
                  </w:r>
                </w:p>
              </w:tc>
              <w:tc>
                <w:tcPr>
                  <w:tcW w:w="516" w:type="pct"/>
                  <w:noWrap w:val="0"/>
                  <w:vAlign w:val="center"/>
                </w:tcPr>
                <w:p w14:paraId="38F6D4AB">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生态保护红线</w:t>
                  </w:r>
                </w:p>
              </w:tc>
              <w:tc>
                <w:tcPr>
                  <w:tcW w:w="1820" w:type="pct"/>
                  <w:noWrap w:val="0"/>
                  <w:vAlign w:val="center"/>
                </w:tcPr>
                <w:p w14:paraId="73E565E0">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生态保护红线是生态空间范围内具有特殊重要生态功能必须实行强制性严格保护的区域。在生态保护红线范围内，严控各类开发建设活动，依法不予审批新建工业项目和矿产开发项目的环评文件</w:t>
                  </w:r>
                </w:p>
              </w:tc>
              <w:tc>
                <w:tcPr>
                  <w:tcW w:w="1869" w:type="pct"/>
                  <w:noWrap w:val="0"/>
                  <w:vAlign w:val="center"/>
                </w:tcPr>
                <w:p w14:paraId="23D82DAF">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本项目位于</w:t>
                  </w:r>
                  <w:r>
                    <w:rPr>
                      <w:rFonts w:hint="default" w:ascii="Times New Roman" w:hAnsi="Times New Roman" w:cs="Times New Roman"/>
                      <w:color w:val="000000"/>
                      <w:kern w:val="0"/>
                      <w:sz w:val="21"/>
                      <w:szCs w:val="21"/>
                      <w:lang w:val="en-US" w:eastAsia="zh-CN"/>
                    </w:rPr>
                    <w:t>安徽芜湖</w:t>
                  </w:r>
                  <w:r>
                    <w:rPr>
                      <w:rFonts w:hint="default" w:ascii="Times New Roman" w:hAnsi="Times New Roman" w:cs="Times New Roman"/>
                      <w:color w:val="000000"/>
                      <w:kern w:val="0"/>
                      <w:sz w:val="21"/>
                      <w:szCs w:val="21"/>
                      <w:lang w:eastAsia="zh-CN"/>
                    </w:rPr>
                    <w:t>三山经济开发区凤栖路以南、夏家湖路以西地块</w:t>
                  </w:r>
                  <w:r>
                    <w:rPr>
                      <w:rFonts w:hint="default" w:ascii="Times New Roman" w:hAnsi="Times New Roman" w:eastAsia="宋体" w:cs="Times New Roman"/>
                      <w:color w:val="000000"/>
                      <w:kern w:val="0"/>
                      <w:sz w:val="21"/>
                      <w:szCs w:val="21"/>
                    </w:rPr>
                    <w:t>，项目用地性质属于工业用地，</w:t>
                  </w:r>
                  <w:r>
                    <w:rPr>
                      <w:rFonts w:hint="default" w:ascii="Times New Roman" w:hAnsi="Times New Roman" w:eastAsia="宋体" w:cs="Times New Roman"/>
                      <w:color w:val="000000"/>
                      <w:sz w:val="21"/>
                      <w:szCs w:val="21"/>
                    </w:rPr>
                    <w:t>根据安徽省生态保护红线、芜湖市生态保护红线，项目不在生态红线范围内。</w:t>
                  </w:r>
                </w:p>
              </w:tc>
              <w:tc>
                <w:tcPr>
                  <w:tcW w:w="519" w:type="pct"/>
                  <w:noWrap w:val="0"/>
                  <w:vAlign w:val="center"/>
                </w:tcPr>
                <w:p w14:paraId="6C0D33A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040B2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786E28D9">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2</w:t>
                  </w:r>
                </w:p>
              </w:tc>
              <w:tc>
                <w:tcPr>
                  <w:tcW w:w="516" w:type="pct"/>
                  <w:noWrap w:val="0"/>
                  <w:vAlign w:val="center"/>
                </w:tcPr>
                <w:p w14:paraId="30FED490">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环境质量底线</w:t>
                  </w:r>
                </w:p>
              </w:tc>
              <w:tc>
                <w:tcPr>
                  <w:tcW w:w="1820" w:type="pct"/>
                  <w:noWrap w:val="0"/>
                  <w:vAlign w:val="center"/>
                </w:tcPr>
                <w:p w14:paraId="1BED22AF">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环境质量现状超标地区以及未达到环境质量目标考核要求的地区上新项目将受到限制；对环境质量现状超标的地区，项目拟采取的措施不能满足区域环境质量改善目标管理要求的，依法不予审批其环评文件</w:t>
                  </w:r>
                </w:p>
              </w:tc>
              <w:tc>
                <w:tcPr>
                  <w:tcW w:w="1869" w:type="pct"/>
                  <w:noWrap w:val="0"/>
                  <w:vAlign w:val="center"/>
                </w:tcPr>
                <w:p w14:paraId="47898E67">
                  <w:pPr>
                    <w:keepNext w:val="0"/>
                    <w:keepLines w:val="0"/>
                    <w:pageBreakBefore w:val="0"/>
                    <w:widowControl w:val="0"/>
                    <w:kinsoku/>
                    <w:wordWrap/>
                    <w:overflowPunct/>
                    <w:topLinePunct w:val="0"/>
                    <w:bidi w:val="0"/>
                    <w:ind w:firstLine="0" w:firstLineChars="0"/>
                    <w:jc w:val="center"/>
                    <w:textAlignment w:val="auto"/>
                    <w:rPr>
                      <w:rFonts w:hint="default" w:ascii="Times New Roman" w:hAnsi="Times New Roman" w:eastAsia="宋体" w:cs="Times New Roman"/>
                      <w:color w:val="000000"/>
                      <w:sz w:val="21"/>
                      <w:szCs w:val="21"/>
                    </w:rPr>
                  </w:pPr>
                  <w:r>
                    <w:rPr>
                      <w:rStyle w:val="66"/>
                      <w:rFonts w:hint="default" w:ascii="Times New Roman" w:hAnsi="Times New Roman" w:eastAsia="宋体" w:cs="Times New Roman"/>
                      <w:b w:val="0"/>
                      <w:bCs w:val="0"/>
                      <w:color w:val="000000"/>
                      <w:sz w:val="21"/>
                      <w:szCs w:val="21"/>
                    </w:rPr>
                    <w:t>根据芜湖市生态环境局网站公布的《202</w:t>
                  </w:r>
                  <w:r>
                    <w:rPr>
                      <w:rStyle w:val="66"/>
                      <w:rFonts w:hint="default" w:ascii="Times New Roman" w:hAnsi="Times New Roman" w:cs="Times New Roman"/>
                      <w:b w:val="0"/>
                      <w:bCs w:val="0"/>
                      <w:color w:val="000000"/>
                      <w:sz w:val="21"/>
                      <w:szCs w:val="21"/>
                      <w:lang w:val="en-US" w:eastAsia="zh-CN"/>
                    </w:rPr>
                    <w:t>4</w:t>
                  </w:r>
                  <w:r>
                    <w:rPr>
                      <w:rStyle w:val="66"/>
                      <w:rFonts w:hint="default" w:ascii="Times New Roman" w:hAnsi="Times New Roman" w:eastAsia="宋体" w:cs="Times New Roman"/>
                      <w:b w:val="0"/>
                      <w:bCs w:val="0"/>
                      <w:color w:val="000000"/>
                      <w:sz w:val="21"/>
                      <w:szCs w:val="21"/>
                    </w:rPr>
                    <w:t>年芜湖市环境状况公报》</w:t>
                  </w:r>
                  <w:r>
                    <w:rPr>
                      <w:rFonts w:hint="default" w:ascii="Times New Roman" w:hAnsi="Times New Roman" w:eastAsia="宋体" w:cs="Times New Roman"/>
                      <w:bCs/>
                      <w:color w:val="000000"/>
                      <w:sz w:val="21"/>
                      <w:szCs w:val="21"/>
                      <w:lang w:val="zh-CN"/>
                    </w:rPr>
                    <w:t>，项目所在区域为环境空气质量</w:t>
                  </w:r>
                  <w:r>
                    <w:rPr>
                      <w:rFonts w:hint="default" w:ascii="Times New Roman" w:hAnsi="Times New Roman" w:cs="Times New Roman"/>
                      <w:bCs/>
                      <w:color w:val="000000"/>
                      <w:sz w:val="21"/>
                      <w:szCs w:val="21"/>
                      <w:lang w:val="en-US" w:eastAsia="zh-CN"/>
                    </w:rPr>
                    <w:t>不</w:t>
                  </w:r>
                  <w:r>
                    <w:rPr>
                      <w:rFonts w:hint="default" w:ascii="Times New Roman" w:hAnsi="Times New Roman" w:eastAsia="宋体" w:cs="Times New Roman"/>
                      <w:bCs/>
                      <w:color w:val="000000"/>
                      <w:sz w:val="21"/>
                      <w:szCs w:val="21"/>
                      <w:lang w:val="zh-CN"/>
                    </w:rPr>
                    <w:t>达标区域</w:t>
                  </w:r>
                  <w:r>
                    <w:rPr>
                      <w:rFonts w:hint="default" w:ascii="Times New Roman" w:hAnsi="Times New Roman" w:cs="Times New Roman"/>
                      <w:bCs/>
                      <w:color w:val="000000"/>
                      <w:sz w:val="21"/>
                      <w:szCs w:val="21"/>
                      <w:lang w:val="zh-CN"/>
                    </w:rPr>
                    <w:t>，</w:t>
                  </w:r>
                  <w:r>
                    <w:rPr>
                      <w:rFonts w:hint="default" w:ascii="Times New Roman" w:hAnsi="Times New Roman" w:eastAsia="宋体" w:cs="Times New Roman"/>
                      <w:bCs/>
                      <w:color w:val="000000"/>
                      <w:sz w:val="21"/>
                      <w:szCs w:val="21"/>
                      <w:lang w:val="zh-CN"/>
                    </w:rPr>
                    <w:t>根据工程分析及污染防治分析及主要环境影响和保护措施，本项目废气、废水、噪声、固废污染物经处理后全部达标排放或者合理处置，对环境影响较小，不会改变区域环境功能级别</w:t>
                  </w:r>
                </w:p>
              </w:tc>
              <w:tc>
                <w:tcPr>
                  <w:tcW w:w="519" w:type="pct"/>
                  <w:noWrap w:val="0"/>
                  <w:vAlign w:val="center"/>
                </w:tcPr>
                <w:p w14:paraId="469A1B4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08038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26626098">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3</w:t>
                  </w:r>
                </w:p>
              </w:tc>
              <w:tc>
                <w:tcPr>
                  <w:tcW w:w="516" w:type="pct"/>
                  <w:noWrap w:val="0"/>
                  <w:vAlign w:val="center"/>
                </w:tcPr>
                <w:p w14:paraId="4E2F1F88">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资源利用上线</w:t>
                  </w:r>
                </w:p>
              </w:tc>
              <w:tc>
                <w:tcPr>
                  <w:tcW w:w="1820" w:type="pct"/>
                  <w:noWrap w:val="0"/>
                  <w:vAlign w:val="center"/>
                </w:tcPr>
                <w:p w14:paraId="2DACBD9C">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lang w:eastAsia="zh-CN"/>
                    </w:rPr>
                  </w:pPr>
                  <w:r>
                    <w:rPr>
                      <w:rFonts w:hint="default" w:ascii="Times New Roman" w:hAnsi="Times New Roman" w:eastAsia="宋体" w:cs="Times New Roman"/>
                      <w:color w:val="000000"/>
                      <w:kern w:val="0"/>
                      <w:sz w:val="21"/>
                      <w:szCs w:val="21"/>
                    </w:rPr>
                    <w:t>依据有关资源利用上线要求，即各地区能源、水、土地等资源消耗是不得突破的</w:t>
                  </w:r>
                  <w:r>
                    <w:rPr>
                      <w:rFonts w:hint="default"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天花板</w:t>
                  </w:r>
                  <w:r>
                    <w:rPr>
                      <w:rFonts w:hint="default" w:ascii="Times New Roman" w:hAnsi="Times New Roman" w:eastAsia="宋体" w:cs="Times New Roman"/>
                      <w:color w:val="000000"/>
                      <w:kern w:val="0"/>
                      <w:sz w:val="21"/>
                      <w:szCs w:val="21"/>
                      <w:lang w:eastAsia="zh-CN"/>
                    </w:rPr>
                    <w:t>”</w:t>
                  </w:r>
                </w:p>
              </w:tc>
              <w:tc>
                <w:tcPr>
                  <w:tcW w:w="1869" w:type="pct"/>
                  <w:noWrap w:val="0"/>
                  <w:vAlign w:val="center"/>
                </w:tcPr>
                <w:p w14:paraId="69E809F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本项目位于工业园区，用水取自自来水管网，用电由市政供电网提供，余量充足，项目使用的原材料均为外购，对当地资源利用影响较小，并且项目产生的一般固废会交由物资回收单位处理，从而达到资源充分回收利用的效果。因此，项目建设符合资源利用上线要求。</w:t>
                  </w:r>
                </w:p>
              </w:tc>
              <w:tc>
                <w:tcPr>
                  <w:tcW w:w="519" w:type="pct"/>
                  <w:noWrap w:val="0"/>
                  <w:vAlign w:val="center"/>
                </w:tcPr>
                <w:p w14:paraId="68012C8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2CD891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noWrap w:val="0"/>
                  <w:vAlign w:val="center"/>
                </w:tcPr>
                <w:p w14:paraId="3136D89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w:t>
                  </w:r>
                </w:p>
              </w:tc>
              <w:tc>
                <w:tcPr>
                  <w:tcW w:w="516" w:type="pct"/>
                  <w:noWrap w:val="0"/>
                  <w:vAlign w:val="center"/>
                </w:tcPr>
                <w:p w14:paraId="0C80B41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环境准入负面清单</w:t>
                  </w:r>
                </w:p>
              </w:tc>
              <w:tc>
                <w:tcPr>
                  <w:tcW w:w="1820" w:type="pct"/>
                  <w:noWrap w:val="0"/>
                  <w:vAlign w:val="center"/>
                </w:tcPr>
                <w:p w14:paraId="27A9F99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环境准入负面清单是基于生态保护红线、环境质量底线和资源利用上线，以清单方式列出的禁止、限制等差别化环境准入条件和要求。要在规划环评清单式管理试点的基础上，从布局选址、资源利用率、资源配置方式等方面入手，制定环境准入负面清单，充分发挥负面清单对产业发展和项目准入的指导和约束作用</w:t>
                  </w:r>
                </w:p>
              </w:tc>
              <w:tc>
                <w:tcPr>
                  <w:tcW w:w="1869" w:type="pct"/>
                  <w:noWrap w:val="0"/>
                  <w:vAlign w:val="center"/>
                </w:tcPr>
                <w:p w14:paraId="102FE27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本项目属于C3670汽车零部件及配件制造，项目为新建项目，对照《产业结构调整指导目录（2024年本）》，不属于淘汰类和限制类，视为允许类；不属于《市场准入负面清单》（202</w:t>
                  </w:r>
                  <w:r>
                    <w:rPr>
                      <w:rFonts w:hint="eastAsia" w:cs="Times New Roman"/>
                      <w:color w:val="000000"/>
                      <w:kern w:val="0"/>
                      <w:sz w:val="21"/>
                      <w:szCs w:val="21"/>
                      <w:lang w:val="en-US" w:eastAsia="zh-CN"/>
                    </w:rPr>
                    <w:t>5</w:t>
                  </w:r>
                  <w:r>
                    <w:rPr>
                      <w:rFonts w:hint="default" w:ascii="Times New Roman" w:hAnsi="Times New Roman" w:eastAsia="宋体" w:cs="Times New Roman"/>
                      <w:color w:val="000000"/>
                      <w:kern w:val="0"/>
                      <w:sz w:val="21"/>
                      <w:szCs w:val="21"/>
                    </w:rPr>
                    <w:t>年版）、《芜湖市“三线一单”生态环境准入清单》中限制类和淘汰类建设项目</w:t>
                  </w:r>
                </w:p>
              </w:tc>
              <w:tc>
                <w:tcPr>
                  <w:tcW w:w="519" w:type="pct"/>
                  <w:noWrap w:val="0"/>
                  <w:vAlign w:val="center"/>
                </w:tcPr>
                <w:p w14:paraId="4183774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bl>
          <w:p w14:paraId="46BD60F9">
            <w:pPr>
              <w:adjustRightInd w:val="0"/>
              <w:snapToGrid w:val="0"/>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综上所述，本项目符合《关于以改善环境质量为核心加强环境影响评价管理的通知》（环环评</w:t>
            </w:r>
            <w:r>
              <w:rPr>
                <w:rFonts w:hint="eastAsia" w:ascii="宋体" w:hAnsi="宋体" w:eastAsia="宋体" w:cs="宋体"/>
                <w:b w:val="0"/>
                <w:bCs w:val="0"/>
                <w:color w:val="000000"/>
                <w:sz w:val="24"/>
              </w:rPr>
              <w:t>〔</w:t>
            </w:r>
            <w:r>
              <w:rPr>
                <w:rFonts w:hint="default" w:ascii="Times New Roman" w:hAnsi="Times New Roman" w:eastAsia="宋体" w:cs="Times New Roman"/>
                <w:b w:val="0"/>
                <w:bCs w:val="0"/>
                <w:color w:val="000000"/>
                <w:sz w:val="24"/>
              </w:rPr>
              <w:t>2016</w:t>
            </w:r>
            <w:r>
              <w:rPr>
                <w:rFonts w:hint="eastAsia" w:ascii="宋体" w:hAnsi="宋体" w:eastAsia="宋体" w:cs="宋体"/>
                <w:b w:val="0"/>
                <w:bCs w:val="0"/>
                <w:color w:val="000000"/>
                <w:sz w:val="24"/>
              </w:rPr>
              <w:t>〕</w:t>
            </w:r>
            <w:r>
              <w:rPr>
                <w:rFonts w:hint="default" w:ascii="Times New Roman" w:hAnsi="Times New Roman" w:eastAsia="宋体" w:cs="Times New Roman"/>
                <w:color w:val="000000"/>
                <w:sz w:val="24"/>
              </w:rPr>
              <w:t>150号）中相关要求。</w:t>
            </w:r>
          </w:p>
          <w:p w14:paraId="1EE5ED51">
            <w:pPr>
              <w:spacing w:line="360" w:lineRule="auto"/>
              <w:ind w:firstLine="482" w:firstLineChars="200"/>
              <w:jc w:val="center"/>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4、与《芜湖市生态环境分区管控文本（成果）》（2023年8月）符合性分析</w:t>
            </w:r>
          </w:p>
          <w:p w14:paraId="6E08161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000000"/>
                <w:kern w:val="24"/>
                <w:sz w:val="24"/>
              </w:rPr>
            </w:pPr>
            <w:r>
              <w:rPr>
                <w:rFonts w:hint="default" w:ascii="Times New Roman" w:hAnsi="Times New Roman" w:eastAsia="宋体" w:cs="Times New Roman"/>
                <w:b/>
                <w:bCs/>
                <w:color w:val="000000"/>
                <w:kern w:val="24"/>
                <w:sz w:val="24"/>
              </w:rPr>
              <w:t>表1-</w:t>
            </w:r>
            <w:r>
              <w:rPr>
                <w:rFonts w:hint="default" w:ascii="Times New Roman" w:hAnsi="Times New Roman" w:cs="Times New Roman"/>
                <w:b/>
                <w:bCs/>
                <w:color w:val="000000"/>
                <w:kern w:val="24"/>
                <w:sz w:val="24"/>
                <w:lang w:val="en-US" w:eastAsia="zh-CN"/>
              </w:rPr>
              <w:t>4</w:t>
            </w:r>
            <w:r>
              <w:rPr>
                <w:rFonts w:hint="default" w:ascii="Times New Roman" w:hAnsi="Times New Roman" w:eastAsia="宋体" w:cs="Times New Roman"/>
                <w:b/>
                <w:bCs/>
                <w:color w:val="000000"/>
                <w:kern w:val="24"/>
                <w:sz w:val="24"/>
              </w:rPr>
              <w:t xml:space="preserve">  本项目与芜湖市生态环境分区管控文本相符性分析一览表</w:t>
            </w:r>
          </w:p>
          <w:tbl>
            <w:tblPr>
              <w:tblStyle w:val="59"/>
              <w:tblW w:w="70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3054"/>
              <w:gridCol w:w="2262"/>
              <w:gridCol w:w="687"/>
            </w:tblGrid>
            <w:tr w14:paraId="11FC5D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75" w:type="dxa"/>
                  <w:noWrap w:val="0"/>
                  <w:vAlign w:val="center"/>
                </w:tcPr>
                <w:p w14:paraId="4AE86644">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管控领域</w:t>
                  </w:r>
                </w:p>
              </w:tc>
              <w:tc>
                <w:tcPr>
                  <w:tcW w:w="3054" w:type="dxa"/>
                  <w:noWrap w:val="0"/>
                  <w:vAlign w:val="center"/>
                </w:tcPr>
                <w:p w14:paraId="7D06B3A2">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管控单元及管控要求</w:t>
                  </w:r>
                </w:p>
              </w:tc>
              <w:tc>
                <w:tcPr>
                  <w:tcW w:w="2262" w:type="dxa"/>
                  <w:noWrap w:val="0"/>
                  <w:vAlign w:val="center"/>
                </w:tcPr>
                <w:p w14:paraId="325020CD">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本项目情况</w:t>
                  </w:r>
                </w:p>
              </w:tc>
              <w:tc>
                <w:tcPr>
                  <w:tcW w:w="687" w:type="dxa"/>
                  <w:noWrap w:val="0"/>
                  <w:vAlign w:val="center"/>
                </w:tcPr>
                <w:p w14:paraId="5B9EFD6C">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相符性</w:t>
                  </w:r>
                </w:p>
              </w:tc>
            </w:tr>
            <w:tr w14:paraId="181EB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078" w:type="dxa"/>
                  <w:gridSpan w:val="4"/>
                  <w:noWrap w:val="0"/>
                  <w:vAlign w:val="center"/>
                </w:tcPr>
                <w:p w14:paraId="378558BB">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生态保护红线及生态分区管控</w:t>
                  </w:r>
                </w:p>
              </w:tc>
            </w:tr>
            <w:tr w14:paraId="44143E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1075" w:type="dxa"/>
                  <w:noWrap w:val="0"/>
                  <w:vAlign w:val="center"/>
                </w:tcPr>
                <w:p w14:paraId="1BE7F13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生态分区管控要求</w:t>
                  </w:r>
                </w:p>
              </w:tc>
              <w:tc>
                <w:tcPr>
                  <w:tcW w:w="3054" w:type="dxa"/>
                  <w:noWrap w:val="0"/>
                  <w:vAlign w:val="center"/>
                </w:tcPr>
                <w:p w14:paraId="5B38483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试行</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》，生态保护红线内自然保护区、风景名胜区、饮用水水源保护区等区域，依照法律法规执行。</w:t>
                  </w:r>
                </w:p>
              </w:tc>
              <w:tc>
                <w:tcPr>
                  <w:tcW w:w="2262" w:type="dxa"/>
                  <w:noWrap w:val="0"/>
                  <w:vAlign w:val="center"/>
                </w:tcPr>
                <w:p w14:paraId="5AB33858">
                  <w:pPr>
                    <w:autoSpaceDE w:val="0"/>
                    <w:autoSpaceDN w:val="0"/>
                    <w:adjustRightInd w:val="0"/>
                    <w:snapToGrid w:val="0"/>
                    <w:jc w:val="both"/>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val="en-US" w:eastAsia="zh-CN"/>
                    </w:rPr>
                    <w:t>安徽芜湖</w:t>
                  </w:r>
                  <w:r>
                    <w:rPr>
                      <w:rFonts w:hint="default" w:ascii="Times New Roman" w:hAnsi="Times New Roman" w:cs="Times New Roman"/>
                      <w:color w:val="000000"/>
                      <w:kern w:val="24"/>
                      <w:sz w:val="21"/>
                      <w:szCs w:val="21"/>
                      <w:lang w:eastAsia="zh-CN"/>
                    </w:rPr>
                    <w:t>三山经济开发区凤栖路以南、夏家湖路以西地块</w:t>
                  </w:r>
                  <w:r>
                    <w:rPr>
                      <w:rFonts w:hint="default" w:ascii="Times New Roman" w:hAnsi="Times New Roman" w:eastAsia="宋体" w:cs="Times New Roman"/>
                      <w:color w:val="000000"/>
                      <w:kern w:val="24"/>
                      <w:sz w:val="21"/>
                      <w:szCs w:val="21"/>
                    </w:rPr>
                    <w:t>，不在生态保护红线范围内，详见附图。根据</w:t>
                  </w:r>
                  <w:r>
                    <w:rPr>
                      <w:rFonts w:hint="default" w:ascii="Times New Roman" w:hAnsi="Times New Roman" w:eastAsia="宋体" w:cs="Times New Roman"/>
                      <w:color w:val="000000"/>
                      <w:kern w:val="24"/>
                      <w:sz w:val="21"/>
                      <w:szCs w:val="21"/>
                      <w:u w:val="none"/>
                    </w:rPr>
                    <w:t>《芜湖市生态环境分区管控文本（成果）》</w:t>
                  </w:r>
                  <w:r>
                    <w:rPr>
                      <w:rFonts w:hint="default" w:ascii="Times New Roman" w:hAnsi="Times New Roman" w:eastAsia="宋体" w:cs="Times New Roman"/>
                      <w:color w:val="000000"/>
                      <w:kern w:val="24"/>
                      <w:sz w:val="21"/>
                      <w:szCs w:val="21"/>
                    </w:rPr>
                    <w:t>，本项目区域亦不涉及一般生态空间区域。</w:t>
                  </w:r>
                </w:p>
              </w:tc>
              <w:tc>
                <w:tcPr>
                  <w:tcW w:w="687" w:type="dxa"/>
                  <w:noWrap w:val="0"/>
                  <w:vAlign w:val="center"/>
                </w:tcPr>
                <w:p w14:paraId="1F046577">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7D938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78" w:type="dxa"/>
                  <w:gridSpan w:val="4"/>
                  <w:noWrap w:val="0"/>
                  <w:vAlign w:val="center"/>
                </w:tcPr>
                <w:p w14:paraId="347DE842">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环境质量底线及环境分区管控</w:t>
                  </w:r>
                </w:p>
              </w:tc>
            </w:tr>
            <w:tr w14:paraId="2FB2E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48FC937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水环境质量底线及分区管控</w:t>
                  </w:r>
                </w:p>
              </w:tc>
              <w:tc>
                <w:tcPr>
                  <w:tcW w:w="3054" w:type="dxa"/>
                  <w:noWrap w:val="0"/>
                  <w:vAlign w:val="center"/>
                </w:tcPr>
                <w:p w14:paraId="735FD9DD">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芜湖市水环境管控分区包括优先保护区、重点管控区和一般管控区。</w:t>
                  </w:r>
                </w:p>
              </w:tc>
              <w:tc>
                <w:tcPr>
                  <w:tcW w:w="2262" w:type="dxa"/>
                  <w:vMerge w:val="restart"/>
                  <w:noWrap w:val="0"/>
                  <w:vAlign w:val="center"/>
                </w:tcPr>
                <w:p w14:paraId="172A1148">
                  <w:pPr>
                    <w:autoSpaceDE w:val="0"/>
                    <w:autoSpaceDN w:val="0"/>
                    <w:adjustRightInd w:val="0"/>
                    <w:snapToGrid w:val="0"/>
                    <w:jc w:val="both"/>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val="en-US" w:eastAsia="zh-CN"/>
                    </w:rPr>
                    <w:t>安徽芜湖</w:t>
                  </w:r>
                  <w:r>
                    <w:rPr>
                      <w:rFonts w:hint="default" w:ascii="Times New Roman" w:hAnsi="Times New Roman" w:cs="Times New Roman"/>
                      <w:color w:val="000000"/>
                      <w:kern w:val="24"/>
                      <w:sz w:val="21"/>
                      <w:szCs w:val="21"/>
                      <w:lang w:eastAsia="zh-CN"/>
                    </w:rPr>
                    <w:t>三山经济开发区凤栖路以南、夏家湖路以西地块</w:t>
                  </w:r>
                  <w:r>
                    <w:rPr>
                      <w:rFonts w:hint="default" w:ascii="Times New Roman" w:hAnsi="Times New Roman" w:eastAsia="宋体" w:cs="Times New Roman"/>
                      <w:color w:val="auto"/>
                      <w:kern w:val="24"/>
                      <w:sz w:val="21"/>
                      <w:szCs w:val="21"/>
                    </w:rPr>
                    <w:t>，属于水环境工业污染重点管控区。本项目废水主要为生活污水，通过市政管网排入</w:t>
                  </w:r>
                  <w:r>
                    <w:rPr>
                      <w:rFonts w:hint="default" w:ascii="Times New Roman" w:hAnsi="Times New Roman" w:cs="Times New Roman"/>
                      <w:color w:val="auto"/>
                      <w:kern w:val="24"/>
                      <w:sz w:val="21"/>
                      <w:szCs w:val="21"/>
                      <w:lang w:val="en-US" w:eastAsia="zh-CN"/>
                    </w:rPr>
                    <w:t>芜湖市滨江污水</w:t>
                  </w:r>
                  <w:r>
                    <w:rPr>
                      <w:rFonts w:hint="default" w:ascii="Times New Roman" w:hAnsi="Times New Roman" w:eastAsia="宋体" w:cs="Times New Roman"/>
                      <w:color w:val="auto"/>
                      <w:sz w:val="21"/>
                      <w:szCs w:val="21"/>
                      <w:lang w:val="en-US" w:eastAsia="zh-CN"/>
                    </w:rPr>
                    <w:t>处理厂</w:t>
                  </w:r>
                  <w:r>
                    <w:rPr>
                      <w:rFonts w:hint="default" w:ascii="Times New Roman" w:hAnsi="Times New Roman" w:eastAsia="宋体" w:cs="Times New Roman"/>
                      <w:color w:val="auto"/>
                      <w:kern w:val="24"/>
                      <w:sz w:val="21"/>
                      <w:szCs w:val="21"/>
                    </w:rPr>
                    <w:t>集中处理。</w:t>
                  </w:r>
                </w:p>
              </w:tc>
              <w:tc>
                <w:tcPr>
                  <w:tcW w:w="687" w:type="dxa"/>
                  <w:vMerge w:val="restart"/>
                  <w:noWrap w:val="0"/>
                  <w:vAlign w:val="center"/>
                </w:tcPr>
                <w:p w14:paraId="3A2C0C74">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5DAE31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4" w:hRule="atLeast"/>
                <w:jc w:val="center"/>
              </w:trPr>
              <w:tc>
                <w:tcPr>
                  <w:tcW w:w="1075" w:type="dxa"/>
                  <w:vMerge w:val="continue"/>
                  <w:noWrap w:val="0"/>
                  <w:vAlign w:val="center"/>
                </w:tcPr>
                <w:p w14:paraId="4CBBAF09">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054" w:type="dxa"/>
                  <w:noWrap w:val="0"/>
                  <w:vAlign w:val="center"/>
                </w:tcPr>
                <w:p w14:paraId="72579460">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生态环境保护规划》、《安徽省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节能减排实施方案》、《芜湖市</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节能减排实施方案》等要求，新建、改建和扩建项目水污染物实施</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等量替代</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w:t>
                  </w:r>
                </w:p>
              </w:tc>
              <w:tc>
                <w:tcPr>
                  <w:tcW w:w="2262" w:type="dxa"/>
                  <w:vMerge w:val="continue"/>
                  <w:noWrap w:val="0"/>
                  <w:vAlign w:val="center"/>
                </w:tcPr>
                <w:p w14:paraId="4E215BAC">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33A7D387">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5FA29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1D4F05D9">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大气环境质量底线及分区管控</w:t>
                  </w:r>
                </w:p>
              </w:tc>
              <w:tc>
                <w:tcPr>
                  <w:tcW w:w="3054" w:type="dxa"/>
                  <w:noWrap w:val="0"/>
                  <w:vAlign w:val="center"/>
                </w:tcPr>
                <w:p w14:paraId="26D562D9">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芜湖市大气环境管控分区包括优先保护区、重点管控区和一般管控区。</w:t>
                  </w:r>
                </w:p>
              </w:tc>
              <w:tc>
                <w:tcPr>
                  <w:tcW w:w="2262" w:type="dxa"/>
                  <w:vMerge w:val="restart"/>
                  <w:noWrap w:val="0"/>
                  <w:vAlign w:val="center"/>
                </w:tcPr>
                <w:p w14:paraId="5B581890">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val="en-US" w:eastAsia="zh-CN"/>
                    </w:rPr>
                    <w:t>安徽芜湖</w:t>
                  </w:r>
                  <w:r>
                    <w:rPr>
                      <w:rFonts w:hint="default" w:ascii="Times New Roman" w:hAnsi="Times New Roman" w:cs="Times New Roman"/>
                      <w:color w:val="000000"/>
                      <w:kern w:val="24"/>
                      <w:sz w:val="21"/>
                      <w:szCs w:val="21"/>
                      <w:lang w:eastAsia="zh-CN"/>
                    </w:rPr>
                    <w:t>三山经济开发区凤栖路以南、夏家湖路以西地块</w:t>
                  </w:r>
                  <w:r>
                    <w:rPr>
                      <w:rFonts w:hint="default" w:ascii="Times New Roman" w:hAnsi="Times New Roman" w:eastAsia="宋体" w:cs="Times New Roman"/>
                      <w:color w:val="000000"/>
                      <w:kern w:val="24"/>
                      <w:sz w:val="21"/>
                      <w:szCs w:val="21"/>
                    </w:rPr>
                    <w:t>，属于重点管控区。根据《202</w:t>
                  </w:r>
                  <w:r>
                    <w:rPr>
                      <w:rFonts w:hint="default" w:ascii="Times New Roman" w:hAnsi="Times New Roman" w:cs="Times New Roman"/>
                      <w:color w:val="000000"/>
                      <w:kern w:val="24"/>
                      <w:sz w:val="21"/>
                      <w:szCs w:val="21"/>
                      <w:lang w:val="en-US" w:eastAsia="zh-CN"/>
                    </w:rPr>
                    <w:t>4</w:t>
                  </w:r>
                  <w:r>
                    <w:rPr>
                      <w:rFonts w:hint="default" w:ascii="Times New Roman" w:hAnsi="Times New Roman" w:eastAsia="宋体" w:cs="Times New Roman"/>
                      <w:color w:val="000000"/>
                      <w:kern w:val="24"/>
                      <w:sz w:val="21"/>
                      <w:szCs w:val="21"/>
                    </w:rPr>
                    <w:t>年芜湖市生态环境状况公报》可知，项目区域202</w:t>
                  </w:r>
                  <w:r>
                    <w:rPr>
                      <w:rFonts w:hint="default" w:ascii="Times New Roman" w:hAnsi="Times New Roman" w:eastAsia="宋体" w:cs="Times New Roman"/>
                      <w:color w:val="000000"/>
                      <w:kern w:val="24"/>
                      <w:sz w:val="21"/>
                      <w:szCs w:val="21"/>
                      <w:lang w:val="en-US" w:eastAsia="zh-CN"/>
                    </w:rPr>
                    <w:t>3</w:t>
                  </w:r>
                  <w:r>
                    <w:rPr>
                      <w:rFonts w:hint="default" w:ascii="Times New Roman" w:hAnsi="Times New Roman" w:eastAsia="宋体" w:cs="Times New Roman"/>
                      <w:color w:val="000000"/>
                      <w:kern w:val="24"/>
                      <w:sz w:val="21"/>
                      <w:szCs w:val="21"/>
                    </w:rPr>
                    <w:t>年度PM</w:t>
                  </w:r>
                  <w:r>
                    <w:rPr>
                      <w:rFonts w:hint="default" w:ascii="Times New Roman" w:hAnsi="Times New Roman" w:eastAsia="宋体" w:cs="Times New Roman"/>
                      <w:color w:val="000000"/>
                      <w:kern w:val="24"/>
                      <w:sz w:val="21"/>
                      <w:szCs w:val="21"/>
                      <w:vertAlign w:val="subscript"/>
                      <w:lang w:val="en-US" w:eastAsia="zh-CN"/>
                    </w:rPr>
                    <w:t>2.5</w:t>
                  </w:r>
                  <w:r>
                    <w:rPr>
                      <w:rFonts w:hint="default" w:ascii="Times New Roman" w:hAnsi="Times New Roman" w:eastAsia="宋体" w:cs="Times New Roman"/>
                      <w:color w:val="000000"/>
                      <w:kern w:val="24"/>
                      <w:sz w:val="21"/>
                      <w:szCs w:val="21"/>
                    </w:rPr>
                    <w:t>达标，大气主要污染物总量指标实行区域内等量削减替代，建设项目需向生态环境主管部门申请大气污染物总量指标，不会降低区域现有环境功能。</w:t>
                  </w:r>
                </w:p>
              </w:tc>
              <w:tc>
                <w:tcPr>
                  <w:tcW w:w="687" w:type="dxa"/>
                  <w:vMerge w:val="restart"/>
                  <w:noWrap w:val="0"/>
                  <w:vAlign w:val="center"/>
                </w:tcPr>
                <w:p w14:paraId="0D46AB3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7A8DD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9" w:hRule="atLeast"/>
                <w:jc w:val="center"/>
              </w:trPr>
              <w:tc>
                <w:tcPr>
                  <w:tcW w:w="1075" w:type="dxa"/>
                  <w:vMerge w:val="continue"/>
                  <w:noWrap w:val="0"/>
                  <w:vAlign w:val="center"/>
                </w:tcPr>
                <w:p w14:paraId="498C7FEF">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054" w:type="dxa"/>
                  <w:noWrap w:val="0"/>
                  <w:vAlign w:val="center"/>
                </w:tcPr>
                <w:p w14:paraId="47799DDE">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重点管控区：落实《安徽省大气污染防治条例》、《</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生态环境保护规划》、《安徽省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环境保护规划》、《芜湖市</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环境保护规划》、《重点行业挥发性有机物综合治理方案》等要求，严格目标实施计划，加强环境监管，促进生态环境质量好转。若上年度PM</w:t>
                  </w:r>
                  <w:r>
                    <w:rPr>
                      <w:rFonts w:hint="default" w:ascii="Times New Roman" w:hAnsi="Times New Roman" w:eastAsia="宋体" w:cs="Times New Roman"/>
                      <w:color w:val="000000"/>
                      <w:kern w:val="24"/>
                      <w:sz w:val="21"/>
                      <w:szCs w:val="21"/>
                      <w:vertAlign w:val="subscript"/>
                    </w:rPr>
                    <w:t>2.5</w:t>
                  </w:r>
                  <w:r>
                    <w:rPr>
                      <w:rFonts w:hint="default" w:ascii="Times New Roman" w:hAnsi="Times New Roman" w:eastAsia="宋体" w:cs="Times New Roman"/>
                      <w:color w:val="000000"/>
                      <w:kern w:val="24"/>
                      <w:sz w:val="21"/>
                      <w:szCs w:val="21"/>
                    </w:rPr>
                    <w:t>不达标，新建、改建和扩建项目大气污染物实施</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倍量替代</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，执行特别排放标准的行业实施提标升级改造。</w:t>
                  </w:r>
                </w:p>
              </w:tc>
              <w:tc>
                <w:tcPr>
                  <w:tcW w:w="2262" w:type="dxa"/>
                  <w:vMerge w:val="continue"/>
                  <w:noWrap w:val="0"/>
                  <w:vAlign w:val="center"/>
                </w:tcPr>
                <w:p w14:paraId="1144BC5D">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17177F1D">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60E0F5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64E041AC">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土壤环境风险防控底线及分区管控</w:t>
                  </w:r>
                </w:p>
              </w:tc>
              <w:tc>
                <w:tcPr>
                  <w:tcW w:w="3054" w:type="dxa"/>
                  <w:noWrap w:val="0"/>
                  <w:vAlign w:val="center"/>
                </w:tcPr>
                <w:p w14:paraId="5F88C3F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芜湖市土壤风险防控分区包括优先保护区、重点管控区和一般管控区。</w:t>
                  </w:r>
                </w:p>
              </w:tc>
              <w:tc>
                <w:tcPr>
                  <w:tcW w:w="2262" w:type="dxa"/>
                  <w:vMerge w:val="restart"/>
                  <w:noWrap w:val="0"/>
                  <w:vAlign w:val="center"/>
                </w:tcPr>
                <w:p w14:paraId="34A8BBA2">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val="en-US" w:eastAsia="zh-CN"/>
                    </w:rPr>
                    <w:t>安徽芜湖</w:t>
                  </w:r>
                  <w:r>
                    <w:rPr>
                      <w:rFonts w:hint="default" w:ascii="Times New Roman" w:hAnsi="Times New Roman" w:cs="Times New Roman"/>
                      <w:color w:val="000000"/>
                      <w:kern w:val="24"/>
                      <w:sz w:val="21"/>
                      <w:szCs w:val="21"/>
                      <w:lang w:eastAsia="zh-CN"/>
                    </w:rPr>
                    <w:t>三山经济开发区凤栖路以南、夏家湖路以西地块</w:t>
                  </w:r>
                  <w:r>
                    <w:rPr>
                      <w:rFonts w:hint="default" w:ascii="Times New Roman" w:hAnsi="Times New Roman" w:eastAsia="宋体" w:cs="Times New Roman"/>
                      <w:color w:val="auto"/>
                      <w:kern w:val="24"/>
                      <w:sz w:val="21"/>
                      <w:szCs w:val="21"/>
                    </w:rPr>
                    <w:t>，属于土壤环境一般管控区。本项目不涉及有色金属冶炼、石油加工、化工、焦</w:t>
                  </w:r>
                  <w:r>
                    <w:rPr>
                      <w:rFonts w:hint="default" w:ascii="Times New Roman" w:hAnsi="Times New Roman" w:eastAsia="宋体" w:cs="Times New Roman"/>
                      <w:color w:val="000000"/>
                      <w:kern w:val="24"/>
                      <w:sz w:val="21"/>
                      <w:szCs w:val="21"/>
                    </w:rPr>
                    <w:t>化、电镀、制革等行业生产经营活动，且项目采取分区防渗，因此不会对区域土壤环境造成影响。</w:t>
                  </w:r>
                </w:p>
              </w:tc>
              <w:tc>
                <w:tcPr>
                  <w:tcW w:w="687" w:type="dxa"/>
                  <w:vMerge w:val="restart"/>
                  <w:noWrap w:val="0"/>
                  <w:vAlign w:val="center"/>
                </w:tcPr>
                <w:p w14:paraId="5E497DB2">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6D070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5" w:hRule="atLeast"/>
                <w:jc w:val="center"/>
              </w:trPr>
              <w:tc>
                <w:tcPr>
                  <w:tcW w:w="1075" w:type="dxa"/>
                  <w:vMerge w:val="continue"/>
                  <w:noWrap w:val="0"/>
                  <w:vAlign w:val="center"/>
                </w:tcPr>
                <w:p w14:paraId="07D3E01C">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054" w:type="dxa"/>
                  <w:noWrap w:val="0"/>
                  <w:vAlign w:val="center"/>
                </w:tcPr>
                <w:p w14:paraId="66CD686D">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一般管控区：依据《中华人民共和国土壤污染防治法》、《土壤污染防治行动计划》、《安徽省土壤污染防治工作方案》、《安徽省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环境保护规划》、《芜湖市土壤污染防治工作方案》等要求及各市土壤污染防治工作方案对一般管控区实施管控。</w:t>
                  </w:r>
                </w:p>
              </w:tc>
              <w:tc>
                <w:tcPr>
                  <w:tcW w:w="2262" w:type="dxa"/>
                  <w:vMerge w:val="continue"/>
                  <w:noWrap w:val="0"/>
                  <w:vAlign w:val="center"/>
                </w:tcPr>
                <w:p w14:paraId="446C21F1">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3070DC9C">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572F7B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78" w:type="dxa"/>
                  <w:gridSpan w:val="4"/>
                  <w:noWrap w:val="0"/>
                  <w:vAlign w:val="center"/>
                </w:tcPr>
                <w:p w14:paraId="3B4BF377">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资源利用上线及自然资源开发分区管控</w:t>
                  </w:r>
                </w:p>
              </w:tc>
            </w:tr>
            <w:tr w14:paraId="5E5E6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9" w:hRule="atLeast"/>
                <w:jc w:val="center"/>
              </w:trPr>
              <w:tc>
                <w:tcPr>
                  <w:tcW w:w="1075" w:type="dxa"/>
                  <w:noWrap w:val="0"/>
                  <w:vAlign w:val="center"/>
                </w:tcPr>
                <w:p w14:paraId="5C06668C">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水资源利用上线及分区管控</w:t>
                  </w:r>
                </w:p>
              </w:tc>
              <w:tc>
                <w:tcPr>
                  <w:tcW w:w="3054" w:type="dxa"/>
                  <w:noWrap w:val="0"/>
                  <w:vAlign w:val="center"/>
                </w:tcPr>
                <w:p w14:paraId="260CB911">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芜湖市水资源管控分区全部为一般管控区。管控要求：落实《国务院办公厅关于印发实行最严格水资源管理制度考核办法的通知》、《</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水资源消耗总量和强度双控行动方案》、《安徽省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水资源消耗总量和强度双控工作方案》和《芜湖市</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水资源消耗总量和强度双控工作方案》等要求。</w:t>
                  </w:r>
                </w:p>
              </w:tc>
              <w:tc>
                <w:tcPr>
                  <w:tcW w:w="2262" w:type="dxa"/>
                  <w:noWrap w:val="0"/>
                  <w:vAlign w:val="center"/>
                </w:tcPr>
                <w:p w14:paraId="3E31D57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本项目用水来自区域市政供水管网，新增用水主要为生活用水；满足水资源利用上线要求。</w:t>
                  </w:r>
                </w:p>
              </w:tc>
              <w:tc>
                <w:tcPr>
                  <w:tcW w:w="687" w:type="dxa"/>
                  <w:noWrap w:val="0"/>
                  <w:vAlign w:val="center"/>
                </w:tcPr>
                <w:p w14:paraId="248263B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57B91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75" w:type="dxa"/>
                  <w:vMerge w:val="restart"/>
                  <w:noWrap w:val="0"/>
                  <w:vAlign w:val="center"/>
                </w:tcPr>
                <w:p w14:paraId="48FDC21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土地资源利用上线及分区管控</w:t>
                  </w:r>
                </w:p>
              </w:tc>
              <w:tc>
                <w:tcPr>
                  <w:tcW w:w="3054" w:type="dxa"/>
                  <w:noWrap w:val="0"/>
                  <w:vAlign w:val="center"/>
                </w:tcPr>
                <w:p w14:paraId="0A6B8F4B">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芜湖市土地资源管控区划分为两类，分别为重点管控区和一般管控区。</w:t>
                  </w:r>
                </w:p>
              </w:tc>
              <w:tc>
                <w:tcPr>
                  <w:tcW w:w="2262" w:type="dxa"/>
                  <w:vMerge w:val="restart"/>
                  <w:noWrap w:val="0"/>
                  <w:vAlign w:val="center"/>
                </w:tcPr>
                <w:p w14:paraId="733B635E">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本项目位于</w:t>
                  </w:r>
                  <w:r>
                    <w:rPr>
                      <w:rFonts w:hint="default" w:ascii="Times New Roman" w:hAnsi="Times New Roman" w:cs="Times New Roman"/>
                      <w:color w:val="000000"/>
                      <w:kern w:val="24"/>
                      <w:sz w:val="21"/>
                      <w:szCs w:val="21"/>
                      <w:lang w:val="en-US" w:eastAsia="zh-CN"/>
                    </w:rPr>
                    <w:t>安徽芜湖</w:t>
                  </w:r>
                  <w:r>
                    <w:rPr>
                      <w:rFonts w:hint="default" w:ascii="Times New Roman" w:hAnsi="Times New Roman" w:cs="Times New Roman"/>
                      <w:color w:val="000000"/>
                      <w:kern w:val="24"/>
                      <w:sz w:val="21"/>
                      <w:szCs w:val="21"/>
                      <w:lang w:eastAsia="zh-CN"/>
                    </w:rPr>
                    <w:t>三山经济开发区凤栖路以南、夏家湖路以西地块</w:t>
                  </w:r>
                  <w:r>
                    <w:rPr>
                      <w:rFonts w:hint="default" w:ascii="Times New Roman" w:hAnsi="Times New Roman" w:eastAsia="宋体" w:cs="Times New Roman"/>
                      <w:color w:val="000000"/>
                      <w:kern w:val="24"/>
                      <w:sz w:val="21"/>
                      <w:szCs w:val="21"/>
                    </w:rPr>
                    <w:t>，属于土地资源重点管控区。本项目用地为工业用地，符合规划要求。土地节约集约利用水平较高，不会突破土地资源利用上线。</w:t>
                  </w:r>
                </w:p>
              </w:tc>
              <w:tc>
                <w:tcPr>
                  <w:tcW w:w="687" w:type="dxa"/>
                  <w:vMerge w:val="restart"/>
                  <w:noWrap w:val="0"/>
                  <w:vAlign w:val="center"/>
                </w:tcPr>
                <w:p w14:paraId="684AD858">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79C16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1075" w:type="dxa"/>
                  <w:vMerge w:val="continue"/>
                  <w:noWrap w:val="0"/>
                  <w:vAlign w:val="center"/>
                </w:tcPr>
                <w:p w14:paraId="2E0B6BFF">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3054" w:type="dxa"/>
                  <w:noWrap w:val="0"/>
                  <w:vAlign w:val="center"/>
                </w:tcPr>
                <w:p w14:paraId="742835CA">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落实《全国国土空间规划纲要（2021-2035年）》、《安徽省国土空间规划（2021-2035年）》、《芜湖市国土空间规划（2021-2035年）》、《自然资源</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规划编制工作方案》、《安徽省</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十四五</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自然资源保护和利用规划》等要求。</w:t>
                  </w:r>
                </w:p>
              </w:tc>
              <w:tc>
                <w:tcPr>
                  <w:tcW w:w="2262" w:type="dxa"/>
                  <w:vMerge w:val="continue"/>
                  <w:noWrap w:val="0"/>
                  <w:vAlign w:val="center"/>
                </w:tcPr>
                <w:p w14:paraId="5A47D74F">
                  <w:pPr>
                    <w:autoSpaceDE w:val="0"/>
                    <w:autoSpaceDN w:val="0"/>
                    <w:adjustRightInd w:val="0"/>
                    <w:snapToGrid w:val="0"/>
                    <w:jc w:val="center"/>
                    <w:rPr>
                      <w:rFonts w:hint="default" w:ascii="Times New Roman" w:hAnsi="Times New Roman" w:eastAsia="宋体" w:cs="Times New Roman"/>
                      <w:color w:val="000000"/>
                      <w:kern w:val="24"/>
                      <w:sz w:val="21"/>
                      <w:szCs w:val="21"/>
                    </w:rPr>
                  </w:pPr>
                </w:p>
              </w:tc>
              <w:tc>
                <w:tcPr>
                  <w:tcW w:w="687" w:type="dxa"/>
                  <w:vMerge w:val="continue"/>
                  <w:noWrap w:val="0"/>
                  <w:vAlign w:val="center"/>
                </w:tcPr>
                <w:p w14:paraId="2BFE789B">
                  <w:pPr>
                    <w:autoSpaceDE w:val="0"/>
                    <w:autoSpaceDN w:val="0"/>
                    <w:adjustRightInd w:val="0"/>
                    <w:snapToGrid w:val="0"/>
                    <w:jc w:val="center"/>
                    <w:rPr>
                      <w:rFonts w:hint="default" w:ascii="Times New Roman" w:hAnsi="Times New Roman" w:eastAsia="宋体" w:cs="Times New Roman"/>
                      <w:color w:val="000000"/>
                      <w:kern w:val="24"/>
                      <w:sz w:val="21"/>
                      <w:szCs w:val="21"/>
                    </w:rPr>
                  </w:pPr>
                </w:p>
              </w:tc>
            </w:tr>
            <w:tr w14:paraId="3B4C8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1075" w:type="dxa"/>
                  <w:noWrap w:val="0"/>
                  <w:vAlign w:val="center"/>
                </w:tcPr>
                <w:p w14:paraId="0625D67D">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岸线资源利用上线及分区管控</w:t>
                  </w:r>
                </w:p>
              </w:tc>
              <w:tc>
                <w:tcPr>
                  <w:tcW w:w="3054" w:type="dxa"/>
                  <w:noWrap w:val="0"/>
                  <w:vAlign w:val="center"/>
                </w:tcPr>
                <w:p w14:paraId="4B388600">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按照生态环境部</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三线一单</w:t>
                  </w:r>
                  <w:r>
                    <w:rPr>
                      <w:rFonts w:hint="default" w:ascii="Times New Roman" w:hAnsi="Times New Roman" w:eastAsia="宋体" w:cs="Times New Roman"/>
                      <w:color w:val="000000"/>
                      <w:kern w:val="24"/>
                      <w:sz w:val="21"/>
                      <w:szCs w:val="21"/>
                      <w:lang w:eastAsia="zh-CN"/>
                    </w:rPr>
                    <w:t>”</w:t>
                  </w:r>
                  <w:r>
                    <w:rPr>
                      <w:rFonts w:hint="default" w:ascii="Times New Roman" w:hAnsi="Times New Roman" w:eastAsia="宋体" w:cs="Times New Roman"/>
                      <w:color w:val="000000"/>
                      <w:kern w:val="24"/>
                      <w:sz w:val="21"/>
                      <w:szCs w:val="21"/>
                    </w:rPr>
                    <w:t>岸线生态环境分类管控技术说明，长江岸线分为优先保护岸线、重点管控岸线、一般管控岸线。</w:t>
                  </w:r>
                </w:p>
              </w:tc>
              <w:tc>
                <w:tcPr>
                  <w:tcW w:w="2262" w:type="dxa"/>
                  <w:noWrap w:val="0"/>
                  <w:vAlign w:val="center"/>
                </w:tcPr>
                <w:p w14:paraId="4EBDDFD6">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auto"/>
                      <w:sz w:val="21"/>
                      <w:szCs w:val="21"/>
                    </w:rPr>
                    <w:t>本项目距离长江</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芜湖段</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岸线约</w:t>
                  </w:r>
                  <w:r>
                    <w:rPr>
                      <w:rFonts w:hint="default" w:ascii="Times New Roman" w:hAnsi="Times New Roman" w:cs="Times New Roman"/>
                      <w:color w:val="auto"/>
                      <w:sz w:val="21"/>
                      <w:szCs w:val="21"/>
                      <w:lang w:val="en-US" w:eastAsia="zh-CN"/>
                    </w:rPr>
                    <w:t>5.6</w:t>
                  </w:r>
                  <w:r>
                    <w:rPr>
                      <w:rFonts w:hint="default" w:ascii="Times New Roman" w:hAnsi="Times New Roman" w:eastAsia="宋体" w:cs="Times New Roman"/>
                      <w:color w:val="auto"/>
                      <w:sz w:val="21"/>
                      <w:szCs w:val="21"/>
                      <w:lang w:val="en-US" w:eastAsia="zh-CN"/>
                    </w:rPr>
                    <w:t>k</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4"/>
                      <w:sz w:val="21"/>
                      <w:szCs w:val="21"/>
                    </w:rPr>
                    <w:t>不涉及长江</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芜湖段</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4"/>
                      <w:sz w:val="21"/>
                      <w:szCs w:val="21"/>
                    </w:rPr>
                    <w:t>岸线。</w:t>
                  </w:r>
                </w:p>
              </w:tc>
              <w:tc>
                <w:tcPr>
                  <w:tcW w:w="687" w:type="dxa"/>
                  <w:noWrap w:val="0"/>
                  <w:vAlign w:val="center"/>
                </w:tcPr>
                <w:p w14:paraId="15E8C2F4">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r w14:paraId="17453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78" w:type="dxa"/>
                  <w:gridSpan w:val="4"/>
                  <w:noWrap w:val="0"/>
                  <w:vAlign w:val="center"/>
                </w:tcPr>
                <w:p w14:paraId="31D6FFB5">
                  <w:pPr>
                    <w:autoSpaceDE w:val="0"/>
                    <w:autoSpaceDN w:val="0"/>
                    <w:adjustRightInd w:val="0"/>
                    <w:snapToGrid w:val="0"/>
                    <w:jc w:val="center"/>
                    <w:rPr>
                      <w:rFonts w:hint="default" w:ascii="Times New Roman" w:hAnsi="Times New Roman" w:eastAsia="宋体" w:cs="Times New Roman"/>
                      <w:b/>
                      <w:bCs/>
                      <w:color w:val="000000"/>
                      <w:kern w:val="24"/>
                      <w:sz w:val="21"/>
                      <w:szCs w:val="21"/>
                    </w:rPr>
                  </w:pPr>
                  <w:r>
                    <w:rPr>
                      <w:rFonts w:hint="default" w:ascii="Times New Roman" w:hAnsi="Times New Roman" w:eastAsia="宋体" w:cs="Times New Roman"/>
                      <w:b/>
                      <w:bCs/>
                      <w:color w:val="000000"/>
                      <w:kern w:val="24"/>
                      <w:sz w:val="21"/>
                      <w:szCs w:val="21"/>
                    </w:rPr>
                    <w:t>生态环境准入清单</w:t>
                  </w:r>
                </w:p>
              </w:tc>
            </w:tr>
            <w:tr w14:paraId="725D1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1075" w:type="dxa"/>
                  <w:noWrap w:val="0"/>
                  <w:vAlign w:val="center"/>
                </w:tcPr>
                <w:p w14:paraId="2168BA2E">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开发区清单</w:t>
                  </w:r>
                </w:p>
              </w:tc>
              <w:tc>
                <w:tcPr>
                  <w:tcW w:w="3054" w:type="dxa"/>
                  <w:noWrap w:val="0"/>
                  <w:vAlign w:val="center"/>
                </w:tcPr>
                <w:p w14:paraId="16A8C72F">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根据芜湖市各开发区基础特征、产业发展特点，考虑开发区主要环境问题，结合已批复的规划环评（或跟踪环评）报告要求，确定各开发区差异化清单。</w:t>
                  </w:r>
                </w:p>
              </w:tc>
              <w:tc>
                <w:tcPr>
                  <w:tcW w:w="2262" w:type="dxa"/>
                  <w:noWrap w:val="0"/>
                  <w:vAlign w:val="center"/>
                </w:tcPr>
                <w:p w14:paraId="41930396">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项目</w:t>
                  </w:r>
                  <w:r>
                    <w:rPr>
                      <w:rFonts w:hint="default" w:ascii="Times New Roman" w:hAnsi="Times New Roman" w:eastAsia="宋体" w:cs="Times New Roman"/>
                      <w:color w:val="000000"/>
                      <w:spacing w:val="-4"/>
                      <w:sz w:val="21"/>
                      <w:szCs w:val="21"/>
                    </w:rPr>
                    <w:t>不属于《产业结构调整指导目录（2024年本）》中的鼓励类及限制类项目，视为允许类项目；不属于《市场准入负面清单（202</w:t>
                  </w:r>
                  <w:r>
                    <w:rPr>
                      <w:rFonts w:hint="eastAsia" w:cs="Times New Roman"/>
                      <w:color w:val="000000"/>
                      <w:spacing w:val="-4"/>
                      <w:sz w:val="21"/>
                      <w:szCs w:val="21"/>
                      <w:lang w:val="en-US" w:eastAsia="zh-CN"/>
                    </w:rPr>
                    <w:t>5</w:t>
                  </w:r>
                  <w:r>
                    <w:rPr>
                      <w:rFonts w:hint="default" w:ascii="Times New Roman" w:hAnsi="Times New Roman" w:eastAsia="宋体" w:cs="Times New Roman"/>
                      <w:color w:val="000000"/>
                      <w:spacing w:val="-4"/>
                      <w:sz w:val="21"/>
                      <w:szCs w:val="21"/>
                    </w:rPr>
                    <w:t>年版，试行）》和《长江经济带发展负面清单指南》（试行）中的项目</w:t>
                  </w:r>
                  <w:r>
                    <w:rPr>
                      <w:rFonts w:hint="default" w:ascii="Times New Roman" w:hAnsi="Times New Roman" w:eastAsia="宋体" w:cs="Times New Roman"/>
                      <w:color w:val="000000"/>
                      <w:kern w:val="24"/>
                      <w:sz w:val="21"/>
                      <w:szCs w:val="21"/>
                    </w:rPr>
                    <w:t>，</w:t>
                  </w:r>
                  <w:r>
                    <w:rPr>
                      <w:rFonts w:hint="default" w:ascii="Times New Roman" w:hAnsi="Times New Roman" w:eastAsia="宋体" w:cs="Times New Roman"/>
                      <w:color w:val="000000"/>
                      <w:kern w:val="24"/>
                      <w:sz w:val="21"/>
                      <w:szCs w:val="21"/>
                      <w:lang w:val="en-US" w:eastAsia="zh-CN"/>
                    </w:rPr>
                    <w:t>不在</w:t>
                  </w:r>
                  <w:r>
                    <w:rPr>
                      <w:rFonts w:hint="default" w:ascii="Times New Roman" w:hAnsi="Times New Roman" w:eastAsia="宋体" w:cs="Times New Roman"/>
                      <w:color w:val="000000"/>
                      <w:kern w:val="24"/>
                      <w:sz w:val="21"/>
                      <w:szCs w:val="21"/>
                    </w:rPr>
                    <w:t>园区限制准入及禁止准入负面清单</w:t>
                  </w:r>
                  <w:r>
                    <w:rPr>
                      <w:rFonts w:hint="default" w:ascii="Times New Roman" w:hAnsi="Times New Roman" w:eastAsia="宋体" w:cs="Times New Roman"/>
                      <w:color w:val="000000"/>
                      <w:kern w:val="24"/>
                      <w:sz w:val="21"/>
                      <w:szCs w:val="21"/>
                      <w:lang w:val="en-US" w:eastAsia="zh-CN"/>
                    </w:rPr>
                    <w:t>内。</w:t>
                  </w:r>
                  <w:r>
                    <w:rPr>
                      <w:rFonts w:hint="default" w:ascii="Times New Roman" w:hAnsi="Times New Roman" w:eastAsia="宋体" w:cs="Times New Roman"/>
                      <w:color w:val="000000"/>
                      <w:kern w:val="24"/>
                      <w:sz w:val="21"/>
                      <w:szCs w:val="21"/>
                    </w:rPr>
                    <w:t>项目建设符合国家及地方产业政策，满足负面清单管理要求。</w:t>
                  </w:r>
                </w:p>
              </w:tc>
              <w:tc>
                <w:tcPr>
                  <w:tcW w:w="687" w:type="dxa"/>
                  <w:noWrap w:val="0"/>
                  <w:vAlign w:val="center"/>
                </w:tcPr>
                <w:p w14:paraId="0D9D1E47">
                  <w:pPr>
                    <w:autoSpaceDE w:val="0"/>
                    <w:autoSpaceDN w:val="0"/>
                    <w:adjustRightInd w:val="0"/>
                    <w:snapToGrid w:val="0"/>
                    <w:jc w:val="center"/>
                    <w:rPr>
                      <w:rFonts w:hint="default" w:ascii="Times New Roman" w:hAnsi="Times New Roman" w:eastAsia="宋体" w:cs="Times New Roman"/>
                      <w:color w:val="000000"/>
                      <w:kern w:val="24"/>
                      <w:sz w:val="21"/>
                      <w:szCs w:val="21"/>
                    </w:rPr>
                  </w:pPr>
                  <w:r>
                    <w:rPr>
                      <w:rFonts w:hint="default" w:ascii="Times New Roman" w:hAnsi="Times New Roman" w:eastAsia="宋体" w:cs="Times New Roman"/>
                      <w:color w:val="000000"/>
                      <w:kern w:val="24"/>
                      <w:sz w:val="21"/>
                      <w:szCs w:val="21"/>
                    </w:rPr>
                    <w:t>符合</w:t>
                  </w:r>
                </w:p>
              </w:tc>
            </w:tr>
          </w:tbl>
          <w:p w14:paraId="09BDEAB6">
            <w:pPr>
              <w:adjustRightInd w:val="0"/>
              <w:snapToGrid w:val="0"/>
              <w:spacing w:line="360" w:lineRule="auto"/>
              <w:ind w:firstLine="482" w:firstLineChars="200"/>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5、与《芜湖市生态环境分区管控生态环境准入清单》相符性分析</w:t>
            </w:r>
          </w:p>
          <w:p w14:paraId="551513D5">
            <w:pPr>
              <w:adjustRightInd w:val="0"/>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本项目位于芜湖</w:t>
            </w:r>
            <w:r>
              <w:rPr>
                <w:rFonts w:hint="default" w:ascii="Times New Roman" w:hAnsi="Times New Roman" w:cs="Times New Roman"/>
                <w:color w:val="000000"/>
                <w:kern w:val="0"/>
                <w:sz w:val="24"/>
                <w:lang w:val="en-US" w:eastAsia="zh-CN"/>
              </w:rPr>
              <w:t>三山</w:t>
            </w:r>
            <w:r>
              <w:rPr>
                <w:rFonts w:hint="default" w:ascii="Times New Roman" w:hAnsi="Times New Roman" w:eastAsia="宋体" w:cs="Times New Roman"/>
                <w:color w:val="000000"/>
                <w:kern w:val="0"/>
                <w:sz w:val="24"/>
              </w:rPr>
              <w:t>经济开发区，属于芜湖市大气环境高排放重点管控区及水环境工业污染源重点管控区，本次环评筛选了与本项目有关的芜湖市重点管控单元生态环境准入清单与开发区生态环境准入清单，本项目与其相符性分析详见下表。</w:t>
            </w:r>
          </w:p>
          <w:p w14:paraId="71E2B9B9">
            <w:pPr>
              <w:widowControl/>
              <w:jc w:val="center"/>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表1-</w:t>
            </w:r>
            <w:r>
              <w:rPr>
                <w:rFonts w:hint="default" w:ascii="Times New Roman" w:hAnsi="Times New Roman" w:eastAsia="宋体" w:cs="Times New Roman"/>
                <w:b/>
                <w:color w:val="000000"/>
                <w:sz w:val="24"/>
                <w:lang w:val="en-US" w:eastAsia="zh-CN"/>
              </w:rPr>
              <w:t>4</w:t>
            </w:r>
            <w:r>
              <w:rPr>
                <w:rFonts w:hint="default" w:ascii="Times New Roman" w:hAnsi="Times New Roman" w:eastAsia="宋体" w:cs="Times New Roman"/>
                <w:b/>
                <w:color w:val="000000"/>
                <w:sz w:val="24"/>
              </w:rPr>
              <w:t xml:space="preserve">  项目与《</w:t>
            </w:r>
            <w:r>
              <w:rPr>
                <w:rFonts w:hint="default" w:ascii="Times New Roman" w:hAnsi="Times New Roman" w:eastAsia="宋体" w:cs="Times New Roman"/>
                <w:b/>
                <w:bCs/>
                <w:color w:val="000000"/>
                <w:kern w:val="0"/>
                <w:sz w:val="24"/>
                <w:lang w:bidi="ar"/>
              </w:rPr>
              <w:t>芜湖市生态环境分区管控生态环境准入清单</w:t>
            </w:r>
            <w:r>
              <w:rPr>
                <w:rFonts w:hint="default" w:ascii="Times New Roman" w:hAnsi="Times New Roman" w:eastAsia="宋体" w:cs="Times New Roman"/>
                <w:b/>
                <w:color w:val="000000"/>
                <w:sz w:val="24"/>
              </w:rPr>
              <w:t>》相符性分析</w:t>
            </w:r>
          </w:p>
          <w:tbl>
            <w:tblPr>
              <w:tblStyle w:val="59"/>
              <w:tblW w:w="729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2"/>
              <w:gridCol w:w="2"/>
              <w:gridCol w:w="958"/>
              <w:gridCol w:w="2720"/>
              <w:gridCol w:w="2137"/>
              <w:gridCol w:w="739"/>
            </w:tblGrid>
            <w:tr w14:paraId="0DF0B1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08" w:type="pct"/>
                  <w:noWrap w:val="0"/>
                  <w:vAlign w:val="center"/>
                </w:tcPr>
                <w:p w14:paraId="6A6FB7CA">
                  <w:pPr>
                    <w:jc w:val="center"/>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val="en-US" w:eastAsia="zh-CN"/>
                    </w:rPr>
                    <w:t>管控单元</w:t>
                  </w:r>
                </w:p>
              </w:tc>
              <w:tc>
                <w:tcPr>
                  <w:tcW w:w="2521" w:type="pct"/>
                  <w:gridSpan w:val="3"/>
                  <w:noWrap w:val="0"/>
                  <w:vAlign w:val="center"/>
                </w:tcPr>
                <w:p w14:paraId="7CB192B4">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准入</w:t>
                  </w:r>
                  <w:r>
                    <w:rPr>
                      <w:rFonts w:hint="default" w:ascii="Times New Roman" w:hAnsi="Times New Roman" w:cs="Times New Roman"/>
                      <w:b/>
                      <w:color w:val="000000"/>
                      <w:sz w:val="21"/>
                      <w:szCs w:val="21"/>
                      <w:lang w:val="en-US" w:eastAsia="zh-CN"/>
                    </w:rPr>
                    <w:t>清单、控制要求</w:t>
                  </w:r>
                </w:p>
              </w:tc>
              <w:tc>
                <w:tcPr>
                  <w:tcW w:w="1464" w:type="pct"/>
                  <w:noWrap w:val="0"/>
                  <w:vAlign w:val="center"/>
                </w:tcPr>
                <w:p w14:paraId="34AA7352">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本项目特点</w:t>
                  </w:r>
                </w:p>
              </w:tc>
              <w:tc>
                <w:tcPr>
                  <w:tcW w:w="506" w:type="pct"/>
                  <w:noWrap w:val="0"/>
                  <w:vAlign w:val="center"/>
                </w:tcPr>
                <w:p w14:paraId="6AF57E9E">
                  <w:pPr>
                    <w:jc w:val="center"/>
                    <w:rPr>
                      <w:rFonts w:hint="default" w:ascii="Times New Roman" w:hAnsi="Times New Roman" w:eastAsia="宋体" w:cs="Times New Roman"/>
                      <w:b/>
                      <w:color w:val="000000"/>
                      <w:sz w:val="21"/>
                      <w:szCs w:val="21"/>
                      <w:lang w:val="en-US" w:eastAsia="zh-CN"/>
                    </w:rPr>
                  </w:pPr>
                  <w:r>
                    <w:rPr>
                      <w:rFonts w:hint="default" w:ascii="Times New Roman" w:hAnsi="Times New Roman" w:eastAsia="宋体" w:cs="Times New Roman"/>
                      <w:b/>
                      <w:color w:val="000000"/>
                      <w:sz w:val="21"/>
                      <w:szCs w:val="21"/>
                      <w:lang w:val="en-US" w:eastAsia="zh-CN"/>
                    </w:rPr>
                    <w:t>相符性</w:t>
                  </w:r>
                </w:p>
              </w:tc>
            </w:tr>
            <w:tr w14:paraId="5ECA60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509" w:type="pct"/>
                  <w:gridSpan w:val="2"/>
                  <w:vMerge w:val="restart"/>
                  <w:noWrap w:val="0"/>
                  <w:vAlign w:val="center"/>
                </w:tcPr>
                <w:p w14:paraId="60D534C7">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eastAsia="宋体" w:cs="Times New Roman"/>
                      <w:color w:val="000000"/>
                      <w:spacing w:val="-4"/>
                      <w:sz w:val="21"/>
                      <w:szCs w:val="21"/>
                      <w:lang w:val="en-US" w:eastAsia="zh-CN"/>
                    </w:rPr>
                    <w:t>重点管控单元</w:t>
                  </w:r>
                </w:p>
              </w:tc>
              <w:tc>
                <w:tcPr>
                  <w:tcW w:w="656" w:type="pct"/>
                  <w:vMerge w:val="restart"/>
                  <w:noWrap w:val="0"/>
                  <w:vAlign w:val="center"/>
                </w:tcPr>
                <w:p w14:paraId="10D6EC20">
                  <w:pPr>
                    <w:jc w:val="center"/>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cs="Times New Roman"/>
                      <w:color w:val="000000"/>
                      <w:spacing w:val="-4"/>
                      <w:sz w:val="21"/>
                      <w:szCs w:val="21"/>
                      <w:highlight w:val="none"/>
                      <w:lang w:val="en-US" w:eastAsia="zh-CN"/>
                    </w:rPr>
                    <w:t>禁止开发建设活动的要求</w:t>
                  </w:r>
                </w:p>
              </w:tc>
              <w:tc>
                <w:tcPr>
                  <w:tcW w:w="1863" w:type="pct"/>
                  <w:noWrap w:val="0"/>
                  <w:vAlign w:val="center"/>
                </w:tcPr>
                <w:p w14:paraId="6F08530E">
                  <w:pPr>
                    <w:jc w:val="both"/>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rPr>
                    <w:t>芜湖-重点-空间布局-禁止：13、依法依规淘汰落后产能和化解过剩产能，严禁新增钢铁、焦化、水泥熟料、平板玻璃、电解铝等产能；</w:t>
                  </w:r>
                </w:p>
              </w:tc>
              <w:tc>
                <w:tcPr>
                  <w:tcW w:w="1464" w:type="pct"/>
                  <w:noWrap w:val="0"/>
                  <w:vAlign w:val="center"/>
                </w:tcPr>
                <w:p w14:paraId="2319D7AD">
                  <w:pPr>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rPr>
                    <w:t>本项目不涉及钢铁、焦</w:t>
                  </w:r>
                </w:p>
                <w:p w14:paraId="5F0A73DB">
                  <w:pPr>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rPr>
                    <w:t>化、水泥熟料、平板玻璃、电解铝等产能</w:t>
                  </w:r>
                </w:p>
              </w:tc>
              <w:tc>
                <w:tcPr>
                  <w:tcW w:w="506" w:type="pct"/>
                  <w:noWrap w:val="0"/>
                  <w:vAlign w:val="center"/>
                </w:tcPr>
                <w:p w14:paraId="42F24CEE">
                  <w:pP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cs="Times New Roman"/>
                      <w:color w:val="auto"/>
                      <w:spacing w:val="-4"/>
                      <w:sz w:val="21"/>
                      <w:szCs w:val="21"/>
                      <w:highlight w:val="none"/>
                      <w:lang w:val="en-US" w:eastAsia="zh-CN"/>
                    </w:rPr>
                    <w:t>相符</w:t>
                  </w:r>
                </w:p>
              </w:tc>
            </w:tr>
            <w:tr w14:paraId="5D869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3" w:hRule="atLeast"/>
              </w:trPr>
              <w:tc>
                <w:tcPr>
                  <w:tcW w:w="509" w:type="pct"/>
                  <w:gridSpan w:val="2"/>
                  <w:vMerge w:val="continue"/>
                  <w:noWrap w:val="0"/>
                  <w:vAlign w:val="center"/>
                </w:tcPr>
                <w:p w14:paraId="5BE764CD">
                  <w:pPr>
                    <w:jc w:val="center"/>
                    <w:rPr>
                      <w:rFonts w:hint="default" w:ascii="Times New Roman" w:hAnsi="Times New Roman" w:eastAsia="宋体" w:cs="Times New Roman"/>
                      <w:color w:val="000000"/>
                      <w:spacing w:val="-4"/>
                      <w:sz w:val="21"/>
                      <w:szCs w:val="21"/>
                    </w:rPr>
                  </w:pPr>
                </w:p>
              </w:tc>
              <w:tc>
                <w:tcPr>
                  <w:tcW w:w="656" w:type="pct"/>
                  <w:vMerge w:val="continue"/>
                  <w:noWrap w:val="0"/>
                  <w:vAlign w:val="center"/>
                </w:tcPr>
                <w:p w14:paraId="4EB993DD">
                  <w:pPr>
                    <w:jc w:val="center"/>
                    <w:rPr>
                      <w:rFonts w:hint="default" w:ascii="Times New Roman" w:hAnsi="Times New Roman" w:eastAsia="宋体" w:cs="Times New Roman"/>
                      <w:color w:val="000000"/>
                      <w:spacing w:val="-4"/>
                      <w:sz w:val="21"/>
                      <w:szCs w:val="21"/>
                      <w:highlight w:val="none"/>
                      <w:lang w:val="en-US" w:eastAsia="zh-CN"/>
                    </w:rPr>
                  </w:pPr>
                </w:p>
              </w:tc>
              <w:tc>
                <w:tcPr>
                  <w:tcW w:w="1863" w:type="pct"/>
                  <w:noWrap w:val="0"/>
                  <w:vAlign w:val="center"/>
                </w:tcPr>
                <w:p w14:paraId="4EE2A0BD">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cs="Times New Roman"/>
                      <w:sz w:val="21"/>
                      <w:szCs w:val="21"/>
                    </w:rPr>
                    <w:t>芜湖-重点-空间布局-禁止：15、严禁违规新增钢铁、水泥（熟料）、焦化、</w:t>
                  </w:r>
                </w:p>
                <w:p w14:paraId="66A8264C">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cs="Times New Roman"/>
                      <w:sz w:val="21"/>
                      <w:szCs w:val="21"/>
                    </w:rPr>
                    <w:t>电解铝、平板玻璃（不含光伏压延玻璃）产能，严禁电解铝产能向重点区域转移</w:t>
                  </w:r>
                </w:p>
              </w:tc>
              <w:tc>
                <w:tcPr>
                  <w:tcW w:w="1464" w:type="pct"/>
                  <w:noWrap w:val="0"/>
                  <w:vAlign w:val="center"/>
                </w:tcPr>
                <w:p w14:paraId="58C5DD41">
                  <w:pPr>
                    <w:keepNext w:val="0"/>
                    <w:keepLines w:val="0"/>
                    <w:widowControl/>
                    <w:suppressLineNumbers w:val="0"/>
                    <w:jc w:val="left"/>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本项目不涉及新增钢铁、水泥（熟料）、焦化、电解铝、平板玻璃（不含光伏压延玻璃）产能。</w:t>
                  </w:r>
                </w:p>
                <w:p w14:paraId="411FE3B0">
                  <w:pPr>
                    <w:keepNext w:val="0"/>
                    <w:keepLines w:val="0"/>
                    <w:widowControl/>
                    <w:suppressLineNumbers w:val="0"/>
                    <w:jc w:val="center"/>
                    <w:rPr>
                      <w:rFonts w:hint="default" w:ascii="Times New Roman" w:hAnsi="Times New Roman" w:cs="Times New Roman"/>
                      <w:sz w:val="21"/>
                      <w:szCs w:val="21"/>
                    </w:rPr>
                  </w:pPr>
                </w:p>
              </w:tc>
              <w:tc>
                <w:tcPr>
                  <w:tcW w:w="506" w:type="pct"/>
                  <w:noWrap w:val="0"/>
                  <w:vAlign w:val="center"/>
                </w:tcPr>
                <w:p w14:paraId="216946AC">
                  <w:pPr>
                    <w:jc w:val="center"/>
                    <w:rPr>
                      <w:rFonts w:hint="default" w:ascii="Times New Roman" w:hAnsi="Times New Roman" w:cs="Times New Roman"/>
                      <w:sz w:val="21"/>
                      <w:szCs w:val="21"/>
                    </w:rPr>
                  </w:pPr>
                  <w:r>
                    <w:rPr>
                      <w:rFonts w:hint="default" w:ascii="Times New Roman" w:hAnsi="Times New Roman" w:cs="Times New Roman"/>
                      <w:color w:val="auto"/>
                      <w:spacing w:val="-4"/>
                      <w:sz w:val="21"/>
                      <w:szCs w:val="21"/>
                      <w:highlight w:val="none"/>
                      <w:lang w:val="en-US" w:eastAsia="zh-CN"/>
                    </w:rPr>
                    <w:t>相符</w:t>
                  </w:r>
                </w:p>
              </w:tc>
            </w:tr>
            <w:tr w14:paraId="6FB6CD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1" w:hRule="atLeast"/>
              </w:trPr>
              <w:tc>
                <w:tcPr>
                  <w:tcW w:w="509" w:type="pct"/>
                  <w:gridSpan w:val="2"/>
                  <w:vMerge w:val="continue"/>
                  <w:noWrap w:val="0"/>
                  <w:vAlign w:val="center"/>
                </w:tcPr>
                <w:p w14:paraId="62817863">
                  <w:pPr>
                    <w:jc w:val="center"/>
                    <w:rPr>
                      <w:rFonts w:hint="default" w:ascii="Times New Roman" w:hAnsi="Times New Roman" w:eastAsia="宋体" w:cs="Times New Roman"/>
                      <w:color w:val="000000"/>
                      <w:spacing w:val="-4"/>
                      <w:sz w:val="21"/>
                      <w:szCs w:val="21"/>
                    </w:rPr>
                  </w:pPr>
                </w:p>
              </w:tc>
              <w:tc>
                <w:tcPr>
                  <w:tcW w:w="656" w:type="pct"/>
                  <w:noWrap w:val="0"/>
                  <w:vAlign w:val="center"/>
                </w:tcPr>
                <w:p w14:paraId="31847E63">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eastAsia="zh-CN"/>
                    </w:rPr>
                  </w:pPr>
                  <w:r>
                    <w:rPr>
                      <w:rFonts w:hint="default" w:ascii="Times New Roman" w:hAnsi="Times New Roman" w:eastAsia="宋体" w:cs="Times New Roman"/>
                      <w:color w:val="000000"/>
                      <w:spacing w:val="-4"/>
                      <w:sz w:val="21"/>
                      <w:szCs w:val="21"/>
                      <w:highlight w:val="none"/>
                      <w:lang w:eastAsia="zh-CN"/>
                    </w:rPr>
                    <w:t>限制开发建的设要活求</w:t>
                  </w:r>
                </w:p>
              </w:tc>
              <w:tc>
                <w:tcPr>
                  <w:tcW w:w="1863" w:type="pct"/>
                  <w:noWrap w:val="0"/>
                  <w:vAlign w:val="center"/>
                </w:tcPr>
                <w:p w14:paraId="494B5091">
                  <w:pPr>
                    <w:keepNext w:val="0"/>
                    <w:keepLines w:val="0"/>
                    <w:widowControl/>
                    <w:suppressLineNumbers w:val="0"/>
                    <w:jc w:val="center"/>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21"/>
                      <w:sz w:val="21"/>
                      <w:szCs w:val="21"/>
                      <w:highlight w:val="none"/>
                    </w:rPr>
                    <w:t>芜湖-重点-空间布局-限制：27、严控5公里范围内新建重化工重污染项目。长江干流岸线5公里范围内，全面落实长江岸线功能定位要求，实施严格的化工项目市场准入制度，制定完善危险化学品“禁限控”目录，除提量升升安级全、结、环构保调、整节的能改水扩平建，项以目及外质，严控新建石油化工和煤化工等重化工、重污染项目。严禁新建布局重化工园区。合规化工园区内，严禁新批环境基础设施不完善或长期不能稳定运行的企业新建和扩建化工项目。</w:t>
                  </w:r>
                </w:p>
              </w:tc>
              <w:tc>
                <w:tcPr>
                  <w:tcW w:w="1464" w:type="pct"/>
                  <w:noWrap w:val="0"/>
                  <w:vAlign w:val="center"/>
                </w:tcPr>
                <w:p w14:paraId="42ADBD49">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21"/>
                      <w:sz w:val="21"/>
                      <w:szCs w:val="21"/>
                      <w:highlight w:val="none"/>
                    </w:rPr>
                    <w:t>本项目距离长江干流约</w:t>
                  </w:r>
                  <w:r>
                    <w:rPr>
                      <w:rFonts w:hint="default" w:ascii="Times New Roman" w:hAnsi="Times New Roman" w:eastAsia="宋体" w:cs="Times New Roman"/>
                      <w:color w:val="000000"/>
                      <w:kern w:val="21"/>
                      <w:sz w:val="21"/>
                      <w:szCs w:val="21"/>
                      <w:highlight w:val="none"/>
                      <w:lang w:val="en-US" w:eastAsia="zh-CN"/>
                    </w:rPr>
                    <w:t>5.6</w:t>
                  </w:r>
                  <w:r>
                    <w:rPr>
                      <w:rFonts w:hint="default" w:ascii="Times New Roman" w:hAnsi="Times New Roman" w:eastAsia="宋体" w:cs="Times New Roman"/>
                      <w:color w:val="000000"/>
                      <w:kern w:val="21"/>
                      <w:sz w:val="21"/>
                      <w:szCs w:val="21"/>
                      <w:highlight w:val="none"/>
                    </w:rPr>
                    <w:t>km，</w:t>
                  </w:r>
                  <w:r>
                    <w:rPr>
                      <w:rFonts w:hint="default" w:ascii="Times New Roman" w:hAnsi="Times New Roman" w:cs="Times New Roman"/>
                      <w:color w:val="000000"/>
                      <w:kern w:val="21"/>
                      <w:sz w:val="21"/>
                      <w:szCs w:val="21"/>
                      <w:highlight w:val="none"/>
                      <w:lang w:val="en-US" w:eastAsia="zh-CN"/>
                    </w:rPr>
                    <w:t>不</w:t>
                  </w:r>
                  <w:r>
                    <w:rPr>
                      <w:rFonts w:hint="default" w:ascii="Times New Roman" w:hAnsi="Times New Roman" w:eastAsia="宋体" w:cs="Times New Roman"/>
                      <w:color w:val="000000"/>
                      <w:kern w:val="21"/>
                      <w:sz w:val="21"/>
                      <w:szCs w:val="21"/>
                      <w:highlight w:val="none"/>
                    </w:rPr>
                    <w:t>在“长江干流岸线5公里范围内”，项目行业类别为C3670汽车零部件及配件制造，不属于新建石油化工和煤化工等重化工、重污染项目</w:t>
                  </w:r>
                </w:p>
              </w:tc>
              <w:tc>
                <w:tcPr>
                  <w:tcW w:w="506" w:type="pct"/>
                  <w:noWrap w:val="0"/>
                  <w:vAlign w:val="center"/>
                </w:tcPr>
                <w:p w14:paraId="6BCBF409">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5F489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509" w:type="pct"/>
                  <w:gridSpan w:val="2"/>
                  <w:vMerge w:val="continue"/>
                  <w:noWrap w:val="0"/>
                  <w:vAlign w:val="center"/>
                </w:tcPr>
                <w:p w14:paraId="310E3EB1">
                  <w:pPr>
                    <w:jc w:val="center"/>
                    <w:rPr>
                      <w:rFonts w:hint="default" w:ascii="Times New Roman" w:hAnsi="Times New Roman" w:eastAsia="宋体" w:cs="Times New Roman"/>
                      <w:color w:val="000000"/>
                      <w:spacing w:val="-4"/>
                      <w:sz w:val="21"/>
                      <w:szCs w:val="21"/>
                    </w:rPr>
                  </w:pPr>
                </w:p>
              </w:tc>
              <w:tc>
                <w:tcPr>
                  <w:tcW w:w="656" w:type="pct"/>
                  <w:noWrap w:val="0"/>
                  <w:vAlign w:val="center"/>
                </w:tcPr>
                <w:p w14:paraId="6D55B53E">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eastAsia="宋体" w:cs="Times New Roman"/>
                      <w:color w:val="000000"/>
                      <w:spacing w:val="-4"/>
                      <w:sz w:val="21"/>
                      <w:szCs w:val="21"/>
                      <w:highlight w:val="none"/>
                      <w:lang w:val="en-US" w:eastAsia="zh-CN"/>
                    </w:rPr>
                    <w:t>限制开发建的设要活求</w:t>
                  </w:r>
                </w:p>
              </w:tc>
              <w:tc>
                <w:tcPr>
                  <w:tcW w:w="1863" w:type="pct"/>
                  <w:noWrap w:val="0"/>
                  <w:vAlign w:val="center"/>
                </w:tcPr>
                <w:p w14:paraId="12F3305F">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严控5公里范围内新建重化工重污染项目。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w:t>
                  </w:r>
                </w:p>
              </w:tc>
              <w:tc>
                <w:tcPr>
                  <w:tcW w:w="1464" w:type="pct"/>
                  <w:noWrap w:val="0"/>
                  <w:vAlign w:val="center"/>
                </w:tcPr>
                <w:p w14:paraId="1DD20D55">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21"/>
                      <w:sz w:val="21"/>
                      <w:szCs w:val="21"/>
                      <w:highlight w:val="none"/>
                    </w:rPr>
                    <w:t>本项目为新建性质，与长江干流岸线距离</w:t>
                  </w:r>
                  <w:r>
                    <w:rPr>
                      <w:rFonts w:hint="default" w:ascii="Times New Roman" w:hAnsi="Times New Roman" w:cs="Times New Roman"/>
                      <w:color w:val="000000"/>
                      <w:kern w:val="21"/>
                      <w:sz w:val="21"/>
                      <w:szCs w:val="21"/>
                      <w:highlight w:val="none"/>
                      <w:lang w:val="en-US" w:eastAsia="zh-CN"/>
                    </w:rPr>
                    <w:t>5.6</w:t>
                  </w:r>
                  <w:r>
                    <w:rPr>
                      <w:rFonts w:hint="default" w:ascii="Times New Roman" w:hAnsi="Times New Roman" w:eastAsia="宋体" w:cs="Times New Roman"/>
                      <w:color w:val="000000"/>
                      <w:kern w:val="21"/>
                      <w:sz w:val="21"/>
                      <w:szCs w:val="21"/>
                      <w:highlight w:val="none"/>
                    </w:rPr>
                    <w:t>km，污染物均可达标排放，且不属于石油化工和煤化工等重化工、重污染项目</w:t>
                  </w:r>
                </w:p>
              </w:tc>
              <w:tc>
                <w:tcPr>
                  <w:tcW w:w="506" w:type="pct"/>
                  <w:noWrap w:val="0"/>
                  <w:vAlign w:val="center"/>
                </w:tcPr>
                <w:p w14:paraId="32DEB162">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3255B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509" w:type="pct"/>
                  <w:gridSpan w:val="2"/>
                  <w:vMerge w:val="restart"/>
                  <w:noWrap w:val="0"/>
                  <w:vAlign w:val="center"/>
                </w:tcPr>
                <w:p w14:paraId="33C62B08">
                  <w:pPr>
                    <w:jc w:val="center"/>
                    <w:rPr>
                      <w:rFonts w:hint="default" w:ascii="Times New Roman" w:hAnsi="Times New Roman" w:eastAsia="宋体" w:cs="Times New Roman"/>
                      <w:color w:val="000000"/>
                      <w:spacing w:val="-4"/>
                      <w:sz w:val="21"/>
                      <w:szCs w:val="21"/>
                      <w:lang w:val="en-US" w:eastAsia="zh-CN"/>
                    </w:rPr>
                  </w:pPr>
                  <w:r>
                    <w:rPr>
                      <w:rFonts w:hint="default" w:ascii="Times New Roman" w:hAnsi="Times New Roman" w:cs="Times New Roman"/>
                      <w:color w:val="000000"/>
                      <w:spacing w:val="-4"/>
                      <w:sz w:val="21"/>
                      <w:szCs w:val="21"/>
                      <w:lang w:val="en-US" w:eastAsia="zh-CN"/>
                    </w:rPr>
                    <w:t>污染物排放管控</w:t>
                  </w:r>
                </w:p>
              </w:tc>
              <w:tc>
                <w:tcPr>
                  <w:tcW w:w="656" w:type="pct"/>
                  <w:vMerge w:val="restart"/>
                  <w:noWrap w:val="0"/>
                  <w:vAlign w:val="center"/>
                </w:tcPr>
                <w:p w14:paraId="7F936813">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r>
                    <w:rPr>
                      <w:rFonts w:hint="default" w:ascii="Times New Roman" w:hAnsi="Times New Roman" w:cs="Times New Roman"/>
                      <w:color w:val="000000"/>
                      <w:spacing w:val="-4"/>
                      <w:sz w:val="21"/>
                      <w:szCs w:val="21"/>
                      <w:highlight w:val="none"/>
                      <w:lang w:val="en-US" w:eastAsia="zh-CN"/>
                    </w:rPr>
                    <w:t>污染物排放管控</w:t>
                  </w:r>
                </w:p>
              </w:tc>
              <w:tc>
                <w:tcPr>
                  <w:tcW w:w="1863" w:type="pct"/>
                  <w:noWrap w:val="0"/>
                  <w:vAlign w:val="center"/>
                </w:tcPr>
                <w:p w14:paraId="0A72729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芜湖-重点-排污-其他：40、严格控制化石能源消耗总量，落实煤炭消费减量替代政策，积极转变以煤炭为主的能源消费结构，编制实施全市碳排放达峰行动方案。强化能源消费总量和强度双控制度。严守能源资源消耗上限，在能耗双控约束倒逼下，严格控制有关高耗能产业新增产能。严禁以任何名义、任何方式核准或备案产能严重过剩行业的新增产能项目。严格执行固定资产投资项目节能审查制度，对确有必要新上的高耗能项目，要严格实施能源消费等量置换。</w:t>
                  </w:r>
                </w:p>
              </w:tc>
              <w:tc>
                <w:tcPr>
                  <w:tcW w:w="1464" w:type="pct"/>
                  <w:noWrap w:val="0"/>
                  <w:vAlign w:val="center"/>
                </w:tcPr>
                <w:p w14:paraId="74AE3DEB">
                  <w:pPr>
                    <w:keepNext w:val="0"/>
                    <w:keepLines w:val="0"/>
                    <w:widowControl/>
                    <w:suppressLineNumbers w:val="0"/>
                    <w:jc w:val="left"/>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本项目使用电、天然气作为能源，为清洁能源</w:t>
                  </w:r>
                </w:p>
                <w:p w14:paraId="221B9833">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p>
              </w:tc>
              <w:tc>
                <w:tcPr>
                  <w:tcW w:w="506" w:type="pct"/>
                  <w:noWrap w:val="0"/>
                  <w:vAlign w:val="center"/>
                </w:tcPr>
                <w:p w14:paraId="1F0E7BF8">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r w14:paraId="39F83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509" w:type="pct"/>
                  <w:gridSpan w:val="2"/>
                  <w:vMerge w:val="continue"/>
                  <w:noWrap w:val="0"/>
                  <w:vAlign w:val="center"/>
                </w:tcPr>
                <w:p w14:paraId="0E3D4888">
                  <w:pPr>
                    <w:jc w:val="center"/>
                    <w:rPr>
                      <w:rFonts w:hint="default" w:ascii="Times New Roman" w:hAnsi="Times New Roman" w:eastAsia="宋体" w:cs="Times New Roman"/>
                      <w:color w:val="000000"/>
                      <w:spacing w:val="-4"/>
                      <w:sz w:val="21"/>
                      <w:szCs w:val="21"/>
                    </w:rPr>
                  </w:pPr>
                </w:p>
              </w:tc>
              <w:tc>
                <w:tcPr>
                  <w:tcW w:w="656" w:type="pct"/>
                  <w:vMerge w:val="continue"/>
                  <w:noWrap w:val="0"/>
                  <w:vAlign w:val="center"/>
                </w:tcPr>
                <w:p w14:paraId="0D8D9129">
                  <w:pPr>
                    <w:autoSpaceDE w:val="0"/>
                    <w:autoSpaceDN w:val="0"/>
                    <w:adjustRightInd w:val="0"/>
                    <w:jc w:val="center"/>
                    <w:textAlignment w:val="baseline"/>
                    <w:rPr>
                      <w:rFonts w:hint="default" w:ascii="Times New Roman" w:hAnsi="Times New Roman" w:eastAsia="宋体" w:cs="Times New Roman"/>
                      <w:color w:val="000000"/>
                      <w:spacing w:val="-4"/>
                      <w:sz w:val="21"/>
                      <w:szCs w:val="21"/>
                      <w:highlight w:val="none"/>
                      <w:lang w:val="en-US" w:eastAsia="zh-CN"/>
                    </w:rPr>
                  </w:pPr>
                </w:p>
              </w:tc>
              <w:tc>
                <w:tcPr>
                  <w:tcW w:w="1863" w:type="pct"/>
                  <w:noWrap w:val="0"/>
                  <w:vAlign w:val="center"/>
                </w:tcPr>
                <w:p w14:paraId="04CAC9C7">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芜湖-重点-排污-其他：41、严控化石能源消费总量，新、改、扩建耗煤项目严格实行煤炭等量或减量替代。</w:t>
                  </w:r>
                </w:p>
              </w:tc>
              <w:tc>
                <w:tcPr>
                  <w:tcW w:w="1464" w:type="pct"/>
                  <w:noWrap w:val="0"/>
                  <w:vAlign w:val="center"/>
                </w:tcPr>
                <w:p w14:paraId="02CCBBE6">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21"/>
                      <w:sz w:val="21"/>
                      <w:szCs w:val="21"/>
                      <w:highlight w:val="none"/>
                    </w:rPr>
                    <w:t>本项目使用电、天然气作为能源，不涉及耗煤</w:t>
                  </w:r>
                </w:p>
              </w:tc>
              <w:tc>
                <w:tcPr>
                  <w:tcW w:w="506" w:type="pct"/>
                  <w:noWrap w:val="0"/>
                  <w:vAlign w:val="center"/>
                </w:tcPr>
                <w:p w14:paraId="10AA919E">
                  <w:pPr>
                    <w:autoSpaceDE w:val="0"/>
                    <w:autoSpaceDN w:val="0"/>
                    <w:adjustRightInd w:val="0"/>
                    <w:jc w:val="center"/>
                    <w:textAlignment w:val="baseline"/>
                    <w:rPr>
                      <w:rFonts w:hint="default" w:ascii="Times New Roman" w:hAnsi="Times New Roman" w:eastAsia="宋体" w:cs="Times New Roman"/>
                      <w:color w:val="000000"/>
                      <w:kern w:val="21"/>
                      <w:sz w:val="21"/>
                      <w:szCs w:val="21"/>
                      <w:highlight w:val="none"/>
                    </w:rPr>
                  </w:pPr>
                  <w:r>
                    <w:rPr>
                      <w:rFonts w:hint="default" w:ascii="Times New Roman" w:hAnsi="Times New Roman" w:cs="Times New Roman"/>
                      <w:color w:val="auto"/>
                      <w:spacing w:val="-4"/>
                      <w:sz w:val="21"/>
                      <w:szCs w:val="21"/>
                      <w:highlight w:val="none"/>
                      <w:lang w:val="en-US" w:eastAsia="zh-CN"/>
                    </w:rPr>
                    <w:t>相符</w:t>
                  </w:r>
                </w:p>
              </w:tc>
            </w:tr>
          </w:tbl>
          <w:p w14:paraId="6BC8F8AB">
            <w:pPr>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②</w:t>
            </w:r>
            <w:r>
              <w:rPr>
                <w:rFonts w:hint="default" w:ascii="Times New Roman" w:hAnsi="Times New Roman" w:cs="Times New Roman"/>
                <w:color w:val="000000"/>
                <w:kern w:val="0"/>
                <w:sz w:val="24"/>
                <w:lang w:val="en-US" w:eastAsia="zh-CN"/>
              </w:rPr>
              <w:t>芜湖三山经济开发区</w:t>
            </w:r>
            <w:r>
              <w:rPr>
                <w:rFonts w:hint="default" w:ascii="Times New Roman" w:hAnsi="Times New Roman" w:eastAsia="宋体" w:cs="Times New Roman"/>
                <w:color w:val="000000"/>
                <w:kern w:val="0"/>
                <w:sz w:val="24"/>
              </w:rPr>
              <w:t>与生态环境准入清单相符性</w:t>
            </w:r>
          </w:p>
          <w:p w14:paraId="220D4BB9">
            <w:pPr>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根据《芜湖市生态环境分区管控生态环境准入清单》（芜湖市生态环境局，2023年8月）中</w:t>
            </w:r>
            <w:r>
              <w:rPr>
                <w:rFonts w:hint="default" w:ascii="Times New Roman" w:hAnsi="Times New Roman" w:cs="Times New Roman"/>
                <w:color w:val="000000"/>
                <w:kern w:val="0"/>
                <w:sz w:val="24"/>
                <w:lang w:val="en-US" w:eastAsia="zh-CN"/>
              </w:rPr>
              <w:t>芜湖三山经济开发区</w:t>
            </w:r>
            <w:r>
              <w:rPr>
                <w:rFonts w:hint="default" w:ascii="Times New Roman" w:hAnsi="Times New Roman" w:eastAsia="宋体" w:cs="Times New Roman"/>
                <w:color w:val="000000"/>
                <w:kern w:val="0"/>
                <w:sz w:val="24"/>
              </w:rPr>
              <w:t>单元，本项目与其相符性分析详见下表。</w:t>
            </w:r>
          </w:p>
          <w:p w14:paraId="336851D4">
            <w:pPr>
              <w:autoSpaceDE w:val="0"/>
              <w:autoSpaceDN w:val="0"/>
              <w:adjustRightInd w:val="0"/>
              <w:snapToGrid w:val="0"/>
              <w:jc w:val="center"/>
              <w:rPr>
                <w:rFonts w:hint="default" w:ascii="Times New Roman" w:hAnsi="Times New Roman" w:eastAsia="宋体" w:cs="Times New Roman"/>
                <w:b/>
                <w:color w:val="000000"/>
                <w:kern w:val="0"/>
                <w:sz w:val="24"/>
                <w:lang w:val="en-US" w:eastAsia="zh-CN"/>
              </w:rPr>
            </w:pPr>
            <w:r>
              <w:rPr>
                <w:rFonts w:hint="default" w:ascii="Times New Roman" w:hAnsi="Times New Roman" w:eastAsia="宋体" w:cs="Times New Roman"/>
                <w:b/>
                <w:color w:val="000000"/>
                <w:kern w:val="0"/>
                <w:sz w:val="24"/>
              </w:rPr>
              <w:t>表1-</w:t>
            </w:r>
            <w:r>
              <w:rPr>
                <w:rFonts w:hint="default" w:ascii="Times New Roman" w:hAnsi="Times New Roman" w:cs="Times New Roman"/>
                <w:b/>
                <w:color w:val="000000"/>
                <w:kern w:val="0"/>
                <w:sz w:val="24"/>
                <w:lang w:val="en-US" w:eastAsia="zh-CN"/>
              </w:rPr>
              <w:t>5</w:t>
            </w:r>
            <w:r>
              <w:rPr>
                <w:rFonts w:hint="default" w:ascii="Times New Roman" w:hAnsi="Times New Roman" w:eastAsia="宋体" w:cs="Times New Roman"/>
                <w:b/>
                <w:color w:val="000000"/>
                <w:kern w:val="0"/>
                <w:sz w:val="24"/>
              </w:rPr>
              <w:t xml:space="preserve">  </w:t>
            </w:r>
            <w:r>
              <w:rPr>
                <w:rFonts w:hint="default" w:ascii="Times New Roman" w:hAnsi="Times New Roman" w:eastAsia="宋体" w:cs="Times New Roman"/>
                <w:b/>
                <w:color w:val="000000"/>
                <w:kern w:val="0"/>
                <w:sz w:val="24"/>
                <w:lang w:val="en-US" w:eastAsia="zh-CN"/>
              </w:rPr>
              <w:t>与本项目与《芜湖市“三线一单”生态环境准入清单（成果）》相符性分析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69"/>
              <w:gridCol w:w="640"/>
              <w:gridCol w:w="3626"/>
              <w:gridCol w:w="2050"/>
              <w:gridCol w:w="591"/>
            </w:tblGrid>
            <w:tr w14:paraId="45917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3" w:type="pct"/>
                  <w:tcBorders>
                    <w:tl2br w:val="nil"/>
                    <w:tr2bl w:val="nil"/>
                  </w:tcBorders>
                  <w:shd w:val="clear" w:color="auto" w:fill="auto"/>
                  <w:vAlign w:val="center"/>
                </w:tcPr>
                <w:p w14:paraId="1F52FB25">
                  <w:pPr>
                    <w:adjustRightInd w:val="0"/>
                    <w:jc w:val="center"/>
                    <w:textAlignment w:val="baseline"/>
                    <w:rPr>
                      <w:rFonts w:hint="default" w:ascii="Times New Roman" w:hAnsi="Times New Roman" w:cs="Times New Roman"/>
                      <w:b/>
                      <w:kern w:val="21"/>
                      <w:sz w:val="21"/>
                      <w:szCs w:val="21"/>
                    </w:rPr>
                  </w:pPr>
                  <w:r>
                    <w:rPr>
                      <w:rFonts w:hint="default" w:ascii="Times New Roman" w:hAnsi="Times New Roman" w:cs="Times New Roman"/>
                      <w:b/>
                      <w:kern w:val="21"/>
                      <w:sz w:val="21"/>
                      <w:szCs w:val="21"/>
                    </w:rPr>
                    <w:t>编号</w:t>
                  </w:r>
                </w:p>
              </w:tc>
              <w:tc>
                <w:tcPr>
                  <w:tcW w:w="439" w:type="pct"/>
                  <w:tcBorders>
                    <w:tl2br w:val="nil"/>
                    <w:tr2bl w:val="nil"/>
                  </w:tcBorders>
                  <w:shd w:val="clear" w:color="auto" w:fill="auto"/>
                  <w:vAlign w:val="center"/>
                </w:tcPr>
                <w:p w14:paraId="37091282">
                  <w:pPr>
                    <w:autoSpaceDE w:val="0"/>
                    <w:autoSpaceDN w:val="0"/>
                    <w:adjustRightInd w:val="0"/>
                    <w:jc w:val="center"/>
                    <w:textAlignment w:val="baseline"/>
                    <w:rPr>
                      <w:rFonts w:hint="default" w:ascii="Times New Roman" w:hAnsi="Times New Roman" w:cs="Times New Roman"/>
                      <w:b/>
                      <w:kern w:val="21"/>
                      <w:sz w:val="21"/>
                      <w:szCs w:val="21"/>
                    </w:rPr>
                  </w:pPr>
                  <w:r>
                    <w:rPr>
                      <w:rFonts w:hint="default" w:ascii="Times New Roman" w:hAnsi="Times New Roman" w:cs="Times New Roman"/>
                      <w:b/>
                      <w:kern w:val="21"/>
                      <w:sz w:val="21"/>
                      <w:szCs w:val="21"/>
                    </w:rPr>
                    <w:t>内容</w:t>
                  </w:r>
                </w:p>
              </w:tc>
              <w:tc>
                <w:tcPr>
                  <w:tcW w:w="2491" w:type="pct"/>
                  <w:tcBorders>
                    <w:tl2br w:val="nil"/>
                    <w:tr2bl w:val="nil"/>
                  </w:tcBorders>
                  <w:shd w:val="clear" w:color="auto" w:fill="auto"/>
                  <w:vAlign w:val="center"/>
                </w:tcPr>
                <w:p w14:paraId="0A7CD73A">
                  <w:pPr>
                    <w:autoSpaceDE w:val="0"/>
                    <w:autoSpaceDN w:val="0"/>
                    <w:adjustRightInd w:val="0"/>
                    <w:jc w:val="center"/>
                    <w:textAlignment w:val="baseline"/>
                    <w:rPr>
                      <w:rFonts w:hint="default" w:ascii="Times New Roman" w:hAnsi="Times New Roman" w:cs="Times New Roman"/>
                      <w:b/>
                      <w:kern w:val="21"/>
                      <w:sz w:val="21"/>
                      <w:szCs w:val="21"/>
                    </w:rPr>
                  </w:pPr>
                  <w:r>
                    <w:rPr>
                      <w:rFonts w:hint="default" w:ascii="Times New Roman" w:hAnsi="Times New Roman" w:cs="Times New Roman"/>
                      <w:b/>
                      <w:sz w:val="21"/>
                      <w:szCs w:val="21"/>
                    </w:rPr>
                    <w:t>要求</w:t>
                  </w:r>
                </w:p>
              </w:tc>
              <w:tc>
                <w:tcPr>
                  <w:tcW w:w="1408" w:type="pct"/>
                  <w:tcBorders>
                    <w:tl2br w:val="nil"/>
                    <w:tr2bl w:val="nil"/>
                  </w:tcBorders>
                  <w:shd w:val="clear" w:color="auto" w:fill="auto"/>
                  <w:vAlign w:val="center"/>
                </w:tcPr>
                <w:p w14:paraId="7067705B">
                  <w:pPr>
                    <w:autoSpaceDE w:val="0"/>
                    <w:autoSpaceDN w:val="0"/>
                    <w:adjustRightInd w:val="0"/>
                    <w:jc w:val="center"/>
                    <w:textAlignment w:val="baseline"/>
                    <w:rPr>
                      <w:rFonts w:hint="default" w:ascii="Times New Roman" w:hAnsi="Times New Roman" w:cs="Times New Roman"/>
                      <w:b/>
                      <w:kern w:val="21"/>
                      <w:sz w:val="21"/>
                      <w:szCs w:val="21"/>
                    </w:rPr>
                  </w:pPr>
                  <w:r>
                    <w:rPr>
                      <w:rFonts w:hint="default" w:ascii="Times New Roman" w:hAnsi="Times New Roman" w:cs="Times New Roman"/>
                      <w:b/>
                      <w:kern w:val="21"/>
                      <w:sz w:val="21"/>
                      <w:szCs w:val="21"/>
                    </w:rPr>
                    <w:t>本项目情况</w:t>
                  </w:r>
                </w:p>
              </w:tc>
              <w:tc>
                <w:tcPr>
                  <w:tcW w:w="406" w:type="pct"/>
                  <w:tcBorders>
                    <w:tl2br w:val="nil"/>
                    <w:tr2bl w:val="nil"/>
                  </w:tcBorders>
                  <w:shd w:val="clear" w:color="auto" w:fill="auto"/>
                  <w:vAlign w:val="center"/>
                </w:tcPr>
                <w:p w14:paraId="5997002E">
                  <w:pPr>
                    <w:autoSpaceDE w:val="0"/>
                    <w:autoSpaceDN w:val="0"/>
                    <w:adjustRightInd w:val="0"/>
                    <w:jc w:val="center"/>
                    <w:textAlignment w:val="baseline"/>
                    <w:rPr>
                      <w:rFonts w:hint="default" w:ascii="Times New Roman" w:hAnsi="Times New Roman" w:cs="Times New Roman"/>
                      <w:b/>
                      <w:kern w:val="21"/>
                      <w:sz w:val="21"/>
                      <w:szCs w:val="21"/>
                    </w:rPr>
                  </w:pPr>
                  <w:r>
                    <w:rPr>
                      <w:rFonts w:hint="default" w:ascii="Times New Roman" w:hAnsi="Times New Roman" w:cs="Times New Roman"/>
                      <w:b/>
                      <w:kern w:val="21"/>
                      <w:sz w:val="21"/>
                      <w:szCs w:val="21"/>
                    </w:rPr>
                    <w:t>分析结果</w:t>
                  </w:r>
                </w:p>
              </w:tc>
            </w:tr>
            <w:tr w14:paraId="63471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3" w:type="pct"/>
                  <w:tcBorders>
                    <w:tl2br w:val="nil"/>
                    <w:tr2bl w:val="nil"/>
                  </w:tcBorders>
                  <w:vAlign w:val="center"/>
                </w:tcPr>
                <w:p w14:paraId="2683B8F1">
                  <w:pPr>
                    <w:adjustRightInd w:val="0"/>
                    <w:jc w:val="center"/>
                    <w:textAlignment w:val="baseline"/>
                    <w:rPr>
                      <w:rFonts w:hint="default" w:ascii="Times New Roman" w:hAnsi="Times New Roman" w:cs="Times New Roman"/>
                      <w:kern w:val="21"/>
                      <w:sz w:val="21"/>
                      <w:szCs w:val="21"/>
                    </w:rPr>
                  </w:pPr>
                  <w:r>
                    <w:rPr>
                      <w:rFonts w:hint="default" w:ascii="Times New Roman" w:hAnsi="Times New Roman" w:cs="Times New Roman"/>
                      <w:kern w:val="21"/>
                      <w:sz w:val="21"/>
                      <w:szCs w:val="21"/>
                    </w:rPr>
                    <w:t>1</w:t>
                  </w:r>
                </w:p>
              </w:tc>
              <w:tc>
                <w:tcPr>
                  <w:tcW w:w="439" w:type="pct"/>
                  <w:tcBorders>
                    <w:tl2br w:val="nil"/>
                    <w:tr2bl w:val="nil"/>
                  </w:tcBorders>
                  <w:vAlign w:val="center"/>
                </w:tcPr>
                <w:p w14:paraId="3D07592A">
                  <w:pPr>
                    <w:autoSpaceDE w:val="0"/>
                    <w:autoSpaceDN w:val="0"/>
                    <w:adjustRightInd w:val="0"/>
                    <w:jc w:val="center"/>
                    <w:textAlignment w:val="baseline"/>
                    <w:rPr>
                      <w:rFonts w:hint="default" w:ascii="Times New Roman" w:hAnsi="Times New Roman" w:eastAsia="宋体" w:cs="Times New Roman"/>
                      <w:kern w:val="21"/>
                      <w:sz w:val="21"/>
                      <w:szCs w:val="21"/>
                      <w:lang w:val="en-US" w:eastAsia="zh-CN"/>
                    </w:rPr>
                  </w:pPr>
                  <w:r>
                    <w:rPr>
                      <w:rFonts w:hint="default" w:ascii="Times New Roman" w:hAnsi="Times New Roman" w:cs="Times New Roman"/>
                      <w:sz w:val="21"/>
                      <w:szCs w:val="21"/>
                      <w:lang w:val="en-US" w:eastAsia="zh-CN"/>
                    </w:rPr>
                    <w:t>污染物排放管控</w:t>
                  </w:r>
                </w:p>
              </w:tc>
              <w:tc>
                <w:tcPr>
                  <w:tcW w:w="2491" w:type="pct"/>
                  <w:tcBorders>
                    <w:tl2br w:val="nil"/>
                    <w:tr2bl w:val="nil"/>
                  </w:tcBorders>
                  <w:vAlign w:val="center"/>
                </w:tcPr>
                <w:p w14:paraId="2333693D">
                  <w:pPr>
                    <w:keepNext w:val="0"/>
                    <w:keepLines w:val="0"/>
                    <w:widowControl/>
                    <w:suppressLineNumbers w:val="0"/>
                    <w:jc w:val="left"/>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1、单位工业增加值SO</w:t>
                  </w:r>
                  <w:r>
                    <w:rPr>
                      <w:rFonts w:hint="default" w:ascii="Times New Roman" w:hAnsi="Times New Roman" w:eastAsia="宋体" w:cs="Times New Roman"/>
                      <w:color w:val="auto"/>
                      <w:kern w:val="0"/>
                      <w:sz w:val="21"/>
                      <w:szCs w:val="21"/>
                      <w:vertAlign w:val="subscript"/>
                      <w:lang w:val="en-US" w:eastAsia="zh-CN" w:bidi="ar"/>
                    </w:rPr>
                    <w:t>2</w:t>
                  </w:r>
                  <w:r>
                    <w:rPr>
                      <w:rFonts w:hint="default" w:ascii="Times New Roman" w:hAnsi="Times New Roman" w:eastAsia="宋体" w:cs="Times New Roman"/>
                      <w:color w:val="auto"/>
                      <w:kern w:val="0"/>
                      <w:sz w:val="21"/>
                      <w:szCs w:val="21"/>
                      <w:lang w:val="en-US" w:eastAsia="zh-CN" w:bidi="ar"/>
                    </w:rPr>
                    <w:t xml:space="preserve">排放量≤1kg/万元； </w:t>
                  </w:r>
                </w:p>
                <w:p w14:paraId="0B579949">
                  <w:pPr>
                    <w:keepNext w:val="0"/>
                    <w:keepLines w:val="0"/>
                    <w:widowControl/>
                    <w:suppressLineNumbers w:val="0"/>
                    <w:jc w:val="left"/>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2、单位工业增加值COD排放量≤1kg/万元</w:t>
                  </w:r>
                </w:p>
                <w:p w14:paraId="4872E689">
                  <w:pPr>
                    <w:widowControl/>
                    <w:jc w:val="left"/>
                    <w:rPr>
                      <w:rFonts w:hint="default" w:ascii="Times New Roman" w:hAnsi="Times New Roman" w:cs="Times New Roman"/>
                      <w:color w:val="auto"/>
                      <w:kern w:val="21"/>
                      <w:sz w:val="21"/>
                      <w:szCs w:val="21"/>
                    </w:rPr>
                  </w:pPr>
                </w:p>
              </w:tc>
              <w:tc>
                <w:tcPr>
                  <w:tcW w:w="1408" w:type="pct"/>
                  <w:tcBorders>
                    <w:tl2br w:val="nil"/>
                    <w:tr2bl w:val="nil"/>
                  </w:tcBorders>
                  <w:vAlign w:val="center"/>
                </w:tcPr>
                <w:p w14:paraId="6FBAD855">
                  <w:pPr>
                    <w:numPr>
                      <w:ilvl w:val="0"/>
                      <w:numId w:val="3"/>
                    </w:numPr>
                    <w:jc w:val="left"/>
                    <w:rPr>
                      <w:rFonts w:hint="default" w:ascii="Times New Roman" w:hAnsi="Times New Roman" w:cs="Times New Roman"/>
                      <w:color w:val="auto"/>
                      <w:kern w:val="21"/>
                      <w:sz w:val="21"/>
                      <w:szCs w:val="21"/>
                    </w:rPr>
                  </w:pPr>
                  <w:r>
                    <w:rPr>
                      <w:rFonts w:hint="default" w:ascii="Times New Roman" w:hAnsi="Times New Roman" w:cs="Times New Roman"/>
                      <w:color w:val="auto"/>
                      <w:kern w:val="0"/>
                      <w:sz w:val="21"/>
                      <w:szCs w:val="21"/>
                      <w:lang w:val="en-US" w:eastAsia="zh-CN" w:bidi="ar"/>
                    </w:rPr>
                    <w:t>本项目不涉及SO</w:t>
                  </w:r>
                  <w:r>
                    <w:rPr>
                      <w:rFonts w:hint="default" w:ascii="Times New Roman" w:hAnsi="Times New Roman" w:cs="Times New Roman"/>
                      <w:color w:val="auto"/>
                      <w:kern w:val="0"/>
                      <w:sz w:val="21"/>
                      <w:szCs w:val="21"/>
                      <w:vertAlign w:val="subscript"/>
                      <w:lang w:val="en-US" w:eastAsia="zh-CN" w:bidi="ar"/>
                    </w:rPr>
                    <w:t>2</w:t>
                  </w:r>
                  <w:r>
                    <w:rPr>
                      <w:rFonts w:hint="default" w:ascii="Times New Roman" w:hAnsi="Times New Roman" w:cs="Times New Roman"/>
                      <w:color w:val="auto"/>
                      <w:kern w:val="0"/>
                      <w:sz w:val="21"/>
                      <w:szCs w:val="21"/>
                      <w:lang w:val="en-US" w:eastAsia="zh-CN" w:bidi="ar"/>
                    </w:rPr>
                    <w:t>排放</w:t>
                  </w:r>
                  <w:r>
                    <w:rPr>
                      <w:rFonts w:hint="default" w:ascii="Times New Roman" w:hAnsi="Times New Roman" w:cs="Times New Roman"/>
                      <w:color w:val="auto"/>
                      <w:kern w:val="0"/>
                      <w:sz w:val="21"/>
                      <w:szCs w:val="21"/>
                      <w:lang w:bidi="ar"/>
                    </w:rPr>
                    <w:t>2、本项目工业增加值为</w:t>
                  </w:r>
                  <w:r>
                    <w:rPr>
                      <w:rFonts w:hint="default" w:ascii="Times New Roman" w:hAnsi="Times New Roman" w:cs="Times New Roman"/>
                      <w:color w:val="auto"/>
                      <w:kern w:val="0"/>
                      <w:sz w:val="21"/>
                      <w:szCs w:val="21"/>
                      <w:lang w:val="en-US" w:eastAsia="zh-CN" w:bidi="ar"/>
                    </w:rPr>
                    <w:t>25000</w:t>
                  </w:r>
                  <w:r>
                    <w:rPr>
                      <w:rFonts w:hint="default" w:ascii="Times New Roman" w:hAnsi="Times New Roman" w:cs="Times New Roman"/>
                      <w:color w:val="auto"/>
                      <w:kern w:val="0"/>
                      <w:sz w:val="21"/>
                      <w:szCs w:val="21"/>
                      <w:lang w:bidi="ar"/>
                    </w:rPr>
                    <w:t>万元，新增COD 排放为</w:t>
                  </w:r>
                  <w:r>
                    <w:rPr>
                      <w:rFonts w:hint="default" w:ascii="Times New Roman" w:hAnsi="Times New Roman" w:cs="Times New Roman"/>
                      <w:color w:val="auto"/>
                      <w:kern w:val="0"/>
                      <w:sz w:val="21"/>
                      <w:szCs w:val="21"/>
                      <w:lang w:val="en-US" w:eastAsia="zh-CN" w:bidi="ar"/>
                    </w:rPr>
                    <w:t>1.08</w:t>
                  </w:r>
                  <w:r>
                    <w:rPr>
                      <w:rFonts w:hint="default" w:ascii="Times New Roman" w:hAnsi="Times New Roman" w:cs="Times New Roman"/>
                      <w:color w:val="auto"/>
                      <w:kern w:val="0"/>
                      <w:sz w:val="21"/>
                      <w:szCs w:val="21"/>
                      <w:lang w:bidi="ar"/>
                    </w:rPr>
                    <w:t>t/a，单位工业增加值COD 排放量为</w:t>
                  </w:r>
                  <w:r>
                    <w:rPr>
                      <w:rFonts w:hint="default" w:ascii="Times New Roman" w:hAnsi="Times New Roman" w:cs="Times New Roman"/>
                      <w:color w:val="auto"/>
                      <w:kern w:val="0"/>
                      <w:sz w:val="21"/>
                      <w:szCs w:val="21"/>
                      <w:lang w:val="en-US" w:eastAsia="zh-CN" w:bidi="ar"/>
                    </w:rPr>
                    <w:t>0.0432</w:t>
                  </w:r>
                  <w:r>
                    <w:rPr>
                      <w:rFonts w:hint="default" w:ascii="Times New Roman" w:hAnsi="Times New Roman" w:cs="Times New Roman"/>
                      <w:color w:val="auto"/>
                      <w:kern w:val="0"/>
                      <w:sz w:val="21"/>
                      <w:szCs w:val="21"/>
                      <w:lang w:bidi="ar"/>
                    </w:rPr>
                    <w:t>kg/万元，小于1.0kg/万元。</w:t>
                  </w:r>
                </w:p>
              </w:tc>
              <w:tc>
                <w:tcPr>
                  <w:tcW w:w="406" w:type="pct"/>
                  <w:tcBorders>
                    <w:tl2br w:val="nil"/>
                    <w:tr2bl w:val="nil"/>
                  </w:tcBorders>
                  <w:vAlign w:val="center"/>
                </w:tcPr>
                <w:p w14:paraId="38412D6D">
                  <w:pPr>
                    <w:autoSpaceDE w:val="0"/>
                    <w:autoSpaceDN w:val="0"/>
                    <w:adjustRightInd w:val="0"/>
                    <w:jc w:val="center"/>
                    <w:textAlignment w:val="baseline"/>
                    <w:rPr>
                      <w:rFonts w:hint="default" w:ascii="Times New Roman" w:hAnsi="Times New Roman" w:cs="Times New Roman"/>
                      <w:kern w:val="21"/>
                      <w:sz w:val="21"/>
                      <w:szCs w:val="21"/>
                    </w:rPr>
                  </w:pPr>
                  <w:r>
                    <w:rPr>
                      <w:rFonts w:hint="default" w:ascii="Times New Roman" w:hAnsi="Times New Roman" w:cs="Times New Roman"/>
                      <w:kern w:val="21"/>
                      <w:sz w:val="21"/>
                      <w:szCs w:val="21"/>
                    </w:rPr>
                    <w:t>符合</w:t>
                  </w:r>
                </w:p>
              </w:tc>
            </w:tr>
            <w:tr w14:paraId="73DBB1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53" w:type="pct"/>
                  <w:tcBorders>
                    <w:tl2br w:val="nil"/>
                    <w:tr2bl w:val="nil"/>
                  </w:tcBorders>
                  <w:vAlign w:val="center"/>
                </w:tcPr>
                <w:p w14:paraId="3A8C21A0">
                  <w:pPr>
                    <w:adjustRightInd w:val="0"/>
                    <w:jc w:val="center"/>
                    <w:textAlignment w:val="baseline"/>
                    <w:rPr>
                      <w:rFonts w:hint="default" w:ascii="Times New Roman" w:hAnsi="Times New Roman" w:cs="Times New Roman"/>
                      <w:kern w:val="21"/>
                      <w:sz w:val="21"/>
                      <w:szCs w:val="21"/>
                    </w:rPr>
                  </w:pPr>
                  <w:r>
                    <w:rPr>
                      <w:rFonts w:hint="default" w:ascii="Times New Roman" w:hAnsi="Times New Roman" w:cs="Times New Roman"/>
                      <w:kern w:val="21"/>
                      <w:sz w:val="21"/>
                      <w:szCs w:val="21"/>
                    </w:rPr>
                    <w:t>2</w:t>
                  </w:r>
                </w:p>
              </w:tc>
              <w:tc>
                <w:tcPr>
                  <w:tcW w:w="439" w:type="pct"/>
                  <w:tcBorders>
                    <w:tl2br w:val="nil"/>
                    <w:tr2bl w:val="nil"/>
                  </w:tcBorders>
                  <w:vAlign w:val="center"/>
                </w:tcPr>
                <w:p w14:paraId="44FD5140">
                  <w:pPr>
                    <w:autoSpaceDE w:val="0"/>
                    <w:autoSpaceDN w:val="0"/>
                    <w:adjustRightInd w:val="0"/>
                    <w:jc w:val="center"/>
                    <w:textAlignment w:val="baseline"/>
                    <w:rPr>
                      <w:rFonts w:hint="default" w:ascii="Times New Roman" w:hAnsi="Times New Roman" w:eastAsia="宋体" w:cs="Times New Roman"/>
                      <w:kern w:val="21"/>
                      <w:sz w:val="21"/>
                      <w:szCs w:val="21"/>
                      <w:lang w:val="en-US" w:eastAsia="zh-CN"/>
                    </w:rPr>
                  </w:pPr>
                  <w:r>
                    <w:rPr>
                      <w:rFonts w:hint="default" w:ascii="Times New Roman" w:hAnsi="Times New Roman" w:cs="Times New Roman"/>
                      <w:kern w:val="21"/>
                      <w:sz w:val="21"/>
                      <w:szCs w:val="21"/>
                      <w:lang w:val="en-US" w:eastAsia="zh-CN"/>
                    </w:rPr>
                    <w:t>环境风险防空</w:t>
                  </w:r>
                </w:p>
              </w:tc>
              <w:tc>
                <w:tcPr>
                  <w:tcW w:w="2491" w:type="pct"/>
                  <w:tcBorders>
                    <w:tl2br w:val="nil"/>
                    <w:tr2bl w:val="nil"/>
                  </w:tcBorders>
                  <w:vAlign w:val="center"/>
                </w:tcPr>
                <w:p w14:paraId="1C954C7B">
                  <w:pPr>
                    <w:widowControl/>
                    <w:jc w:val="left"/>
                    <w:rPr>
                      <w:rFonts w:hint="default" w:ascii="Times New Roman" w:hAnsi="Times New Roman" w:cs="Times New Roman"/>
                      <w:sz w:val="21"/>
                      <w:szCs w:val="21"/>
                    </w:rPr>
                  </w:pPr>
                  <w:r>
                    <w:rPr>
                      <w:rFonts w:hint="default" w:ascii="Times New Roman" w:hAnsi="Times New Roman" w:cs="Times New Roman"/>
                      <w:sz w:val="21"/>
                      <w:szCs w:val="21"/>
                    </w:rPr>
                    <w:t>1、从管理和安全出发，开发区管委会应采取一系列的风险管理措施，对开发区进行科学规划、合理布局，并从技术、工艺、管理方法等方面加强对开发区内企业风险防范措施建设的管理，检查、监督开发区内各企业采取的防火、防爆、防泄漏措施，以及建立安全生产制度，大力提高操作人员的素质和水平；另一方面开发区还应建立起有针对性的风险防范体系，配备一定的硬件设施，以加强对潜在事故的监控，及时发现事故隐患，及时消除，将事故控制在萌芽状态。</w:t>
                  </w:r>
                </w:p>
                <w:p w14:paraId="4E7D1E24">
                  <w:pPr>
                    <w:widowControl/>
                    <w:jc w:val="left"/>
                    <w:rPr>
                      <w:rFonts w:hint="default" w:ascii="Times New Roman" w:hAnsi="Times New Roman" w:cs="Times New Roman"/>
                      <w:sz w:val="21"/>
                      <w:szCs w:val="21"/>
                    </w:rPr>
                  </w:pPr>
                  <w:r>
                    <w:rPr>
                      <w:rFonts w:hint="default" w:ascii="Times New Roman" w:hAnsi="Times New Roman" w:cs="Times New Roman"/>
                      <w:sz w:val="21"/>
                      <w:szCs w:val="21"/>
                    </w:rPr>
                    <w:t>2、建立以信息技术为基础的开发区环境风险防范体系，通过对区内自然、社会、经济和环境质量状况、企业概况、开发区规划概况等的全面调查与评价，建立相应的动态数据库，提供动态更新和查阅功能，建立环境风险基础信息平台，为开发区的环境风险管理提供数据支持；根据开发区企业潜在的环境风险源的风险度，做好风险源的日常防范管理；当突发性环境污染事故发生时，实时监测各项指标的变化，预测突发性环境污染事故的发展，模拟其影响范围与历时，快速应急决策进行处理、处置，最大限度地减少突发性环境污染事故造成的不良影响。</w:t>
                  </w:r>
                </w:p>
              </w:tc>
              <w:tc>
                <w:tcPr>
                  <w:tcW w:w="1408" w:type="pct"/>
                  <w:tcBorders>
                    <w:tl2br w:val="nil"/>
                    <w:tr2bl w:val="nil"/>
                  </w:tcBorders>
                  <w:vAlign w:val="center"/>
                </w:tcPr>
                <w:p w14:paraId="7310C6A8">
                  <w:pPr>
                    <w:autoSpaceDE w:val="0"/>
                    <w:autoSpaceDN w:val="0"/>
                    <w:adjustRightInd w:val="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、本项目运营期将编制《突发环境事件应急预案》，并定期演练，同时将配备应急物质；</w:t>
                  </w:r>
                </w:p>
                <w:p w14:paraId="4D8FD7D7">
                  <w:pPr>
                    <w:autoSpaceDE w:val="0"/>
                    <w:autoSpaceDN w:val="0"/>
                    <w:adjustRightInd w:val="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2、园区已制定并落实园区综合环境风险防范、预警和应急体系。</w:t>
                  </w:r>
                </w:p>
              </w:tc>
              <w:tc>
                <w:tcPr>
                  <w:tcW w:w="406" w:type="pct"/>
                  <w:tcBorders>
                    <w:tl2br w:val="nil"/>
                    <w:tr2bl w:val="nil"/>
                  </w:tcBorders>
                  <w:vAlign w:val="center"/>
                </w:tcPr>
                <w:p w14:paraId="7B4F6AFA">
                  <w:pPr>
                    <w:autoSpaceDE w:val="0"/>
                    <w:autoSpaceDN w:val="0"/>
                    <w:adjustRightInd w:val="0"/>
                    <w:jc w:val="center"/>
                    <w:textAlignment w:val="baseline"/>
                    <w:rPr>
                      <w:rFonts w:hint="default" w:ascii="Times New Roman" w:hAnsi="Times New Roman" w:cs="Times New Roman"/>
                      <w:kern w:val="21"/>
                      <w:sz w:val="21"/>
                      <w:szCs w:val="21"/>
                    </w:rPr>
                  </w:pPr>
                  <w:r>
                    <w:rPr>
                      <w:rFonts w:hint="default" w:ascii="Times New Roman" w:hAnsi="Times New Roman" w:cs="Times New Roman"/>
                      <w:kern w:val="21"/>
                      <w:sz w:val="21"/>
                      <w:szCs w:val="21"/>
                    </w:rPr>
                    <w:t>符合</w:t>
                  </w:r>
                </w:p>
              </w:tc>
            </w:tr>
            <w:tr w14:paraId="0F81B7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53" w:type="pct"/>
                  <w:tcBorders>
                    <w:tl2br w:val="nil"/>
                    <w:tr2bl w:val="nil"/>
                  </w:tcBorders>
                  <w:vAlign w:val="center"/>
                </w:tcPr>
                <w:p w14:paraId="202C7BCD">
                  <w:pPr>
                    <w:adjustRightInd w:val="0"/>
                    <w:jc w:val="center"/>
                    <w:textAlignment w:val="baseline"/>
                    <w:rPr>
                      <w:rFonts w:hint="default" w:ascii="Times New Roman" w:hAnsi="Times New Roman" w:eastAsia="宋体" w:cs="Times New Roman"/>
                      <w:kern w:val="21"/>
                      <w:sz w:val="21"/>
                      <w:szCs w:val="21"/>
                      <w:lang w:val="en-US" w:eastAsia="zh-CN"/>
                    </w:rPr>
                  </w:pPr>
                  <w:r>
                    <w:rPr>
                      <w:rFonts w:hint="default" w:ascii="Times New Roman" w:hAnsi="Times New Roman" w:cs="Times New Roman"/>
                      <w:kern w:val="21"/>
                      <w:sz w:val="21"/>
                      <w:szCs w:val="21"/>
                      <w:lang w:val="en-US" w:eastAsia="zh-CN"/>
                    </w:rPr>
                    <w:t>3</w:t>
                  </w:r>
                </w:p>
              </w:tc>
              <w:tc>
                <w:tcPr>
                  <w:tcW w:w="439" w:type="pct"/>
                  <w:tcBorders>
                    <w:tl2br w:val="nil"/>
                    <w:tr2bl w:val="nil"/>
                  </w:tcBorders>
                  <w:vAlign w:val="center"/>
                </w:tcPr>
                <w:p w14:paraId="48E5B4F6">
                  <w:pPr>
                    <w:autoSpaceDE w:val="0"/>
                    <w:autoSpaceDN w:val="0"/>
                    <w:adjustRightInd w:val="0"/>
                    <w:jc w:val="center"/>
                    <w:textAlignment w:val="baseline"/>
                    <w:rPr>
                      <w:rFonts w:hint="default" w:ascii="Times New Roman" w:hAnsi="Times New Roman" w:cs="Times New Roman"/>
                      <w:kern w:val="21"/>
                      <w:sz w:val="21"/>
                      <w:szCs w:val="21"/>
                      <w:lang w:val="en-US" w:eastAsia="zh-CN"/>
                    </w:rPr>
                  </w:pPr>
                  <w:r>
                    <w:rPr>
                      <w:rFonts w:hint="default" w:ascii="Times New Roman" w:hAnsi="Times New Roman" w:cs="Times New Roman"/>
                      <w:kern w:val="21"/>
                      <w:sz w:val="21"/>
                      <w:szCs w:val="21"/>
                      <w:lang w:val="en-US" w:eastAsia="zh-CN"/>
                    </w:rPr>
                    <w:t>资源开发利用效率要求</w:t>
                  </w:r>
                </w:p>
              </w:tc>
              <w:tc>
                <w:tcPr>
                  <w:tcW w:w="2491" w:type="pct"/>
                  <w:tcBorders>
                    <w:tl2br w:val="nil"/>
                    <w:tr2bl w:val="nil"/>
                  </w:tcBorders>
                  <w:vAlign w:val="center"/>
                </w:tcPr>
                <w:p w14:paraId="45E9728E">
                  <w:pPr>
                    <w:widowControl/>
                    <w:jc w:val="left"/>
                    <w:rPr>
                      <w:rFonts w:hint="default" w:ascii="Times New Roman" w:hAnsi="Times New Roman" w:cs="Times New Roman"/>
                      <w:sz w:val="21"/>
                      <w:szCs w:val="21"/>
                    </w:rPr>
                  </w:pP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、单位工业增加值新鲜水耗≤8m³/万元</w:t>
                  </w:r>
                </w:p>
                <w:p w14:paraId="5E33535D">
                  <w:pPr>
                    <w:widowControl/>
                    <w:jc w:val="left"/>
                    <w:rPr>
                      <w:rFonts w:hint="default" w:ascii="Times New Roman" w:hAnsi="Times New Roman" w:cs="Times New Roman"/>
                      <w:sz w:val="21"/>
                      <w:szCs w:val="21"/>
                    </w:rPr>
                  </w:pPr>
                  <w:r>
                    <w:rPr>
                      <w:rFonts w:hint="default" w:ascii="Times New Roman" w:hAnsi="Times New Roman" w:cs="Times New Roman"/>
                      <w:sz w:val="21"/>
                      <w:szCs w:val="21"/>
                    </w:rPr>
                    <w:t>2、单位工业增加值综合能耗≤0.5 吨标煤/万元</w:t>
                  </w:r>
                </w:p>
                <w:p w14:paraId="26B8A205">
                  <w:pPr>
                    <w:widowControl/>
                    <w:jc w:val="left"/>
                    <w:rPr>
                      <w:rFonts w:hint="default" w:ascii="Times New Roman" w:hAnsi="Times New Roman" w:cs="Times New Roman"/>
                      <w:sz w:val="21"/>
                      <w:szCs w:val="21"/>
                    </w:rPr>
                  </w:pPr>
                  <w:r>
                    <w:rPr>
                      <w:rFonts w:hint="default" w:ascii="Times New Roman" w:hAnsi="Times New Roman" w:cs="Times New Roman"/>
                      <w:sz w:val="21"/>
                      <w:szCs w:val="21"/>
                    </w:rPr>
                    <w:t>3、工业用水重复利用率≥75%</w:t>
                  </w:r>
                </w:p>
                <w:p w14:paraId="7E54B11C">
                  <w:pPr>
                    <w:widowControl/>
                    <w:jc w:val="left"/>
                    <w:rPr>
                      <w:rFonts w:hint="default" w:ascii="Times New Roman" w:hAnsi="Times New Roman" w:cs="Times New Roman"/>
                      <w:sz w:val="21"/>
                      <w:szCs w:val="21"/>
                    </w:rPr>
                  </w:pPr>
                  <w:r>
                    <w:rPr>
                      <w:rFonts w:hint="default" w:ascii="Times New Roman" w:hAnsi="Times New Roman" w:cs="Times New Roman"/>
                      <w:sz w:val="21"/>
                      <w:szCs w:val="21"/>
                    </w:rPr>
                    <w:t>4、单位工业增加值废水排放量≤7t/万元</w:t>
                  </w:r>
                </w:p>
              </w:tc>
              <w:tc>
                <w:tcPr>
                  <w:tcW w:w="1408" w:type="pct"/>
                  <w:tcBorders>
                    <w:tl2br w:val="nil"/>
                    <w:tr2bl w:val="nil"/>
                  </w:tcBorders>
                  <w:vAlign w:val="center"/>
                </w:tcPr>
                <w:p w14:paraId="46526ACC">
                  <w:pPr>
                    <w:autoSpaceDE w:val="0"/>
                    <w:autoSpaceDN w:val="0"/>
                    <w:adjustRightInd w:val="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本项目年工业增加值</w:t>
                  </w:r>
                  <w:r>
                    <w:rPr>
                      <w:rFonts w:hint="default" w:ascii="Times New Roman" w:hAnsi="Times New Roman" w:cs="Times New Roman"/>
                      <w:color w:val="auto"/>
                      <w:sz w:val="21"/>
                      <w:szCs w:val="21"/>
                      <w:lang w:val="en-US" w:eastAsia="zh-CN"/>
                    </w:rPr>
                    <w:t>250</w:t>
                  </w:r>
                  <w:r>
                    <w:rPr>
                      <w:rFonts w:hint="default" w:ascii="Times New Roman" w:hAnsi="Times New Roman" w:cs="Times New Roman"/>
                      <w:color w:val="auto"/>
                      <w:sz w:val="21"/>
                      <w:szCs w:val="21"/>
                    </w:rPr>
                    <w:t>00万元，新鲜用水量为</w:t>
                  </w:r>
                  <w:r>
                    <w:rPr>
                      <w:rFonts w:hint="default" w:ascii="Times New Roman" w:hAnsi="Times New Roman" w:cs="Times New Roman"/>
                      <w:color w:val="auto"/>
                      <w:sz w:val="21"/>
                      <w:szCs w:val="21"/>
                      <w:lang w:val="en-US" w:eastAsia="zh-CN"/>
                    </w:rPr>
                    <w:t>4500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/a，则单位工业增加值新鲜水耗为</w:t>
                  </w:r>
                  <w:r>
                    <w:rPr>
                      <w:rFonts w:hint="default" w:ascii="Times New Roman" w:hAnsi="Times New Roman" w:cs="Times New Roman"/>
                      <w:color w:val="auto"/>
                      <w:sz w:val="21"/>
                      <w:szCs w:val="21"/>
                      <w:lang w:val="en-US" w:eastAsia="zh-CN"/>
                    </w:rPr>
                    <w:t>0.18</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/万元，小于 8m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/万元；外排废水为</w:t>
                  </w:r>
                  <w:r>
                    <w:rPr>
                      <w:rFonts w:hint="default" w:ascii="Times New Roman" w:hAnsi="Times New Roman" w:cs="Times New Roman"/>
                      <w:color w:val="auto"/>
                      <w:sz w:val="21"/>
                      <w:szCs w:val="21"/>
                      <w:lang w:val="en-US" w:eastAsia="zh-CN"/>
                    </w:rPr>
                    <w:t>生活污水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3600</w:t>
                  </w:r>
                  <w:r>
                    <w:rPr>
                      <w:rFonts w:hint="default" w:ascii="Times New Roman" w:hAnsi="Times New Roman" w:eastAsia="宋体" w:cs="Times New Roman"/>
                      <w:color w:val="auto"/>
                      <w:sz w:val="21"/>
                      <w:szCs w:val="21"/>
                    </w:rPr>
                    <w:t>m³</w:t>
                  </w:r>
                  <w:r>
                    <w:rPr>
                      <w:rFonts w:hint="default" w:ascii="Times New Roman" w:hAnsi="Times New Roman" w:cs="Times New Roman"/>
                      <w:color w:val="auto"/>
                      <w:sz w:val="21"/>
                      <w:szCs w:val="21"/>
                    </w:rPr>
                    <w:t>/a，单位工业增加值废水排放量＜</w:t>
                  </w:r>
                  <w:r>
                    <w:rPr>
                      <w:rFonts w:hint="default" w:ascii="Times New Roman" w:hAnsi="Times New Roman" w:cs="Times New Roman"/>
                      <w:color w:val="auto"/>
                      <w:sz w:val="21"/>
                      <w:szCs w:val="21"/>
                      <w:lang w:val="en-US" w:eastAsia="zh-CN"/>
                    </w:rPr>
                    <w:t>0.144</w:t>
                  </w:r>
                  <w:r>
                    <w:rPr>
                      <w:rFonts w:hint="default" w:ascii="Times New Roman" w:hAnsi="Times New Roman" w:cs="Times New Roman"/>
                      <w:color w:val="auto"/>
                      <w:sz w:val="21"/>
                      <w:szCs w:val="21"/>
                    </w:rPr>
                    <w:t>t/万元</w:t>
                  </w:r>
                </w:p>
              </w:tc>
              <w:tc>
                <w:tcPr>
                  <w:tcW w:w="406" w:type="pct"/>
                  <w:tcBorders>
                    <w:tl2br w:val="nil"/>
                    <w:tr2bl w:val="nil"/>
                  </w:tcBorders>
                  <w:vAlign w:val="center"/>
                </w:tcPr>
                <w:p w14:paraId="69B12511">
                  <w:pPr>
                    <w:autoSpaceDE w:val="0"/>
                    <w:autoSpaceDN w:val="0"/>
                    <w:adjustRightInd w:val="0"/>
                    <w:jc w:val="center"/>
                    <w:textAlignment w:val="baseline"/>
                    <w:rPr>
                      <w:rFonts w:hint="default" w:ascii="Times New Roman" w:hAnsi="Times New Roman" w:cs="Times New Roman"/>
                      <w:kern w:val="21"/>
                      <w:sz w:val="21"/>
                      <w:szCs w:val="21"/>
                    </w:rPr>
                  </w:pPr>
                  <w:r>
                    <w:rPr>
                      <w:rFonts w:hint="default" w:ascii="Times New Roman" w:hAnsi="Times New Roman" w:cs="Times New Roman"/>
                      <w:kern w:val="21"/>
                      <w:sz w:val="21"/>
                      <w:szCs w:val="21"/>
                    </w:rPr>
                    <w:t>符合</w:t>
                  </w:r>
                </w:p>
              </w:tc>
            </w:tr>
            <w:tr w14:paraId="218311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2" w:hRule="atLeast"/>
                <w:jc w:val="center"/>
              </w:trPr>
              <w:tc>
                <w:tcPr>
                  <w:tcW w:w="253" w:type="pct"/>
                  <w:tcBorders>
                    <w:tl2br w:val="nil"/>
                    <w:tr2bl w:val="nil"/>
                  </w:tcBorders>
                  <w:vAlign w:val="center"/>
                </w:tcPr>
                <w:p w14:paraId="272D332A">
                  <w:pPr>
                    <w:adjustRightInd w:val="0"/>
                    <w:jc w:val="center"/>
                    <w:textAlignment w:val="baseline"/>
                    <w:rPr>
                      <w:rFonts w:hint="default" w:ascii="Times New Roman" w:hAnsi="Times New Roman" w:cs="Times New Roman"/>
                      <w:kern w:val="21"/>
                      <w:sz w:val="21"/>
                      <w:szCs w:val="21"/>
                      <w:lang w:val="en-US" w:eastAsia="zh-CN"/>
                    </w:rPr>
                  </w:pPr>
                  <w:r>
                    <w:rPr>
                      <w:rFonts w:hint="default" w:ascii="Times New Roman" w:hAnsi="Times New Roman" w:cs="Times New Roman"/>
                      <w:kern w:val="21"/>
                      <w:sz w:val="21"/>
                      <w:szCs w:val="21"/>
                      <w:lang w:val="en-US" w:eastAsia="zh-CN"/>
                    </w:rPr>
                    <w:t>4</w:t>
                  </w:r>
                </w:p>
              </w:tc>
              <w:tc>
                <w:tcPr>
                  <w:tcW w:w="439" w:type="pct"/>
                  <w:tcBorders>
                    <w:tl2br w:val="nil"/>
                    <w:tr2bl w:val="nil"/>
                  </w:tcBorders>
                  <w:vAlign w:val="center"/>
                </w:tcPr>
                <w:p w14:paraId="42F7295E">
                  <w:pPr>
                    <w:autoSpaceDE w:val="0"/>
                    <w:autoSpaceDN w:val="0"/>
                    <w:adjustRightInd w:val="0"/>
                    <w:jc w:val="center"/>
                    <w:textAlignment w:val="baseline"/>
                    <w:rPr>
                      <w:rFonts w:hint="default" w:ascii="Times New Roman" w:hAnsi="Times New Roman" w:cs="Times New Roman"/>
                      <w:kern w:val="21"/>
                      <w:sz w:val="21"/>
                      <w:szCs w:val="21"/>
                      <w:lang w:val="en-US" w:eastAsia="zh-CN"/>
                    </w:rPr>
                  </w:pPr>
                  <w:r>
                    <w:rPr>
                      <w:rFonts w:hint="default" w:ascii="Times New Roman" w:hAnsi="Times New Roman" w:cs="Times New Roman"/>
                      <w:kern w:val="21"/>
                      <w:sz w:val="21"/>
                      <w:szCs w:val="21"/>
                      <w:lang w:val="en-US" w:eastAsia="zh-CN"/>
                    </w:rPr>
                    <w:t>产业准入要求</w:t>
                  </w:r>
                </w:p>
              </w:tc>
              <w:tc>
                <w:tcPr>
                  <w:tcW w:w="2491" w:type="pct"/>
                  <w:tcBorders>
                    <w:tl2br w:val="nil"/>
                    <w:tr2bl w:val="nil"/>
                  </w:tcBorders>
                  <w:vAlign w:val="center"/>
                </w:tcPr>
                <w:p w14:paraId="5AB0B63C">
                  <w:pPr>
                    <w:widowControl/>
                    <w:numPr>
                      <w:ilvl w:val="0"/>
                      <w:numId w:val="4"/>
                    </w:numPr>
                    <w:jc w:val="left"/>
                    <w:rPr>
                      <w:rFonts w:hint="default" w:ascii="Times New Roman" w:hAnsi="Times New Roman" w:cs="Times New Roman"/>
                      <w:sz w:val="21"/>
                      <w:szCs w:val="21"/>
                    </w:rPr>
                  </w:pPr>
                  <w:r>
                    <w:rPr>
                      <w:rFonts w:hint="default" w:ascii="Times New Roman" w:hAnsi="Times New Roman" w:cs="Times New Roman"/>
                      <w:sz w:val="21"/>
                      <w:szCs w:val="21"/>
                    </w:rPr>
                    <w:t>优先鼓励项目：优先引进主导产业企业，逐步形成以主导产业为核心的产业集群；鼓励引进绿色产生项目，延伸产业链条</w:t>
                  </w:r>
                </w:p>
                <w:p w14:paraId="773F2EB0">
                  <w:pPr>
                    <w:widowControl/>
                    <w:numPr>
                      <w:ilvl w:val="0"/>
                      <w:numId w:val="0"/>
                    </w:numPr>
                    <w:jc w:val="left"/>
                    <w:rPr>
                      <w:rFonts w:hint="default" w:ascii="Times New Roman" w:hAnsi="Times New Roman" w:cs="Times New Roman"/>
                      <w:sz w:val="21"/>
                      <w:szCs w:val="21"/>
                    </w:rPr>
                  </w:pPr>
                  <w:r>
                    <w:rPr>
                      <w:rFonts w:hint="default" w:ascii="Times New Roman" w:hAnsi="Times New Roman" w:cs="Times New Roman"/>
                      <w:sz w:val="21"/>
                      <w:szCs w:val="21"/>
                    </w:rPr>
                    <w:t>2、限制发展项目：产业结构调整指导目录（2019年本）中限制类项目</w:t>
                  </w:r>
                </w:p>
                <w:p w14:paraId="16D51885">
                  <w:pPr>
                    <w:widowControl/>
                    <w:jc w:val="left"/>
                    <w:rPr>
                      <w:rFonts w:hint="default" w:ascii="Times New Roman" w:hAnsi="Times New Roman" w:cs="Times New Roman"/>
                      <w:sz w:val="21"/>
                      <w:szCs w:val="21"/>
                    </w:rPr>
                  </w:pPr>
                  <w:r>
                    <w:rPr>
                      <w:rFonts w:hint="default" w:ascii="Times New Roman" w:hAnsi="Times New Roman" w:cs="Times New Roman"/>
                      <w:sz w:val="21"/>
                      <w:szCs w:val="21"/>
                    </w:rPr>
                    <w:t>3、禁止发展项目：产业结构调整指导目录（2019年本）中淘汰类项目</w:t>
                  </w:r>
                </w:p>
              </w:tc>
              <w:tc>
                <w:tcPr>
                  <w:tcW w:w="1408" w:type="pct"/>
                  <w:tcBorders>
                    <w:tl2br w:val="nil"/>
                    <w:tr2bl w:val="nil"/>
                  </w:tcBorders>
                  <w:vAlign w:val="center"/>
                </w:tcPr>
                <w:p w14:paraId="0FD6606F">
                  <w:pPr>
                    <w:autoSpaceDE w:val="0"/>
                    <w:autoSpaceDN w:val="0"/>
                    <w:adjustRightInd w:val="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本项目为C3670汽车零部件及配件制造，不属于开发区负面清单项目</w:t>
                  </w:r>
                </w:p>
              </w:tc>
              <w:tc>
                <w:tcPr>
                  <w:tcW w:w="406" w:type="pct"/>
                  <w:tcBorders>
                    <w:tl2br w:val="nil"/>
                    <w:tr2bl w:val="nil"/>
                  </w:tcBorders>
                  <w:vAlign w:val="center"/>
                </w:tcPr>
                <w:p w14:paraId="5A2F22C3">
                  <w:pPr>
                    <w:autoSpaceDE w:val="0"/>
                    <w:autoSpaceDN w:val="0"/>
                    <w:adjustRightInd w:val="0"/>
                    <w:jc w:val="center"/>
                    <w:textAlignment w:val="baseline"/>
                    <w:rPr>
                      <w:rFonts w:hint="default" w:ascii="Times New Roman" w:hAnsi="Times New Roman" w:cs="Times New Roman"/>
                      <w:kern w:val="21"/>
                      <w:sz w:val="21"/>
                      <w:szCs w:val="21"/>
                    </w:rPr>
                  </w:pPr>
                  <w:r>
                    <w:rPr>
                      <w:rFonts w:hint="default" w:ascii="Times New Roman" w:hAnsi="Times New Roman" w:cs="Times New Roman"/>
                      <w:kern w:val="21"/>
                      <w:sz w:val="21"/>
                      <w:szCs w:val="21"/>
                    </w:rPr>
                    <w:t>符合</w:t>
                  </w:r>
                </w:p>
              </w:tc>
            </w:tr>
          </w:tbl>
          <w:p w14:paraId="5D02462F">
            <w:pPr>
              <w:spacing w:line="360" w:lineRule="auto"/>
              <w:ind w:firstLine="480" w:firstLineChars="200"/>
              <w:rPr>
                <w:rFonts w:hint="default" w:ascii="Times New Roman" w:hAnsi="Times New Roman" w:cs="Times New Roman"/>
                <w:color w:val="000000"/>
              </w:rPr>
            </w:pPr>
            <w:r>
              <w:rPr>
                <w:rFonts w:hint="default" w:ascii="Times New Roman" w:hAnsi="Times New Roman" w:eastAsia="宋体" w:cs="Times New Roman"/>
                <w:color w:val="000000"/>
                <w:kern w:val="0"/>
                <w:sz w:val="24"/>
              </w:rPr>
              <w:t>由上表可知，本项目建设符合《芜湖市“三线一单”生态环境准入清单（成果）》文件中的相关要求。</w:t>
            </w:r>
          </w:p>
          <w:p w14:paraId="43612E82">
            <w:pPr>
              <w:spacing w:line="360" w:lineRule="auto"/>
              <w:ind w:firstLine="482" w:firstLineChars="200"/>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6、与</w:t>
            </w:r>
            <w:r>
              <w:rPr>
                <w:rFonts w:hint="default" w:ascii="Times New Roman" w:hAnsi="Times New Roman" w:eastAsia="宋体" w:cs="Times New Roman"/>
                <w:b/>
                <w:color w:val="000000"/>
                <w:sz w:val="24"/>
                <w:lang w:eastAsia="zh-CN"/>
              </w:rPr>
              <w:t>“</w:t>
            </w:r>
            <w:r>
              <w:rPr>
                <w:rFonts w:hint="default" w:ascii="Times New Roman" w:hAnsi="Times New Roman" w:eastAsia="宋体" w:cs="Times New Roman"/>
                <w:b/>
                <w:color w:val="000000"/>
                <w:sz w:val="24"/>
              </w:rPr>
              <w:t>三区三线</w:t>
            </w:r>
            <w:r>
              <w:rPr>
                <w:rFonts w:hint="default" w:ascii="Times New Roman" w:hAnsi="Times New Roman" w:eastAsia="宋体" w:cs="Times New Roman"/>
                <w:b/>
                <w:color w:val="000000"/>
                <w:sz w:val="24"/>
                <w:lang w:eastAsia="zh-CN"/>
              </w:rPr>
              <w:t>”</w:t>
            </w:r>
            <w:r>
              <w:rPr>
                <w:rFonts w:hint="default" w:ascii="Times New Roman" w:hAnsi="Times New Roman" w:eastAsia="宋体" w:cs="Times New Roman"/>
                <w:b/>
                <w:color w:val="000000"/>
                <w:sz w:val="24"/>
              </w:rPr>
              <w:t>符合性分析</w:t>
            </w:r>
          </w:p>
          <w:p w14:paraId="741BB755">
            <w:pPr>
              <w:spacing w:line="360" w:lineRule="auto"/>
              <w:ind w:firstLine="424" w:firstLineChars="177"/>
              <w:rPr>
                <w:rFonts w:hint="default" w:ascii="Times New Roman" w:hAnsi="Times New Roman" w:eastAsia="宋体" w:cs="Times New Roman"/>
                <w:bCs/>
                <w:color w:val="000000"/>
                <w:sz w:val="24"/>
              </w:rPr>
            </w:pPr>
            <w:r>
              <w:rPr>
                <w:rFonts w:hint="default" w:ascii="Times New Roman" w:hAnsi="Times New Roman" w:cs="Times New Roman"/>
                <w:bCs/>
                <w:color w:val="000000"/>
                <w:sz w:val="24"/>
                <w:lang w:eastAsia="zh-CN"/>
              </w:rPr>
              <w:t>“</w:t>
            </w:r>
            <w:r>
              <w:rPr>
                <w:rFonts w:hint="default" w:ascii="Times New Roman" w:hAnsi="Times New Roman" w:eastAsia="宋体" w:cs="Times New Roman"/>
                <w:bCs/>
                <w:color w:val="000000"/>
                <w:sz w:val="24"/>
              </w:rPr>
              <w:t>三区三线</w:t>
            </w:r>
            <w:r>
              <w:rPr>
                <w:rFonts w:hint="default" w:ascii="Times New Roman" w:hAnsi="Times New Roman" w:cs="Times New Roman"/>
                <w:bCs/>
                <w:color w:val="000000"/>
                <w:sz w:val="24"/>
                <w:lang w:eastAsia="zh-CN"/>
              </w:rPr>
              <w:t>”</w:t>
            </w:r>
            <w:r>
              <w:rPr>
                <w:rFonts w:hint="default" w:ascii="Times New Roman" w:hAnsi="Times New Roman" w:eastAsia="宋体" w:cs="Times New Roman"/>
                <w:bCs/>
                <w:color w:val="000000"/>
                <w:sz w:val="24"/>
              </w:rPr>
              <w:t>是根据农业空间、生态空间、城镇空间三个区域，分别对应划定的耕地和永久基本农田保护红线、城镇开发边界、生态保护红线三条控制线。农业空间是以农业生产、农村生活为主体的区域；生态空间是指具有自然属性、以提供生态服务或生态产品为主的区域；城镇区间是以承载城镇经济、社会、政治、文化、生态等要素为主的功能空间。生态保护红线是指在生态空间范围内具有特殊重要生态功能，必须强制性严格保护的陆域、水域等区域；永久基本农田是指不能擅自占用或改变用途的长期稳定耕地；城镇开发边界是指在一定时期内因城镇发展需要，可以集中进行城镇开发建设，重点完善城镇功能的区域边界。</w:t>
            </w:r>
          </w:p>
          <w:p w14:paraId="1A42F550">
            <w:pPr>
              <w:spacing w:line="360" w:lineRule="auto"/>
              <w:ind w:firstLine="424" w:firstLineChars="177"/>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项目位于</w:t>
            </w:r>
            <w:r>
              <w:rPr>
                <w:rFonts w:hint="default" w:ascii="Times New Roman" w:hAnsi="Times New Roman" w:cs="Times New Roman"/>
                <w:bCs/>
                <w:color w:val="000000"/>
                <w:sz w:val="24"/>
                <w:lang w:val="en-US" w:eastAsia="zh-CN"/>
              </w:rPr>
              <w:t>安徽芜湖</w:t>
            </w:r>
            <w:r>
              <w:rPr>
                <w:rFonts w:hint="default" w:ascii="Times New Roman" w:hAnsi="Times New Roman" w:eastAsia="宋体" w:cs="Times New Roman"/>
                <w:bCs/>
                <w:color w:val="000000"/>
                <w:sz w:val="24"/>
              </w:rPr>
              <w:t>三山经济开发区凤栖路以南、夏家湖路以西地块，根据芜湖市“三区三线”划定情况，本项目位于城镇开发边界内，符合芜湖市“三区三线”要求。</w:t>
            </w:r>
          </w:p>
          <w:p w14:paraId="2C52CDD8">
            <w:pPr>
              <w:adjustRightInd w:val="0"/>
              <w:snapToGrid w:val="0"/>
              <w:spacing w:line="360" w:lineRule="auto"/>
              <w:ind w:firstLine="482" w:firstLineChars="20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7、与《</w:t>
            </w:r>
            <w:r>
              <w:rPr>
                <w:rFonts w:hint="default" w:ascii="Times New Roman" w:hAnsi="Times New Roman" w:eastAsia="宋体" w:cs="Times New Roman"/>
                <w:b/>
                <w:color w:val="000000"/>
                <w:sz w:val="24"/>
              </w:rPr>
              <w:t>关于全面打造水清岸绿产业优美丽长江（芜湖）经济带的实施方案（升级版）</w:t>
            </w:r>
            <w:r>
              <w:rPr>
                <w:rFonts w:hint="default" w:ascii="Times New Roman" w:hAnsi="Times New Roman" w:eastAsia="宋体" w:cs="Times New Roman"/>
                <w:b/>
                <w:bCs/>
                <w:color w:val="000000"/>
                <w:sz w:val="24"/>
              </w:rPr>
              <w:t>》（芜市办</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2021</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28号）</w:t>
            </w:r>
            <w:r>
              <w:rPr>
                <w:rFonts w:hint="default" w:ascii="Times New Roman" w:hAnsi="Times New Roman" w:eastAsia="宋体" w:cs="Times New Roman"/>
                <w:b/>
                <w:color w:val="000000"/>
                <w:sz w:val="24"/>
              </w:rPr>
              <w:t>相符性分析</w:t>
            </w:r>
          </w:p>
          <w:p w14:paraId="53C02FA2">
            <w:pPr>
              <w:pStyle w:val="23"/>
              <w:adjustRightInd w:val="0"/>
              <w:spacing w:before="0" w:after="0" w:line="240" w:lineRule="auto"/>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sz w:val="24"/>
              </w:rPr>
              <w:t>表1-</w:t>
            </w:r>
            <w:r>
              <w:rPr>
                <w:rFonts w:hint="default" w:ascii="Times New Roman" w:hAnsi="Times New Roman" w:cs="Times New Roman"/>
                <w:b/>
                <w:bCs/>
                <w:color w:val="000000"/>
                <w:sz w:val="24"/>
                <w:lang w:val="en-US" w:eastAsia="zh-CN"/>
              </w:rPr>
              <w:t>6</w:t>
            </w:r>
            <w:r>
              <w:rPr>
                <w:rFonts w:hint="default" w:ascii="Times New Roman" w:hAnsi="Times New Roman" w:eastAsia="宋体" w:cs="Times New Roman"/>
                <w:b/>
                <w:bCs/>
                <w:color w:val="000000"/>
                <w:sz w:val="24"/>
              </w:rPr>
              <w:t xml:space="preserve">  项目与</w:t>
            </w:r>
            <w:r>
              <w:rPr>
                <w:rFonts w:hint="default" w:ascii="Times New Roman" w:hAnsi="Times New Roman" w:eastAsia="宋体" w:cs="Times New Roman"/>
                <w:b/>
                <w:bCs/>
                <w:color w:val="000000"/>
                <w:sz w:val="24"/>
                <w:lang w:eastAsia="zh-CN"/>
              </w:rPr>
              <w:t>“</w:t>
            </w:r>
            <w:r>
              <w:rPr>
                <w:rFonts w:hint="default" w:ascii="Times New Roman" w:hAnsi="Times New Roman" w:eastAsia="宋体" w:cs="Times New Roman"/>
                <w:b/>
                <w:bCs/>
                <w:color w:val="000000"/>
                <w:sz w:val="24"/>
              </w:rPr>
              <w:t>芜市办</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2021</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28号</w:t>
            </w:r>
            <w:r>
              <w:rPr>
                <w:rFonts w:hint="default" w:ascii="Times New Roman" w:hAnsi="Times New Roman" w:eastAsia="宋体" w:cs="Times New Roman"/>
                <w:b/>
                <w:bCs/>
                <w:color w:val="000000"/>
                <w:sz w:val="24"/>
                <w:lang w:eastAsia="zh-CN"/>
              </w:rPr>
              <w:t>”</w:t>
            </w:r>
            <w:r>
              <w:rPr>
                <w:rFonts w:hint="default" w:ascii="Times New Roman" w:hAnsi="Times New Roman" w:eastAsia="宋体" w:cs="Times New Roman"/>
                <w:b/>
                <w:bCs/>
                <w:color w:val="000000"/>
                <w:sz w:val="24"/>
              </w:rPr>
              <w:t>文件相符性</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31"/>
              <w:gridCol w:w="3539"/>
              <w:gridCol w:w="2606"/>
            </w:tblGrid>
            <w:tr w14:paraId="0D1B1A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5DC5AB26">
                  <w:pPr>
                    <w:widowControl/>
                    <w:jc w:val="center"/>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文件内容</w:t>
                  </w:r>
                </w:p>
              </w:tc>
              <w:tc>
                <w:tcPr>
                  <w:tcW w:w="2432" w:type="pct"/>
                  <w:noWrap w:val="0"/>
                  <w:vAlign w:val="center"/>
                </w:tcPr>
                <w:p w14:paraId="00CC65D6">
                  <w:pPr>
                    <w:widowControl/>
                    <w:jc w:val="center"/>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具体要求</w:t>
                  </w:r>
                </w:p>
              </w:tc>
              <w:tc>
                <w:tcPr>
                  <w:tcW w:w="1790" w:type="pct"/>
                  <w:noWrap w:val="0"/>
                  <w:vAlign w:val="center"/>
                </w:tcPr>
                <w:p w14:paraId="6E47078E">
                  <w:pPr>
                    <w:widowControl/>
                    <w:jc w:val="center"/>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相符性分析</w:t>
                  </w:r>
                </w:p>
              </w:tc>
            </w:tr>
            <w:tr w14:paraId="37A48E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58748AEB">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严禁1公里范围内新建化工项目</w:t>
                  </w:r>
                </w:p>
              </w:tc>
              <w:tc>
                <w:tcPr>
                  <w:tcW w:w="2432" w:type="pct"/>
                  <w:noWrap w:val="0"/>
                  <w:vAlign w:val="center"/>
                </w:tcPr>
                <w:p w14:paraId="312D5CC9">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1790" w:type="pct"/>
                  <w:noWrap w:val="0"/>
                  <w:vAlign w:val="center"/>
                </w:tcPr>
                <w:p w14:paraId="71E7A748">
                  <w:pPr>
                    <w:adjustRightInd w:val="0"/>
                    <w:snapToGrid w:val="0"/>
                    <w:jc w:val="lef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本项目不属于化工项目。本项目距离长江干流岸线约</w:t>
                  </w:r>
                  <w:r>
                    <w:rPr>
                      <w:rFonts w:hint="default" w:ascii="Times New Roman" w:hAnsi="Times New Roman" w:cs="Times New Roman"/>
                      <w:color w:val="000000"/>
                      <w:sz w:val="21"/>
                      <w:szCs w:val="21"/>
                      <w:lang w:val="en-US" w:eastAsia="zh-CN"/>
                    </w:rPr>
                    <w:t>5.6</w:t>
                  </w:r>
                  <w:r>
                    <w:rPr>
                      <w:rFonts w:hint="default" w:ascii="Times New Roman" w:hAnsi="Times New Roman" w:eastAsia="宋体" w:cs="Times New Roman"/>
                      <w:color w:val="000000"/>
                      <w:sz w:val="21"/>
                      <w:szCs w:val="21"/>
                      <w:lang w:val="en-US" w:eastAsia="zh-CN"/>
                    </w:rPr>
                    <w:t>k</w:t>
                  </w:r>
                  <w:r>
                    <w:rPr>
                      <w:rFonts w:hint="default" w:ascii="Times New Roman" w:hAnsi="Times New Roman" w:eastAsia="宋体" w:cs="Times New Roman"/>
                      <w:color w:val="000000"/>
                      <w:sz w:val="21"/>
                      <w:szCs w:val="21"/>
                    </w:rPr>
                    <w:t>m，项目选址不在长江</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芜湖段</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干流及主要支流岸线1公里范围内。</w:t>
                  </w:r>
                </w:p>
              </w:tc>
            </w:tr>
            <w:tr w14:paraId="2B484B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2BEE2CB0">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严控5公里范围内新建重化工重污染项目</w:t>
                  </w:r>
                </w:p>
              </w:tc>
              <w:tc>
                <w:tcPr>
                  <w:tcW w:w="2432" w:type="pct"/>
                  <w:noWrap w:val="0"/>
                  <w:vAlign w:val="center"/>
                </w:tcPr>
                <w:p w14:paraId="12DE9B92">
                  <w:pPr>
                    <w:widowControl/>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长江干流岸线5公里范围内，全面落实长江岸线功能定位要求，实施严格的化工项目市场准入制度，制定完善危险化学品</w:t>
                  </w:r>
                  <w:r>
                    <w:rPr>
                      <w:rFonts w:hint="default" w:ascii="Times New Roman" w:hAnsi="Times New Roman" w:eastAsia="宋体" w:cs="Times New Roman"/>
                      <w:color w:val="000000"/>
                      <w:kern w:val="0"/>
                      <w:sz w:val="21"/>
                      <w:szCs w:val="21"/>
                      <w:highlight w:val="none"/>
                      <w:lang w:eastAsia="zh-CN"/>
                    </w:rPr>
                    <w:t>“</w:t>
                  </w:r>
                  <w:r>
                    <w:rPr>
                      <w:rFonts w:hint="default" w:ascii="Times New Roman" w:hAnsi="Times New Roman" w:eastAsia="宋体" w:cs="Times New Roman"/>
                      <w:color w:val="000000"/>
                      <w:kern w:val="0"/>
                      <w:sz w:val="21"/>
                      <w:szCs w:val="21"/>
                      <w:highlight w:val="none"/>
                    </w:rPr>
                    <w:t>禁限控</w:t>
                  </w:r>
                  <w:r>
                    <w:rPr>
                      <w:rFonts w:hint="default" w:ascii="Times New Roman" w:hAnsi="Times New Roman" w:eastAsia="宋体" w:cs="Times New Roman"/>
                      <w:color w:val="000000"/>
                      <w:kern w:val="0"/>
                      <w:sz w:val="21"/>
                      <w:szCs w:val="21"/>
                      <w:highlight w:val="none"/>
                      <w:lang w:eastAsia="zh-CN"/>
                    </w:rPr>
                    <w:t>”</w:t>
                  </w:r>
                  <w:r>
                    <w:rPr>
                      <w:rFonts w:hint="default" w:ascii="Times New Roman" w:hAnsi="Times New Roman" w:eastAsia="宋体" w:cs="Times New Roman"/>
                      <w:color w:val="000000"/>
                      <w:kern w:val="0"/>
                      <w:sz w:val="21"/>
                      <w:szCs w:val="21"/>
                      <w:highlight w:val="none"/>
                    </w:rPr>
                    <w:t>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790" w:type="pct"/>
                  <w:noWrap w:val="0"/>
                  <w:vAlign w:val="center"/>
                </w:tcPr>
                <w:p w14:paraId="4636C0EB">
                  <w:pPr>
                    <w:adjustRightInd w:val="0"/>
                    <w:snapToGrid w:val="0"/>
                    <w:jc w:val="left"/>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sz w:val="21"/>
                      <w:szCs w:val="21"/>
                    </w:rPr>
                    <w:t>本项目距离长江干流岸线约</w:t>
                  </w:r>
                  <w:r>
                    <w:rPr>
                      <w:rFonts w:hint="default" w:ascii="Times New Roman" w:hAnsi="Times New Roman" w:cs="Times New Roman"/>
                      <w:color w:val="000000"/>
                      <w:sz w:val="21"/>
                      <w:szCs w:val="21"/>
                      <w:lang w:val="en-US" w:eastAsia="zh-CN"/>
                    </w:rPr>
                    <w:t>5.6</w:t>
                  </w:r>
                  <w:r>
                    <w:rPr>
                      <w:rFonts w:hint="default" w:ascii="Times New Roman" w:hAnsi="Times New Roman" w:eastAsia="宋体" w:cs="Times New Roman"/>
                      <w:color w:val="000000"/>
                      <w:sz w:val="21"/>
                      <w:szCs w:val="21"/>
                      <w:lang w:val="en-US" w:eastAsia="zh-CN"/>
                    </w:rPr>
                    <w:t>k</w:t>
                  </w:r>
                  <w:r>
                    <w:rPr>
                      <w:rFonts w:hint="default" w:ascii="Times New Roman" w:hAnsi="Times New Roman" w:eastAsia="宋体" w:cs="Times New Roman"/>
                      <w:color w:val="000000"/>
                      <w:sz w:val="21"/>
                      <w:szCs w:val="21"/>
                    </w:rPr>
                    <w:t>m，</w:t>
                  </w:r>
                  <w:r>
                    <w:rPr>
                      <w:rFonts w:hint="default" w:ascii="Times New Roman" w:hAnsi="Times New Roman" w:eastAsia="宋体" w:cs="Times New Roman"/>
                      <w:color w:val="000000"/>
                      <w:sz w:val="21"/>
                      <w:szCs w:val="21"/>
                      <w:highlight w:val="none"/>
                      <w:lang w:val="en-US" w:eastAsia="zh-CN"/>
                    </w:rPr>
                    <w:t>不在</w:t>
                  </w:r>
                  <w:r>
                    <w:rPr>
                      <w:rFonts w:hint="default" w:ascii="Times New Roman" w:hAnsi="Times New Roman" w:eastAsia="宋体" w:cs="Times New Roman"/>
                      <w:color w:val="000000"/>
                      <w:sz w:val="21"/>
                      <w:szCs w:val="21"/>
                      <w:highlight w:val="none"/>
                    </w:rPr>
                    <w:t>长江</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lang w:val="en-US" w:eastAsia="zh-CN"/>
                    </w:rPr>
                    <w:t>芜湖段</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rPr>
                    <w:t>干流5公里范围内，项目不属于石油化工和煤化工等重化工、重污染项目。</w:t>
                  </w:r>
                </w:p>
              </w:tc>
            </w:tr>
            <w:tr w14:paraId="0D5015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77" w:type="pct"/>
                  <w:noWrap w:val="0"/>
                  <w:vAlign w:val="center"/>
                </w:tcPr>
                <w:p w14:paraId="172288F4">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严管15公里范围内新建项目</w:t>
                  </w:r>
                </w:p>
              </w:tc>
              <w:tc>
                <w:tcPr>
                  <w:tcW w:w="2432" w:type="pct"/>
                  <w:noWrap w:val="0"/>
                  <w:vAlign w:val="center"/>
                </w:tcPr>
                <w:p w14:paraId="52119B44">
                  <w:pPr>
                    <w:widowControl/>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长江干流岸线15公里范围内，严把各类项目准入门槛，严格执行环境保护标准，把主要污染物和重点重金属排放总量控制目标作为新（改、扩）建项目环评审批的前置条件，禁止建设没有环境容量和减排总量项目</w:t>
                  </w:r>
                </w:p>
              </w:tc>
              <w:tc>
                <w:tcPr>
                  <w:tcW w:w="1790" w:type="pct"/>
                  <w:noWrap w:val="0"/>
                  <w:vAlign w:val="center"/>
                </w:tcPr>
                <w:p w14:paraId="733540E7">
                  <w:pPr>
                    <w:adjustRightInd w:val="0"/>
                    <w:snapToGrid w:val="0"/>
                    <w:jc w:val="left"/>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sz w:val="21"/>
                      <w:szCs w:val="21"/>
                      <w:highlight w:val="none"/>
                    </w:rPr>
                    <w:t>本项目距离长江干流岸线约</w:t>
                  </w:r>
                  <w:r>
                    <w:rPr>
                      <w:rFonts w:hint="default" w:ascii="Times New Roman" w:hAnsi="Times New Roman" w:cs="Times New Roman"/>
                      <w:color w:val="000000"/>
                      <w:sz w:val="21"/>
                      <w:szCs w:val="21"/>
                      <w:highlight w:val="none"/>
                      <w:lang w:val="en-US" w:eastAsia="zh-CN"/>
                    </w:rPr>
                    <w:t>5.6</w:t>
                  </w:r>
                  <w:r>
                    <w:rPr>
                      <w:rFonts w:hint="default" w:ascii="Times New Roman" w:hAnsi="Times New Roman" w:eastAsia="宋体" w:cs="Times New Roman"/>
                      <w:color w:val="000000"/>
                      <w:sz w:val="21"/>
                      <w:szCs w:val="21"/>
                      <w:highlight w:val="none"/>
                    </w:rPr>
                    <w:t>km，在长江干流岸线15公里范围内，本项目严格执行环境保护标准，主要污染物实行总量控制。本项目不在国家长江经济带市场准入禁止限制目录。项目实施备案、环评、安评、能评等关联审批，取得合法手续后方可开工建设。</w:t>
                  </w:r>
                </w:p>
              </w:tc>
            </w:tr>
          </w:tbl>
          <w:p w14:paraId="775D7BB1">
            <w:pPr>
              <w:adjustRightInd w:val="0"/>
              <w:snapToGrid w:val="0"/>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因此，本项目的建设符合《关于全面打造水清岸绿产业优美丽长江（芜湖）经济带的实施方案（升级版）》（芜市办</w:t>
            </w:r>
            <w:r>
              <w:rPr>
                <w:rFonts w:hint="eastAsia" w:ascii="宋体" w:hAnsi="宋体" w:eastAsia="宋体" w:cs="宋体"/>
                <w:b w:val="0"/>
                <w:bCs w:val="0"/>
                <w:color w:val="000000"/>
                <w:sz w:val="24"/>
              </w:rPr>
              <w:t>〔</w:t>
            </w:r>
            <w:r>
              <w:rPr>
                <w:rFonts w:hint="default" w:ascii="Times New Roman" w:hAnsi="Times New Roman" w:eastAsia="宋体" w:cs="Times New Roman"/>
                <w:b w:val="0"/>
                <w:bCs w:val="0"/>
                <w:color w:val="000000"/>
                <w:sz w:val="24"/>
              </w:rPr>
              <w:t>2021</w:t>
            </w:r>
            <w:r>
              <w:rPr>
                <w:rFonts w:hint="eastAsia" w:ascii="宋体" w:hAnsi="宋体" w:eastAsia="宋体" w:cs="宋体"/>
                <w:b w:val="0"/>
                <w:bCs w:val="0"/>
                <w:color w:val="000000"/>
                <w:sz w:val="24"/>
              </w:rPr>
              <w:t>〕</w:t>
            </w:r>
            <w:r>
              <w:rPr>
                <w:rFonts w:hint="default" w:ascii="Times New Roman" w:hAnsi="Times New Roman" w:eastAsia="宋体" w:cs="Times New Roman"/>
                <w:color w:val="000000"/>
                <w:sz w:val="24"/>
              </w:rPr>
              <w:t>28号）的要求，项目选址合理。</w:t>
            </w:r>
          </w:p>
          <w:p w14:paraId="642551B7">
            <w:pPr>
              <w:spacing w:line="360" w:lineRule="auto"/>
              <w:ind w:firstLine="42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lang w:val="en-US" w:eastAsia="zh-CN"/>
              </w:rPr>
              <w:t>8</w:t>
            </w:r>
            <w:r>
              <w:rPr>
                <w:rFonts w:hint="default" w:ascii="Times New Roman" w:hAnsi="Times New Roman" w:eastAsia="宋体" w:cs="Times New Roman"/>
                <w:b/>
                <w:bCs/>
                <w:color w:val="000000"/>
                <w:sz w:val="24"/>
              </w:rPr>
              <w:t>、《长江经济带发展负面清单指南（试行，2022年版）》相符性</w:t>
            </w:r>
          </w:p>
          <w:p w14:paraId="4E9EA3E2">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根据《长江经济带发展负面清单指南（试行，2022年版）》，本项目与负面清单相符性分析见下表。</w:t>
            </w:r>
          </w:p>
          <w:p w14:paraId="2F6BED7E">
            <w:pPr>
              <w:adjustRightInd w:val="0"/>
              <w:snapToGrid w:val="0"/>
              <w:jc w:val="center"/>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表1-</w:t>
            </w:r>
            <w:r>
              <w:rPr>
                <w:rFonts w:hint="default" w:ascii="Times New Roman" w:hAnsi="Times New Roman" w:cs="Times New Roman"/>
                <w:b/>
                <w:bCs/>
                <w:color w:val="000000"/>
                <w:sz w:val="24"/>
                <w:lang w:val="en-US" w:eastAsia="zh-CN"/>
              </w:rPr>
              <w:t>7</w:t>
            </w:r>
            <w:r>
              <w:rPr>
                <w:rFonts w:hint="default" w:ascii="Times New Roman" w:hAnsi="Times New Roman" w:eastAsia="宋体" w:cs="Times New Roman"/>
                <w:b/>
                <w:bCs/>
                <w:color w:val="000000"/>
                <w:sz w:val="24"/>
              </w:rPr>
              <w:t xml:space="preserve">  本项目与长江经济带发展负面清单指南相符性分析</w:t>
            </w:r>
          </w:p>
          <w:tbl>
            <w:tblPr>
              <w:tblStyle w:val="5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1" w:type="dxa"/>
                <w:left w:w="28" w:type="dxa"/>
                <w:bottom w:w="11" w:type="dxa"/>
                <w:right w:w="28" w:type="dxa"/>
              </w:tblCellMar>
            </w:tblPr>
            <w:tblGrid>
              <w:gridCol w:w="569"/>
              <w:gridCol w:w="3558"/>
              <w:gridCol w:w="2406"/>
              <w:gridCol w:w="740"/>
            </w:tblGrid>
            <w:tr w14:paraId="2C447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blHeader/>
                <w:jc w:val="center"/>
              </w:trPr>
              <w:tc>
                <w:tcPr>
                  <w:tcW w:w="390" w:type="pct"/>
                  <w:noWrap w:val="0"/>
                  <w:vAlign w:val="center"/>
                </w:tcPr>
                <w:p w14:paraId="56F4D7A5">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序号</w:t>
                  </w:r>
                </w:p>
              </w:tc>
              <w:tc>
                <w:tcPr>
                  <w:tcW w:w="2446" w:type="pct"/>
                  <w:noWrap w:val="0"/>
                  <w:vAlign w:val="center"/>
                </w:tcPr>
                <w:p w14:paraId="1138603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文件要求</w:t>
                  </w:r>
                </w:p>
              </w:tc>
              <w:tc>
                <w:tcPr>
                  <w:tcW w:w="1653" w:type="pct"/>
                  <w:noWrap w:val="0"/>
                  <w:vAlign w:val="center"/>
                </w:tcPr>
                <w:p w14:paraId="52BE5247">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本项目情况</w:t>
                  </w:r>
                </w:p>
              </w:tc>
              <w:tc>
                <w:tcPr>
                  <w:tcW w:w="508" w:type="pct"/>
                  <w:noWrap w:val="0"/>
                  <w:vAlign w:val="center"/>
                </w:tcPr>
                <w:p w14:paraId="79A1E924">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相符性</w:t>
                  </w:r>
                </w:p>
              </w:tc>
            </w:tr>
            <w:tr w14:paraId="1449F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90" w:type="pct"/>
                  <w:noWrap w:val="0"/>
                  <w:vAlign w:val="center"/>
                </w:tcPr>
                <w:p w14:paraId="1C03E1F4">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446" w:type="pct"/>
                  <w:noWrap w:val="0"/>
                  <w:vAlign w:val="center"/>
                </w:tcPr>
                <w:p w14:paraId="5D082E52">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653" w:type="pct"/>
                  <w:noWrap w:val="0"/>
                  <w:vAlign w:val="center"/>
                </w:tcPr>
                <w:p w14:paraId="772117DD">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rPr>
                    <w:t>本项目距离长江</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芜湖段）</w:t>
                  </w:r>
                  <w:r>
                    <w:rPr>
                      <w:rFonts w:hint="default" w:ascii="Times New Roman" w:hAnsi="Times New Roman" w:eastAsia="宋体" w:cs="Times New Roman"/>
                      <w:color w:val="000000"/>
                      <w:sz w:val="21"/>
                      <w:szCs w:val="21"/>
                    </w:rPr>
                    <w:t>干流岸线约</w:t>
                  </w:r>
                  <w:r>
                    <w:rPr>
                      <w:rFonts w:hint="default" w:ascii="Times New Roman" w:hAnsi="Times New Roman" w:cs="Times New Roman"/>
                      <w:color w:val="000000"/>
                      <w:sz w:val="21"/>
                      <w:szCs w:val="21"/>
                      <w:lang w:val="en-US" w:eastAsia="zh-CN"/>
                    </w:rPr>
                    <w:t>5.6</w:t>
                  </w:r>
                  <w:r>
                    <w:rPr>
                      <w:rFonts w:hint="default" w:ascii="Times New Roman" w:hAnsi="Times New Roman" w:eastAsia="宋体" w:cs="Times New Roman"/>
                      <w:color w:val="000000"/>
                      <w:sz w:val="21"/>
                      <w:szCs w:val="21"/>
                      <w:lang w:val="en-US" w:eastAsia="zh-CN"/>
                    </w:rPr>
                    <w:t>k</w:t>
                  </w:r>
                  <w:r>
                    <w:rPr>
                      <w:rFonts w:hint="default" w:ascii="Times New Roman" w:hAnsi="Times New Roman" w:eastAsia="宋体" w:cs="Times New Roman"/>
                      <w:color w:val="000000"/>
                      <w:sz w:val="21"/>
                      <w:szCs w:val="21"/>
                    </w:rPr>
                    <w:t>m，</w:t>
                  </w:r>
                  <w:r>
                    <w:rPr>
                      <w:rFonts w:hint="default" w:ascii="Times New Roman" w:hAnsi="Times New Roman" w:eastAsia="宋体" w:cs="Times New Roman"/>
                      <w:color w:val="000000"/>
                      <w:sz w:val="21"/>
                      <w:szCs w:val="21"/>
                      <w:lang w:bidi="ar"/>
                    </w:rPr>
                    <w:t>项目不属于化工项目、尾矿库、冶炼渣库和磷石膏库项目。</w:t>
                  </w:r>
                </w:p>
              </w:tc>
              <w:tc>
                <w:tcPr>
                  <w:tcW w:w="508" w:type="pct"/>
                  <w:noWrap w:val="0"/>
                  <w:vAlign w:val="center"/>
                </w:tcPr>
                <w:p w14:paraId="085CA70C">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14387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1059" w:hRule="atLeast"/>
                <w:jc w:val="center"/>
              </w:trPr>
              <w:tc>
                <w:tcPr>
                  <w:tcW w:w="390" w:type="pct"/>
                  <w:noWrap w:val="0"/>
                  <w:vAlign w:val="center"/>
                </w:tcPr>
                <w:p w14:paraId="1BEF1F36">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446" w:type="pct"/>
                  <w:noWrap w:val="0"/>
                  <w:vAlign w:val="center"/>
                </w:tcPr>
                <w:p w14:paraId="75C9C916">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禁止在合规园区外新建、扩建钢铁、石化、化工、焦化、建材、有色、制浆造纸等高污染项目。</w:t>
                  </w:r>
                </w:p>
              </w:tc>
              <w:tc>
                <w:tcPr>
                  <w:tcW w:w="1653" w:type="pct"/>
                  <w:noWrap w:val="0"/>
                  <w:vAlign w:val="center"/>
                </w:tcPr>
                <w:p w14:paraId="4ECA061F">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lang w:bidi="ar"/>
                    </w:rPr>
                    <w:t>本项目位于</w:t>
                  </w:r>
                  <w:r>
                    <w:rPr>
                      <w:rFonts w:hint="default" w:ascii="Times New Roman" w:hAnsi="Times New Roman" w:cs="Times New Roman"/>
                      <w:color w:val="000000"/>
                      <w:sz w:val="21"/>
                      <w:szCs w:val="21"/>
                      <w:lang w:val="en-US" w:eastAsia="zh-CN" w:bidi="ar"/>
                    </w:rPr>
                    <w:t>安徽芜湖三山经济开发区</w:t>
                  </w:r>
                  <w:r>
                    <w:rPr>
                      <w:rFonts w:hint="default" w:ascii="Times New Roman" w:hAnsi="Times New Roman" w:eastAsia="宋体" w:cs="Times New Roman"/>
                      <w:color w:val="000000"/>
                      <w:sz w:val="21"/>
                      <w:szCs w:val="21"/>
                      <w:lang w:val="en-US" w:eastAsia="zh-CN" w:bidi="ar"/>
                    </w:rPr>
                    <w:t>范围</w:t>
                  </w:r>
                  <w:r>
                    <w:rPr>
                      <w:rFonts w:hint="default" w:ascii="Times New Roman" w:hAnsi="Times New Roman" w:eastAsia="宋体" w:cs="Times New Roman"/>
                      <w:color w:val="000000"/>
                      <w:sz w:val="21"/>
                      <w:szCs w:val="21"/>
                      <w:lang w:bidi="ar"/>
                    </w:rPr>
                    <w:t>内，且本项目不属于钢铁、石化、化工、焦化、建材、有色、制浆造纸等高污染项目。</w:t>
                  </w:r>
                </w:p>
              </w:tc>
              <w:tc>
                <w:tcPr>
                  <w:tcW w:w="508" w:type="pct"/>
                  <w:noWrap w:val="0"/>
                  <w:vAlign w:val="center"/>
                </w:tcPr>
                <w:p w14:paraId="0FF5D419">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143D3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513" w:hRule="atLeast"/>
                <w:jc w:val="center"/>
              </w:trPr>
              <w:tc>
                <w:tcPr>
                  <w:tcW w:w="390" w:type="pct"/>
                  <w:noWrap w:val="0"/>
                  <w:vAlign w:val="center"/>
                </w:tcPr>
                <w:p w14:paraId="49A9AE72">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446" w:type="pct"/>
                  <w:noWrap w:val="0"/>
                  <w:vAlign w:val="center"/>
                </w:tcPr>
                <w:p w14:paraId="79E245DC">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禁止新建、扩建不符合国家石化、现代煤化工等产业布局规划的项目。</w:t>
                  </w:r>
                </w:p>
              </w:tc>
              <w:tc>
                <w:tcPr>
                  <w:tcW w:w="1653" w:type="pct"/>
                  <w:noWrap w:val="0"/>
                  <w:vAlign w:val="center"/>
                </w:tcPr>
                <w:p w14:paraId="7CE37E89">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lang w:bidi="ar"/>
                    </w:rPr>
                    <w:t>本项目不属于石化、现代煤化工等不符合国家产业布局规划的项目。</w:t>
                  </w:r>
                </w:p>
              </w:tc>
              <w:tc>
                <w:tcPr>
                  <w:tcW w:w="508" w:type="pct"/>
                  <w:noWrap w:val="0"/>
                  <w:vAlign w:val="center"/>
                </w:tcPr>
                <w:p w14:paraId="37FA715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r w14:paraId="4FC6DD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1761" w:hRule="atLeast"/>
                <w:jc w:val="center"/>
              </w:trPr>
              <w:tc>
                <w:tcPr>
                  <w:tcW w:w="390" w:type="pct"/>
                  <w:noWrap w:val="0"/>
                  <w:vAlign w:val="center"/>
                </w:tcPr>
                <w:p w14:paraId="50A19DB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446" w:type="pct"/>
                  <w:noWrap w:val="0"/>
                  <w:vAlign w:val="center"/>
                </w:tcPr>
                <w:p w14:paraId="25FB86E3">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禁止新建、扩建法律法规和相关政策明令禁止的落 产能项目。禁止新建、扩建不符合国家产能置换要求的严重过剩产能行业的项目。禁止新建、扩建不符合要求的高耗能高排放项目。</w:t>
                  </w:r>
                </w:p>
              </w:tc>
              <w:tc>
                <w:tcPr>
                  <w:tcW w:w="1653" w:type="pct"/>
                  <w:noWrap w:val="0"/>
                  <w:vAlign w:val="center"/>
                </w:tcPr>
                <w:p w14:paraId="435CEE32">
                  <w:pPr>
                    <w:pStyle w:val="23"/>
                    <w:keepNext w:val="0"/>
                    <w:keepLines w:val="0"/>
                    <w:pageBreakBefore w:val="0"/>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s="Times New Roman"/>
                      <w:color w:val="000000"/>
                      <w:sz w:val="21"/>
                      <w:szCs w:val="21"/>
                      <w:lang w:bidi="ar"/>
                    </w:rPr>
                  </w:pPr>
                  <w:r>
                    <w:rPr>
                      <w:rFonts w:hint="default" w:ascii="Times New Roman" w:hAnsi="Times New Roman" w:eastAsia="宋体" w:cs="Times New Roman"/>
                      <w:color w:val="000000"/>
                      <w:sz w:val="21"/>
                      <w:szCs w:val="21"/>
                      <w:lang w:bidi="ar"/>
                    </w:rPr>
                    <w:t>本项目不属于《产业结构调整指导目录（2024年本）》中淘汰类或限制类项目，项目符合国家产业政策。不属于落后产能项目，不属于过剩产能行业项目，不属于高耗能高排放项目。</w:t>
                  </w:r>
                </w:p>
              </w:tc>
              <w:tc>
                <w:tcPr>
                  <w:tcW w:w="508" w:type="pct"/>
                  <w:noWrap w:val="0"/>
                  <w:vAlign w:val="center"/>
                </w:tcPr>
                <w:p w14:paraId="6D81D0FC">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相符</w:t>
                  </w:r>
                </w:p>
              </w:tc>
            </w:tr>
          </w:tbl>
          <w:p w14:paraId="6B2CBE75">
            <w:pPr>
              <w:spacing w:line="360" w:lineRule="auto"/>
              <w:ind w:firstLine="42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lang w:val="en-US" w:eastAsia="zh-CN"/>
              </w:rPr>
              <w:t>9</w:t>
            </w:r>
            <w:r>
              <w:rPr>
                <w:rFonts w:hint="default" w:ascii="Times New Roman" w:hAnsi="Times New Roman" w:eastAsia="宋体" w:cs="Times New Roman"/>
                <w:b/>
                <w:bCs/>
                <w:color w:val="000000"/>
                <w:sz w:val="24"/>
              </w:rPr>
              <w:t>、与《中华人民共和国长江保护法》相符性</w:t>
            </w:r>
          </w:p>
          <w:p w14:paraId="65BCAD7E">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根据《中华人民共和国长江保护法》（2020年12月26日颁布，2021年3月1日实施）：</w:t>
            </w:r>
          </w:p>
          <w:p w14:paraId="6EEE7F49">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第二十六条、禁止在长江干流岸线一公里范围内新建、扩建化工园区和化工项目。禁止在长江干流岸线三公里范围内和重要支流一公里范围内新建、改建、扩建尾矿库；但是以提升安全、生态保护水平为目的的改建除外。</w:t>
            </w:r>
          </w:p>
          <w:p w14:paraId="5EF4D5EB">
            <w:pPr>
              <w:spacing w:line="360" w:lineRule="auto"/>
              <w:ind w:firstLine="42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相符性分析：本项目距离长江</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芜湖段）</w:t>
            </w:r>
            <w:r>
              <w:rPr>
                <w:rFonts w:hint="default" w:ascii="Times New Roman" w:hAnsi="Times New Roman" w:eastAsia="宋体" w:cs="Times New Roman"/>
                <w:color w:val="000000"/>
                <w:sz w:val="24"/>
              </w:rPr>
              <w:t>干流岸线约</w:t>
            </w:r>
            <w:r>
              <w:rPr>
                <w:rFonts w:hint="default" w:ascii="Times New Roman" w:hAnsi="Times New Roman" w:cs="Times New Roman"/>
                <w:color w:val="000000"/>
                <w:sz w:val="24"/>
                <w:lang w:val="en-US" w:eastAsia="zh-CN"/>
              </w:rPr>
              <w:t>5.6</w:t>
            </w:r>
            <w:r>
              <w:rPr>
                <w:rFonts w:hint="default" w:ascii="Times New Roman" w:hAnsi="Times New Roman" w:eastAsia="宋体" w:cs="Times New Roman"/>
                <w:color w:val="000000"/>
                <w:sz w:val="24"/>
                <w:lang w:val="en-US" w:eastAsia="zh-CN"/>
              </w:rPr>
              <w:t>k</w:t>
            </w:r>
            <w:r>
              <w:rPr>
                <w:rFonts w:hint="default" w:ascii="Times New Roman" w:hAnsi="Times New Roman" w:eastAsia="宋体" w:cs="Times New Roman"/>
                <w:color w:val="000000"/>
                <w:sz w:val="24"/>
              </w:rPr>
              <w:t>m，项目不在长江干流岸线一公里范围内，且本项目不属于化工项目，不属于尾矿库项目。项目建设符合《中华人民共和国长江保护法》要求。</w:t>
            </w:r>
          </w:p>
          <w:p w14:paraId="5EBF2CA2">
            <w:pPr>
              <w:adjustRightInd w:val="0"/>
              <w:snapToGrid w:val="0"/>
              <w:spacing w:line="360" w:lineRule="auto"/>
              <w:ind w:firstLine="482" w:firstLineChars="200"/>
              <w:rPr>
                <w:rFonts w:hint="default" w:ascii="Times New Roman" w:hAnsi="Times New Roman" w:eastAsia="宋体" w:cs="Times New Roman"/>
                <w:b/>
                <w:bCs/>
                <w:caps w:val="0"/>
                <w:sz w:val="24"/>
                <w:highlight w:val="none"/>
              </w:rPr>
            </w:pPr>
            <w:r>
              <w:rPr>
                <w:rFonts w:hint="default" w:ascii="Times New Roman" w:hAnsi="Times New Roman" w:eastAsia="宋体" w:cs="Times New Roman"/>
                <w:b/>
                <w:bCs/>
                <w:caps w:val="0"/>
                <w:sz w:val="24"/>
                <w:highlight w:val="none"/>
                <w:lang w:val="en-US" w:eastAsia="zh-CN"/>
              </w:rPr>
              <w:t>10、</w:t>
            </w:r>
            <w:r>
              <w:rPr>
                <w:rFonts w:hint="default" w:ascii="Times New Roman" w:hAnsi="Times New Roman" w:eastAsia="宋体" w:cs="Times New Roman"/>
                <w:b/>
                <w:bCs/>
                <w:caps w:val="0"/>
                <w:sz w:val="24"/>
                <w:highlight w:val="none"/>
              </w:rPr>
              <w:t>与安徽省生态环境保护委员会办公室关于印发《安徽省2022年大气污染防治工作要点》的通知（安环委办〔2022〕37号）相符性</w:t>
            </w:r>
          </w:p>
          <w:p w14:paraId="5ED44A2C">
            <w:pPr>
              <w:spacing w:line="360" w:lineRule="auto"/>
              <w:ind w:firstLine="480" w:firstLineChars="200"/>
              <w:rPr>
                <w:rFonts w:hint="default" w:ascii="Times New Roman" w:hAnsi="Times New Roman" w:eastAsia="宋体" w:cs="Times New Roman"/>
                <w:caps w:val="0"/>
                <w:sz w:val="24"/>
                <w:highlight w:val="none"/>
              </w:rPr>
            </w:pPr>
            <w:r>
              <w:rPr>
                <w:rFonts w:hint="default" w:ascii="Times New Roman" w:hAnsi="Times New Roman" w:eastAsia="宋体" w:cs="Times New Roman"/>
                <w:caps w:val="0"/>
                <w:sz w:val="24"/>
                <w:highlight w:val="none"/>
              </w:rPr>
              <w:t>根据安徽省生态环境保护委员会办公室关于印发《安徽省2022年大气污染防治工作要点》的通知（安环委办〔2022〕37号），本项目建设符合文件相关要求，见下表。</w:t>
            </w:r>
          </w:p>
          <w:p w14:paraId="7FFCACC1">
            <w:pPr>
              <w:adjustRightInd w:val="0"/>
              <w:snapToGrid w:val="0"/>
              <w:spacing w:line="360" w:lineRule="auto"/>
              <w:jc w:val="center"/>
              <w:rPr>
                <w:rFonts w:hint="default" w:ascii="Times New Roman" w:hAnsi="Times New Roman" w:eastAsia="宋体" w:cs="Times New Roman"/>
                <w:caps w:val="0"/>
                <w:sz w:val="24"/>
                <w:highlight w:val="none"/>
              </w:rPr>
            </w:pPr>
            <w:r>
              <w:rPr>
                <w:rFonts w:hint="default" w:ascii="Times New Roman" w:hAnsi="Times New Roman" w:eastAsia="宋体" w:cs="Times New Roman"/>
                <w:b/>
                <w:bCs/>
                <w:caps w:val="0"/>
                <w:sz w:val="24"/>
                <w:highlight w:val="none"/>
              </w:rPr>
              <w:t>表1-</w:t>
            </w:r>
            <w:r>
              <w:rPr>
                <w:rFonts w:hint="default" w:ascii="Times New Roman" w:hAnsi="Times New Roman" w:eastAsia="宋体" w:cs="Times New Roman"/>
                <w:b/>
                <w:bCs/>
                <w:caps w:val="0"/>
                <w:sz w:val="24"/>
                <w:highlight w:val="none"/>
                <w:lang w:val="en-US" w:eastAsia="zh-CN"/>
              </w:rPr>
              <w:t>8</w:t>
            </w:r>
            <w:r>
              <w:rPr>
                <w:rFonts w:hint="default" w:ascii="Times New Roman" w:hAnsi="Times New Roman" w:eastAsia="宋体" w:cs="Times New Roman"/>
                <w:b/>
                <w:bCs/>
                <w:caps w:val="0"/>
                <w:sz w:val="24"/>
                <w:highlight w:val="none"/>
              </w:rPr>
              <w:t xml:space="preserve">  与《安徽省2022年大气污染防治工作要点》相符性分析</w:t>
            </w:r>
          </w:p>
          <w:tbl>
            <w:tblPr>
              <w:tblStyle w:val="5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475"/>
              <w:gridCol w:w="2138"/>
              <w:gridCol w:w="860"/>
            </w:tblGrid>
            <w:tr w14:paraId="01B409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4" w:type="dxa"/>
                  <w:tcBorders>
                    <w:tl2br w:val="nil"/>
                    <w:tr2bl w:val="nil"/>
                  </w:tcBorders>
                  <w:noWrap w:val="0"/>
                  <w:vAlign w:val="center"/>
                </w:tcPr>
                <w:p w14:paraId="5CE9CF8A">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序号</w:t>
                  </w:r>
                </w:p>
              </w:tc>
              <w:tc>
                <w:tcPr>
                  <w:tcW w:w="4274" w:type="dxa"/>
                  <w:tcBorders>
                    <w:tl2br w:val="nil"/>
                    <w:tr2bl w:val="nil"/>
                  </w:tcBorders>
                  <w:noWrap w:val="0"/>
                  <w:vAlign w:val="center"/>
                </w:tcPr>
                <w:p w14:paraId="51E1F542">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文件要求</w:t>
                  </w:r>
                </w:p>
              </w:tc>
              <w:tc>
                <w:tcPr>
                  <w:tcW w:w="2615" w:type="dxa"/>
                  <w:tcBorders>
                    <w:tl2br w:val="nil"/>
                    <w:tr2bl w:val="nil"/>
                  </w:tcBorders>
                  <w:noWrap w:val="0"/>
                  <w:vAlign w:val="center"/>
                </w:tcPr>
                <w:p w14:paraId="57C23EA9">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本项目情况</w:t>
                  </w:r>
                </w:p>
              </w:tc>
              <w:tc>
                <w:tcPr>
                  <w:tcW w:w="1028" w:type="dxa"/>
                  <w:tcBorders>
                    <w:tl2br w:val="nil"/>
                    <w:tr2bl w:val="nil"/>
                  </w:tcBorders>
                  <w:noWrap w:val="0"/>
                  <w:vAlign w:val="center"/>
                </w:tcPr>
                <w:p w14:paraId="465C495F">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相符性</w:t>
                  </w:r>
                </w:p>
              </w:tc>
            </w:tr>
            <w:tr w14:paraId="6D53D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8" w:hRule="atLeast"/>
                <w:jc w:val="center"/>
              </w:trPr>
              <w:tc>
                <w:tcPr>
                  <w:tcW w:w="954" w:type="dxa"/>
                  <w:tcBorders>
                    <w:tl2br w:val="nil"/>
                    <w:tr2bl w:val="nil"/>
                  </w:tcBorders>
                  <w:noWrap w:val="0"/>
                  <w:vAlign w:val="center"/>
                </w:tcPr>
                <w:p w14:paraId="18A3B376">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1</w:t>
                  </w:r>
                </w:p>
              </w:tc>
              <w:tc>
                <w:tcPr>
                  <w:tcW w:w="4274" w:type="dxa"/>
                  <w:tcBorders>
                    <w:tl2br w:val="nil"/>
                    <w:tr2bl w:val="nil"/>
                  </w:tcBorders>
                  <w:noWrap w:val="0"/>
                  <w:vAlign w:val="center"/>
                </w:tcPr>
                <w:p w14:paraId="110C889D">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caps w:val="0"/>
                      <w:szCs w:val="21"/>
                      <w:highlight w:val="none"/>
                    </w:rPr>
                    <w:t>积极发展清洁能源。坚持实施“增气减煤”，提升供应侧非化石能源比重，提高消费侧电力比重，增加天然气供应量、优化天然气使用，2022年底前，新增电能替代电量60亿千瓦时，天然气供气规模达76亿立方米。持续推进以煤为燃料的工业炉窑清洁燃料替代改造，提高以电代煤、以气代煤比例。推进现有机组实施清洁能源替代、功能转换，积极争取“外电入皖”。实施可再生能源替代行动，加快建设新型能源供应系统，因地制宜开发风电与光伏发电，鼓励建设风能、太阳能、生物质能等新能源项目，推进生物燃料乙醇项目改造提升。</w:t>
                  </w:r>
                </w:p>
              </w:tc>
              <w:tc>
                <w:tcPr>
                  <w:tcW w:w="2615" w:type="dxa"/>
                  <w:tcBorders>
                    <w:tl2br w:val="nil"/>
                    <w:tr2bl w:val="nil"/>
                  </w:tcBorders>
                  <w:noWrap w:val="0"/>
                  <w:vAlign w:val="center"/>
                </w:tcPr>
                <w:p w14:paraId="4DFCE54E">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caps w:val="0"/>
                      <w:szCs w:val="21"/>
                      <w:highlight w:val="none"/>
                    </w:rPr>
                    <w:t>本项目使用电作为能源。</w:t>
                  </w:r>
                </w:p>
              </w:tc>
              <w:tc>
                <w:tcPr>
                  <w:tcW w:w="1028" w:type="dxa"/>
                  <w:tcBorders>
                    <w:tl2br w:val="nil"/>
                    <w:tr2bl w:val="nil"/>
                  </w:tcBorders>
                  <w:noWrap w:val="0"/>
                  <w:vAlign w:val="center"/>
                </w:tcPr>
                <w:p w14:paraId="13E4121D">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相符</w:t>
                  </w:r>
                </w:p>
              </w:tc>
            </w:tr>
            <w:tr w14:paraId="21A5E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4" w:type="dxa"/>
                  <w:tcBorders>
                    <w:tl2br w:val="nil"/>
                    <w:tr2bl w:val="nil"/>
                  </w:tcBorders>
                  <w:noWrap w:val="0"/>
                  <w:vAlign w:val="center"/>
                </w:tcPr>
                <w:p w14:paraId="03026D51">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2</w:t>
                  </w:r>
                </w:p>
              </w:tc>
              <w:tc>
                <w:tcPr>
                  <w:tcW w:w="4274" w:type="dxa"/>
                  <w:tcBorders>
                    <w:tl2br w:val="nil"/>
                    <w:tr2bl w:val="nil"/>
                  </w:tcBorders>
                  <w:noWrap w:val="0"/>
                  <w:vAlign w:val="center"/>
                </w:tcPr>
                <w:p w14:paraId="0F806652">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加快产业结构转型升级。严格执行《产业结构调整指导目录》《产业发展与转移指导目录》，落实国家产业结构调整指导目录中碳排放控制要求。有序开展产业承接和重点行业省内调整优化，高水平打造皖北承接产业转移集聚区。全面排查“两高”项目，实施清单管理、分类处置、动态监控，对不符合规定的坚决停批停建，科学稳妥推进符合要求的拟建项目。依法依规淘汰落后产能和化解过剩产能，严禁新增钢铁、焦化、水泥熟料、平板玻璃、电解铝等产能。</w:t>
                  </w:r>
                </w:p>
              </w:tc>
              <w:tc>
                <w:tcPr>
                  <w:tcW w:w="2615" w:type="dxa"/>
                  <w:tcBorders>
                    <w:tl2br w:val="nil"/>
                    <w:tr2bl w:val="nil"/>
                  </w:tcBorders>
                  <w:noWrap w:val="0"/>
                  <w:vAlign w:val="center"/>
                </w:tcPr>
                <w:p w14:paraId="20EDE757">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本项目</w:t>
                  </w:r>
                  <w:r>
                    <w:rPr>
                      <w:rFonts w:hint="default" w:ascii="Times New Roman" w:hAnsi="Times New Roman" w:eastAsia="宋体" w:cs="Times New Roman"/>
                      <w:caps w:val="0"/>
                      <w:kern w:val="0"/>
                      <w:szCs w:val="21"/>
                      <w:highlight w:val="none"/>
                    </w:rPr>
                    <w:t>从事</w:t>
                  </w:r>
                  <w:r>
                    <w:rPr>
                      <w:rFonts w:hint="default" w:ascii="Times New Roman" w:hAnsi="Times New Roman" w:eastAsia="宋体" w:cs="Times New Roman"/>
                      <w:caps w:val="0"/>
                      <w:kern w:val="0"/>
                      <w:szCs w:val="21"/>
                      <w:highlight w:val="none"/>
                      <w:lang w:val="en-US" w:eastAsia="zh-CN"/>
                    </w:rPr>
                    <w:t>汽车零部件</w:t>
                  </w:r>
                  <w:r>
                    <w:rPr>
                      <w:rFonts w:hint="default" w:ascii="Times New Roman" w:hAnsi="Times New Roman" w:eastAsia="宋体" w:cs="Times New Roman"/>
                      <w:caps w:val="0"/>
                      <w:kern w:val="0"/>
                      <w:szCs w:val="21"/>
                      <w:highlight w:val="none"/>
                    </w:rPr>
                    <w:t>的生产</w:t>
                  </w:r>
                  <w:r>
                    <w:rPr>
                      <w:rFonts w:hint="default" w:ascii="Times New Roman" w:hAnsi="Times New Roman" w:eastAsia="宋体" w:cs="Times New Roman"/>
                      <w:caps w:val="0"/>
                      <w:szCs w:val="21"/>
                      <w:highlight w:val="none"/>
                    </w:rPr>
                    <w:t>，不属于钢铁、焦化、水泥熟料、平板玻璃、电解铝等过剩产能行业。</w:t>
                  </w:r>
                </w:p>
              </w:tc>
              <w:tc>
                <w:tcPr>
                  <w:tcW w:w="1028" w:type="dxa"/>
                  <w:tcBorders>
                    <w:tl2br w:val="nil"/>
                    <w:tr2bl w:val="nil"/>
                  </w:tcBorders>
                  <w:noWrap w:val="0"/>
                  <w:vAlign w:val="center"/>
                </w:tcPr>
                <w:p w14:paraId="1B0787C9">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相符</w:t>
                  </w:r>
                </w:p>
              </w:tc>
            </w:tr>
            <w:tr w14:paraId="046CB2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4" w:type="dxa"/>
                  <w:tcBorders>
                    <w:tl2br w:val="nil"/>
                    <w:tr2bl w:val="nil"/>
                  </w:tcBorders>
                  <w:noWrap w:val="0"/>
                  <w:vAlign w:val="center"/>
                </w:tcPr>
                <w:p w14:paraId="17807422">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3</w:t>
                  </w:r>
                </w:p>
              </w:tc>
              <w:tc>
                <w:tcPr>
                  <w:tcW w:w="4274" w:type="dxa"/>
                  <w:tcBorders>
                    <w:tl2br w:val="nil"/>
                    <w:tr2bl w:val="nil"/>
                  </w:tcBorders>
                  <w:noWrap w:val="0"/>
                  <w:vAlign w:val="center"/>
                </w:tcPr>
                <w:p w14:paraId="0651092B">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开展臭氧污染防治攻坚。以石化、化工、涂装、医药、包装印刷、油品储运销等行业领域为重点，开展2022年度挥发性有机物综合治理，完成挥发性有机物突出问题排查治理。挥发性有机物年排放量1吨及以上企业编制实施“一厂一策”。严格执行涂料、油墨、胶粘剂、清洗剂VOCs含量限值标准，开展年度含VOCs原辅材料达标情况联合检查。推进实施重点行业低VOCs含量原辅材料源头替代。开展企业升级改造和区域环境综合整治，建立家具制造、木材加工等涉气产业集群排查治理清单，重点涉VOCs工业园区及产业集群编制执行VOCs综合治理“一园一案”。实施工业锅炉和炉窑提标改造和清洁能源替代，推动焦化、玻璃等行业深度治理。加快推进马钢等钢铁企业超低排放改造，力争2022年底前基本完成。全面摸排现有工业燃煤锅炉，明确超低排放改造时间表。</w:t>
                  </w:r>
                </w:p>
              </w:tc>
              <w:tc>
                <w:tcPr>
                  <w:tcW w:w="2615" w:type="dxa"/>
                  <w:tcBorders>
                    <w:tl2br w:val="nil"/>
                    <w:tr2bl w:val="nil"/>
                  </w:tcBorders>
                  <w:noWrap w:val="0"/>
                  <w:vAlign w:val="center"/>
                </w:tcPr>
                <w:p w14:paraId="5CED2BEF">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本项目</w:t>
                  </w:r>
                  <w:r>
                    <w:rPr>
                      <w:rFonts w:hint="default" w:ascii="Times New Roman" w:hAnsi="Times New Roman" w:eastAsia="宋体" w:cs="Times New Roman"/>
                      <w:caps w:val="0"/>
                      <w:kern w:val="0"/>
                      <w:szCs w:val="21"/>
                      <w:highlight w:val="none"/>
                    </w:rPr>
                    <w:t>从事</w:t>
                  </w:r>
                  <w:r>
                    <w:rPr>
                      <w:rFonts w:hint="default" w:ascii="Times New Roman" w:hAnsi="Times New Roman" w:eastAsia="宋体" w:cs="Times New Roman"/>
                      <w:caps w:val="0"/>
                      <w:kern w:val="0"/>
                      <w:szCs w:val="21"/>
                      <w:highlight w:val="none"/>
                      <w:lang w:val="en-US" w:eastAsia="zh-CN"/>
                    </w:rPr>
                    <w:t>汽车零部件</w:t>
                  </w:r>
                  <w:r>
                    <w:rPr>
                      <w:rFonts w:hint="default" w:ascii="Times New Roman" w:hAnsi="Times New Roman" w:eastAsia="宋体" w:cs="Times New Roman"/>
                      <w:caps w:val="0"/>
                      <w:kern w:val="0"/>
                      <w:szCs w:val="21"/>
                      <w:highlight w:val="none"/>
                    </w:rPr>
                    <w:t>的生产</w:t>
                  </w:r>
                  <w:r>
                    <w:rPr>
                      <w:rFonts w:hint="default" w:ascii="Times New Roman" w:hAnsi="Times New Roman" w:eastAsia="宋体" w:cs="Times New Roman"/>
                      <w:caps w:val="0"/>
                      <w:szCs w:val="21"/>
                      <w:highlight w:val="none"/>
                    </w:rPr>
                    <w:t>，不属于石化、化工、涂装、医药、包装印刷、油品储运等重点行业。本项目</w:t>
                  </w:r>
                  <w:r>
                    <w:rPr>
                      <w:rFonts w:hint="default" w:ascii="Times New Roman" w:hAnsi="Times New Roman" w:eastAsia="宋体" w:cs="Times New Roman"/>
                      <w:caps w:val="0"/>
                      <w:szCs w:val="21"/>
                      <w:highlight w:val="none"/>
                      <w:lang w:val="en-US" w:eastAsia="zh-CN"/>
                    </w:rPr>
                    <w:t>焊接过程中产生的颗粒物经布袋除尘处理后通过</w:t>
                  </w:r>
                  <w:r>
                    <w:rPr>
                      <w:rFonts w:hint="eastAsia" w:ascii="Times New Roman" w:hAnsi="Times New Roman" w:eastAsia="宋体" w:cs="Times New Roman"/>
                      <w:caps w:val="0"/>
                      <w:szCs w:val="21"/>
                      <w:highlight w:val="none"/>
                      <w:lang w:val="en-US" w:eastAsia="zh-CN"/>
                    </w:rPr>
                    <w:t>20</w:t>
                  </w:r>
                  <w:r>
                    <w:rPr>
                      <w:rFonts w:hint="default" w:ascii="Times New Roman" w:hAnsi="Times New Roman" w:eastAsia="宋体" w:cs="Times New Roman"/>
                      <w:caps w:val="0"/>
                      <w:szCs w:val="21"/>
                      <w:highlight w:val="none"/>
                      <w:lang w:val="en-US" w:eastAsia="zh-CN"/>
                    </w:rPr>
                    <w:t>m高排气筒外排</w:t>
                  </w:r>
                  <w:r>
                    <w:rPr>
                      <w:rFonts w:hint="default" w:ascii="Times New Roman" w:hAnsi="Times New Roman" w:eastAsia="宋体" w:cs="Times New Roman"/>
                      <w:caps w:val="0"/>
                      <w:szCs w:val="21"/>
                      <w:highlight w:val="none"/>
                    </w:rPr>
                    <w:t>。</w:t>
                  </w:r>
                </w:p>
              </w:tc>
              <w:tc>
                <w:tcPr>
                  <w:tcW w:w="1028" w:type="dxa"/>
                  <w:tcBorders>
                    <w:tl2br w:val="nil"/>
                    <w:tr2bl w:val="nil"/>
                  </w:tcBorders>
                  <w:noWrap w:val="0"/>
                  <w:vAlign w:val="center"/>
                </w:tcPr>
                <w:p w14:paraId="74474A3A">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相符</w:t>
                  </w:r>
                </w:p>
              </w:tc>
            </w:tr>
          </w:tbl>
          <w:p w14:paraId="7944662F">
            <w:pPr>
              <w:adjustRightInd w:val="0"/>
              <w:snapToGrid w:val="0"/>
              <w:spacing w:line="360" w:lineRule="auto"/>
              <w:ind w:firstLine="482" w:firstLineChars="200"/>
              <w:rPr>
                <w:rFonts w:hint="default" w:ascii="Times New Roman" w:hAnsi="Times New Roman" w:eastAsia="宋体" w:cs="Times New Roman"/>
                <w:b/>
                <w:bCs/>
                <w:caps w:val="0"/>
                <w:sz w:val="24"/>
                <w:highlight w:val="none"/>
              </w:rPr>
            </w:pPr>
            <w:r>
              <w:rPr>
                <w:rFonts w:hint="default" w:ascii="Times New Roman" w:hAnsi="Times New Roman" w:eastAsia="宋体" w:cs="Times New Roman"/>
                <w:b/>
                <w:bCs/>
                <w:caps w:val="0"/>
                <w:sz w:val="24"/>
                <w:highlight w:val="none"/>
                <w:lang w:val="en-US" w:eastAsia="zh-CN"/>
              </w:rPr>
              <w:t>11</w:t>
            </w:r>
            <w:r>
              <w:rPr>
                <w:rFonts w:hint="default" w:ascii="Times New Roman" w:hAnsi="Times New Roman" w:eastAsia="宋体" w:cs="Times New Roman"/>
                <w:b/>
                <w:bCs/>
                <w:caps w:val="0"/>
                <w:sz w:val="24"/>
                <w:highlight w:val="none"/>
              </w:rPr>
              <w:t>、与《中共中央国务院关于深入打好污染防治攻坚战的意见》（2021年11月2日）相符性</w:t>
            </w:r>
          </w:p>
          <w:p w14:paraId="00B757C9">
            <w:pPr>
              <w:adjustRightInd w:val="0"/>
              <w:snapToGrid w:val="0"/>
              <w:spacing w:line="360" w:lineRule="auto"/>
              <w:ind w:firstLine="480" w:firstLineChars="200"/>
              <w:rPr>
                <w:rFonts w:hint="default" w:ascii="Times New Roman" w:hAnsi="Times New Roman" w:eastAsia="宋体" w:cs="Times New Roman"/>
                <w:caps w:val="0"/>
                <w:sz w:val="24"/>
                <w:highlight w:val="none"/>
              </w:rPr>
            </w:pPr>
            <w:r>
              <w:rPr>
                <w:rFonts w:hint="default" w:ascii="Times New Roman" w:hAnsi="Times New Roman" w:eastAsia="宋体" w:cs="Times New Roman"/>
                <w:caps w:val="0"/>
                <w:sz w:val="24"/>
                <w:highlight w:val="none"/>
              </w:rPr>
              <w:t>根据《中共中央 国务院关于深入打好污染防治攻坚战的意见》（2021年11月2日），本项目建设符合文件相关要求，见下表。</w:t>
            </w:r>
          </w:p>
          <w:p w14:paraId="7C6DAD8F">
            <w:pPr>
              <w:adjustRightInd w:val="0"/>
              <w:snapToGrid w:val="0"/>
              <w:ind w:firstLine="482" w:firstLineChars="200"/>
              <w:jc w:val="center"/>
              <w:rPr>
                <w:rFonts w:hint="default" w:ascii="Times New Roman" w:hAnsi="Times New Roman" w:eastAsia="宋体" w:cs="Times New Roman"/>
                <w:b/>
                <w:bCs/>
                <w:caps w:val="0"/>
                <w:sz w:val="24"/>
                <w:highlight w:val="none"/>
              </w:rPr>
            </w:pPr>
            <w:r>
              <w:rPr>
                <w:rFonts w:hint="default" w:ascii="Times New Roman" w:hAnsi="Times New Roman" w:eastAsia="宋体" w:cs="Times New Roman"/>
                <w:b/>
                <w:bCs/>
                <w:caps w:val="0"/>
                <w:sz w:val="24"/>
                <w:highlight w:val="none"/>
              </w:rPr>
              <w:t>表1-</w:t>
            </w:r>
            <w:r>
              <w:rPr>
                <w:rFonts w:hint="default" w:ascii="Times New Roman" w:hAnsi="Times New Roman" w:eastAsia="宋体" w:cs="Times New Roman"/>
                <w:b/>
                <w:bCs/>
                <w:caps w:val="0"/>
                <w:sz w:val="24"/>
                <w:highlight w:val="none"/>
                <w:lang w:val="en-US" w:eastAsia="zh-CN"/>
              </w:rPr>
              <w:t xml:space="preserve">9 </w:t>
            </w:r>
            <w:r>
              <w:rPr>
                <w:rFonts w:hint="default" w:ascii="Times New Roman" w:hAnsi="Times New Roman" w:eastAsia="宋体" w:cs="Times New Roman"/>
                <w:b/>
                <w:bCs/>
                <w:caps w:val="0"/>
                <w:sz w:val="24"/>
                <w:highlight w:val="none"/>
              </w:rPr>
              <w:t xml:space="preserve"> 与《中共中央 国务院关于深入打好污染防治攻坚战的意见》相符性分析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4"/>
              <w:gridCol w:w="3502"/>
              <w:gridCol w:w="2144"/>
              <w:gridCol w:w="846"/>
            </w:tblGrid>
            <w:tr w14:paraId="186F4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tcBorders>
                    <w:tl2br w:val="nil"/>
                    <w:tr2bl w:val="nil"/>
                  </w:tcBorders>
                  <w:noWrap w:val="0"/>
                  <w:vAlign w:val="center"/>
                </w:tcPr>
                <w:p w14:paraId="3B8CD5C1">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序号</w:t>
                  </w:r>
                </w:p>
              </w:tc>
              <w:tc>
                <w:tcPr>
                  <w:tcW w:w="3780" w:type="dxa"/>
                  <w:tcBorders>
                    <w:tl2br w:val="nil"/>
                    <w:tr2bl w:val="nil"/>
                  </w:tcBorders>
                  <w:noWrap w:val="0"/>
                  <w:vAlign w:val="center"/>
                </w:tcPr>
                <w:p w14:paraId="6D0B8CEE">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文件要求</w:t>
                  </w:r>
                </w:p>
              </w:tc>
              <w:tc>
                <w:tcPr>
                  <w:tcW w:w="2313" w:type="dxa"/>
                  <w:tcBorders>
                    <w:tl2br w:val="nil"/>
                    <w:tr2bl w:val="nil"/>
                  </w:tcBorders>
                  <w:noWrap w:val="0"/>
                  <w:vAlign w:val="center"/>
                </w:tcPr>
                <w:p w14:paraId="771EC620">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本项目情况</w:t>
                  </w:r>
                </w:p>
              </w:tc>
              <w:tc>
                <w:tcPr>
                  <w:tcW w:w="909" w:type="dxa"/>
                  <w:tcBorders>
                    <w:tl2br w:val="nil"/>
                    <w:tr2bl w:val="nil"/>
                  </w:tcBorders>
                  <w:noWrap w:val="0"/>
                  <w:vAlign w:val="center"/>
                </w:tcPr>
                <w:p w14:paraId="477DA8A0">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相符性</w:t>
                  </w:r>
                </w:p>
              </w:tc>
            </w:tr>
            <w:tr w14:paraId="2499FC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8" w:hRule="atLeast"/>
                <w:jc w:val="center"/>
              </w:trPr>
              <w:tc>
                <w:tcPr>
                  <w:tcW w:w="844" w:type="dxa"/>
                  <w:tcBorders>
                    <w:tl2br w:val="nil"/>
                    <w:tr2bl w:val="nil"/>
                  </w:tcBorders>
                  <w:noWrap w:val="0"/>
                  <w:vAlign w:val="center"/>
                </w:tcPr>
                <w:p w14:paraId="6F89EF05">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1</w:t>
                  </w:r>
                </w:p>
              </w:tc>
              <w:tc>
                <w:tcPr>
                  <w:tcW w:w="3780" w:type="dxa"/>
                  <w:tcBorders>
                    <w:tl2br w:val="nil"/>
                    <w:tr2bl w:val="nil"/>
                  </w:tcBorders>
                  <w:noWrap w:val="0"/>
                  <w:vAlign w:val="center"/>
                </w:tcPr>
                <w:p w14:paraId="74B794B9">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caps w:val="0"/>
                      <w:szCs w:val="21"/>
                      <w:highlight w:val="none"/>
                    </w:rPr>
                    <w:t>坚决遏制高耗能高排放项目盲目发展。严把高耗能高排放项目准入关口，严格落实污染物排放区域削减要求，对不符合规定的项目坚决停批停建。依法依规淘汰落后产能和化解过剩产能。推动高炉－转炉长流程炼钢转型为电炉短流程炼钢。重点区域严禁新增钢铁、焦化、水泥熟料、平板玻璃、电解铝、氧化铝、煤化工产能，合理控制煤制油气产能规模，严控新增炼油产能。</w:t>
                  </w:r>
                </w:p>
              </w:tc>
              <w:tc>
                <w:tcPr>
                  <w:tcW w:w="2313" w:type="dxa"/>
                  <w:tcBorders>
                    <w:tl2br w:val="nil"/>
                    <w:tr2bl w:val="nil"/>
                  </w:tcBorders>
                  <w:noWrap w:val="0"/>
                  <w:vAlign w:val="center"/>
                </w:tcPr>
                <w:p w14:paraId="28647F0D">
                  <w:pPr>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caps w:val="0"/>
                      <w:szCs w:val="21"/>
                      <w:highlight w:val="none"/>
                    </w:rPr>
                    <w:t>本项目</w:t>
                  </w:r>
                  <w:r>
                    <w:rPr>
                      <w:rFonts w:hint="default" w:ascii="Times New Roman" w:hAnsi="Times New Roman" w:eastAsia="宋体" w:cs="Times New Roman"/>
                      <w:caps w:val="0"/>
                      <w:kern w:val="0"/>
                      <w:szCs w:val="21"/>
                      <w:highlight w:val="none"/>
                    </w:rPr>
                    <w:t>从事</w:t>
                  </w:r>
                  <w:r>
                    <w:rPr>
                      <w:rFonts w:hint="default" w:ascii="Times New Roman" w:hAnsi="Times New Roman" w:eastAsia="宋体" w:cs="Times New Roman"/>
                      <w:caps w:val="0"/>
                      <w:kern w:val="0"/>
                      <w:szCs w:val="21"/>
                      <w:highlight w:val="none"/>
                      <w:lang w:val="en-US" w:eastAsia="zh-CN"/>
                    </w:rPr>
                    <w:t>汽车零部件</w:t>
                  </w:r>
                  <w:r>
                    <w:rPr>
                      <w:rFonts w:hint="default" w:ascii="Times New Roman" w:hAnsi="Times New Roman" w:eastAsia="宋体" w:cs="Times New Roman"/>
                      <w:caps w:val="0"/>
                      <w:kern w:val="0"/>
                      <w:szCs w:val="21"/>
                      <w:highlight w:val="none"/>
                    </w:rPr>
                    <w:t>的生产</w:t>
                  </w:r>
                  <w:r>
                    <w:rPr>
                      <w:rFonts w:hint="default" w:ascii="Times New Roman" w:hAnsi="Times New Roman" w:eastAsia="宋体" w:cs="Times New Roman"/>
                      <w:caps w:val="0"/>
                      <w:szCs w:val="21"/>
                      <w:highlight w:val="none"/>
                    </w:rPr>
                    <w:t>，不属于“高耗能高排放项目”。</w:t>
                  </w:r>
                </w:p>
              </w:tc>
              <w:tc>
                <w:tcPr>
                  <w:tcW w:w="909" w:type="dxa"/>
                  <w:tcBorders>
                    <w:tl2br w:val="nil"/>
                    <w:tr2bl w:val="nil"/>
                  </w:tcBorders>
                  <w:noWrap w:val="0"/>
                  <w:vAlign w:val="center"/>
                </w:tcPr>
                <w:p w14:paraId="359D0FF4">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相符</w:t>
                  </w:r>
                </w:p>
              </w:tc>
            </w:tr>
            <w:tr w14:paraId="21C335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tcBorders>
                    <w:tl2br w:val="nil"/>
                    <w:tr2bl w:val="nil"/>
                  </w:tcBorders>
                  <w:noWrap w:val="0"/>
                  <w:vAlign w:val="center"/>
                </w:tcPr>
                <w:p w14:paraId="23452A6E">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2</w:t>
                  </w:r>
                </w:p>
              </w:tc>
              <w:tc>
                <w:tcPr>
                  <w:tcW w:w="3780" w:type="dxa"/>
                  <w:tcBorders>
                    <w:tl2br w:val="nil"/>
                    <w:tr2bl w:val="nil"/>
                  </w:tcBorders>
                  <w:noWrap w:val="0"/>
                  <w:vAlign w:val="center"/>
                </w:tcPr>
                <w:p w14:paraId="52A47894">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着力打好臭氧污染防治攻坚战。聚焦夏秋季臭氧污染，大力推进挥发性有机物和氮氧化物协同减排。以石化、化工、涂装、医药、包装印刷、油品储运销等行业领域为重点，安全高效推进挥发性有机物综合治理，实施原辅材料和产品源头替代工程。完善挥发性有机物产品标准体系，建立低挥发性有机物含量产品标识制度。完善挥发性有机物监测技术和排放量计算方法，在相关条件成熟后，研究适时将挥发性有机物纳入环境保护税征收范围。推进钢铁、水泥、焦化行业企业超低排放改造，重点区域钢铁、燃煤机组、燃煤锅炉实现超低排放。开展涉气产业集群排查及分类治理，推进企业升级改造和区域环境综合整治。到2025年，挥发性有机物、氮氧化物排放总量比2020年分别下降10%以上，臭氧浓度增长趋势得到有效遏制，实现细颗粒物和臭氧协同控制。</w:t>
                  </w:r>
                </w:p>
              </w:tc>
              <w:tc>
                <w:tcPr>
                  <w:tcW w:w="2313" w:type="dxa"/>
                  <w:tcBorders>
                    <w:tl2br w:val="nil"/>
                    <w:tr2bl w:val="nil"/>
                  </w:tcBorders>
                  <w:noWrap w:val="0"/>
                  <w:vAlign w:val="center"/>
                </w:tcPr>
                <w:p w14:paraId="7A8763DF">
                  <w:pPr>
                    <w:pStyle w:val="23"/>
                    <w:adjustRightInd w:val="0"/>
                    <w:spacing w:before="0" w:after="0" w:line="240" w:lineRule="auto"/>
                    <w:ind w:right="0"/>
                    <w:jc w:val="left"/>
                    <w:rPr>
                      <w:rFonts w:hint="default" w:ascii="Times New Roman" w:hAnsi="Times New Roman" w:eastAsia="宋体" w:cs="Times New Roman"/>
                      <w:caps w:val="0"/>
                      <w:sz w:val="21"/>
                      <w:szCs w:val="21"/>
                      <w:highlight w:val="none"/>
                    </w:rPr>
                  </w:pPr>
                  <w:r>
                    <w:rPr>
                      <w:rFonts w:hint="default" w:ascii="Times New Roman" w:hAnsi="Times New Roman" w:eastAsia="宋体" w:cs="Times New Roman"/>
                      <w:caps w:val="0"/>
                      <w:sz w:val="21"/>
                      <w:szCs w:val="21"/>
                      <w:highlight w:val="none"/>
                      <w:lang w:bidi="ar"/>
                    </w:rPr>
                    <w:t>本项目不属于石化、化工、涂装、医药、包装印刷、油品储运等重点行业。</w:t>
                  </w:r>
                </w:p>
              </w:tc>
              <w:tc>
                <w:tcPr>
                  <w:tcW w:w="909" w:type="dxa"/>
                  <w:tcBorders>
                    <w:tl2br w:val="nil"/>
                    <w:tr2bl w:val="nil"/>
                  </w:tcBorders>
                  <w:noWrap w:val="0"/>
                  <w:vAlign w:val="center"/>
                </w:tcPr>
                <w:p w14:paraId="2079377D">
                  <w:pPr>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相符</w:t>
                  </w:r>
                </w:p>
              </w:tc>
            </w:tr>
          </w:tbl>
          <w:p w14:paraId="6A27A7FB">
            <w:pPr>
              <w:spacing w:line="440" w:lineRule="exact"/>
              <w:ind w:firstLine="482" w:firstLineChars="200"/>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kern w:val="0"/>
                <w:sz w:val="24"/>
                <w:highlight w:val="none"/>
              </w:rPr>
              <w:t>1</w:t>
            </w:r>
            <w:r>
              <w:rPr>
                <w:rFonts w:hint="default" w:ascii="Times New Roman" w:hAnsi="Times New Roman" w:eastAsia="宋体" w:cs="Times New Roman"/>
                <w:b/>
                <w:bCs/>
                <w:caps w:val="0"/>
                <w:kern w:val="0"/>
                <w:sz w:val="24"/>
                <w:highlight w:val="none"/>
                <w:lang w:val="en-US" w:eastAsia="zh-CN"/>
              </w:rPr>
              <w:t>2</w:t>
            </w:r>
            <w:r>
              <w:rPr>
                <w:rFonts w:hint="default" w:ascii="Times New Roman" w:hAnsi="Times New Roman" w:eastAsia="宋体" w:cs="Times New Roman"/>
                <w:b/>
                <w:bCs/>
                <w:caps w:val="0"/>
                <w:kern w:val="0"/>
                <w:sz w:val="24"/>
                <w:highlight w:val="none"/>
              </w:rPr>
              <w:t>、与《重点行业挥发性有机物综合治理方案》（环大气</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20</w:t>
            </w:r>
            <w:r>
              <w:rPr>
                <w:rFonts w:hint="eastAsia" w:ascii="Times New Roman" w:hAnsi="Times New Roman" w:eastAsia="宋体" w:cs="Times New Roman"/>
                <w:b/>
                <w:bCs/>
                <w:color w:val="000000"/>
                <w:sz w:val="24"/>
                <w:lang w:val="en-US" w:eastAsia="zh-CN"/>
              </w:rPr>
              <w:t>19</w:t>
            </w:r>
            <w:r>
              <w:rPr>
                <w:rFonts w:hint="eastAsia" w:ascii="宋体" w:hAnsi="宋体" w:eastAsia="宋体" w:cs="宋体"/>
                <w:b/>
                <w:bCs/>
                <w:color w:val="000000"/>
                <w:sz w:val="24"/>
              </w:rPr>
              <w:t>〕</w:t>
            </w:r>
            <w:r>
              <w:rPr>
                <w:rFonts w:hint="default" w:ascii="Times New Roman" w:hAnsi="Times New Roman" w:eastAsia="宋体" w:cs="Times New Roman"/>
                <w:b/>
                <w:bCs/>
                <w:caps w:val="0"/>
                <w:kern w:val="0"/>
                <w:sz w:val="24"/>
                <w:highlight w:val="none"/>
              </w:rPr>
              <w:t>53号）相符性分析</w:t>
            </w:r>
          </w:p>
          <w:p w14:paraId="02BBF594">
            <w:pPr>
              <w:spacing w:line="420" w:lineRule="exact"/>
              <w:ind w:firstLine="198"/>
              <w:jc w:val="center"/>
              <w:rPr>
                <w:rFonts w:hint="default" w:ascii="Times New Roman" w:hAnsi="Times New Roman" w:eastAsia="宋体" w:cs="Times New Roman"/>
                <w:b/>
                <w:caps w:val="0"/>
                <w:sz w:val="24"/>
                <w:highlight w:val="none"/>
              </w:rPr>
            </w:pPr>
            <w:r>
              <w:rPr>
                <w:rFonts w:hint="default" w:ascii="Times New Roman" w:hAnsi="Times New Roman" w:eastAsia="宋体" w:cs="Times New Roman"/>
                <w:b/>
                <w:caps w:val="0"/>
                <w:sz w:val="24"/>
                <w:highlight w:val="none"/>
              </w:rPr>
              <w:t>表1-1</w:t>
            </w:r>
            <w:r>
              <w:rPr>
                <w:rFonts w:hint="default" w:ascii="Times New Roman" w:hAnsi="Times New Roman" w:eastAsia="宋体" w:cs="Times New Roman"/>
                <w:b/>
                <w:caps w:val="0"/>
                <w:sz w:val="24"/>
                <w:highlight w:val="none"/>
                <w:lang w:val="en-US" w:eastAsia="zh-CN"/>
              </w:rPr>
              <w:t xml:space="preserve">0 </w:t>
            </w:r>
            <w:r>
              <w:rPr>
                <w:rFonts w:hint="default" w:ascii="Times New Roman" w:hAnsi="Times New Roman" w:eastAsia="宋体" w:cs="Times New Roman"/>
                <w:b/>
                <w:caps w:val="0"/>
                <w:sz w:val="24"/>
                <w:highlight w:val="none"/>
              </w:rPr>
              <w:t xml:space="preserve"> 与“环大气</w:t>
            </w:r>
            <w:r>
              <w:rPr>
                <w:rFonts w:hint="eastAsia" w:ascii="宋体" w:hAnsi="宋体" w:eastAsia="宋体" w:cs="宋体"/>
                <w:b/>
                <w:bCs/>
                <w:color w:val="000000"/>
                <w:sz w:val="24"/>
              </w:rPr>
              <w:t>〔</w:t>
            </w:r>
            <w:r>
              <w:rPr>
                <w:rFonts w:hint="default" w:ascii="Times New Roman" w:hAnsi="Times New Roman" w:eastAsia="宋体" w:cs="Times New Roman"/>
                <w:b/>
                <w:bCs/>
                <w:color w:val="000000"/>
                <w:sz w:val="24"/>
              </w:rPr>
              <w:t>20</w:t>
            </w:r>
            <w:r>
              <w:rPr>
                <w:rFonts w:hint="eastAsia" w:ascii="Times New Roman" w:hAnsi="Times New Roman" w:eastAsia="宋体" w:cs="Times New Roman"/>
                <w:b/>
                <w:bCs/>
                <w:color w:val="000000"/>
                <w:sz w:val="24"/>
                <w:lang w:val="en-US" w:eastAsia="zh-CN"/>
              </w:rPr>
              <w:t>19</w:t>
            </w:r>
            <w:r>
              <w:rPr>
                <w:rFonts w:hint="eastAsia" w:ascii="宋体" w:hAnsi="宋体" w:eastAsia="宋体" w:cs="宋体"/>
                <w:b/>
                <w:bCs/>
                <w:color w:val="000000"/>
                <w:sz w:val="24"/>
              </w:rPr>
              <w:t>〕</w:t>
            </w:r>
            <w:r>
              <w:rPr>
                <w:rFonts w:hint="default" w:ascii="Times New Roman" w:hAnsi="Times New Roman" w:eastAsia="宋体" w:cs="Times New Roman"/>
                <w:b/>
                <w:caps w:val="0"/>
                <w:sz w:val="24"/>
                <w:highlight w:val="none"/>
              </w:rPr>
              <w:t>53号”文符合性一览表</w:t>
            </w:r>
          </w:p>
          <w:tbl>
            <w:tblPr>
              <w:tblStyle w:val="59"/>
              <w:tblW w:w="72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4103"/>
              <w:gridCol w:w="1884"/>
              <w:gridCol w:w="666"/>
            </w:tblGrid>
            <w:tr w14:paraId="0ABA88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429" w:type="pct"/>
                  <w:tcBorders>
                    <w:tl2br w:val="nil"/>
                    <w:tr2bl w:val="nil"/>
                  </w:tcBorders>
                  <w:noWrap w:val="0"/>
                  <w:vAlign w:val="center"/>
                </w:tcPr>
                <w:p w14:paraId="2366935B">
                  <w:pPr>
                    <w:wordWrap w:val="0"/>
                    <w:topLinePunct/>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序号</w:t>
                  </w:r>
                </w:p>
              </w:tc>
              <w:tc>
                <w:tcPr>
                  <w:tcW w:w="2818" w:type="pct"/>
                  <w:tcBorders>
                    <w:tl2br w:val="nil"/>
                    <w:tr2bl w:val="nil"/>
                  </w:tcBorders>
                  <w:noWrap w:val="0"/>
                  <w:vAlign w:val="center"/>
                </w:tcPr>
                <w:p w14:paraId="40CA133F">
                  <w:pPr>
                    <w:wordWrap w:val="0"/>
                    <w:topLinePunct/>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相关内容摘要</w:t>
                  </w:r>
                </w:p>
              </w:tc>
              <w:tc>
                <w:tcPr>
                  <w:tcW w:w="1294" w:type="pct"/>
                  <w:tcBorders>
                    <w:tl2br w:val="nil"/>
                    <w:tr2bl w:val="nil"/>
                  </w:tcBorders>
                  <w:noWrap w:val="0"/>
                  <w:vAlign w:val="center"/>
                </w:tcPr>
                <w:p w14:paraId="64EB2E5F">
                  <w:pPr>
                    <w:wordWrap w:val="0"/>
                    <w:topLinePunct/>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本项目建设情况</w:t>
                  </w:r>
                </w:p>
              </w:tc>
              <w:tc>
                <w:tcPr>
                  <w:tcW w:w="457" w:type="pct"/>
                  <w:tcBorders>
                    <w:tl2br w:val="nil"/>
                    <w:tr2bl w:val="nil"/>
                  </w:tcBorders>
                  <w:noWrap w:val="0"/>
                  <w:vAlign w:val="center"/>
                </w:tcPr>
                <w:p w14:paraId="22F3D34A">
                  <w:pPr>
                    <w:wordWrap w:val="0"/>
                    <w:topLinePunct/>
                    <w:adjustRightInd w:val="0"/>
                    <w:snapToGrid w:val="0"/>
                    <w:jc w:val="center"/>
                    <w:rPr>
                      <w:rFonts w:hint="default" w:ascii="Times New Roman" w:hAnsi="Times New Roman" w:eastAsia="宋体" w:cs="Times New Roman"/>
                      <w:b/>
                      <w:bCs/>
                      <w:caps w:val="0"/>
                      <w:szCs w:val="21"/>
                      <w:highlight w:val="none"/>
                    </w:rPr>
                  </w:pPr>
                  <w:r>
                    <w:rPr>
                      <w:rFonts w:hint="default" w:ascii="Times New Roman" w:hAnsi="Times New Roman" w:eastAsia="宋体" w:cs="Times New Roman"/>
                      <w:b/>
                      <w:bCs/>
                      <w:caps w:val="0"/>
                      <w:szCs w:val="21"/>
                      <w:highlight w:val="none"/>
                    </w:rPr>
                    <w:t>符合性</w:t>
                  </w:r>
                </w:p>
              </w:tc>
            </w:tr>
            <w:tr w14:paraId="59254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429" w:type="pct"/>
                  <w:tcBorders>
                    <w:tl2br w:val="nil"/>
                    <w:tr2bl w:val="nil"/>
                  </w:tcBorders>
                  <w:noWrap w:val="0"/>
                  <w:vAlign w:val="center"/>
                </w:tcPr>
                <w:p w14:paraId="05AC9260">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1</w:t>
                  </w:r>
                </w:p>
              </w:tc>
              <w:tc>
                <w:tcPr>
                  <w:tcW w:w="2818" w:type="pct"/>
                  <w:tcBorders>
                    <w:tl2br w:val="nil"/>
                    <w:tr2bl w:val="nil"/>
                  </w:tcBorders>
                  <w:noWrap w:val="0"/>
                  <w:vAlign w:val="center"/>
                </w:tcPr>
                <w:p w14:paraId="53F99951">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VOCs挥发性强，涉及行业广，产排污环节多，无组织排放特征明显。虽然大气污染防治法等对VOCs无组织排放提出密闭封闭等要求，但目前量大面广的企业未采取有效管控措施，尤其是中小企业管理水平差，收集效率低，逸散问题突出</w:t>
                  </w:r>
                </w:p>
              </w:tc>
              <w:tc>
                <w:tcPr>
                  <w:tcW w:w="1294" w:type="pct"/>
                  <w:vMerge w:val="restart"/>
                  <w:tcBorders>
                    <w:tl2br w:val="nil"/>
                    <w:tr2bl w:val="nil"/>
                  </w:tcBorders>
                  <w:noWrap w:val="0"/>
                  <w:vAlign w:val="center"/>
                </w:tcPr>
                <w:p w14:paraId="6930AD7C">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 w:val="21"/>
                      <w:szCs w:val="21"/>
                      <w:highlight w:val="none"/>
                      <w:lang w:bidi="ar"/>
                    </w:rPr>
                    <w:t>本项目</w:t>
                  </w:r>
                  <w:r>
                    <w:rPr>
                      <w:rFonts w:hint="default" w:ascii="Times New Roman" w:hAnsi="Times New Roman" w:eastAsia="宋体" w:cs="Times New Roman"/>
                      <w:caps w:val="0"/>
                      <w:sz w:val="21"/>
                      <w:szCs w:val="21"/>
                      <w:highlight w:val="none"/>
                      <w:lang w:val="en-US" w:eastAsia="zh-CN" w:bidi="ar"/>
                    </w:rPr>
                    <w:t>焊接</w:t>
                  </w:r>
                  <w:r>
                    <w:rPr>
                      <w:rFonts w:hint="default" w:ascii="Times New Roman" w:hAnsi="Times New Roman" w:eastAsia="宋体" w:cs="Times New Roman"/>
                      <w:caps w:val="0"/>
                      <w:sz w:val="21"/>
                      <w:szCs w:val="21"/>
                      <w:highlight w:val="none"/>
                      <w:lang w:bidi="ar"/>
                    </w:rPr>
                    <w:t>过程中产生的</w:t>
                  </w:r>
                  <w:r>
                    <w:rPr>
                      <w:rFonts w:hint="default" w:ascii="Times New Roman" w:hAnsi="Times New Roman" w:eastAsia="宋体" w:cs="Times New Roman"/>
                      <w:caps w:val="0"/>
                      <w:sz w:val="21"/>
                      <w:szCs w:val="21"/>
                      <w:highlight w:val="none"/>
                      <w:lang w:val="en-US" w:eastAsia="zh-CN" w:bidi="ar"/>
                    </w:rPr>
                    <w:t>颗粒物</w:t>
                  </w:r>
                  <w:r>
                    <w:rPr>
                      <w:rFonts w:hint="default" w:ascii="Times New Roman" w:hAnsi="Times New Roman" w:eastAsia="宋体" w:cs="Times New Roman"/>
                      <w:caps w:val="0"/>
                      <w:sz w:val="21"/>
                      <w:szCs w:val="21"/>
                      <w:highlight w:val="none"/>
                      <w:lang w:bidi="ar"/>
                    </w:rPr>
                    <w:t>经</w:t>
                  </w:r>
                  <w:r>
                    <w:rPr>
                      <w:rFonts w:hint="default" w:ascii="Times New Roman" w:hAnsi="Times New Roman" w:eastAsia="宋体" w:cs="Times New Roman"/>
                      <w:caps w:val="0"/>
                      <w:sz w:val="21"/>
                      <w:szCs w:val="21"/>
                      <w:highlight w:val="none"/>
                      <w:lang w:val="en-US" w:eastAsia="zh-CN" w:bidi="ar"/>
                    </w:rPr>
                    <w:t>布袋除尘器</w:t>
                  </w:r>
                  <w:r>
                    <w:rPr>
                      <w:rFonts w:hint="default" w:ascii="Times New Roman" w:hAnsi="Times New Roman" w:eastAsia="宋体" w:cs="Times New Roman"/>
                      <w:caps w:val="0"/>
                      <w:sz w:val="21"/>
                      <w:szCs w:val="21"/>
                      <w:highlight w:val="none"/>
                      <w:lang w:bidi="ar"/>
                    </w:rPr>
                    <w:t>处理后通过</w:t>
                  </w:r>
                  <w:r>
                    <w:rPr>
                      <w:rFonts w:hint="eastAsia" w:ascii="Times New Roman" w:hAnsi="Times New Roman" w:eastAsia="宋体" w:cs="Times New Roman"/>
                      <w:caps w:val="0"/>
                      <w:sz w:val="21"/>
                      <w:szCs w:val="21"/>
                      <w:highlight w:val="none"/>
                      <w:lang w:val="en-US" w:eastAsia="zh-CN" w:bidi="ar"/>
                    </w:rPr>
                    <w:t>20</w:t>
                  </w:r>
                  <w:r>
                    <w:rPr>
                      <w:rFonts w:hint="default" w:ascii="Times New Roman" w:hAnsi="Times New Roman" w:eastAsia="宋体" w:cs="Times New Roman"/>
                      <w:caps w:val="0"/>
                      <w:sz w:val="21"/>
                      <w:szCs w:val="21"/>
                      <w:highlight w:val="none"/>
                      <w:lang w:bidi="ar"/>
                    </w:rPr>
                    <w:t>m高排气筒外排</w:t>
                  </w:r>
                </w:p>
              </w:tc>
              <w:tc>
                <w:tcPr>
                  <w:tcW w:w="457" w:type="pct"/>
                  <w:tcBorders>
                    <w:tl2br w:val="nil"/>
                    <w:tr2bl w:val="nil"/>
                  </w:tcBorders>
                  <w:noWrap w:val="0"/>
                  <w:vAlign w:val="center"/>
                </w:tcPr>
                <w:p w14:paraId="0EB16EE0">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符合</w:t>
                  </w:r>
                </w:p>
              </w:tc>
            </w:tr>
            <w:tr w14:paraId="030B4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5" w:hRule="atLeast"/>
              </w:trPr>
              <w:tc>
                <w:tcPr>
                  <w:tcW w:w="429" w:type="pct"/>
                  <w:tcBorders>
                    <w:tl2br w:val="nil"/>
                    <w:tr2bl w:val="nil"/>
                  </w:tcBorders>
                  <w:noWrap w:val="0"/>
                  <w:vAlign w:val="center"/>
                </w:tcPr>
                <w:p w14:paraId="11B60F72">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2</w:t>
                  </w:r>
                </w:p>
              </w:tc>
              <w:tc>
                <w:tcPr>
                  <w:tcW w:w="2818" w:type="pct"/>
                  <w:tcBorders>
                    <w:tl2br w:val="nil"/>
                    <w:tr2bl w:val="nil"/>
                  </w:tcBorders>
                  <w:noWrap w:val="0"/>
                  <w:vAlign w:val="center"/>
                </w:tcPr>
                <w:p w14:paraId="7793C662">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VOCs废气组分复杂，治理技术多样，适用性差异大，技术选择和系统匹配性要求高。我国VOCs治理市场起步较晚，准入门槛低，加之监管能力不足等，治污设施建设质量良莠不齐，应付治理、无效治理等现象突出。在一些地区，低温等离子、光催化、光氧化等低效技术应用甚至达80%以上，治污效果差。一些企业由于设计不规范、系统不匹配等原因，即使选择了高效治理技术，也未取得预期治污效果</w:t>
                  </w:r>
                </w:p>
              </w:tc>
              <w:tc>
                <w:tcPr>
                  <w:tcW w:w="1294" w:type="pct"/>
                  <w:vMerge w:val="continue"/>
                  <w:tcBorders>
                    <w:tl2br w:val="nil"/>
                    <w:tr2bl w:val="nil"/>
                  </w:tcBorders>
                  <w:noWrap w:val="0"/>
                  <w:vAlign w:val="center"/>
                </w:tcPr>
                <w:p w14:paraId="3FDC946B">
                  <w:pPr>
                    <w:wordWrap w:val="0"/>
                    <w:topLinePunct/>
                    <w:adjustRightInd w:val="0"/>
                    <w:snapToGrid w:val="0"/>
                    <w:jc w:val="center"/>
                    <w:rPr>
                      <w:rFonts w:hint="default" w:ascii="Times New Roman" w:hAnsi="Times New Roman" w:eastAsia="宋体" w:cs="Times New Roman"/>
                      <w:caps w:val="0"/>
                      <w:szCs w:val="21"/>
                      <w:highlight w:val="none"/>
                    </w:rPr>
                  </w:pPr>
                </w:p>
              </w:tc>
              <w:tc>
                <w:tcPr>
                  <w:tcW w:w="457" w:type="pct"/>
                  <w:tcBorders>
                    <w:tl2br w:val="nil"/>
                    <w:tr2bl w:val="nil"/>
                  </w:tcBorders>
                  <w:noWrap w:val="0"/>
                  <w:vAlign w:val="center"/>
                </w:tcPr>
                <w:p w14:paraId="7D111B3D">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符合</w:t>
                  </w:r>
                </w:p>
              </w:tc>
            </w:tr>
            <w:tr w14:paraId="3C0897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6" w:hRule="atLeast"/>
              </w:trPr>
              <w:tc>
                <w:tcPr>
                  <w:tcW w:w="429" w:type="pct"/>
                  <w:tcBorders>
                    <w:tl2br w:val="nil"/>
                    <w:tr2bl w:val="nil"/>
                  </w:tcBorders>
                  <w:noWrap w:val="0"/>
                  <w:vAlign w:val="center"/>
                </w:tcPr>
                <w:p w14:paraId="4E68D902">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3</w:t>
                  </w:r>
                </w:p>
              </w:tc>
              <w:tc>
                <w:tcPr>
                  <w:tcW w:w="2818" w:type="pct"/>
                  <w:tcBorders>
                    <w:tl2br w:val="nil"/>
                    <w:tr2bl w:val="nil"/>
                  </w:tcBorders>
                  <w:noWrap w:val="0"/>
                  <w:vAlign w:val="center"/>
                </w:tcPr>
                <w:p w14:paraId="768C8487">
                  <w:pPr>
                    <w:wordWrap w:val="0"/>
                    <w:topLinePunct/>
                    <w:adjustRightInd w:val="0"/>
                    <w:snapToGrid w:val="0"/>
                    <w:jc w:val="center"/>
                    <w:rPr>
                      <w:rFonts w:hint="default" w:ascii="Times New Roman" w:hAnsi="Times New Roman" w:eastAsia="宋体" w:cs="Times New Roman"/>
                      <w:caps w:val="0"/>
                      <w:kern w:val="0"/>
                      <w:szCs w:val="21"/>
                      <w:highlight w:val="none"/>
                    </w:rPr>
                  </w:pPr>
                  <w:r>
                    <w:rPr>
                      <w:rFonts w:hint="default" w:ascii="Times New Roman" w:hAnsi="Times New Roman" w:eastAsia="宋体" w:cs="Times New Roman"/>
                      <w:caps w:val="0"/>
                      <w:kern w:val="0"/>
                      <w:szCs w:val="21"/>
                      <w:highlight w:val="none"/>
                    </w:rPr>
                    <w:t>VOCs治理需要全面加强过程管控，实施精细化管理，但目前企业普遍存在管理制度不健全、操作规程未建立、人员技术能力不足等问题。一些企业采用活性炭吸附工艺，但长期不更换吸附材料；一些企业采用燃烧、冷凝治理技术，但运行温度等达不到设计要求</w:t>
                  </w:r>
                </w:p>
              </w:tc>
              <w:tc>
                <w:tcPr>
                  <w:tcW w:w="1294" w:type="pct"/>
                  <w:tcBorders>
                    <w:tl2br w:val="nil"/>
                    <w:tr2bl w:val="nil"/>
                  </w:tcBorders>
                  <w:noWrap w:val="0"/>
                  <w:vAlign w:val="center"/>
                </w:tcPr>
                <w:p w14:paraId="05EE0751">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公司配备环保人员负责环境监督管理工作。企业在实施环境管理时加强了对管理人员的环保培训，不断提高企业职工的环保意识和环保管理人员的管理水平</w:t>
                  </w:r>
                </w:p>
              </w:tc>
              <w:tc>
                <w:tcPr>
                  <w:tcW w:w="457" w:type="pct"/>
                  <w:tcBorders>
                    <w:tl2br w:val="nil"/>
                    <w:tr2bl w:val="nil"/>
                  </w:tcBorders>
                  <w:noWrap w:val="0"/>
                  <w:vAlign w:val="center"/>
                </w:tcPr>
                <w:p w14:paraId="285DBDAA">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符合</w:t>
                  </w:r>
                </w:p>
              </w:tc>
            </w:tr>
            <w:tr w14:paraId="4B404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429" w:type="pct"/>
                  <w:tcBorders>
                    <w:tl2br w:val="nil"/>
                    <w:tr2bl w:val="nil"/>
                  </w:tcBorders>
                  <w:noWrap w:val="0"/>
                  <w:vAlign w:val="center"/>
                </w:tcPr>
                <w:p w14:paraId="55C62092">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4</w:t>
                  </w:r>
                </w:p>
              </w:tc>
              <w:tc>
                <w:tcPr>
                  <w:tcW w:w="2818" w:type="pct"/>
                  <w:tcBorders>
                    <w:tl2br w:val="nil"/>
                    <w:tr2bl w:val="nil"/>
                  </w:tcBorders>
                  <w:noWrap w:val="0"/>
                  <w:vAlign w:val="center"/>
                </w:tcPr>
                <w:p w14:paraId="2E51A0C8">
                  <w:pPr>
                    <w:wordWrap w:val="0"/>
                    <w:topLinePunct/>
                    <w:adjustRightInd w:val="0"/>
                    <w:snapToGrid w:val="0"/>
                    <w:jc w:val="center"/>
                    <w:rPr>
                      <w:rFonts w:hint="default" w:ascii="Times New Roman" w:hAnsi="Times New Roman" w:eastAsia="宋体" w:cs="Times New Roman"/>
                      <w:caps w:val="0"/>
                      <w:kern w:val="0"/>
                      <w:szCs w:val="21"/>
                      <w:highlight w:val="none"/>
                    </w:rPr>
                  </w:pPr>
                  <w:r>
                    <w:rPr>
                      <w:rFonts w:hint="default" w:ascii="Times New Roman" w:hAnsi="Times New Roman" w:eastAsia="宋体" w:cs="Times New Roman"/>
                      <w:caps w:val="0"/>
                      <w:kern w:val="0"/>
                      <w:szCs w:val="21"/>
                      <w:highlight w:val="none"/>
                    </w:rPr>
                    <w:t>我国VOCs监测工作尚处于起步阶段，企业自行监测质量普遍不高，点位设置不合理、采样方式不规范、监测时段代表性不强等问题突出。部分重点企业未按要求配备自动监控设施。涉VOCs排放工业园区和产业集群缺乏有效的监测溯源与预警措施从监管方面来看，缺乏现场快速检测等有效手段，走航监测、网格化监测等应用不足</w:t>
                  </w:r>
                </w:p>
              </w:tc>
              <w:tc>
                <w:tcPr>
                  <w:tcW w:w="1294" w:type="pct"/>
                  <w:tcBorders>
                    <w:tl2br w:val="nil"/>
                    <w:tr2bl w:val="nil"/>
                  </w:tcBorders>
                  <w:noWrap w:val="0"/>
                  <w:vAlign w:val="center"/>
                </w:tcPr>
                <w:p w14:paraId="7619411F">
                  <w:pPr>
                    <w:wordWrap w:val="0"/>
                    <w:topLinePunct/>
                    <w:adjustRightInd w:val="0"/>
                    <w:snapToGrid w:val="0"/>
                    <w:jc w:val="center"/>
                    <w:rPr>
                      <w:rFonts w:hint="default" w:ascii="Times New Roman" w:hAnsi="Times New Roman" w:eastAsia="宋体" w:cs="Times New Roman"/>
                      <w:caps w:val="0"/>
                      <w:kern w:val="0"/>
                      <w:szCs w:val="21"/>
                      <w:highlight w:val="none"/>
                    </w:rPr>
                  </w:pPr>
                  <w:r>
                    <w:rPr>
                      <w:rFonts w:hint="default" w:ascii="Times New Roman" w:hAnsi="Times New Roman" w:eastAsia="宋体" w:cs="Times New Roman"/>
                      <w:caps w:val="0"/>
                      <w:kern w:val="0"/>
                      <w:szCs w:val="21"/>
                      <w:highlight w:val="none"/>
                    </w:rPr>
                    <w:t>严格按照排污单位自行监测技术指南等相关规范要求制定企业环境监测计划</w:t>
                  </w:r>
                </w:p>
              </w:tc>
              <w:tc>
                <w:tcPr>
                  <w:tcW w:w="457" w:type="pct"/>
                  <w:tcBorders>
                    <w:tl2br w:val="nil"/>
                    <w:tr2bl w:val="nil"/>
                  </w:tcBorders>
                  <w:noWrap w:val="0"/>
                  <w:vAlign w:val="center"/>
                </w:tcPr>
                <w:p w14:paraId="7EF4CD29">
                  <w:pPr>
                    <w:wordWrap w:val="0"/>
                    <w:topLinePunct/>
                    <w:adjustRightInd w:val="0"/>
                    <w:snapToGrid w:val="0"/>
                    <w:jc w:val="center"/>
                    <w:rPr>
                      <w:rFonts w:hint="default" w:ascii="Times New Roman" w:hAnsi="Times New Roman" w:eastAsia="宋体" w:cs="Times New Roman"/>
                      <w:caps w:val="0"/>
                      <w:szCs w:val="21"/>
                      <w:highlight w:val="none"/>
                    </w:rPr>
                  </w:pPr>
                  <w:r>
                    <w:rPr>
                      <w:rFonts w:hint="default" w:ascii="Times New Roman" w:hAnsi="Times New Roman" w:eastAsia="宋体" w:cs="Times New Roman"/>
                      <w:caps w:val="0"/>
                      <w:szCs w:val="21"/>
                      <w:highlight w:val="none"/>
                    </w:rPr>
                    <w:t>符合</w:t>
                  </w:r>
                </w:p>
              </w:tc>
            </w:tr>
          </w:tbl>
          <w:p w14:paraId="7B43DB56">
            <w:pPr>
              <w:adjustRightInd w:val="0"/>
              <w:snapToGrid w:val="0"/>
              <w:spacing w:line="360" w:lineRule="auto"/>
              <w:ind w:firstLine="482" w:firstLineChars="200"/>
              <w:rPr>
                <w:b/>
                <w:bCs/>
                <w:color w:val="000000"/>
                <w:sz w:val="24"/>
              </w:rPr>
            </w:pPr>
            <w:r>
              <w:rPr>
                <w:rFonts w:hint="eastAsia"/>
                <w:b/>
                <w:bCs/>
                <w:color w:val="000000"/>
                <w:sz w:val="24"/>
              </w:rPr>
              <w:t>1</w:t>
            </w:r>
            <w:r>
              <w:rPr>
                <w:rFonts w:hint="eastAsia"/>
                <w:b/>
                <w:bCs/>
                <w:color w:val="000000"/>
                <w:sz w:val="24"/>
                <w:lang w:val="en-US" w:eastAsia="zh-CN"/>
              </w:rPr>
              <w:t>3</w:t>
            </w:r>
            <w:r>
              <w:rPr>
                <w:rFonts w:hint="eastAsia"/>
                <w:b/>
                <w:bCs/>
                <w:color w:val="000000"/>
                <w:sz w:val="24"/>
              </w:rPr>
              <w:t>、与《安徽省人民政府关于印发安徽省空气质量持续改善行动方案的通知》</w:t>
            </w:r>
            <w:r>
              <w:rPr>
                <w:rFonts w:hint="eastAsia"/>
                <w:b/>
                <w:bCs/>
                <w:color w:val="000000"/>
                <w:sz w:val="24"/>
                <w:lang w:eastAsia="zh-CN"/>
              </w:rPr>
              <w:t>（</w:t>
            </w:r>
            <w:r>
              <w:rPr>
                <w:rFonts w:hint="eastAsia"/>
                <w:b/>
                <w:bCs/>
                <w:color w:val="000000"/>
                <w:sz w:val="24"/>
                <w:lang w:val="en-US" w:eastAsia="zh-CN"/>
              </w:rPr>
              <w:t>皖政</w:t>
            </w:r>
            <w:r>
              <w:rPr>
                <w:rFonts w:hint="eastAsia" w:ascii="宋体" w:hAnsi="宋体" w:eastAsia="宋体" w:cs="宋体"/>
                <w:b/>
                <w:bCs/>
                <w:color w:val="000000"/>
                <w:sz w:val="24"/>
                <w:lang w:val="en-US" w:eastAsia="zh-CN"/>
              </w:rPr>
              <w:t>〔2024〕36号</w:t>
            </w:r>
            <w:r>
              <w:rPr>
                <w:rFonts w:hint="eastAsia"/>
                <w:b/>
                <w:bCs/>
                <w:color w:val="000000"/>
                <w:sz w:val="24"/>
                <w:lang w:eastAsia="zh-CN"/>
              </w:rPr>
              <w:t>）</w:t>
            </w:r>
            <w:r>
              <w:rPr>
                <w:rFonts w:hint="eastAsia"/>
                <w:b/>
                <w:bCs/>
                <w:color w:val="000000"/>
                <w:sz w:val="24"/>
              </w:rPr>
              <w:t>符合性分析</w:t>
            </w:r>
          </w:p>
          <w:p w14:paraId="56C0D429">
            <w:pPr>
              <w:jc w:val="center"/>
              <w:rPr>
                <w:rFonts w:eastAsia="SymbolMT"/>
                <w:b/>
                <w:bCs/>
                <w:color w:val="000000"/>
                <w:sz w:val="24"/>
              </w:rPr>
            </w:pPr>
            <w:r>
              <w:rPr>
                <w:rFonts w:eastAsia="SymbolMT"/>
                <w:b/>
                <w:bCs/>
                <w:color w:val="000000"/>
                <w:sz w:val="24"/>
              </w:rPr>
              <w:t>表1-</w:t>
            </w:r>
            <w:r>
              <w:rPr>
                <w:rFonts w:hint="eastAsia" w:eastAsia="宋体"/>
                <w:b/>
                <w:bCs/>
                <w:color w:val="000000"/>
                <w:sz w:val="24"/>
                <w:lang w:val="en-US" w:eastAsia="zh-CN"/>
              </w:rPr>
              <w:t>11</w:t>
            </w:r>
            <w:r>
              <w:rPr>
                <w:rFonts w:hint="eastAsia"/>
                <w:b/>
                <w:bCs/>
                <w:color w:val="000000"/>
                <w:sz w:val="24"/>
              </w:rPr>
              <w:t xml:space="preserve">  </w:t>
            </w:r>
            <w:r>
              <w:rPr>
                <w:rFonts w:hint="default" w:ascii="Times New Roman" w:hAnsi="Times New Roman" w:eastAsia="SymbolMT" w:cs="Times New Roman"/>
                <w:b/>
                <w:bCs/>
                <w:color w:val="000000"/>
                <w:sz w:val="24"/>
              </w:rPr>
              <w:t>与</w:t>
            </w:r>
            <w:r>
              <w:rPr>
                <w:rFonts w:hint="default" w:ascii="Times New Roman" w:hAnsi="Times New Roman" w:cs="Times New Roman"/>
                <w:b/>
                <w:bCs/>
                <w:color w:val="000000"/>
                <w:sz w:val="24"/>
                <w:lang w:val="en-US" w:eastAsia="zh-CN"/>
              </w:rPr>
              <w:t>皖政</w:t>
            </w:r>
            <w:r>
              <w:rPr>
                <w:rFonts w:hint="default" w:ascii="Times New Roman" w:hAnsi="Times New Roman" w:eastAsia="宋体" w:cs="Times New Roman"/>
                <w:b/>
                <w:bCs/>
                <w:color w:val="000000"/>
                <w:sz w:val="24"/>
                <w:lang w:val="en-US" w:eastAsia="zh-CN"/>
              </w:rPr>
              <w:t>〔2024〕36号</w:t>
            </w:r>
            <w:r>
              <w:rPr>
                <w:rFonts w:hint="default" w:ascii="Times New Roman" w:hAnsi="Times New Roman" w:eastAsia="SymbolMT" w:cs="Times New Roman"/>
                <w:b/>
                <w:bCs/>
                <w:color w:val="000000"/>
                <w:sz w:val="24"/>
              </w:rPr>
              <w:t>符合性分析</w:t>
            </w:r>
          </w:p>
          <w:tbl>
            <w:tblPr>
              <w:tblStyle w:val="59"/>
              <w:tblW w:w="74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6"/>
              <w:gridCol w:w="2181"/>
              <w:gridCol w:w="1071"/>
            </w:tblGrid>
            <w:tr w14:paraId="089CCE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77D010E2">
                  <w:pPr>
                    <w:adjustRightInd w:val="0"/>
                    <w:jc w:val="center"/>
                    <w:textAlignment w:val="baseline"/>
                    <w:rPr>
                      <w:b/>
                      <w:bCs/>
                      <w:color w:val="000000"/>
                      <w:szCs w:val="21"/>
                    </w:rPr>
                  </w:pPr>
                  <w:r>
                    <w:rPr>
                      <w:b/>
                      <w:bCs/>
                      <w:color w:val="000000"/>
                      <w:szCs w:val="21"/>
                    </w:rPr>
                    <w:t>文件内容</w:t>
                  </w:r>
                </w:p>
              </w:tc>
              <w:tc>
                <w:tcPr>
                  <w:tcW w:w="2181" w:type="dxa"/>
                  <w:noWrap w:val="0"/>
                  <w:vAlign w:val="center"/>
                </w:tcPr>
                <w:p w14:paraId="4C3AD243">
                  <w:pPr>
                    <w:adjustRightInd w:val="0"/>
                    <w:jc w:val="center"/>
                    <w:textAlignment w:val="baseline"/>
                    <w:rPr>
                      <w:b/>
                      <w:bCs/>
                      <w:color w:val="000000"/>
                      <w:szCs w:val="21"/>
                    </w:rPr>
                  </w:pPr>
                  <w:r>
                    <w:rPr>
                      <w:b/>
                      <w:bCs/>
                      <w:color w:val="000000"/>
                      <w:szCs w:val="21"/>
                    </w:rPr>
                    <w:t>项目实际情况</w:t>
                  </w:r>
                </w:p>
              </w:tc>
              <w:tc>
                <w:tcPr>
                  <w:tcW w:w="1071" w:type="dxa"/>
                  <w:noWrap w:val="0"/>
                  <w:vAlign w:val="center"/>
                </w:tcPr>
                <w:p w14:paraId="5F7624AB">
                  <w:pPr>
                    <w:adjustRightInd w:val="0"/>
                    <w:jc w:val="center"/>
                    <w:textAlignment w:val="baseline"/>
                    <w:rPr>
                      <w:b/>
                      <w:bCs/>
                      <w:color w:val="000000"/>
                      <w:szCs w:val="21"/>
                    </w:rPr>
                  </w:pPr>
                  <w:r>
                    <w:rPr>
                      <w:b/>
                      <w:bCs/>
                      <w:color w:val="000000"/>
                      <w:szCs w:val="21"/>
                    </w:rPr>
                    <w:t>符合性</w:t>
                  </w:r>
                </w:p>
              </w:tc>
            </w:tr>
            <w:tr w14:paraId="1E008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4080D361">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（一）目标任务。到2025年，全省地级城市细颗粒物（PM</w:t>
                  </w:r>
                  <w:r>
                    <w:rPr>
                      <w:rFonts w:hint="default"/>
                      <w:b w:val="0"/>
                      <w:bCs w:val="0"/>
                      <w:color w:val="000000"/>
                      <w:szCs w:val="21"/>
                      <w:vertAlign w:val="subscript"/>
                      <w:lang w:val="en-US" w:eastAsia="zh-CN"/>
                    </w:rPr>
                    <w:t>2.5</w:t>
                  </w:r>
                  <w:r>
                    <w:rPr>
                      <w:rFonts w:hint="default"/>
                      <w:b w:val="0"/>
                      <w:bCs w:val="0"/>
                      <w:color w:val="000000"/>
                      <w:szCs w:val="21"/>
                      <w:lang w:val="en-US" w:eastAsia="zh-CN"/>
                    </w:rPr>
                    <w:t>）平均浓度控制在35微克/立方米以下，重度及以上污染天数比率降至0.2%以下。其中，皖北六市在确保完成“十四五”期间约束性目标基础上，力争 PM</w:t>
                  </w:r>
                  <w:r>
                    <w:rPr>
                      <w:rFonts w:hint="default"/>
                      <w:b w:val="0"/>
                      <w:bCs w:val="0"/>
                      <w:color w:val="000000"/>
                      <w:szCs w:val="21"/>
                      <w:vertAlign w:val="subscript"/>
                      <w:lang w:val="en-US" w:eastAsia="zh-CN"/>
                    </w:rPr>
                    <w:t>2.5</w:t>
                  </w:r>
                  <w:r>
                    <w:rPr>
                      <w:rFonts w:hint="default"/>
                      <w:b w:val="0"/>
                      <w:bCs w:val="0"/>
                      <w:color w:val="000000"/>
                      <w:szCs w:val="21"/>
                      <w:lang w:val="en-US" w:eastAsia="zh-CN"/>
                    </w:rPr>
                    <w:t>控制在37.7 微克/立方米以下。全省“十四五”期间氮氧化物、挥发性有机物（VOCs）重点工程排放总量比2020年分别减排8.3万吨、3.07万吨。</w:t>
                  </w:r>
                </w:p>
              </w:tc>
              <w:tc>
                <w:tcPr>
                  <w:tcW w:w="2181" w:type="dxa"/>
                  <w:noWrap w:val="0"/>
                  <w:vAlign w:val="center"/>
                </w:tcPr>
                <w:p w14:paraId="3C103AE1">
                  <w:pPr>
                    <w:adjustRightInd w:val="0"/>
                    <w:jc w:val="center"/>
                    <w:textAlignment w:val="baseline"/>
                    <w:rPr>
                      <w:rFonts w:hint="default" w:eastAsia="宋体"/>
                      <w:b/>
                      <w:bCs/>
                      <w:color w:val="000000"/>
                      <w:szCs w:val="21"/>
                      <w:lang w:val="en-US" w:eastAsia="zh-CN"/>
                    </w:rPr>
                  </w:pPr>
                  <w:r>
                    <w:rPr>
                      <w:rFonts w:hint="eastAsia"/>
                      <w:b w:val="0"/>
                      <w:bCs w:val="0"/>
                      <w:color w:val="000000"/>
                      <w:szCs w:val="21"/>
                      <w:lang w:val="en-US" w:eastAsia="zh-CN"/>
                    </w:rPr>
                    <w:t>本项目废气主要为焊接过程产生的颗粒物，经采取集气罩收集后+布袋除尘除尘装置+20m高排气筒外排。</w:t>
                  </w:r>
                </w:p>
              </w:tc>
              <w:tc>
                <w:tcPr>
                  <w:tcW w:w="1071" w:type="dxa"/>
                  <w:noWrap w:val="0"/>
                  <w:vAlign w:val="center"/>
                </w:tcPr>
                <w:p w14:paraId="746942D7">
                  <w:pPr>
                    <w:adjustRightInd w:val="0"/>
                    <w:jc w:val="center"/>
                    <w:textAlignment w:val="baseline"/>
                    <w:rPr>
                      <w:b/>
                      <w:bCs/>
                      <w:color w:val="000000"/>
                      <w:szCs w:val="21"/>
                    </w:rPr>
                  </w:pPr>
                  <w:r>
                    <w:rPr>
                      <w:rFonts w:hint="eastAsia"/>
                      <w:color w:val="000000"/>
                      <w:szCs w:val="21"/>
                    </w:rPr>
                    <w:t>符合</w:t>
                  </w:r>
                </w:p>
              </w:tc>
            </w:tr>
            <w:tr w14:paraId="37AE7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08C96E83">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(二)1</w:t>
                  </w:r>
                  <w:r>
                    <w:rPr>
                      <w:rFonts w:hint="eastAsia"/>
                      <w:b w:val="0"/>
                      <w:bCs w:val="0"/>
                      <w:color w:val="000000"/>
                      <w:szCs w:val="21"/>
                      <w:lang w:val="en-US" w:eastAsia="zh-CN"/>
                    </w:rPr>
                    <w:t>、</w:t>
                  </w:r>
                  <w:r>
                    <w:rPr>
                      <w:rFonts w:hint="default"/>
                      <w:b w:val="0"/>
                      <w:bCs w:val="0"/>
                      <w:color w:val="000000"/>
                      <w:szCs w:val="21"/>
                      <w:lang w:val="en-US" w:eastAsia="zh-CN"/>
                    </w:rPr>
                    <w:t>重点区域。合肥、淮北、亳州、宿州、蚌埠、阜阳、淮南、滁州、六安、马鞍山、芜湖市。2</w:t>
                  </w:r>
                  <w:r>
                    <w:rPr>
                      <w:rFonts w:hint="eastAsia"/>
                      <w:b w:val="0"/>
                      <w:bCs w:val="0"/>
                      <w:color w:val="000000"/>
                      <w:szCs w:val="21"/>
                      <w:lang w:val="en-US" w:eastAsia="zh-CN"/>
                    </w:rPr>
                    <w:t>、</w:t>
                  </w:r>
                  <w:r>
                    <w:rPr>
                      <w:rFonts w:hint="default"/>
                      <w:b w:val="0"/>
                      <w:bCs w:val="0"/>
                      <w:color w:val="000000"/>
                      <w:szCs w:val="21"/>
                      <w:lang w:val="en-US" w:eastAsia="zh-CN"/>
                    </w:rPr>
                    <w:t>非重点区域。宣城、铜陵、池州、安庆、黄山市。</w:t>
                  </w:r>
                </w:p>
              </w:tc>
              <w:tc>
                <w:tcPr>
                  <w:tcW w:w="2181" w:type="dxa"/>
                  <w:noWrap w:val="0"/>
                  <w:vAlign w:val="center"/>
                </w:tcPr>
                <w:p w14:paraId="398C6BEC">
                  <w:pPr>
                    <w:adjustRightInd w:val="0"/>
                    <w:jc w:val="center"/>
                    <w:textAlignment w:val="baseline"/>
                    <w:rPr>
                      <w:rFonts w:hint="default" w:eastAsia="宋体"/>
                      <w:color w:val="000000"/>
                      <w:szCs w:val="21"/>
                      <w:lang w:val="en-US" w:eastAsia="zh-CN"/>
                    </w:rPr>
                  </w:pPr>
                  <w:r>
                    <w:rPr>
                      <w:rFonts w:hint="eastAsia"/>
                      <w:color w:val="000000"/>
                      <w:szCs w:val="21"/>
                      <w:lang w:val="en-US" w:eastAsia="zh-CN"/>
                    </w:rPr>
                    <w:t>本项目为与芜湖市，属于重点区域，项目不涉及VOC</w:t>
                  </w:r>
                  <w:r>
                    <w:rPr>
                      <w:rFonts w:hint="eastAsia"/>
                      <w:color w:val="000000"/>
                      <w:szCs w:val="21"/>
                      <w:vertAlign w:val="subscript"/>
                      <w:lang w:val="en-US" w:eastAsia="zh-CN"/>
                    </w:rPr>
                    <w:t>S</w:t>
                  </w:r>
                  <w:r>
                    <w:rPr>
                      <w:rFonts w:hint="eastAsia"/>
                      <w:color w:val="000000"/>
                      <w:szCs w:val="21"/>
                      <w:lang w:val="en-US" w:eastAsia="zh-CN"/>
                    </w:rPr>
                    <w:t>排放。</w:t>
                  </w:r>
                </w:p>
              </w:tc>
              <w:tc>
                <w:tcPr>
                  <w:tcW w:w="1071" w:type="dxa"/>
                  <w:noWrap w:val="0"/>
                  <w:vAlign w:val="center"/>
                </w:tcPr>
                <w:p w14:paraId="0297FEAD">
                  <w:pPr>
                    <w:adjustRightInd w:val="0"/>
                    <w:jc w:val="center"/>
                    <w:textAlignment w:val="baseline"/>
                    <w:rPr>
                      <w:rFonts w:hint="eastAsia" w:eastAsia="宋体"/>
                      <w:color w:val="000000"/>
                      <w:szCs w:val="21"/>
                      <w:lang w:val="en-US" w:eastAsia="zh-CN"/>
                    </w:rPr>
                  </w:pPr>
                  <w:r>
                    <w:rPr>
                      <w:rFonts w:hint="eastAsia"/>
                      <w:color w:val="000000"/>
                      <w:szCs w:val="21"/>
                      <w:lang w:val="en-US" w:eastAsia="zh-CN"/>
                    </w:rPr>
                    <w:t>符合</w:t>
                  </w:r>
                </w:p>
              </w:tc>
            </w:tr>
            <w:tr w14:paraId="59C35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043EC397">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2181" w:type="dxa"/>
                  <w:noWrap w:val="0"/>
                  <w:vAlign w:val="center"/>
                </w:tcPr>
                <w:p w14:paraId="030B0C72">
                  <w:pPr>
                    <w:adjustRightInd w:val="0"/>
                    <w:jc w:val="center"/>
                    <w:textAlignment w:val="baseline"/>
                    <w:rPr>
                      <w:rFonts w:hint="eastAsia"/>
                      <w:color w:val="000000"/>
                      <w:szCs w:val="21"/>
                    </w:rPr>
                  </w:pPr>
                  <w:r>
                    <w:rPr>
                      <w:rFonts w:hint="default" w:ascii="Times New Roman" w:hAnsi="Times New Roman" w:eastAsia="宋体" w:cs="Times New Roman"/>
                      <w:color w:val="000000"/>
                      <w:sz w:val="21"/>
                      <w:szCs w:val="21"/>
                      <w:lang w:bidi="ar"/>
                    </w:rPr>
                    <w:t>本项目不属于《产业结构调整指导目录（2024年本）》中淘汰类或限制类项目，项目符合国家产业政策。不属于落后产能项目，不属于过剩产能行业项目，不属于高耗能高排放项目。</w:t>
                  </w:r>
                </w:p>
              </w:tc>
              <w:tc>
                <w:tcPr>
                  <w:tcW w:w="1071" w:type="dxa"/>
                  <w:noWrap w:val="0"/>
                  <w:vAlign w:val="center"/>
                </w:tcPr>
                <w:p w14:paraId="7B87A163">
                  <w:pPr>
                    <w:adjustRightInd w:val="0"/>
                    <w:jc w:val="center"/>
                    <w:textAlignment w:val="baseline"/>
                    <w:rPr>
                      <w:rFonts w:hint="eastAsia" w:eastAsia="宋体"/>
                      <w:color w:val="000000"/>
                      <w:szCs w:val="21"/>
                      <w:lang w:val="en-US" w:eastAsia="zh-CN"/>
                    </w:rPr>
                  </w:pPr>
                  <w:r>
                    <w:rPr>
                      <w:rFonts w:hint="eastAsia"/>
                      <w:color w:val="000000"/>
                      <w:szCs w:val="21"/>
                      <w:lang w:val="en-US" w:eastAsia="zh-CN"/>
                    </w:rPr>
                    <w:t>符合</w:t>
                  </w:r>
                </w:p>
              </w:tc>
            </w:tr>
            <w:tr w14:paraId="50021C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6E24BA21">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完善空气质量达标管理机制。空气质量未达标的市依法编制实施大气环境质量限期达标规划。推进PM2.5和臭氧协同控制，更加注重PM2.5治理。2020年PM2.5浓度低于40微克/立方米的合肥、滁州、六安、马鞍山、安庆5个未达标市，“十四五”期间实现稳定达标；淮北、亳州、宿州、蚌埠、阜阳、淮南6个未达标市，明确“十四五”空气质量改善阶段目标；芜湖、宣城、铜陵、池州、黄山5个已达标市，巩固改善空气质量。</w:t>
                  </w:r>
                </w:p>
              </w:tc>
              <w:tc>
                <w:tcPr>
                  <w:tcW w:w="2181" w:type="dxa"/>
                  <w:noWrap w:val="0"/>
                  <w:vAlign w:val="center"/>
                </w:tcPr>
                <w:p w14:paraId="7F401469">
                  <w:pPr>
                    <w:adjustRightInd w:val="0"/>
                    <w:jc w:val="center"/>
                    <w:textAlignment w:val="baseline"/>
                    <w:rPr>
                      <w:rFonts w:hint="default" w:eastAsia="宋体"/>
                      <w:color w:val="000000"/>
                      <w:szCs w:val="21"/>
                      <w:lang w:val="en-US" w:eastAsia="zh-CN"/>
                    </w:rPr>
                  </w:pPr>
                  <w:r>
                    <w:rPr>
                      <w:rFonts w:hint="eastAsia" w:eastAsia="宋体"/>
                      <w:color w:val="000000"/>
                      <w:szCs w:val="21"/>
                      <w:lang w:val="en-US" w:eastAsia="zh-CN"/>
                    </w:rPr>
                    <w:t>根据《2024年芜湖市生态环境状况公报》</w:t>
                  </w:r>
                  <w:r>
                    <w:rPr>
                      <w:rFonts w:hint="eastAsia"/>
                      <w:color w:val="000000"/>
                      <w:szCs w:val="21"/>
                      <w:lang w:val="en-US" w:eastAsia="zh-CN"/>
                    </w:rPr>
                    <w:t>，项目地属于“不达标”区域，深入贯彻落实国务院《空气质量持续改善行动计划》和《安徽省空气质量持续改善行动方案》，研究制定《芜湖市2024-2025年大气污染防治重点任务攻坚工作方案》，统筹推进相关工作</w:t>
                  </w:r>
                </w:p>
              </w:tc>
              <w:tc>
                <w:tcPr>
                  <w:tcW w:w="1071" w:type="dxa"/>
                  <w:noWrap w:val="0"/>
                  <w:vAlign w:val="center"/>
                </w:tcPr>
                <w:p w14:paraId="6F7D2D8C">
                  <w:pPr>
                    <w:adjustRightInd w:val="0"/>
                    <w:jc w:val="center"/>
                    <w:textAlignment w:val="baseline"/>
                    <w:rPr>
                      <w:rFonts w:hint="eastAsia" w:eastAsia="宋体"/>
                      <w:color w:val="000000"/>
                      <w:szCs w:val="21"/>
                      <w:lang w:val="en-US" w:eastAsia="zh-CN"/>
                    </w:rPr>
                  </w:pPr>
                  <w:r>
                    <w:rPr>
                      <w:rFonts w:hint="eastAsia"/>
                      <w:color w:val="000000"/>
                      <w:szCs w:val="21"/>
                      <w:lang w:val="en-US" w:eastAsia="zh-CN"/>
                    </w:rPr>
                    <w:t>符合</w:t>
                  </w:r>
                </w:p>
              </w:tc>
            </w:tr>
          </w:tbl>
          <w:p w14:paraId="063DFA14">
            <w:pPr>
              <w:numPr>
                <w:ilvl w:val="0"/>
                <w:numId w:val="0"/>
              </w:numPr>
              <w:adjustRightInd w:val="0"/>
              <w:snapToGrid w:val="0"/>
              <w:spacing w:line="360" w:lineRule="auto"/>
              <w:ind w:firstLine="482" w:firstLineChars="200"/>
              <w:jc w:val="left"/>
              <w:rPr>
                <w:rFonts w:hint="eastAsia" w:cs="Times New Roman"/>
                <w:b/>
                <w:bCs/>
                <w:color w:val="000000"/>
                <w:sz w:val="24"/>
                <w:lang w:val="en-US" w:eastAsia="zh-CN"/>
              </w:rPr>
            </w:pPr>
            <w:r>
              <w:rPr>
                <w:rFonts w:hint="eastAsia" w:cs="Times New Roman"/>
                <w:b/>
                <w:bCs/>
                <w:color w:val="000000"/>
                <w:sz w:val="24"/>
                <w:lang w:val="en-US" w:eastAsia="zh-CN"/>
              </w:rPr>
              <w:t>14、项目与《汽车工业污染防治可行技术指南》（HJ1181-2021）的符合性分析</w:t>
            </w:r>
          </w:p>
          <w:p w14:paraId="3178BAB7">
            <w:pPr>
              <w:jc w:val="center"/>
              <w:rPr>
                <w:rFonts w:hint="default" w:cs="Times New Roman"/>
                <w:b/>
                <w:bCs/>
                <w:color w:val="000000"/>
                <w:sz w:val="24"/>
                <w:lang w:val="en-US" w:eastAsia="zh-CN"/>
              </w:rPr>
            </w:pPr>
            <w:r>
              <w:rPr>
                <w:rFonts w:hint="eastAsia" w:cs="Times New Roman"/>
                <w:b/>
                <w:bCs/>
                <w:color w:val="000000"/>
                <w:sz w:val="24"/>
                <w:lang w:val="en-US" w:eastAsia="zh-CN"/>
              </w:rPr>
              <w:t xml:space="preserve"> </w:t>
            </w:r>
            <w:r>
              <w:rPr>
                <w:rFonts w:eastAsia="SymbolMT"/>
                <w:b/>
                <w:bCs/>
                <w:color w:val="000000"/>
                <w:sz w:val="24"/>
              </w:rPr>
              <w:t>表1-</w:t>
            </w:r>
            <w:r>
              <w:rPr>
                <w:rFonts w:hint="eastAsia" w:eastAsia="宋体"/>
                <w:b/>
                <w:bCs/>
                <w:color w:val="000000"/>
                <w:sz w:val="24"/>
                <w:lang w:val="en-US" w:eastAsia="zh-CN"/>
              </w:rPr>
              <w:t>12</w:t>
            </w:r>
            <w:r>
              <w:rPr>
                <w:rFonts w:hint="eastAsia"/>
                <w:b/>
                <w:bCs/>
                <w:color w:val="000000"/>
                <w:sz w:val="24"/>
              </w:rPr>
              <w:t xml:space="preserve">  </w:t>
            </w:r>
            <w:r>
              <w:rPr>
                <w:rFonts w:hint="default" w:ascii="Times New Roman" w:hAnsi="Times New Roman" w:eastAsia="SymbolMT" w:cs="Times New Roman"/>
                <w:b/>
                <w:bCs/>
                <w:color w:val="000000"/>
                <w:sz w:val="24"/>
              </w:rPr>
              <w:t>与</w:t>
            </w:r>
            <w:r>
              <w:rPr>
                <w:rFonts w:hint="eastAsia" w:cs="Times New Roman"/>
                <w:b/>
                <w:bCs/>
                <w:color w:val="000000"/>
                <w:sz w:val="24"/>
                <w:lang w:val="en-US" w:eastAsia="zh-CN"/>
              </w:rPr>
              <w:t>HJ1181-2021</w:t>
            </w:r>
            <w:r>
              <w:rPr>
                <w:rFonts w:hint="default" w:ascii="Times New Roman" w:hAnsi="Times New Roman" w:eastAsia="SymbolMT" w:cs="Times New Roman"/>
                <w:b/>
                <w:bCs/>
                <w:color w:val="000000"/>
                <w:sz w:val="24"/>
              </w:rPr>
              <w:t>符合性分析</w:t>
            </w:r>
          </w:p>
          <w:tbl>
            <w:tblPr>
              <w:tblStyle w:val="59"/>
              <w:tblW w:w="74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6"/>
              <w:gridCol w:w="2181"/>
              <w:gridCol w:w="1071"/>
            </w:tblGrid>
            <w:tr w14:paraId="0ACFB2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3CE9773A">
                  <w:pPr>
                    <w:adjustRightInd w:val="0"/>
                    <w:jc w:val="center"/>
                    <w:textAlignment w:val="baseline"/>
                    <w:rPr>
                      <w:b/>
                      <w:bCs/>
                      <w:color w:val="000000"/>
                      <w:szCs w:val="21"/>
                    </w:rPr>
                  </w:pPr>
                  <w:r>
                    <w:rPr>
                      <w:b/>
                      <w:bCs/>
                      <w:color w:val="000000"/>
                      <w:szCs w:val="21"/>
                    </w:rPr>
                    <w:t>文件内容</w:t>
                  </w:r>
                </w:p>
              </w:tc>
              <w:tc>
                <w:tcPr>
                  <w:tcW w:w="2181" w:type="dxa"/>
                  <w:noWrap w:val="0"/>
                  <w:vAlign w:val="center"/>
                </w:tcPr>
                <w:p w14:paraId="71DB16B2">
                  <w:pPr>
                    <w:adjustRightInd w:val="0"/>
                    <w:jc w:val="center"/>
                    <w:textAlignment w:val="baseline"/>
                    <w:rPr>
                      <w:b/>
                      <w:bCs/>
                      <w:color w:val="000000"/>
                      <w:szCs w:val="21"/>
                    </w:rPr>
                  </w:pPr>
                  <w:r>
                    <w:rPr>
                      <w:b/>
                      <w:bCs/>
                      <w:color w:val="000000"/>
                      <w:szCs w:val="21"/>
                    </w:rPr>
                    <w:t>项目实际情况</w:t>
                  </w:r>
                </w:p>
              </w:tc>
              <w:tc>
                <w:tcPr>
                  <w:tcW w:w="1071" w:type="dxa"/>
                  <w:noWrap w:val="0"/>
                  <w:vAlign w:val="center"/>
                </w:tcPr>
                <w:p w14:paraId="41E35358">
                  <w:pPr>
                    <w:adjustRightInd w:val="0"/>
                    <w:jc w:val="center"/>
                    <w:textAlignment w:val="baseline"/>
                    <w:rPr>
                      <w:b/>
                      <w:bCs/>
                      <w:color w:val="000000"/>
                      <w:szCs w:val="21"/>
                    </w:rPr>
                  </w:pPr>
                  <w:r>
                    <w:rPr>
                      <w:b/>
                      <w:bCs/>
                      <w:color w:val="000000"/>
                      <w:szCs w:val="21"/>
                    </w:rPr>
                    <w:t>符合性</w:t>
                  </w:r>
                </w:p>
              </w:tc>
            </w:tr>
            <w:tr w14:paraId="656B9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38BD5C48">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汽车工业企业应优化汽车产品设计，在满足产品功能要求的前提下选用清洁的原辅材料，并尽量减少涂装涂层作业数量和涂膜厚度。</w:t>
                  </w:r>
                </w:p>
              </w:tc>
              <w:tc>
                <w:tcPr>
                  <w:tcW w:w="2181" w:type="dxa"/>
                  <w:noWrap w:val="0"/>
                  <w:vAlign w:val="center"/>
                </w:tcPr>
                <w:p w14:paraId="13C3DBCE">
                  <w:pPr>
                    <w:adjustRightInd w:val="0"/>
                    <w:jc w:val="center"/>
                    <w:textAlignment w:val="baseline"/>
                    <w:rPr>
                      <w:rFonts w:hint="default" w:eastAsia="宋体"/>
                      <w:b/>
                      <w:bCs/>
                      <w:color w:val="000000"/>
                      <w:szCs w:val="21"/>
                      <w:lang w:val="en-US" w:eastAsia="zh-CN"/>
                    </w:rPr>
                  </w:pPr>
                  <w:r>
                    <w:rPr>
                      <w:rFonts w:hint="eastAsia"/>
                      <w:b/>
                      <w:bCs/>
                      <w:color w:val="000000"/>
                      <w:szCs w:val="21"/>
                      <w:lang w:val="en-US" w:eastAsia="zh-CN"/>
                    </w:rPr>
                    <w:t>项目不涉及涂装。</w:t>
                  </w:r>
                </w:p>
              </w:tc>
              <w:tc>
                <w:tcPr>
                  <w:tcW w:w="1071" w:type="dxa"/>
                  <w:noWrap w:val="0"/>
                  <w:vAlign w:val="center"/>
                </w:tcPr>
                <w:p w14:paraId="4F3B324F">
                  <w:pPr>
                    <w:adjustRightInd w:val="0"/>
                    <w:jc w:val="center"/>
                    <w:textAlignment w:val="baseline"/>
                    <w:rPr>
                      <w:b/>
                      <w:bCs/>
                      <w:color w:val="000000"/>
                      <w:szCs w:val="21"/>
                    </w:rPr>
                  </w:pPr>
                  <w:r>
                    <w:rPr>
                      <w:rFonts w:hint="eastAsia"/>
                      <w:color w:val="000000"/>
                      <w:szCs w:val="21"/>
                    </w:rPr>
                    <w:t>符合</w:t>
                  </w:r>
                </w:p>
              </w:tc>
            </w:tr>
            <w:tr w14:paraId="4936D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19DE53E6">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应按照“应收尽收”的原则提高废气收集率，减少污染物的无组织排放；按照与生产设施“同</w:t>
                  </w:r>
                </w:p>
                <w:p w14:paraId="00580E88">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启同停”或“先启后停”的原则提高治理设施运转率，按照“适宜高效”的原则提高治理设施去除率，</w:t>
                  </w:r>
                </w:p>
                <w:p w14:paraId="7C205EF7">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减少污染物的排放。</w:t>
                  </w:r>
                </w:p>
              </w:tc>
              <w:tc>
                <w:tcPr>
                  <w:tcW w:w="2181" w:type="dxa"/>
                  <w:noWrap w:val="0"/>
                  <w:vAlign w:val="center"/>
                </w:tcPr>
                <w:p w14:paraId="6567636B">
                  <w:pPr>
                    <w:adjustRightInd w:val="0"/>
                    <w:jc w:val="center"/>
                    <w:textAlignment w:val="baseline"/>
                    <w:rPr>
                      <w:rFonts w:hint="default" w:eastAsia="宋体"/>
                      <w:color w:val="000000"/>
                      <w:szCs w:val="21"/>
                      <w:lang w:val="en-US" w:eastAsia="zh-CN"/>
                    </w:rPr>
                  </w:pPr>
                  <w:r>
                    <w:rPr>
                      <w:rFonts w:hint="eastAsia"/>
                      <w:color w:val="000000"/>
                      <w:szCs w:val="21"/>
                      <w:lang w:val="en-US" w:eastAsia="zh-CN"/>
                    </w:rPr>
                    <w:t>项目焊接废气采用集气罩收集后，采用布袋除尘装置处理后，经一根20m高排气筒（DA001)排放</w:t>
                  </w:r>
                </w:p>
              </w:tc>
              <w:tc>
                <w:tcPr>
                  <w:tcW w:w="1071" w:type="dxa"/>
                  <w:noWrap w:val="0"/>
                  <w:vAlign w:val="center"/>
                </w:tcPr>
                <w:p w14:paraId="52034ACB">
                  <w:pPr>
                    <w:adjustRightInd w:val="0"/>
                    <w:jc w:val="center"/>
                    <w:textAlignment w:val="baseline"/>
                    <w:rPr>
                      <w:rFonts w:hint="eastAsia" w:eastAsia="宋体"/>
                      <w:color w:val="000000"/>
                      <w:szCs w:val="21"/>
                      <w:lang w:val="en-US" w:eastAsia="zh-CN"/>
                    </w:rPr>
                  </w:pPr>
                  <w:r>
                    <w:rPr>
                      <w:rFonts w:hint="eastAsia"/>
                      <w:color w:val="000000"/>
                      <w:szCs w:val="21"/>
                      <w:lang w:val="en-US" w:eastAsia="zh-CN"/>
                    </w:rPr>
                    <w:t>符合</w:t>
                  </w:r>
                </w:p>
              </w:tc>
            </w:tr>
            <w:tr w14:paraId="274FF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64AC4CB1">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对产生废气污染物的设施和生产过程，宜采用密闭或负压操作等措施，实现有组织排放。当无法采用密闭或负压操作时，宜选择局部集气罩或其他适宜的收集方式，并尽可能包围或靠近污染源，减少污染物外逸</w:t>
                  </w:r>
                </w:p>
              </w:tc>
              <w:tc>
                <w:tcPr>
                  <w:tcW w:w="2181" w:type="dxa"/>
                  <w:noWrap w:val="0"/>
                  <w:vAlign w:val="center"/>
                </w:tcPr>
                <w:p w14:paraId="3D6E26F5">
                  <w:pPr>
                    <w:adjustRightInd w:val="0"/>
                    <w:jc w:val="center"/>
                    <w:textAlignment w:val="baseline"/>
                    <w:rPr>
                      <w:rFonts w:hint="default" w:eastAsia="宋体"/>
                      <w:color w:val="000000"/>
                      <w:szCs w:val="21"/>
                      <w:lang w:val="en-US" w:eastAsia="zh-CN"/>
                    </w:rPr>
                  </w:pPr>
                  <w:r>
                    <w:rPr>
                      <w:rFonts w:hint="eastAsia"/>
                      <w:color w:val="000000"/>
                      <w:szCs w:val="21"/>
                      <w:lang w:val="en-US" w:eastAsia="zh-CN"/>
                    </w:rPr>
                    <w:t>项目已采用集气罩的收集方式，收集效率达90%。</w:t>
                  </w:r>
                </w:p>
              </w:tc>
              <w:tc>
                <w:tcPr>
                  <w:tcW w:w="1071" w:type="dxa"/>
                  <w:noWrap w:val="0"/>
                  <w:vAlign w:val="center"/>
                </w:tcPr>
                <w:p w14:paraId="3EE95F23">
                  <w:pPr>
                    <w:adjustRightInd w:val="0"/>
                    <w:jc w:val="center"/>
                    <w:textAlignment w:val="baseline"/>
                    <w:rPr>
                      <w:rFonts w:hint="eastAsia" w:eastAsia="宋体"/>
                      <w:color w:val="000000"/>
                      <w:szCs w:val="21"/>
                      <w:lang w:val="en-US" w:eastAsia="zh-CN"/>
                    </w:rPr>
                  </w:pPr>
                  <w:r>
                    <w:rPr>
                      <w:rFonts w:hint="eastAsia"/>
                      <w:color w:val="000000"/>
                      <w:szCs w:val="21"/>
                      <w:lang w:val="en-US" w:eastAsia="zh-CN"/>
                    </w:rPr>
                    <w:t>符合</w:t>
                  </w:r>
                </w:p>
              </w:tc>
            </w:tr>
            <w:tr w14:paraId="1A388F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2C58B07A">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汽车工业企业应根据生产废水特点及其污染物浓度水平，对生产废水进行分类收集、分质处理。</w:t>
                  </w:r>
                </w:p>
              </w:tc>
              <w:tc>
                <w:tcPr>
                  <w:tcW w:w="2181" w:type="dxa"/>
                  <w:noWrap w:val="0"/>
                  <w:vAlign w:val="center"/>
                </w:tcPr>
                <w:p w14:paraId="7A9AC553">
                  <w:pPr>
                    <w:adjustRightInd w:val="0"/>
                    <w:jc w:val="center"/>
                    <w:textAlignment w:val="baseline"/>
                    <w:rPr>
                      <w:rFonts w:hint="default" w:eastAsia="宋体"/>
                      <w:color w:val="000000"/>
                      <w:szCs w:val="21"/>
                      <w:lang w:val="en-US" w:eastAsia="zh-CN"/>
                    </w:rPr>
                  </w:pPr>
                  <w:r>
                    <w:rPr>
                      <w:rFonts w:hint="eastAsia"/>
                      <w:color w:val="000000"/>
                      <w:szCs w:val="21"/>
                      <w:lang w:val="en-US" w:eastAsia="zh-CN"/>
                    </w:rPr>
                    <w:t>项目不涉及生产废水，仅有生活污水，经化粪池预处理后排入市政官网</w:t>
                  </w:r>
                </w:p>
              </w:tc>
              <w:tc>
                <w:tcPr>
                  <w:tcW w:w="1071" w:type="dxa"/>
                  <w:noWrap w:val="0"/>
                  <w:vAlign w:val="center"/>
                </w:tcPr>
                <w:p w14:paraId="4942A462">
                  <w:pPr>
                    <w:adjustRightInd w:val="0"/>
                    <w:jc w:val="center"/>
                    <w:textAlignment w:val="baseline"/>
                    <w:rPr>
                      <w:rFonts w:hint="eastAsia" w:eastAsia="宋体"/>
                      <w:color w:val="000000"/>
                      <w:szCs w:val="21"/>
                      <w:lang w:val="en-US" w:eastAsia="zh-CN"/>
                    </w:rPr>
                  </w:pPr>
                  <w:r>
                    <w:rPr>
                      <w:rFonts w:hint="eastAsia"/>
                      <w:color w:val="000000"/>
                      <w:szCs w:val="21"/>
                      <w:lang w:val="en-US" w:eastAsia="zh-CN"/>
                    </w:rPr>
                    <w:t>符合</w:t>
                  </w:r>
                </w:p>
              </w:tc>
            </w:tr>
            <w:tr w14:paraId="313E83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6" w:type="dxa"/>
                  <w:noWrap w:val="0"/>
                  <w:vAlign w:val="center"/>
                </w:tcPr>
                <w:p w14:paraId="1AB7AA90">
                  <w:pPr>
                    <w:widowControl/>
                    <w:numPr>
                      <w:ilvl w:val="0"/>
                      <w:numId w:val="0"/>
                    </w:numPr>
                    <w:jc w:val="left"/>
                    <w:rPr>
                      <w:rFonts w:hint="default"/>
                      <w:b w:val="0"/>
                      <w:bCs w:val="0"/>
                      <w:color w:val="000000"/>
                      <w:szCs w:val="21"/>
                      <w:lang w:val="en-US" w:eastAsia="zh-CN"/>
                    </w:rPr>
                  </w:pPr>
                  <w:r>
                    <w:rPr>
                      <w:rFonts w:hint="default"/>
                      <w:b w:val="0"/>
                      <w:bCs w:val="0"/>
                      <w:color w:val="000000"/>
                      <w:szCs w:val="21"/>
                      <w:lang w:val="en-US" w:eastAsia="zh-CN"/>
                    </w:rPr>
                    <w:t xml:space="preserve"> 汽车工业企业应按照 HJ 971 建立、健全和落实环境管理制度，并适时评估环境管理制度的运行效果及适用性，持续改善企业环境绩效。</w:t>
                  </w:r>
                </w:p>
              </w:tc>
              <w:tc>
                <w:tcPr>
                  <w:tcW w:w="2181" w:type="dxa"/>
                  <w:noWrap w:val="0"/>
                  <w:vAlign w:val="center"/>
                </w:tcPr>
                <w:p w14:paraId="762E1BC3">
                  <w:pPr>
                    <w:adjustRightInd w:val="0"/>
                    <w:jc w:val="center"/>
                    <w:textAlignment w:val="baseline"/>
                    <w:rPr>
                      <w:rFonts w:hint="default" w:eastAsia="宋体"/>
                      <w:color w:val="000000"/>
                      <w:szCs w:val="21"/>
                      <w:lang w:val="en-US" w:eastAsia="zh-CN"/>
                    </w:rPr>
                  </w:pPr>
                  <w:r>
                    <w:rPr>
                      <w:rFonts w:hint="eastAsia"/>
                      <w:color w:val="000000"/>
                      <w:szCs w:val="21"/>
                      <w:lang w:val="en-US" w:eastAsia="zh-CN"/>
                    </w:rPr>
                    <w:t>项目建成后，建立、健全和落实环境管理制度，</w:t>
                  </w:r>
                  <w:r>
                    <w:rPr>
                      <w:rFonts w:hint="default"/>
                      <w:b w:val="0"/>
                      <w:bCs w:val="0"/>
                      <w:color w:val="000000"/>
                      <w:szCs w:val="21"/>
                      <w:lang w:val="en-US" w:eastAsia="zh-CN"/>
                    </w:rPr>
                    <w:t>并适时评估环境管理制度的运行效果及适用性，持续改善企业环境绩效。</w:t>
                  </w:r>
                </w:p>
              </w:tc>
              <w:tc>
                <w:tcPr>
                  <w:tcW w:w="1071" w:type="dxa"/>
                  <w:noWrap w:val="0"/>
                  <w:vAlign w:val="center"/>
                </w:tcPr>
                <w:p w14:paraId="7097D331">
                  <w:pPr>
                    <w:adjustRightInd w:val="0"/>
                    <w:jc w:val="center"/>
                    <w:textAlignment w:val="baseline"/>
                    <w:rPr>
                      <w:rFonts w:hint="default"/>
                      <w:color w:val="000000"/>
                      <w:szCs w:val="21"/>
                      <w:lang w:val="en-US" w:eastAsia="zh-CN"/>
                    </w:rPr>
                  </w:pPr>
                  <w:r>
                    <w:rPr>
                      <w:rFonts w:hint="eastAsia"/>
                      <w:color w:val="000000"/>
                      <w:szCs w:val="21"/>
                      <w:lang w:val="en-US" w:eastAsia="zh-CN"/>
                    </w:rPr>
                    <w:t>符合</w:t>
                  </w:r>
                </w:p>
              </w:tc>
            </w:tr>
          </w:tbl>
          <w:p w14:paraId="221C9163">
            <w:pPr>
              <w:adjustRightInd w:val="0"/>
              <w:snapToGrid w:val="0"/>
              <w:spacing w:line="360" w:lineRule="auto"/>
              <w:ind w:firstLine="482" w:firstLineChars="200"/>
              <w:jc w:val="left"/>
              <w:rPr>
                <w:rFonts w:hint="default" w:ascii="Times New Roman" w:hAnsi="Times New Roman" w:cs="Times New Roman"/>
                <w:bCs/>
                <w:color w:val="000000"/>
                <w:sz w:val="24"/>
              </w:rPr>
            </w:pPr>
            <w:r>
              <w:rPr>
                <w:rFonts w:hint="default" w:ascii="Times New Roman" w:hAnsi="Times New Roman" w:cs="Times New Roman"/>
                <w:b/>
                <w:bCs/>
                <w:color w:val="000000"/>
                <w:sz w:val="24"/>
              </w:rPr>
              <w:t>1</w:t>
            </w:r>
            <w:r>
              <w:rPr>
                <w:rFonts w:hint="eastAsia" w:cs="Times New Roman"/>
                <w:b/>
                <w:bCs/>
                <w:color w:val="000000"/>
                <w:sz w:val="24"/>
                <w:lang w:val="en-US" w:eastAsia="zh-CN"/>
              </w:rPr>
              <w:t>5</w:t>
            </w:r>
            <w:r>
              <w:rPr>
                <w:rFonts w:hint="default" w:ascii="Times New Roman" w:hAnsi="Times New Roman" w:cs="Times New Roman"/>
                <w:b/>
                <w:bCs/>
                <w:color w:val="000000"/>
                <w:sz w:val="24"/>
              </w:rPr>
              <w:t>、与《安徽省人民政府关于加快实施</w:t>
            </w:r>
            <w:r>
              <w:rPr>
                <w:rFonts w:hint="default" w:ascii="Times New Roman" w:hAnsi="Times New Roman" w:cs="Times New Roman"/>
                <w:b/>
                <w:bCs/>
                <w:color w:val="000000"/>
                <w:sz w:val="24"/>
                <w:lang w:eastAsia="zh-CN"/>
              </w:rPr>
              <w:t>“</w:t>
            </w:r>
            <w:r>
              <w:rPr>
                <w:rFonts w:hint="default" w:ascii="Times New Roman" w:hAnsi="Times New Roman" w:cs="Times New Roman"/>
                <w:b/>
                <w:bCs/>
                <w:color w:val="000000"/>
                <w:sz w:val="24"/>
              </w:rPr>
              <w:t>三线一单</w:t>
            </w:r>
            <w:r>
              <w:rPr>
                <w:rFonts w:hint="default" w:ascii="Times New Roman" w:hAnsi="Times New Roman" w:cs="Times New Roman"/>
                <w:b/>
                <w:bCs/>
                <w:color w:val="000000"/>
                <w:sz w:val="24"/>
                <w:lang w:eastAsia="zh-CN"/>
              </w:rPr>
              <w:t>”</w:t>
            </w:r>
            <w:r>
              <w:rPr>
                <w:rFonts w:hint="default" w:ascii="Times New Roman" w:hAnsi="Times New Roman" w:cs="Times New Roman"/>
                <w:b/>
                <w:bCs/>
                <w:color w:val="000000"/>
                <w:sz w:val="24"/>
              </w:rPr>
              <w:t>生态环境分区管控的通知》相符性分析</w:t>
            </w:r>
          </w:p>
          <w:p w14:paraId="12BD5EAF">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安徽省共划定1002个生态环境管控单元，分为优先保护、重点管控和一般管控3类。</w:t>
            </w:r>
          </w:p>
          <w:p w14:paraId="0952A2ED">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一）优先保护单元。共545个，面积42519.24平方公里，占全省国土面积的30.33%，包含生态保护红线、自然保护地、集中式饮用水水源保护区等生态功能重要区和生态环境敏感区，主要分布在皖南山区、皖西大别山区、巢湖湖区等重点生态功能区域。该区域突出空间用途管控，以严格保护生态环境为导向，依法禁止或限制大规模、高强度的工业开发和城镇建设，确保生态环境功能不降低。</w:t>
            </w:r>
          </w:p>
          <w:p w14:paraId="51136FE5">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二）重点管控单元。共354个，面积25011.43平方公里，占全省国土面积的17.84%，包含城镇规划边界、省级及以上开发区等开发强度高、污染物排放强度大的区域，以及环境问题相对集中的区域，主要分布在沿江、沿淮等重点发展区域。该区域突出污染物排放控制和环境风险防控，以守住环境质量底线、积极发展社会经济为导向，强化环境质量改善目标约束。</w:t>
            </w:r>
          </w:p>
          <w:p w14:paraId="39A53E59">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（三）一般管控单元。共103个，面积72643.72平方公里，占全省国土面积的51.83%，优先保护单元、重点管控单元之外为一般管控单元。该区域以经济社会可持续发展为导向，执行区域生态环境保护的基本要求。</w:t>
            </w:r>
          </w:p>
          <w:p w14:paraId="195F4572">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对照安徽省生态环境厅发布的安徽省</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三线一单</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公众服务平台（http://39.145.8.156:1509/ah/public/#/home），经与</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三线一单</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成果数据分析，</w:t>
            </w:r>
            <w:r>
              <w:rPr>
                <w:rFonts w:hint="default" w:ascii="Times New Roman" w:hAnsi="Times New Roman" w:cs="Times New Roman"/>
                <w:color w:val="000000"/>
                <w:sz w:val="24"/>
                <w:lang w:val="en-US" w:eastAsia="zh-CN"/>
              </w:rPr>
              <w:t>本</w:t>
            </w:r>
            <w:r>
              <w:rPr>
                <w:rFonts w:hint="default" w:ascii="Times New Roman" w:hAnsi="Times New Roman" w:cs="Times New Roman"/>
                <w:color w:val="000000"/>
                <w:sz w:val="24"/>
              </w:rPr>
              <w:t>项目与1个环境管控单元存在交叠，其中优先保护类0个，重点管控类1个，一般管控类0个，环境管控单元编码为ZH34020720019。</w:t>
            </w:r>
          </w:p>
          <w:p w14:paraId="24327311">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本项目所在位置属于大气环境重点管控区，落实《安徽省大气污染防治条例》《安徽省“十四五”生态环境保护规划》《重点行业挥发性有机物综合治理方案》等要求，严格目标实施计划，加强环境监管，促进生态环境质量好转。上年度PM</w:t>
            </w:r>
            <w:r>
              <w:rPr>
                <w:rFonts w:hint="default" w:ascii="Times New Roman" w:hAnsi="Times New Roman" w:cs="Times New Roman"/>
                <w:color w:val="000000"/>
                <w:sz w:val="24"/>
                <w:vertAlign w:val="subscript"/>
              </w:rPr>
              <w:t>2.5</w:t>
            </w:r>
            <w:r>
              <w:rPr>
                <w:rFonts w:hint="default" w:ascii="Times New Roman" w:hAnsi="Times New Roman" w:cs="Times New Roman"/>
                <w:color w:val="000000"/>
                <w:sz w:val="24"/>
              </w:rPr>
              <w:t>不达标城市新建、改建和扩建项目大气污染物实施“倍量替代”，执行特别排放标准的行业实施提标升级改造。</w:t>
            </w:r>
          </w:p>
          <w:p w14:paraId="00985A1A">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本项目距离长江干流岸线</w:t>
            </w:r>
            <w:r>
              <w:rPr>
                <w:rFonts w:hint="default" w:ascii="Times New Roman" w:hAnsi="Times New Roman" w:cs="Times New Roman"/>
                <w:color w:val="000000"/>
                <w:sz w:val="24"/>
                <w:lang w:val="en-US" w:eastAsia="zh-CN"/>
              </w:rPr>
              <w:t>5.6</w:t>
            </w:r>
            <w:r>
              <w:rPr>
                <w:rFonts w:hint="default" w:ascii="Times New Roman" w:hAnsi="Times New Roman" w:cs="Times New Roman"/>
                <w:color w:val="000000"/>
                <w:sz w:val="24"/>
              </w:rPr>
              <w:t>km，所在地不涉及生态保护红线、永久基本农田、水产种质资源保护区、自然保护区和饮用水源保护区。本项</w:t>
            </w:r>
            <w:r>
              <w:rPr>
                <w:rFonts w:hint="default" w:ascii="Times New Roman" w:hAnsi="Times New Roman" w:cs="Times New Roman"/>
                <w:color w:val="auto"/>
                <w:sz w:val="24"/>
              </w:rPr>
              <w:t>目废气采用集气罩+</w:t>
            </w:r>
            <w:r>
              <w:rPr>
                <w:rFonts w:hint="default" w:ascii="Times New Roman" w:hAnsi="Times New Roman" w:cs="Times New Roman"/>
                <w:color w:val="auto"/>
                <w:sz w:val="24"/>
                <w:lang w:val="en-US" w:eastAsia="zh-CN"/>
              </w:rPr>
              <w:t>布袋除尘装置</w:t>
            </w:r>
            <w:r>
              <w:rPr>
                <w:rFonts w:hint="default" w:ascii="Times New Roman" w:hAnsi="Times New Roman" w:cs="Times New Roman"/>
                <w:color w:val="auto"/>
                <w:sz w:val="24"/>
              </w:rPr>
              <w:t>处理后通过</w:t>
            </w:r>
            <w:r>
              <w:rPr>
                <w:rFonts w:hint="eastAsia" w:ascii="Times New Roman" w:hAnsi="Times New Roman" w:cs="Times New Roman"/>
                <w:color w:val="auto"/>
                <w:sz w:val="24"/>
                <w:lang w:val="en-US" w:eastAsia="zh-CN"/>
              </w:rPr>
              <w:t>20</w:t>
            </w:r>
            <w:r>
              <w:rPr>
                <w:rFonts w:hint="default" w:ascii="Times New Roman" w:hAnsi="Times New Roman" w:cs="Times New Roman"/>
                <w:color w:val="auto"/>
                <w:sz w:val="24"/>
              </w:rPr>
              <w:t>m高排气筒（DA001）达标排放符合大气环境重点管控区要求。</w:t>
            </w:r>
          </w:p>
          <w:p w14:paraId="7E8B7AC8">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②芜湖市水环境工业污染重点管控区13个，面积307.36km</w:t>
            </w:r>
            <w:r>
              <w:rPr>
                <w:rFonts w:hint="default" w:ascii="Times New Roman" w:hAnsi="Times New Roman" w:cs="Times New Roman"/>
                <w:color w:val="000000"/>
                <w:sz w:val="24"/>
                <w:vertAlign w:val="superscript"/>
              </w:rPr>
              <w:t>2</w:t>
            </w:r>
            <w:r>
              <w:rPr>
                <w:rFonts w:hint="default" w:ascii="Times New Roman" w:hAnsi="Times New Roman" w:cs="Times New Roman"/>
                <w:color w:val="000000"/>
                <w:sz w:val="24"/>
              </w:rPr>
              <w:t>，占芜湖市总面积的5.10%。对于重点管控区的要求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安徽省“十四五” 环境保护规划》《安徽省“十四五”节能减排实施方案》《芜湖市“十四五”节能减排实施方案》等要求，新建、改建和扩建项目水污染物实施“等量替代”。</w:t>
            </w:r>
          </w:p>
          <w:p w14:paraId="1F3CEAFE">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厂内雨污分流，厂区雨水收集后排入雨水管网；</w:t>
            </w:r>
            <w:r>
              <w:rPr>
                <w:rFonts w:hint="default" w:ascii="Times New Roman" w:hAnsi="Times New Roman" w:cs="Times New Roman"/>
                <w:color w:val="000000"/>
                <w:sz w:val="24"/>
                <w:lang w:val="en-US" w:eastAsia="zh-CN"/>
              </w:rPr>
              <w:t>项目</w:t>
            </w:r>
            <w:r>
              <w:rPr>
                <w:rFonts w:hint="default" w:ascii="Times New Roman" w:hAnsi="Times New Roman" w:cs="Times New Roman"/>
                <w:color w:val="000000"/>
                <w:sz w:val="24"/>
              </w:rPr>
              <w:t>生活污水经化粪池预处理后，接管进入</w:t>
            </w:r>
            <w:r>
              <w:rPr>
                <w:rFonts w:hint="default" w:ascii="Times New Roman" w:hAnsi="Times New Roman" w:cs="Times New Roman"/>
                <w:color w:val="000000"/>
                <w:sz w:val="24"/>
                <w:lang w:val="en-US" w:eastAsia="zh-CN"/>
              </w:rPr>
              <w:t>滨江</w:t>
            </w:r>
            <w:r>
              <w:rPr>
                <w:rFonts w:hint="default" w:ascii="Times New Roman" w:hAnsi="Times New Roman" w:cs="Times New Roman"/>
                <w:color w:val="000000"/>
                <w:sz w:val="24"/>
              </w:rPr>
              <w:t>污水处理厂集中处理。符合水环境重点管控区要求。</w:t>
            </w:r>
          </w:p>
          <w:p w14:paraId="74DC8D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4"/>
              </w:rPr>
            </w:pPr>
            <w:r>
              <w:rPr>
                <w:rFonts w:hint="default" w:ascii="Times New Roman" w:hAnsi="Times New Roman" w:cs="Times New Roman"/>
                <w:sz w:val="21"/>
              </w:rPr>
              <mc:AlternateContent>
                <mc:Choice Requires="wps">
                  <w:drawing>
                    <wp:anchor distT="0" distB="0" distL="114300" distR="114300" simplePos="0" relativeHeight="251664384" behindDoc="0" locked="0" layoutInCell="1" allowOverlap="1">
                      <wp:simplePos x="0" y="0"/>
                      <wp:positionH relativeFrom="column">
                        <wp:posOffset>2562860</wp:posOffset>
                      </wp:positionH>
                      <wp:positionV relativeFrom="paragraph">
                        <wp:posOffset>849630</wp:posOffset>
                      </wp:positionV>
                      <wp:extent cx="879475" cy="381000"/>
                      <wp:effectExtent l="340995" t="4445" r="17780" b="52705"/>
                      <wp:wrapNone/>
                      <wp:docPr id="3" name="线形标注 1 3"/>
                      <wp:cNvGraphicFramePr/>
                      <a:graphic xmlns:a="http://schemas.openxmlformats.org/drawingml/2006/main">
                        <a:graphicData uri="http://schemas.microsoft.com/office/word/2010/wordprocessingShape">
                          <wps:wsp>
                            <wps:cNvSpPr/>
                            <wps:spPr>
                              <a:xfrm>
                                <a:off x="4337685" y="2062480"/>
                                <a:ext cx="879475" cy="381000"/>
                              </a:xfrm>
                              <a:prstGeom prst="borderCallout1">
                                <a:avLst/>
                              </a:prstGeom>
                              <a:noFill/>
                              <a:ln w="317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C0D3D2">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7" type="#_x0000_t47" style="position:absolute;left:0pt;margin-left:201.8pt;margin-top:66.9pt;height:30pt;width:69.25pt;z-index:251664384;v-text-anchor:middle;mso-width-relative:page;mso-height-relative:page;" filled="f" stroked="t" coordsize="21600,21600" o:gfxdata="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O9bqSnbAAAACwEAAA8AAAAA&#10;AAAAAQAgAAAAIgAAAGRycy9kb3ducmV2LnhtbFBLAQIUABQAAAAIAIdO4kBv0eY6gwIAANsEAAAO&#10;AAAAAAAAAAEAIAAAACoBAABkcnMvZTJvRG9jLnhtbFBLBQYAAAAABgAGAFkBAAAfBgAAAAA=&#10;" adj="-8280,24300,-1800,4050">
                      <v:fill on="f" focussize="0,0"/>
                      <v:stroke weight="0.25pt" color="#000000 [3213]" joinstyle="round"/>
                      <v:imagedata o:title=""/>
                      <o:lock v:ext="edit" aspectratio="f"/>
                      <v:textbox>
                        <w:txbxContent>
                          <w:p w14:paraId="27C0D3D2">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项目所在地</w:t>
                            </w:r>
                          </w:p>
                        </w:txbxContent>
                      </v:textbox>
                    </v:shape>
                  </w:pict>
                </mc:Fallback>
              </mc:AlternateContent>
            </w:r>
            <w:r>
              <w:rPr>
                <w:rFonts w:hint="default" w:ascii="Times New Roman" w:hAnsi="Times New Roman" w:cs="Times New Roman"/>
              </w:rPr>
              <w:drawing>
                <wp:inline distT="0" distB="0" distL="114300" distR="114300">
                  <wp:extent cx="4611370" cy="2564765"/>
                  <wp:effectExtent l="0" t="0" r="17780" b="698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0"/>
                          <a:stretch>
                            <a:fillRect/>
                          </a:stretch>
                        </pic:blipFill>
                        <pic:spPr>
                          <a:xfrm>
                            <a:off x="0" y="0"/>
                            <a:ext cx="4611370" cy="2564765"/>
                          </a:xfrm>
                          <a:prstGeom prst="rect">
                            <a:avLst/>
                          </a:prstGeom>
                          <a:noFill/>
                          <a:ln>
                            <a:noFill/>
                          </a:ln>
                        </pic:spPr>
                      </pic:pic>
                    </a:graphicData>
                  </a:graphic>
                </wp:inline>
              </w:drawing>
            </w:r>
            <w:r>
              <w:rPr>
                <w:rFonts w:hint="default" w:ascii="Times New Roman" w:hAnsi="Times New Roman" w:cs="Times New Roman"/>
                <w:b/>
                <w:bCs/>
                <w:sz w:val="24"/>
                <w:szCs w:val="24"/>
              </w:rPr>
              <w:t>1-2 项目在安徽省分区管控单元分布图中位置</w:t>
            </w:r>
          </w:p>
          <w:p w14:paraId="5AD7F02B">
            <w:pPr>
              <w:autoSpaceDE w:val="0"/>
              <w:autoSpaceDN w:val="0"/>
              <w:adjustRightInd w:val="0"/>
              <w:spacing w:line="360" w:lineRule="auto"/>
              <w:ind w:firstLine="482" w:firstLineChars="200"/>
              <w:jc w:val="left"/>
              <w:rPr>
                <w:rFonts w:hint="default" w:ascii="Times New Roman" w:hAnsi="Times New Roman" w:cs="Times New Roman"/>
                <w:b/>
                <w:sz w:val="24"/>
              </w:rPr>
            </w:pPr>
          </w:p>
          <w:p w14:paraId="7097A253">
            <w:pPr>
              <w:autoSpaceDE w:val="0"/>
              <w:autoSpaceDN w:val="0"/>
              <w:adjustRightInd w:val="0"/>
              <w:spacing w:line="360" w:lineRule="auto"/>
              <w:ind w:firstLine="482" w:firstLineChars="200"/>
              <w:jc w:val="left"/>
              <w:rPr>
                <w:rFonts w:hint="default" w:ascii="Times New Roman" w:hAnsi="Times New Roman" w:cs="Times New Roman"/>
                <w:b/>
                <w:sz w:val="24"/>
              </w:rPr>
            </w:pPr>
          </w:p>
          <w:p w14:paraId="043B40FE">
            <w:pPr>
              <w:autoSpaceDE w:val="0"/>
              <w:autoSpaceDN w:val="0"/>
              <w:adjustRightInd w:val="0"/>
              <w:spacing w:line="360" w:lineRule="auto"/>
              <w:ind w:firstLine="482" w:firstLineChars="200"/>
              <w:jc w:val="left"/>
              <w:rPr>
                <w:rFonts w:hint="default" w:ascii="Times New Roman" w:hAnsi="Times New Roman" w:cs="Times New Roman"/>
                <w:b/>
                <w:sz w:val="24"/>
              </w:rPr>
            </w:pPr>
          </w:p>
          <w:p w14:paraId="422D5572">
            <w:pPr>
              <w:autoSpaceDE w:val="0"/>
              <w:autoSpaceDN w:val="0"/>
              <w:adjustRightInd w:val="0"/>
              <w:spacing w:line="360" w:lineRule="auto"/>
              <w:jc w:val="left"/>
              <w:rPr>
                <w:rFonts w:hint="default" w:ascii="Times New Roman" w:hAnsi="Times New Roman" w:cs="Times New Roman"/>
                <w:b/>
                <w:sz w:val="24"/>
              </w:rPr>
            </w:pPr>
          </w:p>
        </w:tc>
      </w:tr>
    </w:tbl>
    <w:p w14:paraId="52A82DC9">
      <w:pPr>
        <w:spacing w:line="360" w:lineRule="auto"/>
        <w:outlineLvl w:val="0"/>
        <w:rPr>
          <w:sz w:val="30"/>
        </w:rPr>
        <w:sectPr>
          <w:footerReference r:id="rId5" w:type="default"/>
          <w:pgSz w:w="11906" w:h="16838"/>
          <w:pgMar w:top="1701" w:right="1531" w:bottom="1124"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07947678">
      <w:pPr>
        <w:pStyle w:val="54"/>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二、建设项目工程分析</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8606"/>
      </w:tblGrid>
      <w:tr w14:paraId="483853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70" w:hRule="atLeast"/>
          <w:jc w:val="center"/>
        </w:trPr>
        <w:tc>
          <w:tcPr>
            <w:tcW w:w="534" w:type="dxa"/>
            <w:vAlign w:val="center"/>
          </w:tcPr>
          <w:p w14:paraId="65918E0B">
            <w:pPr>
              <w:autoSpaceDE w:val="0"/>
              <w:autoSpaceDN w:val="0"/>
              <w:adjustRightInd w:val="0"/>
              <w:snapToGrid w:val="0"/>
              <w:jc w:val="center"/>
              <w:rPr>
                <w:rFonts w:cs="宋体"/>
                <w:kern w:val="0"/>
                <w:sz w:val="24"/>
              </w:rPr>
            </w:pPr>
            <w:r>
              <w:rPr>
                <w:rFonts w:hint="eastAsia" w:cs="宋体"/>
                <w:kern w:val="0"/>
                <w:sz w:val="24"/>
              </w:rPr>
              <w:t>建设内容</w:t>
            </w:r>
          </w:p>
        </w:tc>
        <w:tc>
          <w:tcPr>
            <w:tcW w:w="8526" w:type="dxa"/>
          </w:tcPr>
          <w:p w14:paraId="1C031B88">
            <w:pPr>
              <w:spacing w:before="100" w:beforeAutospacing="1" w:line="360" w:lineRule="auto"/>
              <w:ind w:firstLine="482" w:firstLineChars="200"/>
              <w:rPr>
                <w:b/>
                <w:kern w:val="0"/>
                <w:sz w:val="24"/>
              </w:rPr>
            </w:pPr>
            <w:r>
              <w:rPr>
                <w:rFonts w:hint="eastAsia"/>
                <w:b/>
                <w:kern w:val="0"/>
                <w:sz w:val="24"/>
              </w:rPr>
              <w:t>1、项目由来</w:t>
            </w:r>
          </w:p>
          <w:p w14:paraId="3E43FA96">
            <w:pPr>
              <w:adjustRightInd w:val="0"/>
              <w:snapToGrid w:val="0"/>
              <w:spacing w:line="360" w:lineRule="auto"/>
              <w:ind w:firstLine="480" w:firstLineChars="200"/>
              <w:jc w:val="left"/>
              <w:rPr>
                <w:color w:val="FF0000"/>
                <w:sz w:val="24"/>
              </w:rPr>
            </w:pPr>
            <w:r>
              <w:rPr>
                <w:rFonts w:hint="eastAsia"/>
                <w:sz w:val="24"/>
                <w:lang w:val="en-US" w:eastAsia="zh-CN"/>
              </w:rPr>
              <w:t>芜湖奇能科技有限公司</w:t>
            </w:r>
            <w:r>
              <w:rPr>
                <w:sz w:val="24"/>
              </w:rPr>
              <w:t>拟投资</w:t>
            </w:r>
            <w:r>
              <w:rPr>
                <w:rFonts w:hint="eastAsia"/>
                <w:sz w:val="24"/>
                <w:lang w:val="en-US" w:eastAsia="zh-CN"/>
              </w:rPr>
              <w:t>2.5亿</w:t>
            </w:r>
            <w:r>
              <w:rPr>
                <w:sz w:val="24"/>
              </w:rPr>
              <w:t>元于</w:t>
            </w:r>
            <w:r>
              <w:rPr>
                <w:rFonts w:hint="eastAsia"/>
                <w:sz w:val="24"/>
                <w:lang w:val="en-US" w:eastAsia="zh-CN"/>
              </w:rPr>
              <w:t>安徽芜湖三山经济开发区凤栖路以南、夏家湖路以西地块</w:t>
            </w:r>
            <w:r>
              <w:rPr>
                <w:sz w:val="24"/>
              </w:rPr>
              <w:t>建设</w:t>
            </w:r>
            <w:r>
              <w:rPr>
                <w:rFonts w:hint="eastAsia"/>
                <w:sz w:val="24"/>
              </w:rPr>
              <w:t>年产</w:t>
            </w:r>
            <w:r>
              <w:rPr>
                <w:rFonts w:hint="eastAsia"/>
                <w:sz w:val="24"/>
                <w:lang w:val="en-US" w:eastAsia="zh-CN"/>
              </w:rPr>
              <w:t>60万套电池系统及壳体、车身总成一体化项目</w:t>
            </w:r>
            <w:r>
              <w:rPr>
                <w:color w:val="auto"/>
                <w:sz w:val="24"/>
              </w:rPr>
              <w:t>。</w:t>
            </w:r>
            <w:r>
              <w:rPr>
                <w:rFonts w:hint="eastAsia"/>
                <w:color w:val="auto"/>
                <w:sz w:val="24"/>
              </w:rPr>
              <w:t>该项目已</w:t>
            </w:r>
            <w:r>
              <w:rPr>
                <w:rFonts w:hint="eastAsia"/>
                <w:color w:val="auto"/>
                <w:sz w:val="24"/>
                <w:szCs w:val="20"/>
              </w:rPr>
              <w:t>于</w:t>
            </w:r>
            <w:r>
              <w:rPr>
                <w:rFonts w:hint="eastAsia"/>
                <w:color w:val="auto"/>
                <w:sz w:val="24"/>
              </w:rPr>
              <w:t>202</w:t>
            </w:r>
            <w:r>
              <w:rPr>
                <w:rFonts w:hint="eastAsia"/>
                <w:color w:val="auto"/>
                <w:sz w:val="24"/>
                <w:lang w:val="en-US" w:eastAsia="zh-CN"/>
              </w:rPr>
              <w:t>4</w:t>
            </w:r>
            <w:r>
              <w:rPr>
                <w:rFonts w:hint="eastAsia"/>
                <w:color w:val="auto"/>
                <w:sz w:val="24"/>
              </w:rPr>
              <w:t>年</w:t>
            </w:r>
            <w:r>
              <w:rPr>
                <w:rFonts w:hint="eastAsia"/>
                <w:color w:val="auto"/>
                <w:sz w:val="24"/>
                <w:lang w:val="en-US" w:eastAsia="zh-CN"/>
              </w:rPr>
              <w:t>11</w:t>
            </w:r>
            <w:r>
              <w:rPr>
                <w:rFonts w:hint="eastAsia"/>
                <w:color w:val="auto"/>
                <w:sz w:val="24"/>
              </w:rPr>
              <w:t>月</w:t>
            </w:r>
            <w:r>
              <w:rPr>
                <w:rFonts w:hint="eastAsia"/>
                <w:color w:val="auto"/>
                <w:sz w:val="24"/>
                <w:lang w:val="en-US" w:eastAsia="zh-CN"/>
              </w:rPr>
              <w:t>22</w:t>
            </w:r>
            <w:r>
              <w:rPr>
                <w:rFonts w:hint="eastAsia"/>
                <w:color w:val="auto"/>
                <w:sz w:val="24"/>
              </w:rPr>
              <w:t>日获得了</w:t>
            </w:r>
            <w:r>
              <w:rPr>
                <w:rFonts w:hint="eastAsia"/>
                <w:color w:val="auto"/>
                <w:sz w:val="24"/>
                <w:lang w:val="en-US" w:eastAsia="zh-CN"/>
              </w:rPr>
              <w:t>安徽芜湖三山经济开发区管委会经济发展局</w:t>
            </w:r>
            <w:r>
              <w:rPr>
                <w:rFonts w:hint="eastAsia"/>
                <w:color w:val="auto"/>
                <w:sz w:val="24"/>
              </w:rPr>
              <w:t>备案，</w:t>
            </w:r>
            <w:r>
              <w:rPr>
                <w:rFonts w:hint="eastAsia"/>
                <w:color w:val="auto"/>
                <w:sz w:val="24"/>
                <w:lang w:val="en-US" w:eastAsia="zh-CN"/>
              </w:rPr>
              <w:t>项目代码为2411-340208-04-01-266539</w:t>
            </w:r>
            <w:r>
              <w:rPr>
                <w:color w:val="auto"/>
                <w:sz w:val="24"/>
              </w:rPr>
              <w:t>。</w:t>
            </w:r>
          </w:p>
          <w:p w14:paraId="7EA63311">
            <w:pPr>
              <w:adjustRightInd w:val="0"/>
              <w:snapToGrid w:val="0"/>
              <w:spacing w:line="360" w:lineRule="auto"/>
              <w:ind w:firstLine="480" w:firstLineChars="200"/>
              <w:rPr>
                <w:rFonts w:hint="eastAsia" w:cs="宋体"/>
                <w:sz w:val="24"/>
              </w:rPr>
            </w:pPr>
            <w:r>
              <w:rPr>
                <w:rFonts w:hint="eastAsia" w:cs="宋体"/>
                <w:sz w:val="24"/>
              </w:rPr>
              <w:t>根据《中华人民共和国环境影响评价法》和《建设项目环境保护管理条例》等有关规定，建设单位必须就本项目办理环保相关手续。</w:t>
            </w:r>
            <w:r>
              <w:rPr>
                <w:rFonts w:ascii="Times New Roman" w:hAnsi="Times New Roman" w:eastAsia="宋体"/>
                <w:caps w:val="0"/>
                <w:color w:val="auto"/>
                <w:sz w:val="24"/>
                <w:highlight w:val="none"/>
              </w:rPr>
              <w:t>根据《中华人民共和国环境保护法》、《中华人民共和国环境影响评价法》和《建设项目环境保护管理条例》（2017版）中有关规定，项目应履行环境影响评价手续。结合</w:t>
            </w:r>
            <w:r>
              <w:rPr>
                <w:rFonts w:hint="eastAsia" w:ascii="Times New Roman" w:hAnsi="Times New Roman" w:eastAsia="宋体"/>
                <w:caps w:val="0"/>
                <w:color w:val="auto"/>
                <w:sz w:val="24"/>
                <w:highlight w:val="none"/>
              </w:rPr>
              <w:t>《建设项目环境影响评价分类管理名录（2021年版）》（部令第16号，自2021年1月1日起施行）</w:t>
            </w:r>
            <w:r>
              <w:rPr>
                <w:rFonts w:ascii="Times New Roman" w:hAnsi="Times New Roman" w:eastAsia="宋体"/>
                <w:caps w:val="0"/>
                <w:color w:val="auto"/>
                <w:sz w:val="24"/>
                <w:highlight w:val="none"/>
              </w:rPr>
              <w:t>中对有关建设项目的分类管理要求，本项目</w:t>
            </w:r>
            <w:r>
              <w:rPr>
                <w:rFonts w:hint="eastAsia" w:ascii="Times New Roman" w:hAnsi="Times New Roman" w:eastAsia="宋体"/>
                <w:caps w:val="0"/>
                <w:color w:val="auto"/>
                <w:sz w:val="24"/>
                <w:highlight w:val="none"/>
              </w:rPr>
              <w:t>属于““三十三、汽车制造业 36”中的“71、汽车整车制造361；汽车用发动机制造362；改装汽车制造363；低速汽车制造364；电车制造365；汽车车身、挂车制造366；汽车零部件及配件制造367”“其他（年用非溶剂型低VOCs含量涂料10吨以下的除外）”项</w:t>
            </w:r>
            <w:r>
              <w:rPr>
                <w:rFonts w:hint="eastAsia" w:cs="宋体"/>
                <w:sz w:val="24"/>
              </w:rPr>
              <w:t>，</w:t>
            </w:r>
            <w:r>
              <w:rPr>
                <w:rFonts w:hint="eastAsia" w:cs="宋体"/>
                <w:sz w:val="24"/>
                <w:lang w:val="en-US" w:eastAsia="zh-CN"/>
              </w:rPr>
              <w:t>应编制环境影响报告表</w:t>
            </w:r>
            <w:r>
              <w:rPr>
                <w:rFonts w:hint="eastAsia" w:cs="宋体"/>
                <w:sz w:val="24"/>
              </w:rPr>
              <w:t>。</w:t>
            </w:r>
          </w:p>
          <w:p w14:paraId="3EA1D723">
            <w:pPr>
              <w:pStyle w:val="212"/>
              <w:keepNext w:val="0"/>
              <w:keepLines w:val="0"/>
              <w:pageBreakBefore w:val="0"/>
              <w:widowControl w:val="0"/>
              <w:kinsoku/>
              <w:wordWrap/>
              <w:overflowPunct/>
              <w:topLinePunct w:val="0"/>
              <w:autoSpaceDE w:val="0"/>
              <w:autoSpaceDN w:val="0"/>
              <w:bidi w:val="0"/>
              <w:adjustRightInd w:val="0"/>
              <w:snapToGrid/>
              <w:spacing w:line="420" w:lineRule="exact"/>
              <w:ind w:firstLine="0"/>
              <w:jc w:val="center"/>
              <w:textAlignment w:val="auto"/>
              <w:rPr>
                <w:rFonts w:ascii="Times New Roman" w:hAnsi="Times New Roman" w:eastAsia="宋体"/>
                <w:b/>
                <w:bCs/>
                <w:caps w:val="0"/>
                <w:color w:val="auto"/>
                <w:highlight w:val="none"/>
              </w:rPr>
            </w:pPr>
            <w:r>
              <w:rPr>
                <w:rFonts w:ascii="Times New Roman" w:hAnsi="Times New Roman" w:eastAsia="宋体"/>
                <w:b/>
                <w:bCs/>
                <w:caps w:val="0"/>
                <w:color w:val="auto"/>
                <w:highlight w:val="none"/>
              </w:rPr>
              <w:t>表2-1  建设项目环境影响评价分类管理名录（2021年版）节选</w:t>
            </w:r>
          </w:p>
          <w:tbl>
            <w:tblPr>
              <w:tblStyle w:val="59"/>
              <w:tblW w:w="831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2745"/>
              <w:gridCol w:w="2490"/>
              <w:gridCol w:w="1607"/>
              <w:gridCol w:w="900"/>
            </w:tblGrid>
            <w:tr w14:paraId="22E59B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321" w:type="dxa"/>
                  <w:gridSpan w:val="2"/>
                  <w:tcBorders>
                    <w:tl2br w:val="single" w:color="auto" w:sz="4" w:space="0"/>
                  </w:tcBorders>
                  <w:vAlign w:val="center"/>
                </w:tcPr>
                <w:p w14:paraId="44A52A04">
                  <w:pPr>
                    <w:pStyle w:val="32"/>
                    <w:keepNext w:val="0"/>
                    <w:keepLines w:val="0"/>
                    <w:pageBreakBefore w:val="0"/>
                    <w:widowControl w:val="0"/>
                    <w:kinsoku/>
                    <w:wordWrap/>
                    <w:overflowPunct/>
                    <w:topLinePunct w:val="0"/>
                    <w:autoSpaceDE/>
                    <w:autoSpaceDN/>
                    <w:bidi w:val="0"/>
                    <w:adjustRightInd/>
                    <w:snapToGrid/>
                    <w:ind w:right="0"/>
                    <w:jc w:val="right"/>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环评类别</w:t>
                  </w:r>
                </w:p>
                <w:p w14:paraId="6084981F">
                  <w:pPr>
                    <w:pStyle w:val="32"/>
                    <w:keepNext w:val="0"/>
                    <w:keepLines w:val="0"/>
                    <w:pageBreakBefore w:val="0"/>
                    <w:widowControl w:val="0"/>
                    <w:kinsoku/>
                    <w:wordWrap/>
                    <w:overflowPunct/>
                    <w:topLinePunct w:val="0"/>
                    <w:autoSpaceDE/>
                    <w:autoSpaceDN/>
                    <w:bidi w:val="0"/>
                    <w:adjustRightInd/>
                    <w:snapToGrid/>
                    <w:ind w:right="0" w:firstLine="422"/>
                    <w:jc w:val="left"/>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项目类别</w:t>
                  </w:r>
                </w:p>
              </w:tc>
              <w:tc>
                <w:tcPr>
                  <w:tcW w:w="2490" w:type="dxa"/>
                  <w:tcBorders>
                    <w:tl2br w:val="nil"/>
                    <w:tr2bl w:val="nil"/>
                  </w:tcBorders>
                  <w:vAlign w:val="center"/>
                </w:tcPr>
                <w:p w14:paraId="39E4448F">
                  <w:pPr>
                    <w:pStyle w:val="32"/>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报告书</w:t>
                  </w:r>
                </w:p>
              </w:tc>
              <w:tc>
                <w:tcPr>
                  <w:tcW w:w="1607" w:type="dxa"/>
                  <w:tcBorders>
                    <w:tl2br w:val="nil"/>
                    <w:tr2bl w:val="nil"/>
                  </w:tcBorders>
                  <w:vAlign w:val="center"/>
                </w:tcPr>
                <w:p w14:paraId="03DF793F">
                  <w:pPr>
                    <w:pStyle w:val="32"/>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报告表</w:t>
                  </w:r>
                </w:p>
              </w:tc>
              <w:tc>
                <w:tcPr>
                  <w:tcW w:w="900" w:type="dxa"/>
                  <w:tcBorders>
                    <w:tl2br w:val="nil"/>
                    <w:tr2bl w:val="nil"/>
                  </w:tcBorders>
                  <w:vAlign w:val="center"/>
                </w:tcPr>
                <w:p w14:paraId="0220C105">
                  <w:pPr>
                    <w:pStyle w:val="32"/>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登记表</w:t>
                  </w:r>
                </w:p>
              </w:tc>
            </w:tr>
            <w:tr w14:paraId="289263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8318" w:type="dxa"/>
                  <w:gridSpan w:val="5"/>
                  <w:tcBorders>
                    <w:tl2br w:val="nil"/>
                    <w:tr2bl w:val="nil"/>
                  </w:tcBorders>
                  <w:vAlign w:val="center"/>
                </w:tcPr>
                <w:p w14:paraId="2732288E">
                  <w:pPr>
                    <w:pStyle w:val="32"/>
                    <w:keepNext w:val="0"/>
                    <w:keepLines w:val="0"/>
                    <w:pageBreakBefore w:val="0"/>
                    <w:widowControl w:val="0"/>
                    <w:kinsoku/>
                    <w:wordWrap/>
                    <w:overflowPunct/>
                    <w:topLinePunct w:val="0"/>
                    <w:autoSpaceDE/>
                    <w:autoSpaceDN/>
                    <w:bidi w:val="0"/>
                    <w:adjustRightInd/>
                    <w:snapToGrid/>
                    <w:ind w:right="0"/>
                    <w:jc w:val="left"/>
                    <w:textAlignment w:val="auto"/>
                    <w:rPr>
                      <w:rFonts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rPr>
                    <w:t>三十三、汽车制造业 36</w:t>
                  </w:r>
                </w:p>
              </w:tc>
            </w:tr>
            <w:tr w14:paraId="1076E5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576" w:type="dxa"/>
                  <w:tcBorders>
                    <w:tl2br w:val="nil"/>
                    <w:tr2bl w:val="nil"/>
                  </w:tcBorders>
                  <w:vAlign w:val="center"/>
                </w:tcPr>
                <w:p w14:paraId="4871C924">
                  <w:pPr>
                    <w:pStyle w:val="32"/>
                    <w:keepNext w:val="0"/>
                    <w:keepLines w:val="0"/>
                    <w:pageBreakBefore w:val="0"/>
                    <w:widowControl w:val="0"/>
                    <w:kinsoku/>
                    <w:wordWrap/>
                    <w:overflowPunct/>
                    <w:topLinePunct w:val="0"/>
                    <w:autoSpaceDE/>
                    <w:autoSpaceDN/>
                    <w:bidi w:val="0"/>
                    <w:adjustRightInd/>
                    <w:snapToGrid/>
                    <w:ind w:right="0"/>
                    <w:jc w:val="center"/>
                    <w:textAlignment w:val="auto"/>
                    <w:rPr>
                      <w:rFonts w:hint="default" w:ascii="Times New Roman" w:hAnsi="Times New Roman" w:eastAsia="宋体"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71</w:t>
                  </w:r>
                </w:p>
              </w:tc>
              <w:tc>
                <w:tcPr>
                  <w:tcW w:w="2745" w:type="dxa"/>
                  <w:tcBorders>
                    <w:tl2br w:val="nil"/>
                    <w:tr2bl w:val="nil"/>
                  </w:tcBorders>
                  <w:vAlign w:val="center"/>
                </w:tcPr>
                <w:p w14:paraId="60852F33">
                  <w:pPr>
                    <w:pStyle w:val="32"/>
                    <w:keepNext w:val="0"/>
                    <w:keepLines w:val="0"/>
                    <w:pageBreakBefore w:val="0"/>
                    <w:widowControl w:val="0"/>
                    <w:kinsoku/>
                    <w:wordWrap/>
                    <w:overflowPunct/>
                    <w:topLinePunct w:val="0"/>
                    <w:autoSpaceDE/>
                    <w:autoSpaceDN/>
                    <w:bidi w:val="0"/>
                    <w:adjustRightInd/>
                    <w:snapToGrid/>
                    <w:ind w:right="0"/>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汽车整车制造361；汽车用发动机制造362；改装汽车制造363；低速汽车制造364；电车制造365；汽车车身、挂车制造366；</w:t>
                  </w:r>
                  <w:r>
                    <w:rPr>
                      <w:rFonts w:hint="eastAsia" w:ascii="Times New Roman" w:hAnsi="Times New Roman" w:eastAsia="宋体" w:cs="Times New Roman"/>
                      <w:b/>
                      <w:bCs/>
                      <w:caps w:val="0"/>
                      <w:color w:val="auto"/>
                      <w:highlight w:val="none"/>
                    </w:rPr>
                    <w:t>汽车零部件及配件制造367</w:t>
                  </w:r>
                </w:p>
              </w:tc>
              <w:tc>
                <w:tcPr>
                  <w:tcW w:w="2490" w:type="dxa"/>
                  <w:tcBorders>
                    <w:tl2br w:val="nil"/>
                    <w:tr2bl w:val="nil"/>
                  </w:tcBorders>
                  <w:vAlign w:val="center"/>
                </w:tcPr>
                <w:p w14:paraId="76CC41EC">
                  <w:pPr>
                    <w:pStyle w:val="32"/>
                    <w:keepNext w:val="0"/>
                    <w:keepLines w:val="0"/>
                    <w:pageBreakBefore w:val="0"/>
                    <w:widowControl w:val="0"/>
                    <w:kinsoku/>
                    <w:wordWrap/>
                    <w:overflowPunct/>
                    <w:topLinePunct w:val="0"/>
                    <w:autoSpaceDE/>
                    <w:autoSpaceDN/>
                    <w:bidi w:val="0"/>
                    <w:adjustRightInd/>
                    <w:snapToGrid/>
                    <w:ind w:right="0"/>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汽车整车制造（仅组装的除外）；汽车用发动机制造（仅组装的除外）；有电镀工艺的；年用溶剂型涂料（含稀释剂）10吨及以上的</w:t>
                  </w:r>
                </w:p>
              </w:tc>
              <w:tc>
                <w:tcPr>
                  <w:tcW w:w="1607" w:type="dxa"/>
                  <w:tcBorders>
                    <w:tl2br w:val="nil"/>
                    <w:tr2bl w:val="nil"/>
                  </w:tcBorders>
                  <w:shd w:val="clear" w:color="auto" w:fill="E7E6E6"/>
                  <w:vAlign w:val="center"/>
                </w:tcPr>
                <w:p w14:paraId="0B677194">
                  <w:pPr>
                    <w:pStyle w:val="32"/>
                    <w:keepNext w:val="0"/>
                    <w:keepLines w:val="0"/>
                    <w:pageBreakBefore w:val="0"/>
                    <w:widowControl w:val="0"/>
                    <w:kinsoku/>
                    <w:wordWrap/>
                    <w:overflowPunct/>
                    <w:topLinePunct w:val="0"/>
                    <w:autoSpaceDE/>
                    <w:autoSpaceDN/>
                    <w:bidi w:val="0"/>
                    <w:adjustRightInd/>
                    <w:snapToGrid/>
                    <w:ind w:right="0"/>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其他（年用非溶剂型低VOCs含量涂料10吨以下的除外）</w:t>
                  </w:r>
                </w:p>
              </w:tc>
              <w:tc>
                <w:tcPr>
                  <w:tcW w:w="900" w:type="dxa"/>
                  <w:tcBorders>
                    <w:tl2br w:val="nil"/>
                    <w:tr2bl w:val="nil"/>
                  </w:tcBorders>
                  <w:vAlign w:val="center"/>
                </w:tcPr>
                <w:p w14:paraId="6BB12DE8">
                  <w:pPr>
                    <w:pStyle w:val="32"/>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w:t>
                  </w:r>
                </w:p>
              </w:tc>
            </w:tr>
          </w:tbl>
          <w:p w14:paraId="50F11F96">
            <w:pPr>
              <w:adjustRightInd w:val="0"/>
              <w:snapToGrid w:val="0"/>
              <w:spacing w:line="360" w:lineRule="auto"/>
              <w:ind w:firstLine="480" w:firstLineChars="200"/>
              <w:rPr>
                <w:rFonts w:hint="eastAsia" w:eastAsia="宋体" w:cs="宋体"/>
                <w:sz w:val="24"/>
                <w:lang w:val="en-US" w:eastAsia="zh-CN"/>
              </w:rPr>
            </w:pPr>
            <w:r>
              <w:rPr>
                <w:rFonts w:hint="eastAsia" w:cs="宋体"/>
                <w:sz w:val="24"/>
              </w:rPr>
              <w:t>为此</w:t>
            </w:r>
            <w:r>
              <w:rPr>
                <w:rFonts w:hint="eastAsia" w:cs="宋体"/>
                <w:sz w:val="24"/>
                <w:lang w:val="en-US" w:eastAsia="zh-CN"/>
              </w:rPr>
              <w:t>芜湖奇能科技有限公司</w:t>
            </w:r>
            <w:r>
              <w:rPr>
                <w:rFonts w:cs="宋体"/>
                <w:color w:val="auto"/>
                <w:sz w:val="24"/>
              </w:rPr>
              <w:t>委托我</w:t>
            </w:r>
            <w:r>
              <w:rPr>
                <w:rFonts w:cs="宋体"/>
                <w:sz w:val="24"/>
              </w:rPr>
              <w:t>公司承担其环境影响评价工作。接受委托后，我公司立即组织有关技术人员进行现场踏勘、收集资料，依据国家有关法规文件和环境影响评价导则，编制了该项目环境影响报告表。</w:t>
            </w:r>
            <w:r>
              <w:rPr>
                <w:rFonts w:hint="eastAsia" w:cs="宋体"/>
                <w:sz w:val="24"/>
                <w:lang w:val="en-US" w:eastAsia="zh-CN"/>
              </w:rPr>
              <w:t xml:space="preserve"> </w:t>
            </w:r>
          </w:p>
          <w:p w14:paraId="08466009">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Times New Roman" w:hAnsi="Times New Roman" w:eastAsia="宋体"/>
                <w:caps w:val="0"/>
                <w:color w:val="auto"/>
                <w:sz w:val="24"/>
                <w:highlight w:val="none"/>
              </w:rPr>
            </w:pPr>
            <w:r>
              <w:rPr>
                <w:rFonts w:hint="eastAsia" w:ascii="Times New Roman" w:hAnsi="Times New Roman" w:eastAsia="宋体"/>
                <w:caps w:val="0"/>
                <w:color w:val="000000"/>
                <w:sz w:val="24"/>
                <w:highlight w:val="none"/>
              </w:rPr>
              <w:t>本项目属于C3670汽车零部件及配件制造，对照《安徽省生态环境厅关于强化生态环境保障和服务助力稳经济若干措施的通知》（皖环发〔2022〕34号），项目属于其附件1实施环评告知承诺的行业及项目类别清单中“三十三、汽车制造业 36”“汽车整车制造 361；汽车用发动机制造362；改装汽车制造363；低速汽车制造364；电车制造 365；汽车车身、挂车制造366；汽车零部件及配件制造 367”“报告表”项，属于实施告知承诺的建设项目环境影响报告表。</w:t>
            </w:r>
          </w:p>
          <w:p w14:paraId="4D55A831">
            <w:pPr>
              <w:widowControl/>
              <w:spacing w:line="360" w:lineRule="auto"/>
              <w:ind w:firstLine="480" w:firstLineChars="200"/>
              <w:jc w:val="left"/>
              <w:rPr>
                <w:rFonts w:hint="eastAsia" w:eastAsia="宋体"/>
                <w:kern w:val="0"/>
                <w:sz w:val="24"/>
                <w:szCs w:val="20"/>
                <w:lang w:eastAsia="zh-CN"/>
              </w:rPr>
            </w:pPr>
            <w:r>
              <w:rPr>
                <w:rFonts w:hint="eastAsia" w:ascii="Times New Roman" w:hAnsi="Times New Roman" w:eastAsia="宋体"/>
                <w:caps w:val="0"/>
                <w:color w:val="auto"/>
                <w:sz w:val="24"/>
                <w:highlight w:val="none"/>
              </w:rPr>
              <w:t>本项目属于C3670汽车零部件及配件制造，对照《固定污染源排污许可分类管理名录》（2019年版），本项目属于《固定污染源排污许可分类管理名录》“</w:t>
            </w:r>
            <w:r>
              <w:rPr>
                <w:rFonts w:hint="eastAsia"/>
                <w:caps w:val="0"/>
                <w:color w:val="auto"/>
                <w:sz w:val="24"/>
                <w:highlight w:val="none"/>
                <w:lang w:val="en-US" w:eastAsia="zh-CN"/>
              </w:rPr>
              <w:t>三十一</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汽车制造业</w:t>
            </w:r>
            <w:r>
              <w:rPr>
                <w:rFonts w:hint="eastAsia" w:ascii="Times New Roman" w:hAnsi="Times New Roman" w:eastAsia="宋体"/>
                <w:caps w:val="0"/>
                <w:color w:val="auto"/>
                <w:sz w:val="24"/>
                <w:highlight w:val="none"/>
              </w:rPr>
              <w:t xml:space="preserve"> 3</w:t>
            </w:r>
            <w:r>
              <w:rPr>
                <w:rFonts w:hint="eastAsia"/>
                <w:caps w:val="0"/>
                <w:color w:val="auto"/>
                <w:sz w:val="24"/>
                <w:highlight w:val="none"/>
                <w:lang w:val="en-US" w:eastAsia="zh-CN"/>
              </w:rPr>
              <w:t>6</w:t>
            </w:r>
            <w:r>
              <w:rPr>
                <w:rFonts w:hint="eastAsia" w:ascii="Times New Roman" w:hAnsi="Times New Roman" w:eastAsia="宋体"/>
                <w:caps w:val="0"/>
                <w:color w:val="auto"/>
                <w:sz w:val="24"/>
                <w:highlight w:val="none"/>
              </w:rPr>
              <w:t>”中的“</w:t>
            </w:r>
            <w:r>
              <w:rPr>
                <w:rFonts w:ascii="Times New Roman" w:hAnsi="Times New Roman" w:eastAsia="宋体"/>
                <w:caps w:val="0"/>
                <w:color w:val="auto"/>
                <w:sz w:val="24"/>
                <w:highlight w:val="none"/>
              </w:rPr>
              <w:t>8</w:t>
            </w:r>
            <w:r>
              <w:rPr>
                <w:rFonts w:hint="eastAsia"/>
                <w:caps w:val="0"/>
                <w:color w:val="auto"/>
                <w:sz w:val="24"/>
                <w:highlight w:val="none"/>
                <w:lang w:val="en-US" w:eastAsia="zh-CN"/>
              </w:rPr>
              <w:t>5</w:t>
            </w:r>
            <w:r>
              <w:rPr>
                <w:rFonts w:hint="eastAsia" w:ascii="Times New Roman" w:hAnsi="Times New Roman" w:eastAsia="宋体"/>
                <w:caps w:val="0"/>
                <w:color w:val="auto"/>
                <w:sz w:val="24"/>
                <w:highlight w:val="none"/>
              </w:rPr>
              <w:t>、汽车整车制造361，汽车用发动机制造362，改装汽车制造363，低速汽车制造364，电车制造365，汽车车身、挂车制造366，汽车零部件及配件制造367”“</w:t>
            </w:r>
            <w:r>
              <w:rPr>
                <w:rFonts w:hint="eastAsia"/>
                <w:caps w:val="0"/>
                <w:color w:val="auto"/>
                <w:sz w:val="24"/>
                <w:highlight w:val="none"/>
                <w:lang w:val="en-US" w:eastAsia="zh-CN"/>
              </w:rPr>
              <w:t>其他</w:t>
            </w:r>
            <w:r>
              <w:rPr>
                <w:rFonts w:hint="eastAsia" w:ascii="Times New Roman" w:hAnsi="Times New Roman" w:eastAsia="宋体"/>
                <w:caps w:val="0"/>
                <w:color w:val="auto"/>
                <w:sz w:val="24"/>
                <w:highlight w:val="none"/>
              </w:rPr>
              <w:t>”项，属于排污许可中“</w:t>
            </w:r>
            <w:r>
              <w:rPr>
                <w:rFonts w:hint="eastAsia"/>
                <w:caps w:val="0"/>
                <w:color w:val="auto"/>
                <w:sz w:val="24"/>
                <w:highlight w:val="none"/>
                <w:lang w:val="en-US" w:eastAsia="zh-CN"/>
              </w:rPr>
              <w:t>登记</w:t>
            </w:r>
            <w:r>
              <w:rPr>
                <w:rFonts w:hint="eastAsia" w:ascii="Times New Roman" w:hAnsi="Times New Roman" w:eastAsia="宋体"/>
                <w:caps w:val="0"/>
                <w:color w:val="auto"/>
                <w:sz w:val="24"/>
                <w:highlight w:val="none"/>
              </w:rPr>
              <w:t>管理”</w:t>
            </w:r>
            <w:r>
              <w:rPr>
                <w:rFonts w:hint="eastAsia"/>
                <w:caps w:val="0"/>
                <w:color w:val="auto"/>
                <w:sz w:val="24"/>
                <w:highlight w:val="none"/>
                <w:lang w:eastAsia="zh-CN"/>
              </w:rPr>
              <w:t>。</w:t>
            </w:r>
          </w:p>
          <w:p w14:paraId="453B989F">
            <w:pPr>
              <w:pStyle w:val="212"/>
              <w:keepNext w:val="0"/>
              <w:keepLines w:val="0"/>
              <w:pageBreakBefore w:val="0"/>
              <w:widowControl w:val="0"/>
              <w:kinsoku/>
              <w:wordWrap/>
              <w:overflowPunct/>
              <w:topLinePunct w:val="0"/>
              <w:autoSpaceDE w:val="0"/>
              <w:autoSpaceDN w:val="0"/>
              <w:bidi w:val="0"/>
              <w:adjustRightInd w:val="0"/>
              <w:snapToGrid/>
              <w:spacing w:line="240" w:lineRule="auto"/>
              <w:ind w:firstLine="482"/>
              <w:jc w:val="center"/>
              <w:textAlignment w:val="auto"/>
              <w:rPr>
                <w:rFonts w:ascii="Times New Roman" w:hAnsi="Times New Roman" w:eastAsia="宋体"/>
                <w:b/>
                <w:bCs/>
                <w:caps w:val="0"/>
                <w:color w:val="auto"/>
                <w:highlight w:val="none"/>
              </w:rPr>
            </w:pPr>
            <w:r>
              <w:rPr>
                <w:rFonts w:ascii="Times New Roman" w:hAnsi="Times New Roman" w:eastAsia="宋体"/>
                <w:b/>
                <w:bCs/>
                <w:caps w:val="0"/>
                <w:color w:val="auto"/>
                <w:highlight w:val="none"/>
              </w:rPr>
              <w:t xml:space="preserve">表2-2  </w:t>
            </w:r>
            <w:r>
              <w:rPr>
                <w:rFonts w:ascii="Times New Roman" w:hAnsi="Times New Roman" w:eastAsia="宋体"/>
                <w:b/>
                <w:bCs/>
                <w:caps w:val="0"/>
                <w:color w:val="auto"/>
                <w:spacing w:val="6"/>
                <w:highlight w:val="none"/>
              </w:rPr>
              <w:t>固定污染源排污许可证分类管理名录（2019年版）</w:t>
            </w:r>
            <w:r>
              <w:rPr>
                <w:rFonts w:ascii="Times New Roman" w:hAnsi="Times New Roman" w:eastAsia="宋体"/>
                <w:b/>
                <w:bCs/>
                <w:caps w:val="0"/>
                <w:color w:val="auto"/>
                <w:highlight w:val="none"/>
              </w:rPr>
              <w:t>节选</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933"/>
              <w:gridCol w:w="1228"/>
              <w:gridCol w:w="3200"/>
              <w:gridCol w:w="1318"/>
            </w:tblGrid>
            <w:tr w14:paraId="58B52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tcBorders>
                    <w:tl2br w:val="nil"/>
                    <w:tr2bl w:val="nil"/>
                  </w:tcBorders>
                  <w:vAlign w:val="center"/>
                </w:tcPr>
                <w:p w14:paraId="27646618">
                  <w:pPr>
                    <w:pStyle w:val="32"/>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序号</w:t>
                  </w:r>
                </w:p>
              </w:tc>
              <w:tc>
                <w:tcPr>
                  <w:tcW w:w="1152" w:type="pct"/>
                  <w:tcBorders>
                    <w:tl2br w:val="nil"/>
                    <w:tr2bl w:val="nil"/>
                  </w:tcBorders>
                  <w:vAlign w:val="center"/>
                </w:tcPr>
                <w:p w14:paraId="138B346A">
                  <w:pPr>
                    <w:pStyle w:val="32"/>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行业类别</w:t>
                  </w:r>
                </w:p>
              </w:tc>
              <w:tc>
                <w:tcPr>
                  <w:tcW w:w="732" w:type="pct"/>
                  <w:tcBorders>
                    <w:tl2br w:val="nil"/>
                    <w:tr2bl w:val="nil"/>
                  </w:tcBorders>
                  <w:vAlign w:val="center"/>
                </w:tcPr>
                <w:p w14:paraId="5BA72306">
                  <w:pPr>
                    <w:pStyle w:val="32"/>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重点管理</w:t>
                  </w:r>
                </w:p>
              </w:tc>
              <w:tc>
                <w:tcPr>
                  <w:tcW w:w="1907" w:type="pct"/>
                  <w:tcBorders>
                    <w:tl2br w:val="nil"/>
                    <w:tr2bl w:val="nil"/>
                  </w:tcBorders>
                  <w:shd w:val="clear" w:color="auto" w:fill="auto"/>
                  <w:vAlign w:val="center"/>
                </w:tcPr>
                <w:p w14:paraId="152A26D3">
                  <w:pPr>
                    <w:pStyle w:val="32"/>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简化管理</w:t>
                  </w:r>
                </w:p>
              </w:tc>
              <w:tc>
                <w:tcPr>
                  <w:tcW w:w="784" w:type="pct"/>
                  <w:tcBorders>
                    <w:tl2br w:val="nil"/>
                    <w:tr2bl w:val="nil"/>
                  </w:tcBorders>
                  <w:shd w:val="clear" w:color="auto" w:fill="BEBEBE" w:themeFill="background1" w:themeFillShade="BF"/>
                  <w:vAlign w:val="center"/>
                </w:tcPr>
                <w:p w14:paraId="6B651406">
                  <w:pPr>
                    <w:pStyle w:val="32"/>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登记管理</w:t>
                  </w:r>
                </w:p>
              </w:tc>
            </w:tr>
            <w:tr w14:paraId="0C68C8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vAlign w:val="center"/>
                </w:tcPr>
                <w:p w14:paraId="09C8C059">
                  <w:pPr>
                    <w:pStyle w:val="32"/>
                    <w:jc w:val="left"/>
                    <w:rPr>
                      <w:rFonts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rPr>
                    <w:t>三十一、汽车制造业 36</w:t>
                  </w:r>
                </w:p>
              </w:tc>
            </w:tr>
            <w:tr w14:paraId="296F04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424" w:type="pct"/>
                  <w:tcBorders>
                    <w:tl2br w:val="nil"/>
                    <w:tr2bl w:val="nil"/>
                  </w:tcBorders>
                  <w:vAlign w:val="center"/>
                </w:tcPr>
                <w:p w14:paraId="30A2D724">
                  <w:pPr>
                    <w:pStyle w:val="32"/>
                    <w:jc w:val="center"/>
                    <w:rPr>
                      <w:rFonts w:hint="eastAsia" w:ascii="Times New Roman" w:hAnsi="Times New Roman" w:eastAsia="宋体" w:cs="Times New Roman"/>
                      <w:caps w:val="0"/>
                      <w:color w:val="auto"/>
                      <w:highlight w:val="none"/>
                      <w:lang w:eastAsia="zh-CN"/>
                    </w:rPr>
                  </w:pPr>
                  <w:r>
                    <w:rPr>
                      <w:rFonts w:ascii="Times New Roman" w:hAnsi="Times New Roman" w:eastAsia="宋体" w:cs="Times New Roman"/>
                      <w:caps w:val="0"/>
                      <w:color w:val="auto"/>
                      <w:highlight w:val="none"/>
                    </w:rPr>
                    <w:t>8</w:t>
                  </w:r>
                  <w:r>
                    <w:rPr>
                      <w:rFonts w:hint="eastAsia" w:ascii="Times New Roman" w:hAnsi="Times New Roman" w:cs="Times New Roman"/>
                      <w:caps w:val="0"/>
                      <w:color w:val="auto"/>
                      <w:highlight w:val="none"/>
                      <w:lang w:val="en-US" w:eastAsia="zh-CN"/>
                    </w:rPr>
                    <w:t>5</w:t>
                  </w:r>
                </w:p>
              </w:tc>
              <w:tc>
                <w:tcPr>
                  <w:tcW w:w="1152" w:type="pct"/>
                  <w:tcBorders>
                    <w:tl2br w:val="nil"/>
                    <w:tr2bl w:val="nil"/>
                  </w:tcBorders>
                  <w:vAlign w:val="center"/>
                </w:tcPr>
                <w:p w14:paraId="368E157A">
                  <w:pPr>
                    <w:pStyle w:val="32"/>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汽车整车制造361，汽车用发动机制造362，改装汽车制造363，低速汽车制造364，电车制造365，汽车车身、挂车制造366，</w:t>
                  </w:r>
                  <w:r>
                    <w:rPr>
                      <w:rFonts w:hint="eastAsia" w:ascii="Times New Roman" w:hAnsi="Times New Roman" w:eastAsia="宋体" w:cs="Times New Roman"/>
                      <w:b/>
                      <w:bCs/>
                      <w:caps w:val="0"/>
                      <w:color w:val="auto"/>
                      <w:highlight w:val="none"/>
                    </w:rPr>
                    <w:t>汽车零部件及配件制造367</w:t>
                  </w:r>
                </w:p>
              </w:tc>
              <w:tc>
                <w:tcPr>
                  <w:tcW w:w="732" w:type="pct"/>
                  <w:tcBorders>
                    <w:tl2br w:val="nil"/>
                    <w:tr2bl w:val="nil"/>
                  </w:tcBorders>
                  <w:vAlign w:val="center"/>
                </w:tcPr>
                <w:p w14:paraId="762BA1AA">
                  <w:pPr>
                    <w:pStyle w:val="32"/>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纳入重点排污单位名录的</w:t>
                  </w:r>
                </w:p>
              </w:tc>
              <w:tc>
                <w:tcPr>
                  <w:tcW w:w="1907" w:type="pct"/>
                  <w:tcBorders>
                    <w:tl2br w:val="nil"/>
                    <w:tr2bl w:val="nil"/>
                  </w:tcBorders>
                  <w:shd w:val="clear" w:color="auto" w:fill="auto"/>
                  <w:vAlign w:val="center"/>
                </w:tcPr>
                <w:p w14:paraId="5A381743">
                  <w:pPr>
                    <w:pStyle w:val="32"/>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除重点管理以外的汽车整车制造361，除重点管理以外的年使用10吨及以上溶剂型涂料或者胶粘剂（含稀释剂、固化剂、清洗溶剂）的汽车用发动机制造362、改装汽车制造363、低速汽车制造364、电车制造365、汽车车身、挂车制造366、汽车零部件及配件制造367</w:t>
                  </w:r>
                </w:p>
              </w:tc>
              <w:tc>
                <w:tcPr>
                  <w:tcW w:w="784" w:type="pct"/>
                  <w:tcBorders>
                    <w:tl2br w:val="nil"/>
                    <w:tr2bl w:val="nil"/>
                  </w:tcBorders>
                  <w:shd w:val="clear" w:color="auto" w:fill="BEBEBE" w:themeFill="background1" w:themeFillShade="BF"/>
                  <w:vAlign w:val="center"/>
                </w:tcPr>
                <w:p w14:paraId="79D15E38">
                  <w:pPr>
                    <w:pStyle w:val="32"/>
                    <w:jc w:val="center"/>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其他</w:t>
                  </w:r>
                </w:p>
              </w:tc>
            </w:tr>
          </w:tbl>
          <w:p w14:paraId="2EE12F16">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b/>
                <w:color w:val="auto"/>
                <w:kern w:val="0"/>
                <w:sz w:val="24"/>
              </w:rPr>
            </w:pPr>
            <w:r>
              <w:rPr>
                <w:rFonts w:hint="eastAsia" w:ascii="Times New Roman" w:hAnsi="Times New Roman" w:eastAsia="宋体"/>
                <w:caps w:val="0"/>
                <w:color w:val="auto"/>
                <w:sz w:val="24"/>
                <w:highlight w:val="none"/>
              </w:rPr>
              <w:t>本单位于202</w:t>
            </w:r>
            <w:r>
              <w:rPr>
                <w:rFonts w:hint="eastAsia"/>
                <w:caps w:val="0"/>
                <w:color w:val="auto"/>
                <w:sz w:val="24"/>
                <w:highlight w:val="none"/>
                <w:lang w:val="en-US" w:eastAsia="zh-CN"/>
              </w:rPr>
              <w:t>5</w:t>
            </w:r>
            <w:r>
              <w:rPr>
                <w:rFonts w:hint="eastAsia" w:ascii="Times New Roman" w:hAnsi="Times New Roman" w:eastAsia="宋体"/>
                <w:caps w:val="0"/>
                <w:color w:val="auto"/>
                <w:sz w:val="24"/>
                <w:highlight w:val="none"/>
              </w:rPr>
              <w:t>年</w:t>
            </w:r>
            <w:r>
              <w:rPr>
                <w:rFonts w:hint="eastAsia"/>
                <w:caps w:val="0"/>
                <w:color w:val="auto"/>
                <w:sz w:val="24"/>
                <w:highlight w:val="none"/>
                <w:lang w:val="en-US" w:eastAsia="zh-CN"/>
              </w:rPr>
              <w:t>6</w:t>
            </w:r>
            <w:r>
              <w:rPr>
                <w:rFonts w:hint="eastAsia" w:ascii="Times New Roman" w:hAnsi="Times New Roman" w:eastAsia="宋体"/>
                <w:caps w:val="0"/>
                <w:color w:val="auto"/>
                <w:sz w:val="24"/>
                <w:highlight w:val="none"/>
              </w:rPr>
              <w:t>月</w:t>
            </w:r>
            <w:r>
              <w:rPr>
                <w:rFonts w:hint="eastAsia"/>
                <w:caps w:val="0"/>
                <w:color w:val="auto"/>
                <w:sz w:val="24"/>
                <w:highlight w:val="none"/>
                <w:lang w:val="en-US" w:eastAsia="zh-CN"/>
              </w:rPr>
              <w:t>16</w:t>
            </w:r>
            <w:r>
              <w:rPr>
                <w:rFonts w:hint="eastAsia" w:ascii="Times New Roman" w:hAnsi="Times New Roman" w:eastAsia="宋体"/>
                <w:caps w:val="0"/>
                <w:color w:val="auto"/>
                <w:sz w:val="24"/>
                <w:highlight w:val="none"/>
              </w:rPr>
              <w:t>日</w:t>
            </w:r>
            <w:r>
              <w:rPr>
                <w:rFonts w:hint="eastAsia"/>
                <w:caps w:val="0"/>
                <w:color w:val="auto"/>
                <w:sz w:val="24"/>
                <w:highlight w:val="none"/>
                <w:lang w:val="en-US" w:eastAsia="zh-CN"/>
              </w:rPr>
              <w:t>进行</w:t>
            </w:r>
            <w:r>
              <w:rPr>
                <w:rFonts w:hint="eastAsia" w:ascii="Times New Roman" w:hAnsi="Times New Roman" w:eastAsia="宋体"/>
                <w:caps w:val="0"/>
                <w:color w:val="auto"/>
                <w:sz w:val="24"/>
                <w:highlight w:val="none"/>
              </w:rPr>
              <w:t>排污</w:t>
            </w:r>
            <w:r>
              <w:rPr>
                <w:rFonts w:hint="eastAsia"/>
                <w:caps w:val="0"/>
                <w:color w:val="auto"/>
                <w:sz w:val="24"/>
                <w:highlight w:val="none"/>
                <w:lang w:val="en-US" w:eastAsia="zh-CN"/>
              </w:rPr>
              <w:t>登记变更</w:t>
            </w:r>
            <w:r>
              <w:rPr>
                <w:rFonts w:hint="eastAsia" w:ascii="Times New Roman" w:hAnsi="Times New Roman" w:eastAsia="宋体"/>
                <w:caps w:val="0"/>
                <w:color w:val="auto"/>
                <w:sz w:val="24"/>
                <w:highlight w:val="none"/>
              </w:rPr>
              <w:t>（登记编号：9134020068205841XM001Y）</w:t>
            </w:r>
            <w:r>
              <w:rPr>
                <w:rFonts w:hint="eastAsia"/>
                <w:caps w:val="0"/>
                <w:color w:val="auto"/>
                <w:sz w:val="24"/>
                <w:highlight w:val="none"/>
                <w:lang w:eastAsia="zh-CN"/>
              </w:rPr>
              <w:t>，</w:t>
            </w:r>
            <w:r>
              <w:rPr>
                <w:rFonts w:hint="eastAsia"/>
                <w:caps w:val="0"/>
                <w:color w:val="auto"/>
                <w:sz w:val="24"/>
                <w:highlight w:val="none"/>
                <w:lang w:val="en-US" w:eastAsia="zh-CN"/>
              </w:rPr>
              <w:t>有效期为2025年06月16日-2030年06月15日</w:t>
            </w:r>
            <w:r>
              <w:rPr>
                <w:rFonts w:hint="eastAsia" w:ascii="Times New Roman" w:hAnsi="Times New Roman" w:eastAsia="宋体"/>
                <w:caps w:val="0"/>
                <w:color w:val="auto"/>
                <w:sz w:val="24"/>
                <w:highlight w:val="none"/>
              </w:rPr>
              <w:t>。</w:t>
            </w:r>
          </w:p>
          <w:p w14:paraId="5E4498DC">
            <w:pPr>
              <w:spacing w:line="360" w:lineRule="auto"/>
              <w:ind w:firstLine="482" w:firstLineChars="200"/>
              <w:rPr>
                <w:b/>
                <w:kern w:val="0"/>
                <w:sz w:val="24"/>
              </w:rPr>
            </w:pPr>
            <w:r>
              <w:rPr>
                <w:rFonts w:hint="eastAsia"/>
                <w:b/>
                <w:kern w:val="0"/>
                <w:sz w:val="24"/>
              </w:rPr>
              <w:t>2、产品方案</w:t>
            </w:r>
          </w:p>
          <w:p w14:paraId="08A91348">
            <w:pPr>
              <w:adjustRightInd w:val="0"/>
              <w:snapToGrid w:val="0"/>
              <w:spacing w:line="360" w:lineRule="auto"/>
              <w:ind w:firstLine="480" w:firstLineChars="200"/>
              <w:rPr>
                <w:kern w:val="0"/>
                <w:sz w:val="24"/>
              </w:rPr>
            </w:pPr>
            <w:r>
              <w:rPr>
                <w:kern w:val="0"/>
                <w:sz w:val="24"/>
              </w:rPr>
              <w:t>本项目产品方案见下表。</w:t>
            </w:r>
          </w:p>
          <w:p w14:paraId="59555F16">
            <w:pPr>
              <w:keepNext w:val="0"/>
              <w:keepLines w:val="0"/>
              <w:pageBreakBefore w:val="0"/>
              <w:widowControl/>
              <w:kinsoku/>
              <w:wordWrap/>
              <w:overflowPunct/>
              <w:topLinePunct w:val="0"/>
              <w:autoSpaceDE/>
              <w:autoSpaceDN/>
              <w:bidi w:val="0"/>
              <w:adjustRightInd/>
              <w:snapToGrid/>
              <w:spacing w:beforeAutospacing="0"/>
              <w:jc w:val="center"/>
              <w:textAlignment w:val="auto"/>
              <w:rPr>
                <w:b/>
                <w:kern w:val="0"/>
                <w:sz w:val="24"/>
                <w:szCs w:val="20"/>
              </w:rPr>
            </w:pPr>
            <w:r>
              <w:rPr>
                <w:b/>
                <w:kern w:val="0"/>
                <w:sz w:val="24"/>
                <w:szCs w:val="20"/>
              </w:rPr>
              <w:t>表</w:t>
            </w:r>
            <w:r>
              <w:rPr>
                <w:rFonts w:hint="eastAsia"/>
                <w:b/>
                <w:kern w:val="0"/>
                <w:sz w:val="24"/>
                <w:szCs w:val="20"/>
              </w:rPr>
              <w:t>2</w:t>
            </w:r>
            <w:r>
              <w:rPr>
                <w:b/>
                <w:kern w:val="0"/>
                <w:sz w:val="24"/>
                <w:szCs w:val="20"/>
              </w:rPr>
              <w:t>-</w:t>
            </w:r>
            <w:r>
              <w:rPr>
                <w:rFonts w:hint="eastAsia"/>
                <w:b/>
                <w:kern w:val="0"/>
                <w:sz w:val="24"/>
                <w:szCs w:val="20"/>
                <w:lang w:val="en-US" w:eastAsia="zh-CN"/>
              </w:rPr>
              <w:t>3</w:t>
            </w:r>
            <w:r>
              <w:rPr>
                <w:b/>
                <w:kern w:val="0"/>
                <w:sz w:val="24"/>
                <w:szCs w:val="20"/>
              </w:rPr>
              <w:t xml:space="preserve">  </w:t>
            </w:r>
            <w:r>
              <w:rPr>
                <w:rFonts w:hint="eastAsia"/>
                <w:b/>
                <w:kern w:val="0"/>
                <w:sz w:val="24"/>
                <w:szCs w:val="20"/>
              </w:rPr>
              <w:t>本</w:t>
            </w:r>
            <w:r>
              <w:rPr>
                <w:b/>
                <w:kern w:val="0"/>
                <w:sz w:val="24"/>
                <w:szCs w:val="20"/>
              </w:rPr>
              <w:t>项目产品方案一览表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89"/>
              <w:gridCol w:w="2286"/>
              <w:gridCol w:w="2715"/>
            </w:tblGrid>
            <w:tr w14:paraId="61DDB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2019" w:type="pct"/>
                  <w:tcBorders>
                    <w:tl2br w:val="nil"/>
                    <w:tr2bl w:val="nil"/>
                  </w:tcBorders>
                  <w:shd w:val="clear" w:color="auto" w:fill="auto"/>
                  <w:vAlign w:val="center"/>
                </w:tcPr>
                <w:p w14:paraId="3B2DB618">
                  <w:pPr>
                    <w:pStyle w:val="170"/>
                    <w:widowControl w:val="0"/>
                    <w:ind w:firstLine="0" w:firstLineChars="0"/>
                    <w:jc w:val="center"/>
                    <w:rPr>
                      <w:b/>
                      <w:sz w:val="21"/>
                      <w:szCs w:val="21"/>
                    </w:rPr>
                  </w:pPr>
                  <w:r>
                    <w:rPr>
                      <w:b/>
                      <w:sz w:val="21"/>
                      <w:szCs w:val="21"/>
                    </w:rPr>
                    <w:t>产品名称</w:t>
                  </w:r>
                </w:p>
              </w:tc>
              <w:tc>
                <w:tcPr>
                  <w:tcW w:w="1362" w:type="pct"/>
                  <w:tcBorders>
                    <w:tl2br w:val="nil"/>
                    <w:tr2bl w:val="nil"/>
                  </w:tcBorders>
                  <w:vAlign w:val="center"/>
                </w:tcPr>
                <w:p w14:paraId="63AF8E29">
                  <w:pPr>
                    <w:pStyle w:val="170"/>
                    <w:widowControl w:val="0"/>
                    <w:ind w:firstLine="0" w:firstLineChars="0"/>
                    <w:jc w:val="center"/>
                    <w:rPr>
                      <w:b/>
                      <w:sz w:val="21"/>
                      <w:szCs w:val="21"/>
                    </w:rPr>
                  </w:pPr>
                  <w:r>
                    <w:rPr>
                      <w:b/>
                      <w:sz w:val="21"/>
                      <w:szCs w:val="21"/>
                    </w:rPr>
                    <w:t>单位</w:t>
                  </w:r>
                </w:p>
              </w:tc>
              <w:tc>
                <w:tcPr>
                  <w:tcW w:w="1617" w:type="pct"/>
                  <w:tcBorders>
                    <w:tl2br w:val="nil"/>
                    <w:tr2bl w:val="nil"/>
                  </w:tcBorders>
                  <w:vAlign w:val="center"/>
                </w:tcPr>
                <w:p w14:paraId="60ED93C2">
                  <w:pPr>
                    <w:pStyle w:val="170"/>
                    <w:widowControl w:val="0"/>
                    <w:ind w:firstLine="0" w:firstLineChars="0"/>
                    <w:jc w:val="center"/>
                    <w:rPr>
                      <w:b/>
                      <w:sz w:val="21"/>
                      <w:szCs w:val="21"/>
                    </w:rPr>
                  </w:pPr>
                  <w:r>
                    <w:rPr>
                      <w:b/>
                      <w:sz w:val="21"/>
                      <w:szCs w:val="21"/>
                    </w:rPr>
                    <w:t>产能</w:t>
                  </w:r>
                </w:p>
              </w:tc>
            </w:tr>
            <w:tr w14:paraId="48879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019" w:type="pct"/>
                  <w:tcBorders>
                    <w:tl2br w:val="nil"/>
                    <w:tr2bl w:val="nil"/>
                  </w:tcBorders>
                  <w:shd w:val="clear" w:color="auto" w:fill="auto"/>
                  <w:vAlign w:val="center"/>
                </w:tcPr>
                <w:p w14:paraId="1317F0A4">
                  <w:pPr>
                    <w:adjustRightInd w:val="0"/>
                    <w:snapToGrid w:val="0"/>
                    <w:jc w:val="center"/>
                    <w:rPr>
                      <w:rFonts w:hint="default" w:eastAsia="宋体"/>
                      <w:szCs w:val="21"/>
                      <w:lang w:val="en-US" w:eastAsia="zh-CN"/>
                    </w:rPr>
                  </w:pPr>
                  <w:r>
                    <w:rPr>
                      <w:rFonts w:hint="eastAsia"/>
                      <w:szCs w:val="21"/>
                      <w:lang w:val="en-US" w:eastAsia="zh-CN"/>
                    </w:rPr>
                    <w:t>电池系统及壳体、车身总成一体化</w:t>
                  </w:r>
                </w:p>
              </w:tc>
              <w:tc>
                <w:tcPr>
                  <w:tcW w:w="1362" w:type="pct"/>
                  <w:tcBorders>
                    <w:tl2br w:val="nil"/>
                    <w:tr2bl w:val="nil"/>
                  </w:tcBorders>
                  <w:vAlign w:val="center"/>
                </w:tcPr>
                <w:p w14:paraId="18777063">
                  <w:pPr>
                    <w:adjustRightInd w:val="0"/>
                    <w:snapToGrid w:val="0"/>
                    <w:jc w:val="center"/>
                    <w:rPr>
                      <w:rFonts w:hint="default"/>
                      <w:szCs w:val="21"/>
                      <w:lang w:val="en-US"/>
                    </w:rPr>
                  </w:pPr>
                  <w:r>
                    <w:rPr>
                      <w:rFonts w:hint="eastAsia"/>
                      <w:szCs w:val="21"/>
                      <w:lang w:val="en-US" w:eastAsia="zh-CN"/>
                    </w:rPr>
                    <w:t>万套/年</w:t>
                  </w:r>
                </w:p>
              </w:tc>
              <w:tc>
                <w:tcPr>
                  <w:tcW w:w="1617" w:type="pct"/>
                  <w:tcBorders>
                    <w:tl2br w:val="nil"/>
                    <w:tr2bl w:val="nil"/>
                  </w:tcBorders>
                  <w:vAlign w:val="center"/>
                </w:tcPr>
                <w:p w14:paraId="391F5145">
                  <w:pPr>
                    <w:adjustRightInd w:val="0"/>
                    <w:snapToGrid w:val="0"/>
                    <w:jc w:val="center"/>
                    <w:rPr>
                      <w:rFonts w:hint="default" w:eastAsia="宋体"/>
                      <w:szCs w:val="21"/>
                      <w:lang w:val="en-US" w:eastAsia="zh-CN"/>
                    </w:rPr>
                  </w:pPr>
                  <w:r>
                    <w:rPr>
                      <w:rFonts w:hint="eastAsia"/>
                      <w:szCs w:val="21"/>
                      <w:lang w:val="en-US" w:eastAsia="zh-CN"/>
                    </w:rPr>
                    <w:t>60</w:t>
                  </w:r>
                </w:p>
              </w:tc>
            </w:tr>
          </w:tbl>
          <w:p w14:paraId="13F467A9">
            <w:pPr>
              <w:keepNext w:val="0"/>
              <w:keepLines w:val="0"/>
              <w:pageBreakBefore w:val="0"/>
              <w:widowControl/>
              <w:kinsoku/>
              <w:wordWrap/>
              <w:overflowPunct/>
              <w:topLinePunct w:val="0"/>
              <w:autoSpaceDE/>
              <w:autoSpaceDN/>
              <w:bidi w:val="0"/>
              <w:adjustRightInd/>
              <w:snapToGrid/>
              <w:spacing w:beforeAutospacing="0" w:line="360" w:lineRule="auto"/>
              <w:ind w:firstLine="482" w:firstLineChars="200"/>
              <w:jc w:val="left"/>
              <w:textAlignment w:val="auto"/>
              <w:rPr>
                <w:b/>
                <w:kern w:val="0"/>
                <w:sz w:val="24"/>
              </w:rPr>
            </w:pPr>
            <w:r>
              <w:rPr>
                <w:rFonts w:hint="eastAsia"/>
                <w:b/>
                <w:kern w:val="0"/>
                <w:sz w:val="24"/>
                <w:szCs w:val="20"/>
              </w:rPr>
              <w:t>3、</w:t>
            </w:r>
            <w:r>
              <w:rPr>
                <w:rFonts w:hint="eastAsia"/>
                <w:b/>
                <w:kern w:val="0"/>
                <w:sz w:val="24"/>
              </w:rPr>
              <w:t>项目建设内容</w:t>
            </w:r>
          </w:p>
          <w:p w14:paraId="223974B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主要建设内容及规模见表2-</w:t>
            </w:r>
            <w:r>
              <w:rPr>
                <w:rFonts w:hint="eastAsia"/>
                <w:color w:val="auto"/>
                <w:sz w:val="24"/>
                <w:lang w:val="en-US" w:eastAsia="zh-CN"/>
              </w:rPr>
              <w:t>4</w:t>
            </w:r>
            <w:r>
              <w:rPr>
                <w:color w:val="auto"/>
                <w:sz w:val="24"/>
              </w:rPr>
              <w:t>。</w:t>
            </w:r>
          </w:p>
          <w:p w14:paraId="113F84C6">
            <w:pPr>
              <w:keepNext w:val="0"/>
              <w:keepLines w:val="0"/>
              <w:pageBreakBefore w:val="0"/>
              <w:widowControl/>
              <w:kinsoku/>
              <w:wordWrap/>
              <w:overflowPunct/>
              <w:topLinePunct w:val="0"/>
              <w:autoSpaceDE/>
              <w:autoSpaceDN/>
              <w:bidi w:val="0"/>
              <w:adjustRightInd/>
              <w:snapToGrid/>
              <w:spacing w:beforeAutospacing="0"/>
              <w:jc w:val="center"/>
              <w:textAlignment w:val="auto"/>
              <w:rPr>
                <w:b/>
                <w:kern w:val="0"/>
                <w:sz w:val="24"/>
                <w:szCs w:val="20"/>
              </w:rPr>
            </w:pPr>
            <w:r>
              <w:rPr>
                <w:b/>
                <w:kern w:val="0"/>
                <w:sz w:val="24"/>
                <w:szCs w:val="20"/>
              </w:rPr>
              <w:t>表2-</w:t>
            </w:r>
            <w:r>
              <w:rPr>
                <w:rFonts w:hint="eastAsia"/>
                <w:b/>
                <w:kern w:val="0"/>
                <w:sz w:val="24"/>
                <w:szCs w:val="20"/>
                <w:lang w:val="en-US" w:eastAsia="zh-CN"/>
              </w:rPr>
              <w:t>4</w:t>
            </w:r>
            <w:r>
              <w:rPr>
                <w:b/>
                <w:kern w:val="0"/>
                <w:sz w:val="24"/>
                <w:szCs w:val="20"/>
              </w:rPr>
              <w:t xml:space="preserve">  建设项目组成内容一览表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081"/>
              <w:gridCol w:w="1153"/>
              <w:gridCol w:w="4282"/>
              <w:gridCol w:w="1154"/>
            </w:tblGrid>
            <w:tr w14:paraId="2D9E0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29" w:type="pct"/>
                  <w:tcBorders>
                    <w:tl2br w:val="nil"/>
                    <w:tr2bl w:val="nil"/>
                  </w:tcBorders>
                  <w:vAlign w:val="center"/>
                </w:tcPr>
                <w:p w14:paraId="4CD54F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序号</w:t>
                  </w:r>
                </w:p>
              </w:tc>
              <w:tc>
                <w:tcPr>
                  <w:tcW w:w="644" w:type="pct"/>
                  <w:tcBorders>
                    <w:tl2br w:val="nil"/>
                    <w:tr2bl w:val="nil"/>
                  </w:tcBorders>
                  <w:vAlign w:val="center"/>
                </w:tcPr>
                <w:p w14:paraId="2E6394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工程类别</w:t>
                  </w:r>
                </w:p>
              </w:tc>
              <w:tc>
                <w:tcPr>
                  <w:tcW w:w="687" w:type="pct"/>
                  <w:tcBorders>
                    <w:tl2br w:val="nil"/>
                    <w:tr2bl w:val="nil"/>
                  </w:tcBorders>
                  <w:vAlign w:val="center"/>
                </w:tcPr>
                <w:p w14:paraId="3D4AF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工程名称</w:t>
                  </w:r>
                </w:p>
              </w:tc>
              <w:tc>
                <w:tcPr>
                  <w:tcW w:w="2551" w:type="pct"/>
                  <w:tcBorders>
                    <w:tl2br w:val="nil"/>
                    <w:tr2bl w:val="nil"/>
                  </w:tcBorders>
                  <w:vAlign w:val="center"/>
                </w:tcPr>
                <w:p w14:paraId="7FEA12E5">
                  <w:pPr>
                    <w:jc w:val="center"/>
                    <w:rPr>
                      <w:b/>
                      <w:bCs/>
                      <w:szCs w:val="21"/>
                    </w:rPr>
                  </w:pPr>
                  <w:r>
                    <w:rPr>
                      <w:b/>
                      <w:kern w:val="24"/>
                      <w:szCs w:val="21"/>
                    </w:rPr>
                    <w:t>本工程内容</w:t>
                  </w:r>
                </w:p>
              </w:tc>
              <w:tc>
                <w:tcPr>
                  <w:tcW w:w="687" w:type="pct"/>
                  <w:tcBorders>
                    <w:tl2br w:val="nil"/>
                    <w:tr2bl w:val="nil"/>
                  </w:tcBorders>
                  <w:vAlign w:val="center"/>
                </w:tcPr>
                <w:p w14:paraId="51E3DCE4">
                  <w:pPr>
                    <w:jc w:val="center"/>
                    <w:rPr>
                      <w:b/>
                      <w:szCs w:val="21"/>
                    </w:rPr>
                  </w:pPr>
                  <w:r>
                    <w:rPr>
                      <w:rFonts w:hint="eastAsia"/>
                      <w:b/>
                      <w:szCs w:val="21"/>
                    </w:rPr>
                    <w:t>备注</w:t>
                  </w:r>
                </w:p>
              </w:tc>
            </w:tr>
            <w:tr w14:paraId="1A239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429" w:type="pct"/>
                  <w:vMerge w:val="restart"/>
                  <w:tcBorders>
                    <w:tl2br w:val="nil"/>
                    <w:tr2bl w:val="nil"/>
                  </w:tcBorders>
                  <w:vAlign w:val="center"/>
                </w:tcPr>
                <w:p w14:paraId="219385DC">
                  <w:pPr>
                    <w:jc w:val="center"/>
                    <w:rPr>
                      <w:szCs w:val="21"/>
                    </w:rPr>
                  </w:pPr>
                  <w:r>
                    <w:rPr>
                      <w:szCs w:val="21"/>
                    </w:rPr>
                    <w:t>1</w:t>
                  </w:r>
                </w:p>
              </w:tc>
              <w:tc>
                <w:tcPr>
                  <w:tcW w:w="644" w:type="pct"/>
                  <w:vMerge w:val="restart"/>
                  <w:tcBorders>
                    <w:tl2br w:val="nil"/>
                    <w:tr2bl w:val="nil"/>
                  </w:tcBorders>
                  <w:vAlign w:val="center"/>
                </w:tcPr>
                <w:p w14:paraId="33831A85">
                  <w:pPr>
                    <w:jc w:val="center"/>
                    <w:rPr>
                      <w:szCs w:val="21"/>
                    </w:rPr>
                  </w:pPr>
                  <w:r>
                    <w:rPr>
                      <w:rFonts w:hint="eastAsia"/>
                      <w:szCs w:val="21"/>
                    </w:rPr>
                    <w:t>主体工程</w:t>
                  </w:r>
                </w:p>
              </w:tc>
              <w:tc>
                <w:tcPr>
                  <w:tcW w:w="687" w:type="pct"/>
                  <w:tcBorders>
                    <w:tl2br w:val="nil"/>
                    <w:tr2bl w:val="nil"/>
                  </w:tcBorders>
                  <w:vAlign w:val="center"/>
                </w:tcPr>
                <w:p w14:paraId="479D32BD">
                  <w:pPr>
                    <w:jc w:val="center"/>
                    <w:rPr>
                      <w:rFonts w:hint="default" w:eastAsia="宋体"/>
                      <w:snapToGrid w:val="0"/>
                      <w:szCs w:val="21"/>
                      <w:lang w:val="en-US" w:eastAsia="zh-CN"/>
                    </w:rPr>
                  </w:pPr>
                  <w:r>
                    <w:rPr>
                      <w:rFonts w:hint="eastAsia"/>
                      <w:snapToGrid w:val="0"/>
                      <w:szCs w:val="21"/>
                      <w:lang w:val="en-US" w:eastAsia="zh-CN"/>
                    </w:rPr>
                    <w:t>焊接车间</w:t>
                  </w:r>
                </w:p>
              </w:tc>
              <w:tc>
                <w:tcPr>
                  <w:tcW w:w="2551" w:type="pct"/>
                  <w:tcBorders>
                    <w:tl2br w:val="nil"/>
                    <w:tr2bl w:val="nil"/>
                  </w:tcBorders>
                  <w:vAlign w:val="center"/>
                </w:tcPr>
                <w:p w14:paraId="74B04F01">
                  <w:pPr>
                    <w:jc w:val="center"/>
                    <w:rPr>
                      <w:snapToGrid w:val="0"/>
                      <w:szCs w:val="21"/>
                    </w:rPr>
                  </w:pPr>
                  <w:r>
                    <w:rPr>
                      <w:rFonts w:hint="eastAsia"/>
                      <w:szCs w:val="21"/>
                      <w:lang w:val="en-US" w:eastAsia="zh-CN"/>
                    </w:rPr>
                    <w:t>2</w:t>
                  </w:r>
                  <w:r>
                    <w:rPr>
                      <w:rFonts w:hint="eastAsia"/>
                      <w:szCs w:val="21"/>
                    </w:rPr>
                    <w:t>F，建筑面积</w:t>
                  </w:r>
                  <w:r>
                    <w:rPr>
                      <w:rFonts w:hint="eastAsia"/>
                      <w:szCs w:val="21"/>
                      <w:lang w:val="en-US" w:eastAsia="zh-CN"/>
                    </w:rPr>
                    <w:t>24829.76</w:t>
                  </w:r>
                  <w:r>
                    <w:rPr>
                      <w:rFonts w:hint="eastAsia"/>
                      <w:szCs w:val="21"/>
                    </w:rPr>
                    <w:t>m</w:t>
                  </w:r>
                  <w:r>
                    <w:rPr>
                      <w:rFonts w:hint="eastAsia"/>
                      <w:szCs w:val="21"/>
                      <w:vertAlign w:val="superscript"/>
                    </w:rPr>
                    <w:t>2</w:t>
                  </w:r>
                  <w:r>
                    <w:rPr>
                      <w:rFonts w:hint="eastAsia"/>
                      <w:szCs w:val="21"/>
                    </w:rPr>
                    <w:t>，</w:t>
                  </w:r>
                  <w:r>
                    <w:rPr>
                      <w:rFonts w:hint="eastAsia"/>
                      <w:szCs w:val="21"/>
                      <w:lang w:val="en-US" w:eastAsia="zh-CN"/>
                    </w:rPr>
                    <w:t>厂房高15m，</w:t>
                  </w:r>
                  <w:r>
                    <w:rPr>
                      <w:rFonts w:hint="eastAsia"/>
                      <w:szCs w:val="21"/>
                    </w:rPr>
                    <w:t>含</w:t>
                  </w:r>
                  <w:r>
                    <w:rPr>
                      <w:rFonts w:hint="eastAsia"/>
                      <w:szCs w:val="21"/>
                      <w:lang w:val="en-US" w:eastAsia="zh-CN"/>
                    </w:rPr>
                    <w:t>焊接车间、冲压成品库等，购置焊接机器人、冲压机</w:t>
                  </w:r>
                  <w:r>
                    <w:rPr>
                      <w:rFonts w:hint="eastAsia"/>
                      <w:szCs w:val="21"/>
                    </w:rPr>
                    <w:t>等设备</w:t>
                  </w:r>
                </w:p>
              </w:tc>
              <w:tc>
                <w:tcPr>
                  <w:tcW w:w="687" w:type="pct"/>
                  <w:tcBorders>
                    <w:tl2br w:val="nil"/>
                    <w:tr2bl w:val="nil"/>
                  </w:tcBorders>
                  <w:vAlign w:val="center"/>
                </w:tcPr>
                <w:p w14:paraId="2AD3CB1B">
                  <w:pPr>
                    <w:adjustRightInd w:val="0"/>
                    <w:snapToGrid w:val="0"/>
                    <w:jc w:val="center"/>
                    <w:rPr>
                      <w:rFonts w:hint="eastAsia" w:eastAsia="宋体"/>
                      <w:szCs w:val="21"/>
                      <w:lang w:val="en-US" w:eastAsia="zh-CN"/>
                    </w:rPr>
                  </w:pPr>
                  <w:r>
                    <w:rPr>
                      <w:rFonts w:hint="eastAsia"/>
                      <w:szCs w:val="21"/>
                      <w:lang w:val="en-US" w:eastAsia="zh-CN"/>
                    </w:rPr>
                    <w:t>新建</w:t>
                  </w:r>
                </w:p>
              </w:tc>
            </w:tr>
            <w:tr w14:paraId="25DD6C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29" w:type="pct"/>
                  <w:vMerge w:val="continue"/>
                  <w:tcBorders>
                    <w:tl2br w:val="nil"/>
                    <w:tr2bl w:val="nil"/>
                  </w:tcBorders>
                  <w:vAlign w:val="center"/>
                </w:tcPr>
                <w:p w14:paraId="141343AD">
                  <w:pPr>
                    <w:jc w:val="center"/>
                    <w:rPr>
                      <w:szCs w:val="21"/>
                    </w:rPr>
                  </w:pPr>
                </w:p>
              </w:tc>
              <w:tc>
                <w:tcPr>
                  <w:tcW w:w="644" w:type="pct"/>
                  <w:vMerge w:val="continue"/>
                  <w:tcBorders>
                    <w:tl2br w:val="nil"/>
                    <w:tr2bl w:val="nil"/>
                  </w:tcBorders>
                  <w:vAlign w:val="center"/>
                </w:tcPr>
                <w:p w14:paraId="0537B0DA">
                  <w:pPr>
                    <w:jc w:val="center"/>
                    <w:rPr>
                      <w:rFonts w:hint="eastAsia"/>
                      <w:szCs w:val="21"/>
                    </w:rPr>
                  </w:pPr>
                </w:p>
              </w:tc>
              <w:tc>
                <w:tcPr>
                  <w:tcW w:w="687" w:type="pct"/>
                  <w:tcBorders>
                    <w:tl2br w:val="nil"/>
                    <w:tr2bl w:val="nil"/>
                  </w:tcBorders>
                  <w:vAlign w:val="center"/>
                </w:tcPr>
                <w:p w14:paraId="7064E5BA">
                  <w:pPr>
                    <w:jc w:val="center"/>
                    <w:rPr>
                      <w:rFonts w:hint="default"/>
                      <w:snapToGrid w:val="0"/>
                      <w:szCs w:val="21"/>
                      <w:lang w:val="en-US" w:eastAsia="zh-CN"/>
                    </w:rPr>
                  </w:pPr>
                  <w:r>
                    <w:rPr>
                      <w:rFonts w:hint="eastAsia"/>
                      <w:snapToGrid w:val="0"/>
                      <w:szCs w:val="21"/>
                      <w:lang w:val="en-US" w:eastAsia="zh-CN"/>
                    </w:rPr>
                    <w:t>冲压车间</w:t>
                  </w:r>
                </w:p>
              </w:tc>
              <w:tc>
                <w:tcPr>
                  <w:tcW w:w="2551" w:type="pct"/>
                  <w:tcBorders>
                    <w:tl2br w:val="nil"/>
                    <w:tr2bl w:val="nil"/>
                  </w:tcBorders>
                  <w:vAlign w:val="center"/>
                </w:tcPr>
                <w:p w14:paraId="59767987">
                  <w:pPr>
                    <w:jc w:val="center"/>
                    <w:rPr>
                      <w:rFonts w:hint="default"/>
                      <w:szCs w:val="21"/>
                      <w:lang w:val="en-US" w:eastAsia="zh-CN"/>
                    </w:rPr>
                  </w:pPr>
                  <w:r>
                    <w:rPr>
                      <w:rFonts w:hint="eastAsia"/>
                      <w:szCs w:val="21"/>
                      <w:lang w:val="en-US" w:eastAsia="zh-CN"/>
                    </w:rPr>
                    <w:t>1F，</w:t>
                  </w:r>
                  <w:r>
                    <w:rPr>
                      <w:rFonts w:hint="eastAsia"/>
                      <w:szCs w:val="21"/>
                    </w:rPr>
                    <w:t>建筑面积</w:t>
                  </w:r>
                  <w:r>
                    <w:rPr>
                      <w:rFonts w:hint="eastAsia"/>
                      <w:szCs w:val="21"/>
                      <w:lang w:val="en-US" w:eastAsia="zh-CN"/>
                    </w:rPr>
                    <w:t>12414.88</w:t>
                  </w:r>
                  <w:r>
                    <w:rPr>
                      <w:rFonts w:hint="eastAsia"/>
                      <w:szCs w:val="21"/>
                    </w:rPr>
                    <w:t>m</w:t>
                  </w:r>
                  <w:r>
                    <w:rPr>
                      <w:rFonts w:hint="eastAsia"/>
                      <w:szCs w:val="21"/>
                      <w:vertAlign w:val="superscript"/>
                    </w:rPr>
                    <w:t>2</w:t>
                  </w:r>
                  <w:r>
                    <w:rPr>
                      <w:rFonts w:hint="eastAsia"/>
                      <w:szCs w:val="21"/>
                    </w:rPr>
                    <w:t>，</w:t>
                  </w:r>
                  <w:r>
                    <w:rPr>
                      <w:rFonts w:hint="eastAsia"/>
                      <w:szCs w:val="21"/>
                      <w:lang w:val="en-US" w:eastAsia="zh-CN"/>
                    </w:rPr>
                    <w:t>厂房高8.15m，主要为冲压车间等，购置冲压机</w:t>
                  </w:r>
                  <w:r>
                    <w:rPr>
                      <w:rFonts w:hint="eastAsia"/>
                      <w:szCs w:val="21"/>
                    </w:rPr>
                    <w:t>等设备</w:t>
                  </w:r>
                </w:p>
              </w:tc>
              <w:tc>
                <w:tcPr>
                  <w:tcW w:w="687" w:type="pct"/>
                  <w:tcBorders>
                    <w:tl2br w:val="nil"/>
                    <w:tr2bl w:val="nil"/>
                  </w:tcBorders>
                  <w:vAlign w:val="center"/>
                </w:tcPr>
                <w:p w14:paraId="55CF203F">
                  <w:pPr>
                    <w:adjustRightInd w:val="0"/>
                    <w:snapToGrid w:val="0"/>
                    <w:jc w:val="center"/>
                    <w:rPr>
                      <w:rFonts w:hint="eastAsia"/>
                      <w:szCs w:val="21"/>
                      <w:lang w:val="en-US" w:eastAsia="zh-CN"/>
                    </w:rPr>
                  </w:pPr>
                  <w:r>
                    <w:rPr>
                      <w:rFonts w:hint="eastAsia"/>
                      <w:szCs w:val="21"/>
                      <w:lang w:val="en-US" w:eastAsia="zh-CN"/>
                    </w:rPr>
                    <w:t>新建</w:t>
                  </w:r>
                </w:p>
              </w:tc>
            </w:tr>
            <w:tr w14:paraId="1E4FC7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29" w:type="pct"/>
                  <w:vMerge w:val="restart"/>
                  <w:tcBorders>
                    <w:tl2br w:val="nil"/>
                    <w:tr2bl w:val="nil"/>
                  </w:tcBorders>
                  <w:vAlign w:val="center"/>
                </w:tcPr>
                <w:p w14:paraId="62E95790">
                  <w:pPr>
                    <w:jc w:val="center"/>
                    <w:rPr>
                      <w:szCs w:val="21"/>
                    </w:rPr>
                  </w:pPr>
                  <w:r>
                    <w:rPr>
                      <w:szCs w:val="21"/>
                    </w:rPr>
                    <w:t>2</w:t>
                  </w:r>
                </w:p>
              </w:tc>
              <w:tc>
                <w:tcPr>
                  <w:tcW w:w="644" w:type="pct"/>
                  <w:vMerge w:val="restart"/>
                  <w:tcBorders>
                    <w:tl2br w:val="nil"/>
                    <w:tr2bl w:val="nil"/>
                  </w:tcBorders>
                  <w:vAlign w:val="center"/>
                </w:tcPr>
                <w:p w14:paraId="2CD12015">
                  <w:pPr>
                    <w:jc w:val="center"/>
                    <w:rPr>
                      <w:szCs w:val="21"/>
                    </w:rPr>
                  </w:pPr>
                  <w:r>
                    <w:rPr>
                      <w:rFonts w:hint="eastAsia"/>
                      <w:szCs w:val="21"/>
                    </w:rPr>
                    <w:t>辅助工程</w:t>
                  </w:r>
                </w:p>
              </w:tc>
              <w:tc>
                <w:tcPr>
                  <w:tcW w:w="687" w:type="pct"/>
                  <w:tcBorders>
                    <w:tl2br w:val="nil"/>
                    <w:tr2bl w:val="nil"/>
                  </w:tcBorders>
                  <w:vAlign w:val="center"/>
                </w:tcPr>
                <w:p w14:paraId="6DC88743">
                  <w:pPr>
                    <w:tabs>
                      <w:tab w:val="left" w:pos="3225"/>
                    </w:tabs>
                    <w:adjustRightInd w:val="0"/>
                    <w:snapToGrid w:val="0"/>
                    <w:jc w:val="center"/>
                    <w:rPr>
                      <w:snapToGrid w:val="0"/>
                      <w:szCs w:val="21"/>
                    </w:rPr>
                  </w:pPr>
                  <w:r>
                    <w:rPr>
                      <w:rFonts w:hint="eastAsia"/>
                      <w:snapToGrid w:val="0"/>
                      <w:szCs w:val="21"/>
                      <w:lang w:val="en-US" w:eastAsia="zh-CN"/>
                    </w:rPr>
                    <w:t>综合楼</w:t>
                  </w:r>
                </w:p>
              </w:tc>
              <w:tc>
                <w:tcPr>
                  <w:tcW w:w="2551" w:type="pct"/>
                  <w:tcBorders>
                    <w:tl2br w:val="nil"/>
                    <w:tr2bl w:val="nil"/>
                  </w:tcBorders>
                  <w:vAlign w:val="center"/>
                </w:tcPr>
                <w:p w14:paraId="40FA1A0A">
                  <w:pPr>
                    <w:ind w:left="-105" w:leftChars="-50" w:right="-105" w:rightChars="-50"/>
                    <w:jc w:val="center"/>
                    <w:rPr>
                      <w:rFonts w:hint="default" w:eastAsia="宋体"/>
                      <w:color w:val="auto"/>
                      <w:szCs w:val="21"/>
                      <w:lang w:val="en-US" w:eastAsia="zh-CN"/>
                    </w:rPr>
                  </w:pPr>
                  <w:r>
                    <w:rPr>
                      <w:rFonts w:hint="eastAsia"/>
                      <w:color w:val="auto"/>
                      <w:szCs w:val="21"/>
                      <w:lang w:val="en-US" w:eastAsia="zh-CN"/>
                    </w:rPr>
                    <w:t xml:space="preserve">位于厂区北侧，3F，厂房高12m，建筑面积2348 </w:t>
                  </w:r>
                  <w:r>
                    <w:rPr>
                      <w:rFonts w:hint="eastAsia"/>
                      <w:szCs w:val="21"/>
                    </w:rPr>
                    <w:t>m</w:t>
                  </w:r>
                  <w:r>
                    <w:rPr>
                      <w:rFonts w:hint="eastAsia"/>
                      <w:szCs w:val="21"/>
                      <w:vertAlign w:val="superscript"/>
                    </w:rPr>
                    <w:t>2</w:t>
                  </w:r>
                  <w:r>
                    <w:rPr>
                      <w:rFonts w:hint="eastAsia"/>
                      <w:szCs w:val="21"/>
                    </w:rPr>
                    <w:t>，</w:t>
                  </w:r>
                  <w:r>
                    <w:rPr>
                      <w:rFonts w:hint="eastAsia"/>
                      <w:color w:val="auto"/>
                      <w:szCs w:val="21"/>
                      <w:lang w:val="en-US" w:eastAsia="zh-CN"/>
                    </w:rPr>
                    <w:t>主要用于员工办公</w:t>
                  </w:r>
                </w:p>
              </w:tc>
              <w:tc>
                <w:tcPr>
                  <w:tcW w:w="687" w:type="pct"/>
                  <w:tcBorders>
                    <w:tl2br w:val="nil"/>
                    <w:tr2bl w:val="nil"/>
                  </w:tcBorders>
                  <w:vAlign w:val="center"/>
                </w:tcPr>
                <w:p w14:paraId="55C5BF7B">
                  <w:pPr>
                    <w:jc w:val="center"/>
                    <w:rPr>
                      <w:rFonts w:hint="eastAsia" w:eastAsia="宋体"/>
                      <w:color w:val="auto"/>
                      <w:lang w:eastAsia="zh-CN"/>
                    </w:rPr>
                  </w:pPr>
                  <w:r>
                    <w:rPr>
                      <w:rFonts w:hint="eastAsia"/>
                      <w:color w:val="auto"/>
                      <w:lang w:val="en-US" w:eastAsia="zh-CN"/>
                    </w:rPr>
                    <w:t>新建</w:t>
                  </w:r>
                </w:p>
              </w:tc>
            </w:tr>
            <w:tr w14:paraId="49C4C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29" w:type="pct"/>
                  <w:vMerge w:val="continue"/>
                  <w:tcBorders>
                    <w:tl2br w:val="nil"/>
                    <w:tr2bl w:val="nil"/>
                  </w:tcBorders>
                  <w:vAlign w:val="center"/>
                </w:tcPr>
                <w:p w14:paraId="2D8EF73C">
                  <w:pPr>
                    <w:jc w:val="center"/>
                    <w:rPr>
                      <w:szCs w:val="21"/>
                    </w:rPr>
                  </w:pPr>
                </w:p>
              </w:tc>
              <w:tc>
                <w:tcPr>
                  <w:tcW w:w="644" w:type="pct"/>
                  <w:vMerge w:val="continue"/>
                  <w:tcBorders>
                    <w:tl2br w:val="nil"/>
                    <w:tr2bl w:val="nil"/>
                  </w:tcBorders>
                  <w:vAlign w:val="center"/>
                </w:tcPr>
                <w:p w14:paraId="24F0A078">
                  <w:pPr>
                    <w:jc w:val="center"/>
                    <w:rPr>
                      <w:rFonts w:hint="eastAsia"/>
                      <w:szCs w:val="21"/>
                    </w:rPr>
                  </w:pPr>
                </w:p>
              </w:tc>
              <w:tc>
                <w:tcPr>
                  <w:tcW w:w="687" w:type="pct"/>
                  <w:tcBorders>
                    <w:tl2br w:val="nil"/>
                    <w:tr2bl w:val="nil"/>
                  </w:tcBorders>
                  <w:vAlign w:val="center"/>
                </w:tcPr>
                <w:p w14:paraId="3B300DF0">
                  <w:pPr>
                    <w:tabs>
                      <w:tab w:val="left" w:pos="3225"/>
                    </w:tabs>
                    <w:adjustRightInd w:val="0"/>
                    <w:snapToGrid w:val="0"/>
                    <w:jc w:val="center"/>
                    <w:rPr>
                      <w:rFonts w:hint="eastAsia" w:eastAsia="宋体"/>
                      <w:snapToGrid w:val="0"/>
                      <w:szCs w:val="21"/>
                      <w:lang w:val="en-US" w:eastAsia="zh-CN"/>
                    </w:rPr>
                  </w:pPr>
                  <w:r>
                    <w:rPr>
                      <w:rFonts w:hint="eastAsia"/>
                      <w:snapToGrid w:val="0"/>
                      <w:szCs w:val="21"/>
                      <w:lang w:val="en-US" w:eastAsia="zh-CN"/>
                    </w:rPr>
                    <w:t>食堂</w:t>
                  </w:r>
                </w:p>
              </w:tc>
              <w:tc>
                <w:tcPr>
                  <w:tcW w:w="2551" w:type="pct"/>
                  <w:tcBorders>
                    <w:tl2br w:val="nil"/>
                    <w:tr2bl w:val="nil"/>
                  </w:tcBorders>
                  <w:vAlign w:val="center"/>
                </w:tcPr>
                <w:p w14:paraId="65E27A92">
                  <w:pPr>
                    <w:ind w:left="-105" w:leftChars="-50" w:right="-105" w:rightChars="-50"/>
                    <w:jc w:val="center"/>
                    <w:rPr>
                      <w:rFonts w:hint="default" w:eastAsia="宋体"/>
                      <w:color w:val="auto"/>
                      <w:szCs w:val="21"/>
                      <w:lang w:val="en-US" w:eastAsia="zh-CN"/>
                    </w:rPr>
                  </w:pPr>
                  <w:r>
                    <w:rPr>
                      <w:rFonts w:hint="eastAsia"/>
                      <w:color w:val="auto"/>
                      <w:szCs w:val="21"/>
                      <w:lang w:val="en-US" w:eastAsia="zh-CN"/>
                    </w:rPr>
                    <w:t xml:space="preserve">位于厂区东北侧，2F，建筑面积648 </w:t>
                  </w:r>
                  <w:r>
                    <w:rPr>
                      <w:rFonts w:hint="eastAsia"/>
                      <w:szCs w:val="21"/>
                    </w:rPr>
                    <w:t>m</w:t>
                  </w:r>
                  <w:r>
                    <w:rPr>
                      <w:rFonts w:hint="eastAsia"/>
                      <w:szCs w:val="21"/>
                      <w:vertAlign w:val="superscript"/>
                    </w:rPr>
                    <w:t>2</w:t>
                  </w:r>
                  <w:r>
                    <w:rPr>
                      <w:rFonts w:hint="eastAsia"/>
                      <w:szCs w:val="21"/>
                    </w:rPr>
                    <w:t>，</w:t>
                  </w:r>
                  <w:r>
                    <w:rPr>
                      <w:rFonts w:hint="eastAsia"/>
                      <w:szCs w:val="21"/>
                      <w:lang w:val="en-US" w:eastAsia="zh-CN"/>
                    </w:rPr>
                    <w:t>厂房高8.7m，主要用于员工就餐</w:t>
                  </w:r>
                </w:p>
              </w:tc>
              <w:tc>
                <w:tcPr>
                  <w:tcW w:w="687" w:type="pct"/>
                  <w:tcBorders>
                    <w:tl2br w:val="nil"/>
                    <w:tr2bl w:val="nil"/>
                  </w:tcBorders>
                  <w:vAlign w:val="center"/>
                </w:tcPr>
                <w:p w14:paraId="6E44FFB4">
                  <w:pPr>
                    <w:jc w:val="center"/>
                    <w:rPr>
                      <w:color w:val="auto"/>
                    </w:rPr>
                  </w:pPr>
                  <w:r>
                    <w:rPr>
                      <w:rFonts w:hint="eastAsia"/>
                      <w:color w:val="auto"/>
                      <w:lang w:val="en-US" w:eastAsia="zh-CN"/>
                    </w:rPr>
                    <w:t>新建</w:t>
                  </w:r>
                </w:p>
              </w:tc>
            </w:tr>
            <w:tr w14:paraId="621BF9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29" w:type="pct"/>
                  <w:vMerge w:val="continue"/>
                  <w:tcBorders>
                    <w:tl2br w:val="nil"/>
                    <w:tr2bl w:val="nil"/>
                  </w:tcBorders>
                  <w:vAlign w:val="center"/>
                </w:tcPr>
                <w:p w14:paraId="1DB36425">
                  <w:pPr>
                    <w:jc w:val="center"/>
                    <w:rPr>
                      <w:szCs w:val="21"/>
                    </w:rPr>
                  </w:pPr>
                </w:p>
              </w:tc>
              <w:tc>
                <w:tcPr>
                  <w:tcW w:w="644" w:type="pct"/>
                  <w:vMerge w:val="continue"/>
                  <w:tcBorders>
                    <w:tl2br w:val="nil"/>
                    <w:tr2bl w:val="nil"/>
                  </w:tcBorders>
                  <w:vAlign w:val="center"/>
                </w:tcPr>
                <w:p w14:paraId="410E0F89">
                  <w:pPr>
                    <w:jc w:val="center"/>
                    <w:rPr>
                      <w:rFonts w:hint="eastAsia"/>
                      <w:szCs w:val="21"/>
                    </w:rPr>
                  </w:pPr>
                </w:p>
              </w:tc>
              <w:tc>
                <w:tcPr>
                  <w:tcW w:w="687" w:type="pct"/>
                  <w:tcBorders>
                    <w:tl2br w:val="nil"/>
                    <w:tr2bl w:val="nil"/>
                  </w:tcBorders>
                  <w:vAlign w:val="center"/>
                </w:tcPr>
                <w:p w14:paraId="3BE662CE">
                  <w:pPr>
                    <w:tabs>
                      <w:tab w:val="left" w:pos="3225"/>
                    </w:tabs>
                    <w:adjustRightInd w:val="0"/>
                    <w:snapToGrid w:val="0"/>
                    <w:jc w:val="center"/>
                    <w:rPr>
                      <w:rFonts w:hint="default"/>
                      <w:snapToGrid w:val="0"/>
                      <w:szCs w:val="21"/>
                      <w:lang w:val="en-US" w:eastAsia="zh-CN"/>
                    </w:rPr>
                  </w:pPr>
                  <w:r>
                    <w:rPr>
                      <w:rFonts w:hint="eastAsia"/>
                      <w:snapToGrid w:val="0"/>
                      <w:szCs w:val="21"/>
                      <w:lang w:val="en-US" w:eastAsia="zh-CN"/>
                    </w:rPr>
                    <w:t>门卫</w:t>
                  </w:r>
                </w:p>
              </w:tc>
              <w:tc>
                <w:tcPr>
                  <w:tcW w:w="2551" w:type="pct"/>
                  <w:tcBorders>
                    <w:tl2br w:val="nil"/>
                    <w:tr2bl w:val="nil"/>
                  </w:tcBorders>
                  <w:vAlign w:val="center"/>
                </w:tcPr>
                <w:p w14:paraId="6DF59C9B">
                  <w:pPr>
                    <w:ind w:left="-105" w:leftChars="-50" w:right="-105" w:rightChars="-50"/>
                    <w:jc w:val="center"/>
                    <w:rPr>
                      <w:rFonts w:hint="default"/>
                      <w:color w:val="auto"/>
                      <w:szCs w:val="21"/>
                      <w:lang w:val="en-US" w:eastAsia="zh-CN"/>
                    </w:rPr>
                  </w:pPr>
                  <w:r>
                    <w:rPr>
                      <w:rFonts w:hint="eastAsia"/>
                      <w:color w:val="auto"/>
                      <w:szCs w:val="21"/>
                      <w:lang w:val="en-US" w:eastAsia="zh-CN"/>
                    </w:rPr>
                    <w:t>1F，建筑面积53</w:t>
                  </w:r>
                  <w:r>
                    <w:rPr>
                      <w:rFonts w:hint="eastAsia"/>
                      <w:szCs w:val="21"/>
                    </w:rPr>
                    <w:t>m</w:t>
                  </w:r>
                  <w:r>
                    <w:rPr>
                      <w:rFonts w:hint="eastAsia"/>
                      <w:szCs w:val="21"/>
                      <w:vertAlign w:val="superscript"/>
                    </w:rPr>
                    <w:t>2</w:t>
                  </w:r>
                </w:p>
              </w:tc>
              <w:tc>
                <w:tcPr>
                  <w:tcW w:w="687" w:type="pct"/>
                  <w:tcBorders>
                    <w:tl2br w:val="nil"/>
                    <w:tr2bl w:val="nil"/>
                  </w:tcBorders>
                  <w:vAlign w:val="center"/>
                </w:tcPr>
                <w:p w14:paraId="49F319C8">
                  <w:pPr>
                    <w:jc w:val="center"/>
                    <w:rPr>
                      <w:color w:val="auto"/>
                    </w:rPr>
                  </w:pPr>
                  <w:r>
                    <w:rPr>
                      <w:rFonts w:hint="eastAsia"/>
                      <w:color w:val="auto"/>
                      <w:lang w:val="en-US" w:eastAsia="zh-CN"/>
                    </w:rPr>
                    <w:t>新建</w:t>
                  </w:r>
                </w:p>
              </w:tc>
            </w:tr>
            <w:tr w14:paraId="20A82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29" w:type="pct"/>
                  <w:vMerge w:val="restart"/>
                  <w:tcBorders>
                    <w:tl2br w:val="nil"/>
                    <w:tr2bl w:val="nil"/>
                  </w:tcBorders>
                  <w:vAlign w:val="center"/>
                </w:tcPr>
                <w:p w14:paraId="759E755E">
                  <w:pPr>
                    <w:jc w:val="center"/>
                    <w:rPr>
                      <w:szCs w:val="21"/>
                    </w:rPr>
                  </w:pPr>
                  <w:r>
                    <w:rPr>
                      <w:rFonts w:hint="eastAsia"/>
                      <w:szCs w:val="21"/>
                    </w:rPr>
                    <w:t>3</w:t>
                  </w:r>
                </w:p>
              </w:tc>
              <w:tc>
                <w:tcPr>
                  <w:tcW w:w="644" w:type="pct"/>
                  <w:vMerge w:val="restart"/>
                  <w:tcBorders>
                    <w:tl2br w:val="nil"/>
                    <w:tr2bl w:val="nil"/>
                  </w:tcBorders>
                  <w:vAlign w:val="center"/>
                </w:tcPr>
                <w:p w14:paraId="5B099C85">
                  <w:pPr>
                    <w:ind w:left="-105" w:leftChars="-50"/>
                    <w:jc w:val="center"/>
                    <w:rPr>
                      <w:szCs w:val="21"/>
                    </w:rPr>
                  </w:pPr>
                  <w:r>
                    <w:rPr>
                      <w:rFonts w:hint="eastAsia"/>
                      <w:szCs w:val="21"/>
                    </w:rPr>
                    <w:t>储运工程</w:t>
                  </w:r>
                </w:p>
              </w:tc>
              <w:tc>
                <w:tcPr>
                  <w:tcW w:w="687" w:type="pct"/>
                  <w:tcBorders>
                    <w:tl2br w:val="nil"/>
                    <w:tr2bl w:val="nil"/>
                  </w:tcBorders>
                  <w:vAlign w:val="center"/>
                </w:tcPr>
                <w:p w14:paraId="1AC68072">
                  <w:pPr>
                    <w:ind w:left="-105" w:leftChars="-50" w:right="-105" w:rightChars="-50"/>
                    <w:jc w:val="center"/>
                    <w:rPr>
                      <w:snapToGrid w:val="0"/>
                      <w:szCs w:val="21"/>
                    </w:rPr>
                  </w:pPr>
                  <w:r>
                    <w:rPr>
                      <w:rFonts w:hint="eastAsia"/>
                      <w:snapToGrid w:val="0"/>
                      <w:szCs w:val="21"/>
                    </w:rPr>
                    <w:t>原料区</w:t>
                  </w:r>
                </w:p>
              </w:tc>
              <w:tc>
                <w:tcPr>
                  <w:tcW w:w="2551" w:type="pct"/>
                  <w:tcBorders>
                    <w:tl2br w:val="nil"/>
                    <w:tr2bl w:val="nil"/>
                  </w:tcBorders>
                  <w:vAlign w:val="center"/>
                </w:tcPr>
                <w:p w14:paraId="4C3A5EFE">
                  <w:pPr>
                    <w:pStyle w:val="212"/>
                    <w:jc w:val="center"/>
                    <w:rPr>
                      <w:rFonts w:ascii="Times New Roman" w:cs="Times New Roman"/>
                      <w:color w:val="auto"/>
                    </w:rPr>
                  </w:pPr>
                  <w:r>
                    <w:rPr>
                      <w:rFonts w:hint="eastAsia"/>
                      <w:snapToGrid w:val="0"/>
                      <w:color w:val="auto"/>
                      <w:sz w:val="21"/>
                    </w:rPr>
                    <w:t>位于生产</w:t>
                  </w:r>
                  <w:r>
                    <w:rPr>
                      <w:rFonts w:hint="eastAsia"/>
                      <w:snapToGrid w:val="0"/>
                      <w:color w:val="auto"/>
                      <w:sz w:val="21"/>
                      <w:lang w:val="en-US" w:eastAsia="zh-CN"/>
                    </w:rPr>
                    <w:t>厂房内</w:t>
                  </w:r>
                  <w:r>
                    <w:rPr>
                      <w:rFonts w:hint="eastAsia"/>
                      <w:snapToGrid w:val="0"/>
                      <w:color w:val="auto"/>
                      <w:sz w:val="21"/>
                    </w:rPr>
                    <w:t>，用于原料暂存</w:t>
                  </w:r>
                </w:p>
              </w:tc>
              <w:tc>
                <w:tcPr>
                  <w:tcW w:w="687" w:type="pct"/>
                  <w:tcBorders>
                    <w:tl2br w:val="nil"/>
                    <w:tr2bl w:val="nil"/>
                  </w:tcBorders>
                  <w:vAlign w:val="center"/>
                </w:tcPr>
                <w:p w14:paraId="765B1E59">
                  <w:pPr>
                    <w:jc w:val="center"/>
                  </w:pPr>
                  <w:r>
                    <w:rPr>
                      <w:rFonts w:hint="eastAsia"/>
                      <w:szCs w:val="21"/>
                    </w:rPr>
                    <w:t>新建</w:t>
                  </w:r>
                </w:p>
              </w:tc>
            </w:tr>
            <w:tr w14:paraId="191C6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29" w:type="pct"/>
                  <w:vMerge w:val="continue"/>
                  <w:tcBorders>
                    <w:tl2br w:val="nil"/>
                    <w:tr2bl w:val="nil"/>
                  </w:tcBorders>
                  <w:vAlign w:val="center"/>
                </w:tcPr>
                <w:p w14:paraId="6D1F33DE">
                  <w:pPr>
                    <w:jc w:val="center"/>
                    <w:rPr>
                      <w:szCs w:val="21"/>
                    </w:rPr>
                  </w:pPr>
                </w:p>
              </w:tc>
              <w:tc>
                <w:tcPr>
                  <w:tcW w:w="644" w:type="pct"/>
                  <w:vMerge w:val="continue"/>
                  <w:tcBorders>
                    <w:tl2br w:val="nil"/>
                    <w:tr2bl w:val="nil"/>
                  </w:tcBorders>
                  <w:vAlign w:val="center"/>
                </w:tcPr>
                <w:p w14:paraId="6115BAB1">
                  <w:pPr>
                    <w:ind w:left="-105" w:leftChars="-50"/>
                    <w:jc w:val="center"/>
                    <w:rPr>
                      <w:szCs w:val="21"/>
                    </w:rPr>
                  </w:pPr>
                </w:p>
              </w:tc>
              <w:tc>
                <w:tcPr>
                  <w:tcW w:w="687" w:type="pct"/>
                  <w:tcBorders>
                    <w:tl2br w:val="nil"/>
                    <w:tr2bl w:val="nil"/>
                  </w:tcBorders>
                  <w:vAlign w:val="center"/>
                </w:tcPr>
                <w:p w14:paraId="19A7F9A3">
                  <w:pPr>
                    <w:ind w:left="-105" w:leftChars="-50" w:right="-105" w:rightChars="-50"/>
                    <w:jc w:val="center"/>
                    <w:rPr>
                      <w:snapToGrid w:val="0"/>
                      <w:szCs w:val="21"/>
                    </w:rPr>
                  </w:pPr>
                  <w:r>
                    <w:rPr>
                      <w:rFonts w:hint="eastAsia"/>
                      <w:snapToGrid w:val="0"/>
                      <w:szCs w:val="21"/>
                    </w:rPr>
                    <w:t>成品区</w:t>
                  </w:r>
                </w:p>
              </w:tc>
              <w:tc>
                <w:tcPr>
                  <w:tcW w:w="2551" w:type="pct"/>
                  <w:tcBorders>
                    <w:tl2br w:val="nil"/>
                    <w:tr2bl w:val="nil"/>
                  </w:tcBorders>
                  <w:vAlign w:val="center"/>
                </w:tcPr>
                <w:p w14:paraId="5C2093D1">
                  <w:pPr>
                    <w:pStyle w:val="212"/>
                    <w:jc w:val="center"/>
                    <w:rPr>
                      <w:rFonts w:ascii="Times New Roman" w:cs="Times New Roman"/>
                      <w:color w:val="auto"/>
                      <w:sz w:val="21"/>
                      <w:szCs w:val="21"/>
                    </w:rPr>
                  </w:pPr>
                  <w:r>
                    <w:rPr>
                      <w:rFonts w:hint="eastAsia"/>
                      <w:snapToGrid w:val="0"/>
                      <w:color w:val="auto"/>
                      <w:sz w:val="21"/>
                    </w:rPr>
                    <w:t>位于生产</w:t>
                  </w:r>
                  <w:r>
                    <w:rPr>
                      <w:rFonts w:hint="eastAsia"/>
                      <w:snapToGrid w:val="0"/>
                      <w:color w:val="auto"/>
                      <w:sz w:val="21"/>
                      <w:lang w:val="en-US" w:eastAsia="zh-CN"/>
                    </w:rPr>
                    <w:t>厂房内</w:t>
                  </w:r>
                  <w:r>
                    <w:rPr>
                      <w:rFonts w:hint="eastAsia"/>
                      <w:snapToGrid w:val="0"/>
                      <w:color w:val="auto"/>
                      <w:sz w:val="21"/>
                    </w:rPr>
                    <w:t>，用于成品暂存</w:t>
                  </w:r>
                </w:p>
              </w:tc>
              <w:tc>
                <w:tcPr>
                  <w:tcW w:w="687" w:type="pct"/>
                  <w:tcBorders>
                    <w:tl2br w:val="nil"/>
                    <w:tr2bl w:val="nil"/>
                  </w:tcBorders>
                  <w:vAlign w:val="center"/>
                </w:tcPr>
                <w:p w14:paraId="68D39C34">
                  <w:pPr>
                    <w:jc w:val="center"/>
                  </w:pPr>
                  <w:r>
                    <w:rPr>
                      <w:rFonts w:hint="eastAsia"/>
                      <w:szCs w:val="21"/>
                    </w:rPr>
                    <w:t>新建</w:t>
                  </w:r>
                </w:p>
              </w:tc>
            </w:tr>
            <w:tr w14:paraId="6A2BD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29" w:type="pct"/>
                  <w:vMerge w:val="restart"/>
                  <w:tcBorders>
                    <w:tl2br w:val="nil"/>
                    <w:tr2bl w:val="nil"/>
                  </w:tcBorders>
                  <w:vAlign w:val="center"/>
                </w:tcPr>
                <w:p w14:paraId="72319AFC">
                  <w:pPr>
                    <w:jc w:val="center"/>
                    <w:rPr>
                      <w:szCs w:val="21"/>
                    </w:rPr>
                  </w:pPr>
                  <w:r>
                    <w:rPr>
                      <w:szCs w:val="21"/>
                    </w:rPr>
                    <w:t>4</w:t>
                  </w:r>
                </w:p>
              </w:tc>
              <w:tc>
                <w:tcPr>
                  <w:tcW w:w="644" w:type="pct"/>
                  <w:vMerge w:val="restart"/>
                  <w:tcBorders>
                    <w:tl2br w:val="nil"/>
                    <w:tr2bl w:val="nil"/>
                  </w:tcBorders>
                  <w:vAlign w:val="center"/>
                </w:tcPr>
                <w:p w14:paraId="7413B2F9">
                  <w:pPr>
                    <w:jc w:val="center"/>
                    <w:rPr>
                      <w:szCs w:val="21"/>
                    </w:rPr>
                  </w:pPr>
                  <w:r>
                    <w:rPr>
                      <w:rFonts w:hint="eastAsia"/>
                      <w:szCs w:val="21"/>
                    </w:rPr>
                    <w:t>公用工程</w:t>
                  </w:r>
                </w:p>
              </w:tc>
              <w:tc>
                <w:tcPr>
                  <w:tcW w:w="687" w:type="pct"/>
                  <w:tcBorders>
                    <w:tl2br w:val="nil"/>
                    <w:tr2bl w:val="nil"/>
                  </w:tcBorders>
                  <w:vAlign w:val="center"/>
                </w:tcPr>
                <w:p w14:paraId="32C5FD5C">
                  <w:pPr>
                    <w:pStyle w:val="212"/>
                    <w:jc w:val="center"/>
                    <w:rPr>
                      <w:rFonts w:ascii="Times New Roman" w:cs="Times New Roman"/>
                      <w:snapToGrid w:val="0"/>
                      <w:color w:val="auto"/>
                      <w:sz w:val="21"/>
                      <w:szCs w:val="21"/>
                    </w:rPr>
                  </w:pPr>
                  <w:r>
                    <w:rPr>
                      <w:rFonts w:ascii="Times New Roman" w:cs="Times New Roman"/>
                      <w:snapToGrid w:val="0"/>
                      <w:color w:val="auto"/>
                      <w:sz w:val="21"/>
                      <w:szCs w:val="21"/>
                    </w:rPr>
                    <w:t>供水系统</w:t>
                  </w:r>
                </w:p>
              </w:tc>
              <w:tc>
                <w:tcPr>
                  <w:tcW w:w="2551" w:type="pct"/>
                  <w:tcBorders>
                    <w:tl2br w:val="nil"/>
                    <w:tr2bl w:val="nil"/>
                  </w:tcBorders>
                  <w:vAlign w:val="center"/>
                </w:tcPr>
                <w:p w14:paraId="7095727C">
                  <w:pPr>
                    <w:pStyle w:val="212"/>
                    <w:jc w:val="center"/>
                    <w:rPr>
                      <w:rFonts w:ascii="Times New Roman" w:cs="Times New Roman"/>
                      <w:color w:val="auto"/>
                      <w:sz w:val="21"/>
                      <w:szCs w:val="21"/>
                    </w:rPr>
                  </w:pPr>
                  <w:r>
                    <w:rPr>
                      <w:rFonts w:hint="eastAsia" w:ascii="Times New Roman" w:cs="Times New Roman"/>
                      <w:color w:val="auto"/>
                      <w:sz w:val="21"/>
                      <w:szCs w:val="21"/>
                    </w:rPr>
                    <w:t>由市政给水管网供给，项目供水量约</w:t>
                  </w:r>
                  <w:r>
                    <w:rPr>
                      <w:rFonts w:hint="eastAsia" w:ascii="Times New Roman" w:cs="Times New Roman"/>
                      <w:color w:val="auto"/>
                      <w:sz w:val="21"/>
                      <w:szCs w:val="21"/>
                      <w:lang w:val="en-US" w:eastAsia="zh-CN"/>
                    </w:rPr>
                    <w:t>4500</w:t>
                  </w:r>
                  <w:r>
                    <w:rPr>
                      <w:rFonts w:hint="eastAsia" w:ascii="Times New Roman" w:cs="Times New Roman"/>
                      <w:color w:val="auto"/>
                      <w:sz w:val="21"/>
                      <w:szCs w:val="21"/>
                    </w:rPr>
                    <w:t>t/a</w:t>
                  </w:r>
                </w:p>
              </w:tc>
              <w:tc>
                <w:tcPr>
                  <w:tcW w:w="687" w:type="pct"/>
                  <w:tcBorders>
                    <w:tl2br w:val="nil"/>
                    <w:tr2bl w:val="nil"/>
                  </w:tcBorders>
                  <w:vAlign w:val="center"/>
                </w:tcPr>
                <w:p w14:paraId="3055E480">
                  <w:pPr>
                    <w:ind w:left="-105" w:leftChars="-50" w:right="-105" w:rightChars="-50"/>
                    <w:jc w:val="center"/>
                    <w:rPr>
                      <w:rFonts w:hint="default" w:eastAsia="宋体"/>
                      <w:szCs w:val="21"/>
                      <w:lang w:val="en-US" w:eastAsia="zh-CN"/>
                    </w:rPr>
                  </w:pPr>
                  <w:r>
                    <w:rPr>
                      <w:rFonts w:hint="eastAsia"/>
                      <w:szCs w:val="21"/>
                    </w:rPr>
                    <w:t>新建</w:t>
                  </w:r>
                </w:p>
              </w:tc>
            </w:tr>
            <w:tr w14:paraId="041043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429" w:type="pct"/>
                  <w:vMerge w:val="continue"/>
                  <w:tcBorders>
                    <w:tl2br w:val="nil"/>
                    <w:tr2bl w:val="nil"/>
                  </w:tcBorders>
                  <w:vAlign w:val="center"/>
                </w:tcPr>
                <w:p w14:paraId="2F604AE6">
                  <w:pPr>
                    <w:jc w:val="center"/>
                    <w:rPr>
                      <w:szCs w:val="21"/>
                    </w:rPr>
                  </w:pPr>
                </w:p>
              </w:tc>
              <w:tc>
                <w:tcPr>
                  <w:tcW w:w="644" w:type="pct"/>
                  <w:vMerge w:val="continue"/>
                  <w:tcBorders>
                    <w:tl2br w:val="nil"/>
                    <w:tr2bl w:val="nil"/>
                  </w:tcBorders>
                  <w:vAlign w:val="center"/>
                </w:tcPr>
                <w:p w14:paraId="1C26333F">
                  <w:pPr>
                    <w:jc w:val="center"/>
                    <w:rPr>
                      <w:szCs w:val="21"/>
                    </w:rPr>
                  </w:pPr>
                </w:p>
              </w:tc>
              <w:tc>
                <w:tcPr>
                  <w:tcW w:w="687" w:type="pct"/>
                  <w:tcBorders>
                    <w:tl2br w:val="nil"/>
                    <w:tr2bl w:val="nil"/>
                  </w:tcBorders>
                  <w:vAlign w:val="center"/>
                </w:tcPr>
                <w:p w14:paraId="0088BBA0">
                  <w:pPr>
                    <w:pStyle w:val="212"/>
                    <w:jc w:val="center"/>
                    <w:rPr>
                      <w:rFonts w:ascii="Times New Roman" w:cs="Times New Roman"/>
                      <w:snapToGrid w:val="0"/>
                      <w:color w:val="auto"/>
                      <w:sz w:val="21"/>
                      <w:szCs w:val="21"/>
                    </w:rPr>
                  </w:pPr>
                  <w:r>
                    <w:rPr>
                      <w:rFonts w:ascii="Times New Roman" w:cs="Times New Roman"/>
                      <w:snapToGrid w:val="0"/>
                      <w:color w:val="auto"/>
                      <w:sz w:val="21"/>
                      <w:szCs w:val="21"/>
                    </w:rPr>
                    <w:t>排水系统</w:t>
                  </w:r>
                </w:p>
              </w:tc>
              <w:tc>
                <w:tcPr>
                  <w:tcW w:w="2551" w:type="pct"/>
                  <w:tcBorders>
                    <w:tl2br w:val="nil"/>
                    <w:tr2bl w:val="nil"/>
                  </w:tcBorders>
                  <w:vAlign w:val="center"/>
                </w:tcPr>
                <w:p w14:paraId="1892A465">
                  <w:pPr>
                    <w:pStyle w:val="212"/>
                    <w:jc w:val="center"/>
                    <w:rPr>
                      <w:rFonts w:ascii="Times New Roman" w:cs="Times New Roman"/>
                      <w:color w:val="auto"/>
                      <w:sz w:val="21"/>
                      <w:szCs w:val="21"/>
                    </w:rPr>
                  </w:pPr>
                  <w:r>
                    <w:rPr>
                      <w:rFonts w:ascii="Times New Roman" w:cs="Times New Roman"/>
                      <w:color w:val="auto"/>
                      <w:sz w:val="21"/>
                      <w:szCs w:val="21"/>
                    </w:rPr>
                    <w:t>采用雨、污分流制，</w:t>
                  </w:r>
                  <w:r>
                    <w:rPr>
                      <w:rFonts w:hint="eastAsia" w:ascii="Times New Roman" w:cs="Times New Roman"/>
                      <w:color w:val="auto"/>
                      <w:sz w:val="21"/>
                      <w:szCs w:val="21"/>
                    </w:rPr>
                    <w:t>雨水排入市政雨水管网；</w:t>
                  </w:r>
                  <w:r>
                    <w:rPr>
                      <w:rFonts w:hint="eastAsia" w:ascii="Times New Roman"/>
                      <w:color w:val="auto"/>
                      <w:sz w:val="21"/>
                      <w:szCs w:val="21"/>
                    </w:rPr>
                    <w:t>生活污水经化粪池处理达标后经市政污水管网</w:t>
                  </w:r>
                  <w:r>
                    <w:rPr>
                      <w:rFonts w:hint="eastAsia" w:ascii="Times New Roman" w:cs="Times New Roman"/>
                      <w:color w:val="auto"/>
                      <w:sz w:val="21"/>
                      <w:szCs w:val="21"/>
                    </w:rPr>
                    <w:t>进入</w:t>
                  </w:r>
                  <w:r>
                    <w:rPr>
                      <w:rFonts w:hint="eastAsia" w:ascii="Times New Roman" w:cs="Times New Roman"/>
                      <w:color w:val="auto"/>
                      <w:sz w:val="21"/>
                      <w:szCs w:val="21"/>
                      <w:lang w:val="en-US" w:eastAsia="zh-CN"/>
                    </w:rPr>
                    <w:t>芜湖市滨江</w:t>
                  </w:r>
                  <w:r>
                    <w:rPr>
                      <w:rFonts w:hint="eastAsia"/>
                      <w:color w:val="auto"/>
                      <w:sz w:val="21"/>
                      <w:szCs w:val="21"/>
                    </w:rPr>
                    <w:t>污水处理厂进一步处理</w:t>
                  </w:r>
                </w:p>
              </w:tc>
              <w:tc>
                <w:tcPr>
                  <w:tcW w:w="687" w:type="pct"/>
                  <w:tcBorders>
                    <w:tl2br w:val="nil"/>
                    <w:tr2bl w:val="nil"/>
                  </w:tcBorders>
                  <w:vAlign w:val="center"/>
                </w:tcPr>
                <w:p w14:paraId="4CB9842B">
                  <w:pPr>
                    <w:ind w:left="-105" w:leftChars="-50" w:right="-105" w:rightChars="-50"/>
                    <w:jc w:val="center"/>
                    <w:rPr>
                      <w:rFonts w:hint="default" w:eastAsia="宋体"/>
                      <w:szCs w:val="21"/>
                      <w:lang w:val="en-US" w:eastAsia="zh-CN"/>
                    </w:rPr>
                  </w:pPr>
                  <w:r>
                    <w:rPr>
                      <w:rFonts w:hint="eastAsia"/>
                      <w:szCs w:val="21"/>
                    </w:rPr>
                    <w:t>新建</w:t>
                  </w:r>
                </w:p>
              </w:tc>
            </w:tr>
            <w:tr w14:paraId="08193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29" w:type="pct"/>
                  <w:vMerge w:val="continue"/>
                  <w:tcBorders>
                    <w:tl2br w:val="nil"/>
                    <w:tr2bl w:val="nil"/>
                  </w:tcBorders>
                  <w:vAlign w:val="center"/>
                </w:tcPr>
                <w:p w14:paraId="7F0A6BE1">
                  <w:pPr>
                    <w:jc w:val="center"/>
                    <w:rPr>
                      <w:szCs w:val="21"/>
                    </w:rPr>
                  </w:pPr>
                </w:p>
              </w:tc>
              <w:tc>
                <w:tcPr>
                  <w:tcW w:w="644" w:type="pct"/>
                  <w:vMerge w:val="continue"/>
                  <w:tcBorders>
                    <w:tl2br w:val="nil"/>
                    <w:tr2bl w:val="nil"/>
                  </w:tcBorders>
                  <w:vAlign w:val="center"/>
                </w:tcPr>
                <w:p w14:paraId="4DD98AF4">
                  <w:pPr>
                    <w:jc w:val="center"/>
                    <w:rPr>
                      <w:szCs w:val="21"/>
                    </w:rPr>
                  </w:pPr>
                </w:p>
              </w:tc>
              <w:tc>
                <w:tcPr>
                  <w:tcW w:w="687" w:type="pct"/>
                  <w:tcBorders>
                    <w:tl2br w:val="nil"/>
                    <w:tr2bl w:val="nil"/>
                  </w:tcBorders>
                  <w:vAlign w:val="center"/>
                </w:tcPr>
                <w:p w14:paraId="2DB481FE">
                  <w:pPr>
                    <w:pStyle w:val="212"/>
                    <w:jc w:val="center"/>
                    <w:rPr>
                      <w:rFonts w:ascii="Times New Roman" w:cs="Times New Roman"/>
                      <w:color w:val="auto"/>
                      <w:sz w:val="21"/>
                      <w:szCs w:val="21"/>
                    </w:rPr>
                  </w:pPr>
                  <w:r>
                    <w:rPr>
                      <w:rFonts w:ascii="Times New Roman" w:cs="Times New Roman"/>
                      <w:color w:val="auto"/>
                      <w:sz w:val="21"/>
                      <w:szCs w:val="21"/>
                    </w:rPr>
                    <w:t>供电</w:t>
                  </w:r>
                </w:p>
              </w:tc>
              <w:tc>
                <w:tcPr>
                  <w:tcW w:w="2551" w:type="pct"/>
                  <w:tcBorders>
                    <w:tl2br w:val="nil"/>
                    <w:tr2bl w:val="nil"/>
                  </w:tcBorders>
                  <w:vAlign w:val="center"/>
                </w:tcPr>
                <w:p w14:paraId="00EBAE77">
                  <w:pPr>
                    <w:pStyle w:val="212"/>
                    <w:jc w:val="center"/>
                    <w:rPr>
                      <w:rFonts w:ascii="Times New Roman" w:cs="Times New Roman"/>
                      <w:color w:val="auto"/>
                      <w:sz w:val="21"/>
                      <w:szCs w:val="21"/>
                    </w:rPr>
                  </w:pPr>
                  <w:r>
                    <w:rPr>
                      <w:rFonts w:hint="eastAsia" w:ascii="Times New Roman" w:cs="Times New Roman"/>
                      <w:color w:val="auto"/>
                      <w:sz w:val="21"/>
                      <w:szCs w:val="21"/>
                    </w:rPr>
                    <w:t>市政电网供电，用电量1</w:t>
                  </w:r>
                  <w:r>
                    <w:rPr>
                      <w:rFonts w:hint="eastAsia" w:ascii="Times New Roman" w:cs="Times New Roman"/>
                      <w:color w:val="auto"/>
                      <w:sz w:val="21"/>
                      <w:szCs w:val="21"/>
                      <w:lang w:val="en-US" w:eastAsia="zh-CN"/>
                    </w:rPr>
                    <w:t>00</w:t>
                  </w:r>
                  <w:r>
                    <w:rPr>
                      <w:rFonts w:hint="eastAsia" w:ascii="Times New Roman" w:cs="Times New Roman"/>
                      <w:color w:val="auto"/>
                      <w:sz w:val="21"/>
                      <w:szCs w:val="21"/>
                    </w:rPr>
                    <w:t>万kW•h/a</w:t>
                  </w:r>
                </w:p>
              </w:tc>
              <w:tc>
                <w:tcPr>
                  <w:tcW w:w="687" w:type="pct"/>
                  <w:tcBorders>
                    <w:tl2br w:val="nil"/>
                    <w:tr2bl w:val="nil"/>
                  </w:tcBorders>
                  <w:vAlign w:val="center"/>
                </w:tcPr>
                <w:p w14:paraId="6C90BFC1">
                  <w:pPr>
                    <w:ind w:left="-105" w:leftChars="-50" w:right="-105" w:rightChars="-50"/>
                    <w:jc w:val="center"/>
                    <w:rPr>
                      <w:rFonts w:hint="default" w:eastAsia="宋体"/>
                      <w:szCs w:val="21"/>
                      <w:lang w:val="en-US" w:eastAsia="zh-CN"/>
                    </w:rPr>
                  </w:pPr>
                  <w:r>
                    <w:rPr>
                      <w:rFonts w:hint="eastAsia"/>
                      <w:szCs w:val="21"/>
                    </w:rPr>
                    <w:t>新建</w:t>
                  </w:r>
                </w:p>
              </w:tc>
            </w:tr>
            <w:tr w14:paraId="6C8961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29" w:type="pct"/>
                  <w:vMerge w:val="restart"/>
                  <w:tcBorders>
                    <w:tl2br w:val="nil"/>
                    <w:tr2bl w:val="nil"/>
                  </w:tcBorders>
                  <w:vAlign w:val="center"/>
                </w:tcPr>
                <w:p w14:paraId="4A2ABFFF">
                  <w:pPr>
                    <w:jc w:val="center"/>
                    <w:rPr>
                      <w:szCs w:val="21"/>
                    </w:rPr>
                  </w:pPr>
                  <w:r>
                    <w:rPr>
                      <w:szCs w:val="21"/>
                    </w:rPr>
                    <w:t>5</w:t>
                  </w:r>
                </w:p>
              </w:tc>
              <w:tc>
                <w:tcPr>
                  <w:tcW w:w="644" w:type="pct"/>
                  <w:vMerge w:val="restart"/>
                  <w:tcBorders>
                    <w:tl2br w:val="nil"/>
                    <w:tr2bl w:val="nil"/>
                  </w:tcBorders>
                  <w:vAlign w:val="center"/>
                </w:tcPr>
                <w:p w14:paraId="65146C0E">
                  <w:pPr>
                    <w:jc w:val="center"/>
                    <w:rPr>
                      <w:szCs w:val="21"/>
                    </w:rPr>
                  </w:pPr>
                  <w:r>
                    <w:rPr>
                      <w:rFonts w:hint="eastAsia"/>
                      <w:szCs w:val="21"/>
                    </w:rPr>
                    <w:t>环保工程</w:t>
                  </w:r>
                </w:p>
              </w:tc>
              <w:tc>
                <w:tcPr>
                  <w:tcW w:w="687" w:type="pct"/>
                  <w:tcBorders>
                    <w:tl2br w:val="nil"/>
                    <w:tr2bl w:val="nil"/>
                  </w:tcBorders>
                  <w:vAlign w:val="center"/>
                </w:tcPr>
                <w:p w14:paraId="5B824DCB">
                  <w:pPr>
                    <w:jc w:val="center"/>
                    <w:rPr>
                      <w:szCs w:val="21"/>
                    </w:rPr>
                  </w:pPr>
                  <w:r>
                    <w:rPr>
                      <w:rFonts w:hint="eastAsia"/>
                      <w:szCs w:val="21"/>
                    </w:rPr>
                    <w:t>废气处理</w:t>
                  </w:r>
                </w:p>
              </w:tc>
              <w:tc>
                <w:tcPr>
                  <w:tcW w:w="2551" w:type="pct"/>
                  <w:tcBorders>
                    <w:tl2br w:val="nil"/>
                    <w:tr2bl w:val="nil"/>
                  </w:tcBorders>
                  <w:vAlign w:val="center"/>
                </w:tcPr>
                <w:p w14:paraId="30EF567D">
                  <w:pPr>
                    <w:jc w:val="center"/>
                    <w:rPr>
                      <w:szCs w:val="21"/>
                      <w:lang w:val="en-GB"/>
                    </w:rPr>
                  </w:pPr>
                  <w:r>
                    <w:rPr>
                      <w:rFonts w:hint="eastAsia"/>
                      <w:szCs w:val="21"/>
                      <w:lang w:val="en-US" w:eastAsia="zh-CN"/>
                    </w:rPr>
                    <w:t>焊接</w:t>
                  </w:r>
                  <w:r>
                    <w:rPr>
                      <w:rFonts w:hint="eastAsia"/>
                      <w:szCs w:val="21"/>
                    </w:rPr>
                    <w:t>废气</w:t>
                  </w:r>
                  <w:r>
                    <w:rPr>
                      <w:rFonts w:hint="eastAsia"/>
                      <w:szCs w:val="21"/>
                      <w:lang w:val="en-US" w:eastAsia="zh-CN"/>
                    </w:rPr>
                    <w:t>经</w:t>
                  </w:r>
                  <w:r>
                    <w:rPr>
                      <w:rFonts w:hint="eastAsia"/>
                      <w:szCs w:val="21"/>
                    </w:rPr>
                    <w:t>集气罩</w:t>
                  </w:r>
                  <w:r>
                    <w:rPr>
                      <w:rFonts w:hint="eastAsia"/>
                      <w:szCs w:val="21"/>
                      <w:lang w:val="en-US" w:eastAsia="zh-CN"/>
                    </w:rPr>
                    <w:t>收集</w:t>
                  </w:r>
                  <w:r>
                    <w:rPr>
                      <w:rFonts w:hint="eastAsia"/>
                      <w:szCs w:val="21"/>
                    </w:rPr>
                    <w:t>+</w:t>
                  </w:r>
                  <w:r>
                    <w:rPr>
                      <w:rFonts w:hint="eastAsia"/>
                      <w:szCs w:val="21"/>
                      <w:lang w:val="en-US" w:eastAsia="zh-CN"/>
                    </w:rPr>
                    <w:t>布袋除尘器</w:t>
                  </w:r>
                  <w:r>
                    <w:rPr>
                      <w:rFonts w:hint="eastAsia"/>
                      <w:szCs w:val="21"/>
                    </w:rPr>
                    <w:t>+</w:t>
                  </w:r>
                  <w:r>
                    <w:rPr>
                      <w:rFonts w:hint="eastAsia"/>
                      <w:szCs w:val="21"/>
                      <w:lang w:val="en-US" w:eastAsia="zh-CN"/>
                    </w:rPr>
                    <w:t>20</w:t>
                  </w:r>
                  <w:r>
                    <w:rPr>
                      <w:rFonts w:hint="eastAsia"/>
                      <w:szCs w:val="21"/>
                    </w:rPr>
                    <w:t>m高排气筒（DA001）</w:t>
                  </w:r>
                </w:p>
              </w:tc>
              <w:tc>
                <w:tcPr>
                  <w:tcW w:w="687" w:type="pct"/>
                  <w:tcBorders>
                    <w:tl2br w:val="nil"/>
                    <w:tr2bl w:val="nil"/>
                  </w:tcBorders>
                  <w:vAlign w:val="center"/>
                </w:tcPr>
                <w:p w14:paraId="68D5C8E8">
                  <w:pPr>
                    <w:ind w:left="-105" w:leftChars="-50" w:right="-105" w:rightChars="-50"/>
                    <w:jc w:val="center"/>
                    <w:rPr>
                      <w:szCs w:val="21"/>
                    </w:rPr>
                  </w:pPr>
                  <w:r>
                    <w:rPr>
                      <w:rFonts w:hint="eastAsia"/>
                      <w:szCs w:val="21"/>
                    </w:rPr>
                    <w:t>新建</w:t>
                  </w:r>
                </w:p>
              </w:tc>
            </w:tr>
            <w:tr w14:paraId="21970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29" w:type="pct"/>
                  <w:vMerge w:val="continue"/>
                  <w:tcBorders>
                    <w:tl2br w:val="nil"/>
                    <w:tr2bl w:val="nil"/>
                  </w:tcBorders>
                  <w:vAlign w:val="center"/>
                </w:tcPr>
                <w:p w14:paraId="1CF72454">
                  <w:pPr>
                    <w:jc w:val="center"/>
                    <w:rPr>
                      <w:szCs w:val="21"/>
                    </w:rPr>
                  </w:pPr>
                </w:p>
              </w:tc>
              <w:tc>
                <w:tcPr>
                  <w:tcW w:w="644" w:type="pct"/>
                  <w:vMerge w:val="continue"/>
                  <w:tcBorders>
                    <w:tl2br w:val="nil"/>
                    <w:tr2bl w:val="nil"/>
                  </w:tcBorders>
                  <w:vAlign w:val="center"/>
                </w:tcPr>
                <w:p w14:paraId="50395D9E">
                  <w:pPr>
                    <w:jc w:val="center"/>
                    <w:rPr>
                      <w:szCs w:val="21"/>
                    </w:rPr>
                  </w:pPr>
                </w:p>
              </w:tc>
              <w:tc>
                <w:tcPr>
                  <w:tcW w:w="687" w:type="pct"/>
                  <w:tcBorders>
                    <w:tl2br w:val="nil"/>
                    <w:tr2bl w:val="nil"/>
                  </w:tcBorders>
                  <w:vAlign w:val="center"/>
                </w:tcPr>
                <w:p w14:paraId="43C94B98">
                  <w:pPr>
                    <w:jc w:val="center"/>
                    <w:rPr>
                      <w:szCs w:val="21"/>
                    </w:rPr>
                  </w:pPr>
                  <w:r>
                    <w:rPr>
                      <w:rFonts w:hint="eastAsia"/>
                      <w:szCs w:val="21"/>
                    </w:rPr>
                    <w:t>废水处理</w:t>
                  </w:r>
                </w:p>
              </w:tc>
              <w:tc>
                <w:tcPr>
                  <w:tcW w:w="2551" w:type="pct"/>
                  <w:tcBorders>
                    <w:tl2br w:val="nil"/>
                    <w:tr2bl w:val="nil"/>
                  </w:tcBorders>
                  <w:vAlign w:val="center"/>
                </w:tcPr>
                <w:p w14:paraId="1C65CDDA">
                  <w:pPr>
                    <w:jc w:val="center"/>
                    <w:rPr>
                      <w:szCs w:val="21"/>
                    </w:rPr>
                  </w:pPr>
                  <w:r>
                    <w:rPr>
                      <w:rFonts w:hint="eastAsia"/>
                      <w:szCs w:val="21"/>
                    </w:rPr>
                    <w:t>生活污水经化粪池处理达标后经市政污水管网进入</w:t>
                  </w:r>
                  <w:r>
                    <w:rPr>
                      <w:rFonts w:hint="eastAsia"/>
                      <w:szCs w:val="21"/>
                      <w:lang w:val="en-US" w:eastAsia="zh-CN"/>
                    </w:rPr>
                    <w:t>芜湖市滨江</w:t>
                  </w:r>
                  <w:r>
                    <w:rPr>
                      <w:rFonts w:hint="eastAsia"/>
                      <w:szCs w:val="21"/>
                    </w:rPr>
                    <w:t>污水处理厂进一步处理</w:t>
                  </w:r>
                </w:p>
              </w:tc>
              <w:tc>
                <w:tcPr>
                  <w:tcW w:w="687" w:type="pct"/>
                  <w:tcBorders>
                    <w:tl2br w:val="nil"/>
                    <w:tr2bl w:val="nil"/>
                  </w:tcBorders>
                  <w:vAlign w:val="center"/>
                </w:tcPr>
                <w:p w14:paraId="0896F08D">
                  <w:pPr>
                    <w:jc w:val="center"/>
                    <w:rPr>
                      <w:rFonts w:hint="eastAsia" w:eastAsia="宋体"/>
                      <w:szCs w:val="21"/>
                      <w:lang w:val="en-US" w:eastAsia="zh-CN"/>
                    </w:rPr>
                  </w:pPr>
                  <w:r>
                    <w:rPr>
                      <w:rFonts w:hint="eastAsia"/>
                      <w:szCs w:val="21"/>
                    </w:rPr>
                    <w:t>新建</w:t>
                  </w:r>
                </w:p>
              </w:tc>
            </w:tr>
            <w:tr w14:paraId="43789E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29" w:type="pct"/>
                  <w:vMerge w:val="continue"/>
                  <w:tcBorders>
                    <w:tl2br w:val="nil"/>
                    <w:tr2bl w:val="nil"/>
                  </w:tcBorders>
                  <w:vAlign w:val="center"/>
                </w:tcPr>
                <w:p w14:paraId="3A23329F">
                  <w:pPr>
                    <w:jc w:val="center"/>
                    <w:rPr>
                      <w:szCs w:val="21"/>
                    </w:rPr>
                  </w:pPr>
                </w:p>
              </w:tc>
              <w:tc>
                <w:tcPr>
                  <w:tcW w:w="644" w:type="pct"/>
                  <w:vMerge w:val="continue"/>
                  <w:tcBorders>
                    <w:tl2br w:val="nil"/>
                    <w:tr2bl w:val="nil"/>
                  </w:tcBorders>
                  <w:vAlign w:val="center"/>
                </w:tcPr>
                <w:p w14:paraId="7359D546">
                  <w:pPr>
                    <w:jc w:val="center"/>
                    <w:rPr>
                      <w:szCs w:val="21"/>
                    </w:rPr>
                  </w:pPr>
                </w:p>
              </w:tc>
              <w:tc>
                <w:tcPr>
                  <w:tcW w:w="687" w:type="pct"/>
                  <w:tcBorders>
                    <w:tl2br w:val="nil"/>
                    <w:tr2bl w:val="nil"/>
                  </w:tcBorders>
                  <w:vAlign w:val="center"/>
                </w:tcPr>
                <w:p w14:paraId="5857E4A0">
                  <w:pPr>
                    <w:jc w:val="center"/>
                    <w:rPr>
                      <w:szCs w:val="21"/>
                    </w:rPr>
                  </w:pPr>
                  <w:r>
                    <w:rPr>
                      <w:rFonts w:hint="eastAsia"/>
                      <w:szCs w:val="21"/>
                    </w:rPr>
                    <w:t>噪声治理</w:t>
                  </w:r>
                </w:p>
              </w:tc>
              <w:tc>
                <w:tcPr>
                  <w:tcW w:w="2551" w:type="pct"/>
                  <w:tcBorders>
                    <w:tl2br w:val="nil"/>
                    <w:tr2bl w:val="nil"/>
                  </w:tcBorders>
                  <w:vAlign w:val="center"/>
                </w:tcPr>
                <w:p w14:paraId="3EEAB441">
                  <w:pPr>
                    <w:jc w:val="center"/>
                    <w:rPr>
                      <w:szCs w:val="21"/>
                    </w:rPr>
                  </w:pPr>
                  <w:r>
                    <w:rPr>
                      <w:rFonts w:hint="eastAsia"/>
                      <w:szCs w:val="21"/>
                    </w:rPr>
                    <w:t>隔声、减振</w:t>
                  </w:r>
                </w:p>
              </w:tc>
              <w:tc>
                <w:tcPr>
                  <w:tcW w:w="687" w:type="pct"/>
                  <w:tcBorders>
                    <w:tl2br w:val="nil"/>
                    <w:tr2bl w:val="nil"/>
                  </w:tcBorders>
                  <w:vAlign w:val="center"/>
                </w:tcPr>
                <w:p w14:paraId="4D11EB31">
                  <w:pPr>
                    <w:ind w:left="-105" w:leftChars="-50" w:right="-105" w:rightChars="-50"/>
                    <w:jc w:val="center"/>
                    <w:rPr>
                      <w:szCs w:val="21"/>
                    </w:rPr>
                  </w:pPr>
                  <w:r>
                    <w:rPr>
                      <w:rFonts w:hint="eastAsia"/>
                      <w:szCs w:val="21"/>
                    </w:rPr>
                    <w:t>新建</w:t>
                  </w:r>
                </w:p>
              </w:tc>
            </w:tr>
            <w:tr w14:paraId="66B905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29" w:type="pct"/>
                  <w:vMerge w:val="continue"/>
                  <w:tcBorders>
                    <w:tl2br w:val="nil"/>
                    <w:tr2bl w:val="nil"/>
                  </w:tcBorders>
                  <w:vAlign w:val="center"/>
                </w:tcPr>
                <w:p w14:paraId="0573DCAF">
                  <w:pPr>
                    <w:jc w:val="center"/>
                    <w:rPr>
                      <w:szCs w:val="21"/>
                    </w:rPr>
                  </w:pPr>
                </w:p>
              </w:tc>
              <w:tc>
                <w:tcPr>
                  <w:tcW w:w="644" w:type="pct"/>
                  <w:vMerge w:val="continue"/>
                  <w:tcBorders>
                    <w:tl2br w:val="nil"/>
                    <w:tr2bl w:val="nil"/>
                  </w:tcBorders>
                  <w:vAlign w:val="center"/>
                </w:tcPr>
                <w:p w14:paraId="48E5C8DD">
                  <w:pPr>
                    <w:jc w:val="center"/>
                    <w:rPr>
                      <w:szCs w:val="21"/>
                    </w:rPr>
                  </w:pPr>
                </w:p>
              </w:tc>
              <w:tc>
                <w:tcPr>
                  <w:tcW w:w="687" w:type="pct"/>
                  <w:tcBorders>
                    <w:tl2br w:val="nil"/>
                    <w:tr2bl w:val="nil"/>
                  </w:tcBorders>
                  <w:vAlign w:val="center"/>
                </w:tcPr>
                <w:p w14:paraId="3257B554">
                  <w:pPr>
                    <w:jc w:val="center"/>
                    <w:rPr>
                      <w:szCs w:val="21"/>
                    </w:rPr>
                  </w:pPr>
                  <w:r>
                    <w:rPr>
                      <w:rFonts w:hint="eastAsia"/>
                      <w:szCs w:val="21"/>
                    </w:rPr>
                    <w:t>固废处理</w:t>
                  </w:r>
                </w:p>
              </w:tc>
              <w:tc>
                <w:tcPr>
                  <w:tcW w:w="2551" w:type="pct"/>
                  <w:tcBorders>
                    <w:tl2br w:val="nil"/>
                    <w:tr2bl w:val="nil"/>
                  </w:tcBorders>
                  <w:vAlign w:val="center"/>
                </w:tcPr>
                <w:p w14:paraId="69D438B2">
                  <w:pPr>
                    <w:jc w:val="center"/>
                    <w:rPr>
                      <w:szCs w:val="21"/>
                    </w:rPr>
                  </w:pPr>
                  <w:r>
                    <w:rPr>
                      <w:rFonts w:hint="eastAsia"/>
                      <w:snapToGrid w:val="0"/>
                      <w:color w:val="auto"/>
                      <w:szCs w:val="21"/>
                    </w:rPr>
                    <w:t>新建一般固废暂存库（</w:t>
                  </w:r>
                  <w:r>
                    <w:rPr>
                      <w:snapToGrid w:val="0"/>
                      <w:color w:val="auto"/>
                      <w:szCs w:val="21"/>
                    </w:rPr>
                    <w:t>20m</w:t>
                  </w:r>
                  <w:r>
                    <w:rPr>
                      <w:snapToGrid w:val="0"/>
                      <w:color w:val="auto"/>
                      <w:szCs w:val="21"/>
                      <w:vertAlign w:val="superscript"/>
                    </w:rPr>
                    <w:t>2</w:t>
                  </w:r>
                  <w:r>
                    <w:rPr>
                      <w:rFonts w:hint="eastAsia"/>
                      <w:snapToGrid w:val="0"/>
                      <w:color w:val="auto"/>
                      <w:szCs w:val="21"/>
                    </w:rPr>
                    <w:t>），位于</w:t>
                  </w:r>
                  <w:r>
                    <w:rPr>
                      <w:rFonts w:hint="eastAsia"/>
                      <w:snapToGrid w:val="0"/>
                      <w:color w:val="auto"/>
                      <w:szCs w:val="21"/>
                      <w:lang w:val="en-US" w:eastAsia="zh-CN"/>
                    </w:rPr>
                    <w:t>厂区南</w:t>
                  </w:r>
                  <w:r>
                    <w:rPr>
                      <w:rFonts w:hint="eastAsia"/>
                      <w:snapToGrid w:val="0"/>
                      <w:color w:val="auto"/>
                      <w:szCs w:val="21"/>
                    </w:rPr>
                    <w:t>侧，一般固废于一般固废暂存库内暂存；新建危废暂存库（</w:t>
                  </w:r>
                  <w:r>
                    <w:rPr>
                      <w:snapToGrid w:val="0"/>
                      <w:color w:val="auto"/>
                      <w:szCs w:val="21"/>
                    </w:rPr>
                    <w:t>10m</w:t>
                  </w:r>
                  <w:r>
                    <w:rPr>
                      <w:snapToGrid w:val="0"/>
                      <w:color w:val="auto"/>
                      <w:szCs w:val="21"/>
                      <w:vertAlign w:val="superscript"/>
                    </w:rPr>
                    <w:t>2</w:t>
                  </w:r>
                  <w:r>
                    <w:rPr>
                      <w:rFonts w:hint="eastAsia"/>
                      <w:snapToGrid w:val="0"/>
                      <w:color w:val="auto"/>
                      <w:szCs w:val="21"/>
                    </w:rPr>
                    <w:t>），位于</w:t>
                  </w:r>
                  <w:r>
                    <w:rPr>
                      <w:rFonts w:hint="eastAsia"/>
                      <w:snapToGrid w:val="0"/>
                      <w:color w:val="auto"/>
                      <w:szCs w:val="21"/>
                      <w:lang w:val="en-US" w:eastAsia="zh-CN"/>
                    </w:rPr>
                    <w:t>厂区南</w:t>
                  </w:r>
                  <w:r>
                    <w:rPr>
                      <w:snapToGrid w:val="0"/>
                      <w:color w:val="auto"/>
                      <w:szCs w:val="21"/>
                    </w:rPr>
                    <w:t>侧，</w:t>
                  </w:r>
                  <w:r>
                    <w:rPr>
                      <w:rFonts w:hint="eastAsia"/>
                      <w:snapToGrid w:val="0"/>
                      <w:color w:val="auto"/>
                      <w:szCs w:val="21"/>
                    </w:rPr>
                    <w:t>危险废物于危废暂存库暂存</w:t>
                  </w:r>
                  <w:r>
                    <w:rPr>
                      <w:rFonts w:hint="eastAsia"/>
                      <w:snapToGrid w:val="0"/>
                      <w:color w:val="auto"/>
                      <w:szCs w:val="21"/>
                      <w:lang w:eastAsia="zh-CN"/>
                    </w:rPr>
                    <w:t>，</w:t>
                  </w:r>
                  <w:r>
                    <w:rPr>
                      <w:color w:val="auto"/>
                      <w:szCs w:val="21"/>
                    </w:rPr>
                    <w:t>定期交</w:t>
                  </w:r>
                  <w:r>
                    <w:rPr>
                      <w:rFonts w:hint="eastAsia"/>
                      <w:color w:val="auto"/>
                      <w:szCs w:val="21"/>
                    </w:rPr>
                    <w:t>由有</w:t>
                  </w:r>
                  <w:r>
                    <w:rPr>
                      <w:color w:val="auto"/>
                      <w:szCs w:val="21"/>
                    </w:rPr>
                    <w:t>相关危废资质单位处理</w:t>
                  </w:r>
                </w:p>
              </w:tc>
              <w:tc>
                <w:tcPr>
                  <w:tcW w:w="687" w:type="pct"/>
                  <w:tcBorders>
                    <w:tl2br w:val="nil"/>
                    <w:tr2bl w:val="nil"/>
                  </w:tcBorders>
                  <w:vAlign w:val="center"/>
                </w:tcPr>
                <w:p w14:paraId="0D8FF50F">
                  <w:pPr>
                    <w:jc w:val="center"/>
                    <w:rPr>
                      <w:szCs w:val="21"/>
                    </w:rPr>
                  </w:pPr>
                  <w:r>
                    <w:rPr>
                      <w:rFonts w:hint="eastAsia"/>
                      <w:szCs w:val="21"/>
                    </w:rPr>
                    <w:t>新建</w:t>
                  </w:r>
                </w:p>
              </w:tc>
            </w:tr>
          </w:tbl>
          <w:p w14:paraId="6318FE3F">
            <w:pPr>
              <w:keepNext w:val="0"/>
              <w:keepLines w:val="0"/>
              <w:pageBreakBefore w:val="0"/>
              <w:widowControl w:val="0"/>
              <w:kinsoku/>
              <w:wordWrap/>
              <w:overflowPunct/>
              <w:topLinePunct w:val="0"/>
              <w:autoSpaceDE/>
              <w:autoSpaceDN/>
              <w:bidi w:val="0"/>
              <w:adjustRightInd/>
              <w:snapToGrid/>
              <w:spacing w:beforeAutospacing="0" w:line="360" w:lineRule="auto"/>
              <w:ind w:firstLine="482" w:firstLineChars="200"/>
              <w:textAlignment w:val="auto"/>
              <w:rPr>
                <w:b/>
                <w:kern w:val="0"/>
                <w:sz w:val="24"/>
              </w:rPr>
            </w:pPr>
            <w:r>
              <w:rPr>
                <w:rFonts w:hint="eastAsia"/>
                <w:b/>
                <w:kern w:val="0"/>
                <w:sz w:val="24"/>
              </w:rPr>
              <w:t>4、主要生产设施</w:t>
            </w:r>
          </w:p>
          <w:p w14:paraId="208D44CE">
            <w:pPr>
              <w:keepNext w:val="0"/>
              <w:keepLines w:val="0"/>
              <w:pageBreakBefore w:val="0"/>
              <w:widowControl w:val="0"/>
              <w:kinsoku/>
              <w:wordWrap/>
              <w:overflowPunct/>
              <w:topLinePunct w:val="0"/>
              <w:autoSpaceDE/>
              <w:autoSpaceDN/>
              <w:bidi w:val="0"/>
              <w:adjustRightInd w:val="0"/>
              <w:snapToGrid/>
              <w:spacing w:beforeAutospacing="0" w:line="360" w:lineRule="auto"/>
              <w:ind w:firstLine="480" w:firstLineChars="200"/>
              <w:textAlignment w:val="auto"/>
              <w:rPr>
                <w:b/>
                <w:sz w:val="24"/>
              </w:rPr>
            </w:pPr>
            <w:r>
              <w:rPr>
                <w:rFonts w:hint="eastAsia"/>
                <w:kern w:val="0"/>
                <w:sz w:val="24"/>
                <w:szCs w:val="20"/>
              </w:rPr>
              <w:t>本项目主要生产设施见下表。</w:t>
            </w:r>
          </w:p>
          <w:p w14:paraId="090C1716">
            <w:pPr>
              <w:keepNext w:val="0"/>
              <w:keepLines w:val="0"/>
              <w:pageBreakBefore w:val="0"/>
              <w:widowControl w:val="0"/>
              <w:kinsoku/>
              <w:wordWrap/>
              <w:overflowPunct/>
              <w:topLinePunct w:val="0"/>
              <w:autoSpaceDE/>
              <w:autoSpaceDN/>
              <w:bidi w:val="0"/>
              <w:adjustRightInd w:val="0"/>
              <w:snapToGrid/>
              <w:spacing w:beforeAutospacing="0" w:line="240" w:lineRule="auto"/>
              <w:jc w:val="center"/>
              <w:textAlignment w:val="auto"/>
              <w:rPr>
                <w:b/>
                <w:sz w:val="24"/>
              </w:rPr>
            </w:pPr>
            <w:r>
              <w:rPr>
                <w:b/>
                <w:sz w:val="24"/>
              </w:rPr>
              <w:t>表</w:t>
            </w:r>
            <w:r>
              <w:rPr>
                <w:rFonts w:hint="eastAsia"/>
                <w:b/>
                <w:sz w:val="24"/>
              </w:rPr>
              <w:t>2</w:t>
            </w:r>
            <w:r>
              <w:rPr>
                <w:b/>
                <w:sz w:val="24"/>
              </w:rPr>
              <w:t>-</w:t>
            </w:r>
            <w:r>
              <w:rPr>
                <w:rFonts w:hint="eastAsia"/>
                <w:b/>
                <w:sz w:val="24"/>
                <w:lang w:val="en-US" w:eastAsia="zh-CN"/>
              </w:rPr>
              <w:t>5</w:t>
            </w:r>
            <w:r>
              <w:rPr>
                <w:b/>
                <w:sz w:val="24"/>
              </w:rPr>
              <w:t xml:space="preserve">  项目主要</w:t>
            </w:r>
            <w:r>
              <w:rPr>
                <w:rFonts w:hint="eastAsia"/>
                <w:b/>
                <w:sz w:val="24"/>
              </w:rPr>
              <w:t>设施</w:t>
            </w:r>
            <w:r>
              <w:rPr>
                <w:b/>
                <w:sz w:val="24"/>
              </w:rPr>
              <w:t>一览表</w:t>
            </w:r>
          </w:p>
          <w:tbl>
            <w:tblPr>
              <w:tblStyle w:val="59"/>
              <w:tblW w:w="4961"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101"/>
              <w:gridCol w:w="1964"/>
              <w:gridCol w:w="2981"/>
              <w:gridCol w:w="2279"/>
            </w:tblGrid>
            <w:tr w14:paraId="69DD8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trPr>
              <w:tc>
                <w:tcPr>
                  <w:tcW w:w="661" w:type="pct"/>
                  <w:tcBorders>
                    <w:tl2br w:val="nil"/>
                    <w:tr2bl w:val="nil"/>
                  </w:tcBorders>
                  <w:vAlign w:val="center"/>
                </w:tcPr>
                <w:p w14:paraId="2FDE5945">
                  <w:pPr>
                    <w:pStyle w:val="219"/>
                    <w:spacing w:before="0"/>
                    <w:rPr>
                      <w:rFonts w:ascii="Times New Roman" w:hAnsi="Times New Roman" w:cs="Times New Roman"/>
                      <w:b/>
                      <w:sz w:val="21"/>
                      <w:szCs w:val="21"/>
                    </w:rPr>
                  </w:pPr>
                  <w:r>
                    <w:rPr>
                      <w:rFonts w:ascii="Times New Roman" w:hAnsi="Times New Roman" w:cs="Times New Roman"/>
                      <w:b/>
                      <w:sz w:val="21"/>
                      <w:szCs w:val="21"/>
                    </w:rPr>
                    <w:t>序号</w:t>
                  </w:r>
                </w:p>
              </w:tc>
              <w:tc>
                <w:tcPr>
                  <w:tcW w:w="1179" w:type="pct"/>
                  <w:tcBorders>
                    <w:tl2br w:val="nil"/>
                    <w:tr2bl w:val="nil"/>
                  </w:tcBorders>
                  <w:vAlign w:val="center"/>
                </w:tcPr>
                <w:p w14:paraId="00138157">
                  <w:pPr>
                    <w:pStyle w:val="219"/>
                    <w:spacing w:before="0"/>
                    <w:rPr>
                      <w:rFonts w:ascii="Times New Roman" w:hAnsi="Times New Roman" w:cs="Times New Roman"/>
                      <w:b/>
                      <w:sz w:val="21"/>
                      <w:szCs w:val="21"/>
                    </w:rPr>
                  </w:pPr>
                  <w:r>
                    <w:rPr>
                      <w:rFonts w:ascii="Times New Roman" w:hAnsi="Times New Roman" w:cs="Times New Roman"/>
                      <w:b/>
                      <w:sz w:val="21"/>
                      <w:szCs w:val="21"/>
                    </w:rPr>
                    <w:t>名称</w:t>
                  </w:r>
                </w:p>
              </w:tc>
              <w:tc>
                <w:tcPr>
                  <w:tcW w:w="1790" w:type="pct"/>
                  <w:tcBorders>
                    <w:tl2br w:val="nil"/>
                    <w:tr2bl w:val="nil"/>
                  </w:tcBorders>
                  <w:vAlign w:val="center"/>
                </w:tcPr>
                <w:p w14:paraId="07558ED9">
                  <w:pPr>
                    <w:pStyle w:val="219"/>
                    <w:spacing w:before="0"/>
                    <w:rPr>
                      <w:rFonts w:ascii="Times New Roman" w:hAnsi="Times New Roman" w:cs="Times New Roman"/>
                      <w:b/>
                      <w:sz w:val="21"/>
                      <w:szCs w:val="21"/>
                    </w:rPr>
                  </w:pPr>
                  <w:r>
                    <w:rPr>
                      <w:rFonts w:ascii="Times New Roman" w:hAnsi="Times New Roman" w:cs="Times New Roman"/>
                      <w:b/>
                      <w:sz w:val="21"/>
                      <w:szCs w:val="21"/>
                    </w:rPr>
                    <w:t>规格型号</w:t>
                  </w:r>
                </w:p>
              </w:tc>
              <w:tc>
                <w:tcPr>
                  <w:tcW w:w="1368" w:type="pct"/>
                  <w:tcBorders>
                    <w:tl2br w:val="nil"/>
                    <w:tr2bl w:val="nil"/>
                  </w:tcBorders>
                  <w:vAlign w:val="center"/>
                </w:tcPr>
                <w:p w14:paraId="7855BCB3">
                  <w:pPr>
                    <w:pStyle w:val="219"/>
                    <w:spacing w:before="0"/>
                    <w:rPr>
                      <w:rFonts w:ascii="Times New Roman" w:hAnsi="Times New Roman" w:cs="Times New Roman"/>
                      <w:b/>
                      <w:sz w:val="21"/>
                      <w:szCs w:val="21"/>
                    </w:rPr>
                  </w:pPr>
                  <w:r>
                    <w:rPr>
                      <w:rFonts w:ascii="Times New Roman" w:hAnsi="Times New Roman" w:cs="Times New Roman"/>
                      <w:b/>
                      <w:sz w:val="21"/>
                      <w:szCs w:val="21"/>
                    </w:rPr>
                    <w:t>数量（台/套）</w:t>
                  </w:r>
                </w:p>
              </w:tc>
            </w:tr>
            <w:tr w14:paraId="19E37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9" w:hRule="atLeast"/>
              </w:trPr>
              <w:tc>
                <w:tcPr>
                  <w:tcW w:w="661" w:type="pct"/>
                  <w:tcBorders>
                    <w:tl2br w:val="nil"/>
                    <w:tr2bl w:val="nil"/>
                  </w:tcBorders>
                  <w:vAlign w:val="center"/>
                </w:tcPr>
                <w:p w14:paraId="72BD45D6">
                  <w:pPr>
                    <w:pStyle w:val="219"/>
                    <w:spacing w:before="0"/>
                    <w:rPr>
                      <w:rFonts w:ascii="Times New Roman" w:hAnsi="Times New Roman" w:cs="Times New Roman"/>
                      <w:sz w:val="21"/>
                      <w:szCs w:val="21"/>
                    </w:rPr>
                  </w:pPr>
                  <w:r>
                    <w:rPr>
                      <w:rFonts w:ascii="Times New Roman" w:hAnsi="Times New Roman" w:cs="Times New Roman"/>
                      <w:sz w:val="21"/>
                      <w:szCs w:val="21"/>
                    </w:rPr>
                    <w:t>1</w:t>
                  </w:r>
                </w:p>
              </w:tc>
              <w:tc>
                <w:tcPr>
                  <w:tcW w:w="1179" w:type="pct"/>
                  <w:tcBorders>
                    <w:tl2br w:val="nil"/>
                    <w:tr2bl w:val="nil"/>
                  </w:tcBorders>
                  <w:vAlign w:val="center"/>
                </w:tcPr>
                <w:p w14:paraId="622D24BE">
                  <w:pPr>
                    <w:jc w:val="center"/>
                    <w:rPr>
                      <w:rFonts w:hint="eastAsia"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点焊机器人</w:t>
                  </w:r>
                </w:p>
              </w:tc>
              <w:tc>
                <w:tcPr>
                  <w:tcW w:w="1790" w:type="pct"/>
                  <w:tcBorders>
                    <w:tl2br w:val="nil"/>
                    <w:tr2bl w:val="nil"/>
                  </w:tcBorders>
                  <w:vAlign w:val="center"/>
                </w:tcPr>
                <w:p w14:paraId="78E76C8E">
                  <w:pPr>
                    <w:jc w:val="center"/>
                    <w:rPr>
                      <w:szCs w:val="21"/>
                    </w:rPr>
                  </w:pPr>
                  <w:r>
                    <w:rPr>
                      <w:rFonts w:hint="eastAsia"/>
                      <w:szCs w:val="21"/>
                    </w:rPr>
                    <w:t>库卡KR210-270</w:t>
                  </w:r>
                  <w:r>
                    <w:rPr>
                      <w:rFonts w:hint="eastAsia" w:ascii="Times New Roman" w:hAnsi="Times New Roman" w:eastAsia="宋体" w:cs="Times New Roman"/>
                      <w:szCs w:val="21"/>
                    </w:rPr>
                    <w:t>0-2</w:t>
                  </w:r>
                </w:p>
              </w:tc>
              <w:tc>
                <w:tcPr>
                  <w:tcW w:w="1368" w:type="pct"/>
                  <w:tcBorders>
                    <w:tl2br w:val="nil"/>
                    <w:tr2bl w:val="nil"/>
                  </w:tcBorders>
                  <w:vAlign w:val="center"/>
                </w:tcPr>
                <w:p w14:paraId="613C7420">
                  <w:pPr>
                    <w:jc w:val="center"/>
                    <w:rPr>
                      <w:rFonts w:hint="default" w:eastAsia="宋体"/>
                      <w:szCs w:val="21"/>
                      <w:lang w:val="en-US" w:eastAsia="zh-CN"/>
                    </w:rPr>
                  </w:pPr>
                  <w:r>
                    <w:rPr>
                      <w:rFonts w:hint="eastAsia"/>
                      <w:szCs w:val="21"/>
                      <w:lang w:val="en-US" w:eastAsia="zh-CN"/>
                    </w:rPr>
                    <w:t>97</w:t>
                  </w:r>
                </w:p>
              </w:tc>
            </w:tr>
            <w:tr w14:paraId="1DCDD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tcBorders>
                    <w:tl2br w:val="nil"/>
                    <w:tr2bl w:val="nil"/>
                  </w:tcBorders>
                  <w:vAlign w:val="center"/>
                </w:tcPr>
                <w:p w14:paraId="460EF7F3">
                  <w:pPr>
                    <w:pStyle w:val="219"/>
                    <w:spacing w:before="0"/>
                    <w:rPr>
                      <w:rFonts w:ascii="Times New Roman" w:hAnsi="Times New Roman" w:cs="Times New Roman"/>
                      <w:sz w:val="21"/>
                      <w:szCs w:val="21"/>
                    </w:rPr>
                  </w:pPr>
                  <w:r>
                    <w:rPr>
                      <w:rFonts w:ascii="Times New Roman" w:hAnsi="Times New Roman" w:cs="Times New Roman"/>
                      <w:sz w:val="21"/>
                      <w:szCs w:val="21"/>
                    </w:rPr>
                    <w:t>2</w:t>
                  </w:r>
                </w:p>
              </w:tc>
              <w:tc>
                <w:tcPr>
                  <w:tcW w:w="1179" w:type="pct"/>
                  <w:tcBorders>
                    <w:tl2br w:val="nil"/>
                    <w:tr2bl w:val="nil"/>
                  </w:tcBorders>
                  <w:vAlign w:val="center"/>
                </w:tcPr>
                <w:p w14:paraId="474AF8E6">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弧焊机器人</w:t>
                  </w:r>
                </w:p>
              </w:tc>
              <w:tc>
                <w:tcPr>
                  <w:tcW w:w="1790" w:type="pct"/>
                  <w:tcBorders>
                    <w:tl2br w:val="nil"/>
                    <w:tr2bl w:val="nil"/>
                  </w:tcBorders>
                  <w:vAlign w:val="center"/>
                </w:tcPr>
                <w:p w14:paraId="223B5E4E">
                  <w:pPr>
                    <w:jc w:val="center"/>
                    <w:rPr>
                      <w:szCs w:val="21"/>
                    </w:rPr>
                  </w:pPr>
                  <w:r>
                    <w:rPr>
                      <w:rFonts w:hint="eastAsia" w:ascii="Times New Roman" w:hAnsi="Times New Roman" w:eastAsia="宋体" w:cs="Times New Roman"/>
                      <w:szCs w:val="21"/>
                      <w:lang w:val="en-US" w:eastAsia="zh-CN"/>
                    </w:rPr>
                    <w:t>埃斯顿ER8-1450</w:t>
                  </w:r>
                </w:p>
              </w:tc>
              <w:tc>
                <w:tcPr>
                  <w:tcW w:w="1368" w:type="pct"/>
                  <w:tcBorders>
                    <w:tl2br w:val="nil"/>
                    <w:tr2bl w:val="nil"/>
                  </w:tcBorders>
                  <w:vAlign w:val="center"/>
                </w:tcPr>
                <w:p w14:paraId="5A9DAC81">
                  <w:pPr>
                    <w:jc w:val="center"/>
                    <w:rPr>
                      <w:rFonts w:hint="default" w:eastAsia="宋体"/>
                      <w:szCs w:val="21"/>
                      <w:lang w:val="en-US" w:eastAsia="zh-CN"/>
                    </w:rPr>
                  </w:pPr>
                  <w:r>
                    <w:rPr>
                      <w:rFonts w:hint="eastAsia"/>
                      <w:szCs w:val="21"/>
                      <w:lang w:val="en-US" w:eastAsia="zh-CN"/>
                    </w:rPr>
                    <w:t>26</w:t>
                  </w:r>
                </w:p>
              </w:tc>
            </w:tr>
            <w:tr w14:paraId="07522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tcBorders>
                    <w:tl2br w:val="nil"/>
                    <w:tr2bl w:val="nil"/>
                  </w:tcBorders>
                  <w:vAlign w:val="center"/>
                </w:tcPr>
                <w:p w14:paraId="7C607A8A">
                  <w:pPr>
                    <w:pStyle w:val="219"/>
                    <w:spacing w:before="0"/>
                    <w:rPr>
                      <w:rFonts w:ascii="Times New Roman" w:hAnsi="Times New Roman" w:cs="Times New Roman"/>
                      <w:sz w:val="21"/>
                      <w:szCs w:val="21"/>
                    </w:rPr>
                  </w:pPr>
                  <w:r>
                    <w:rPr>
                      <w:rFonts w:ascii="Times New Roman" w:hAnsi="Times New Roman" w:cs="Times New Roman"/>
                      <w:sz w:val="21"/>
                      <w:szCs w:val="21"/>
                    </w:rPr>
                    <w:t>3</w:t>
                  </w:r>
                </w:p>
              </w:tc>
              <w:tc>
                <w:tcPr>
                  <w:tcW w:w="1179" w:type="pct"/>
                  <w:tcBorders>
                    <w:tl2br w:val="nil"/>
                    <w:tr2bl w:val="nil"/>
                  </w:tcBorders>
                  <w:vAlign w:val="center"/>
                </w:tcPr>
                <w:p w14:paraId="1C4A055C">
                  <w:pPr>
                    <w:jc w:val="center"/>
                    <w:rPr>
                      <w:rFonts w:hint="eastAsia" w:ascii="Times New Roman" w:hAnsi="Times New Roman" w:eastAsia="宋体" w:cs="Times New Roman"/>
                      <w:szCs w:val="21"/>
                    </w:rPr>
                  </w:pPr>
                  <w:r>
                    <w:rPr>
                      <w:rFonts w:hint="default" w:ascii="Times New Roman" w:hAnsi="Times New Roman" w:eastAsia="宋体" w:cs="Times New Roman"/>
                      <w:szCs w:val="21"/>
                      <w:lang w:val="en-US" w:eastAsia="zh-CN"/>
                    </w:rPr>
                    <w:t>手工弧焊机</w:t>
                  </w:r>
                </w:p>
              </w:tc>
              <w:tc>
                <w:tcPr>
                  <w:tcW w:w="1790" w:type="pct"/>
                  <w:tcBorders>
                    <w:tl2br w:val="nil"/>
                    <w:tr2bl w:val="nil"/>
                  </w:tcBorders>
                  <w:vAlign w:val="center"/>
                </w:tcPr>
                <w:p w14:paraId="5EBC4C66">
                  <w:pPr>
                    <w:jc w:val="center"/>
                    <w:rPr>
                      <w:szCs w:val="21"/>
                    </w:rPr>
                  </w:pPr>
                  <w:r>
                    <w:rPr>
                      <w:rFonts w:hint="eastAsia"/>
                      <w:szCs w:val="21"/>
                    </w:rPr>
                    <w:t>沪工NB-250F</w:t>
                  </w:r>
                </w:p>
              </w:tc>
              <w:tc>
                <w:tcPr>
                  <w:tcW w:w="1368" w:type="pct"/>
                  <w:tcBorders>
                    <w:tl2br w:val="nil"/>
                    <w:tr2bl w:val="nil"/>
                  </w:tcBorders>
                  <w:vAlign w:val="center"/>
                </w:tcPr>
                <w:p w14:paraId="78CBC4CF">
                  <w:pPr>
                    <w:jc w:val="center"/>
                    <w:rPr>
                      <w:rFonts w:hint="default" w:eastAsia="宋体"/>
                      <w:szCs w:val="21"/>
                      <w:lang w:val="en-US" w:eastAsia="zh-CN"/>
                    </w:rPr>
                  </w:pPr>
                  <w:r>
                    <w:rPr>
                      <w:rFonts w:hint="eastAsia"/>
                      <w:szCs w:val="21"/>
                      <w:lang w:val="en-US" w:eastAsia="zh-CN"/>
                    </w:rPr>
                    <w:t>30</w:t>
                  </w:r>
                </w:p>
              </w:tc>
            </w:tr>
            <w:tr w14:paraId="592E6E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tcBorders>
                    <w:tl2br w:val="nil"/>
                    <w:tr2bl w:val="nil"/>
                  </w:tcBorders>
                  <w:vAlign w:val="center"/>
                </w:tcPr>
                <w:p w14:paraId="76997DF6">
                  <w:pPr>
                    <w:pStyle w:val="219"/>
                    <w:spacing w:before="0"/>
                    <w:rPr>
                      <w:rFonts w:ascii="Times New Roman" w:hAnsi="Times New Roman" w:cs="Times New Roman"/>
                      <w:sz w:val="21"/>
                      <w:szCs w:val="21"/>
                    </w:rPr>
                  </w:pPr>
                  <w:r>
                    <w:rPr>
                      <w:rFonts w:ascii="Times New Roman" w:hAnsi="Times New Roman" w:cs="Times New Roman"/>
                      <w:sz w:val="21"/>
                      <w:szCs w:val="21"/>
                    </w:rPr>
                    <w:t>4</w:t>
                  </w:r>
                </w:p>
              </w:tc>
              <w:tc>
                <w:tcPr>
                  <w:tcW w:w="1179" w:type="pct"/>
                  <w:tcBorders>
                    <w:tl2br w:val="nil"/>
                    <w:tr2bl w:val="nil"/>
                  </w:tcBorders>
                  <w:vAlign w:val="center"/>
                </w:tcPr>
                <w:p w14:paraId="79822AB1">
                  <w:pPr>
                    <w:jc w:val="center"/>
                    <w:rPr>
                      <w:szCs w:val="21"/>
                    </w:rPr>
                  </w:pPr>
                  <w:r>
                    <w:rPr>
                      <w:rFonts w:hint="eastAsia"/>
                      <w:szCs w:val="21"/>
                    </w:rPr>
                    <w:t>双头储能凸焊机</w:t>
                  </w:r>
                </w:p>
              </w:tc>
              <w:tc>
                <w:tcPr>
                  <w:tcW w:w="1790" w:type="pct"/>
                  <w:tcBorders>
                    <w:tl2br w:val="nil"/>
                    <w:tr2bl w:val="nil"/>
                  </w:tcBorders>
                  <w:vAlign w:val="center"/>
                </w:tcPr>
                <w:p w14:paraId="11ACD0E6">
                  <w:pPr>
                    <w:spacing w:line="300" w:lineRule="exact"/>
                    <w:ind w:left="42" w:leftChars="20" w:right="42" w:rightChars="20"/>
                    <w:jc w:val="center"/>
                    <w:rPr>
                      <w:szCs w:val="21"/>
                    </w:rPr>
                  </w:pPr>
                  <w:r>
                    <w:rPr>
                      <w:rFonts w:hint="eastAsia"/>
                      <w:szCs w:val="21"/>
                    </w:rPr>
                    <w:t>20000J</w:t>
                  </w:r>
                </w:p>
              </w:tc>
              <w:tc>
                <w:tcPr>
                  <w:tcW w:w="1368" w:type="pct"/>
                  <w:tcBorders>
                    <w:tl2br w:val="nil"/>
                    <w:tr2bl w:val="nil"/>
                  </w:tcBorders>
                  <w:vAlign w:val="center"/>
                </w:tcPr>
                <w:p w14:paraId="2DD6C021">
                  <w:pPr>
                    <w:jc w:val="center"/>
                    <w:rPr>
                      <w:rFonts w:hint="default" w:eastAsia="宋体"/>
                      <w:szCs w:val="21"/>
                      <w:lang w:val="en-US" w:eastAsia="zh-CN"/>
                    </w:rPr>
                  </w:pPr>
                  <w:r>
                    <w:rPr>
                      <w:rFonts w:hint="eastAsia"/>
                      <w:szCs w:val="21"/>
                      <w:lang w:val="en-US" w:eastAsia="zh-CN"/>
                    </w:rPr>
                    <w:t>5</w:t>
                  </w:r>
                </w:p>
              </w:tc>
            </w:tr>
            <w:tr w14:paraId="665A2E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restart"/>
                  <w:tcBorders>
                    <w:tl2br w:val="nil"/>
                    <w:tr2bl w:val="nil"/>
                  </w:tcBorders>
                  <w:vAlign w:val="center"/>
                </w:tcPr>
                <w:p w14:paraId="655A708B">
                  <w:pPr>
                    <w:pStyle w:val="219"/>
                    <w:spacing w:before="0"/>
                    <w:rPr>
                      <w:rFonts w:ascii="Times New Roman" w:hAnsi="Times New Roman" w:cs="Times New Roman"/>
                      <w:sz w:val="21"/>
                      <w:szCs w:val="21"/>
                    </w:rPr>
                  </w:pPr>
                  <w:r>
                    <w:rPr>
                      <w:rFonts w:ascii="Times New Roman" w:hAnsi="Times New Roman" w:cs="Times New Roman"/>
                      <w:sz w:val="21"/>
                      <w:szCs w:val="21"/>
                    </w:rPr>
                    <w:t>5</w:t>
                  </w:r>
                </w:p>
              </w:tc>
              <w:tc>
                <w:tcPr>
                  <w:tcW w:w="1179" w:type="pct"/>
                  <w:vMerge w:val="restart"/>
                  <w:tcBorders>
                    <w:tl2br w:val="nil"/>
                    <w:tr2bl w:val="nil"/>
                  </w:tcBorders>
                  <w:vAlign w:val="center"/>
                </w:tcPr>
                <w:p w14:paraId="599C6D52">
                  <w:pPr>
                    <w:jc w:val="center"/>
                    <w:rPr>
                      <w:rFonts w:hint="eastAsia" w:eastAsia="宋体"/>
                      <w:szCs w:val="21"/>
                      <w:lang w:eastAsia="zh-CN"/>
                    </w:rPr>
                  </w:pPr>
                  <w:r>
                    <w:rPr>
                      <w:rFonts w:hint="eastAsia"/>
                      <w:lang w:val="en-US" w:eastAsia="zh-CN"/>
                    </w:rPr>
                    <w:t>冲压机</w:t>
                  </w:r>
                </w:p>
              </w:tc>
              <w:tc>
                <w:tcPr>
                  <w:tcW w:w="1790" w:type="pct"/>
                  <w:tcBorders>
                    <w:tl2br w:val="nil"/>
                    <w:tr2bl w:val="nil"/>
                  </w:tcBorders>
                  <w:vAlign w:val="center"/>
                </w:tcPr>
                <w:p w14:paraId="611AC10C">
                  <w:pPr>
                    <w:spacing w:line="300" w:lineRule="exact"/>
                    <w:ind w:left="42" w:leftChars="20" w:right="42" w:rightChars="20"/>
                    <w:jc w:val="center"/>
                    <w:rPr>
                      <w:rFonts w:hint="default" w:eastAsia="宋体"/>
                      <w:szCs w:val="21"/>
                      <w:lang w:val="en-US" w:eastAsia="zh-CN"/>
                    </w:rPr>
                  </w:pPr>
                  <w:r>
                    <w:rPr>
                      <w:rFonts w:hint="default" w:eastAsia="宋体"/>
                      <w:szCs w:val="21"/>
                      <w:lang w:val="en-US" w:eastAsia="zh-CN"/>
                    </w:rPr>
                    <w:t xml:space="preserve"> YS4L-1600</w:t>
                  </w:r>
                </w:p>
              </w:tc>
              <w:tc>
                <w:tcPr>
                  <w:tcW w:w="1368" w:type="pct"/>
                  <w:tcBorders>
                    <w:tl2br w:val="nil"/>
                    <w:tr2bl w:val="nil"/>
                  </w:tcBorders>
                  <w:vAlign w:val="center"/>
                </w:tcPr>
                <w:p w14:paraId="5A6CD687">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r>
            <w:tr w14:paraId="56D8B8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464C2249">
                  <w:pPr>
                    <w:pStyle w:val="219"/>
                    <w:spacing w:before="0"/>
                    <w:rPr>
                      <w:rFonts w:hint="eastAsia" w:ascii="Times New Roman" w:hAnsi="Times New Roman" w:eastAsia="宋体" w:cs="Times New Roman"/>
                      <w:sz w:val="21"/>
                      <w:szCs w:val="21"/>
                      <w:lang w:val="en-US" w:eastAsia="zh-CN"/>
                    </w:rPr>
                  </w:pPr>
                </w:p>
              </w:tc>
              <w:tc>
                <w:tcPr>
                  <w:tcW w:w="1179" w:type="pct"/>
                  <w:vMerge w:val="continue"/>
                  <w:tcBorders>
                    <w:tl2br w:val="nil"/>
                    <w:tr2bl w:val="nil"/>
                  </w:tcBorders>
                  <w:vAlign w:val="center"/>
                </w:tcPr>
                <w:p w14:paraId="2CC98DAF">
                  <w:pPr>
                    <w:jc w:val="center"/>
                    <w:rPr>
                      <w:rFonts w:hint="eastAsia"/>
                      <w:lang w:val="en-US" w:eastAsia="zh-CN"/>
                    </w:rPr>
                  </w:pPr>
                </w:p>
              </w:tc>
              <w:tc>
                <w:tcPr>
                  <w:tcW w:w="1790" w:type="pct"/>
                  <w:tcBorders>
                    <w:tl2br w:val="nil"/>
                    <w:tr2bl w:val="nil"/>
                  </w:tcBorders>
                  <w:vAlign w:val="center"/>
                </w:tcPr>
                <w:p w14:paraId="056AC602">
                  <w:pPr>
                    <w:spacing w:line="300" w:lineRule="exact"/>
                    <w:ind w:left="42" w:leftChars="20" w:right="42" w:rightChars="20"/>
                    <w:jc w:val="center"/>
                    <w:rPr>
                      <w:rFonts w:hint="default"/>
                      <w:szCs w:val="21"/>
                      <w:lang w:val="en-US" w:eastAsia="zh-CN"/>
                    </w:rPr>
                  </w:pPr>
                  <w:r>
                    <w:rPr>
                      <w:rFonts w:hint="default"/>
                      <w:szCs w:val="21"/>
                      <w:lang w:val="en-US" w:eastAsia="zh-CN"/>
                    </w:rPr>
                    <w:t>YS2-800</w:t>
                  </w:r>
                </w:p>
              </w:tc>
              <w:tc>
                <w:tcPr>
                  <w:tcW w:w="1368" w:type="pct"/>
                  <w:tcBorders>
                    <w:tl2br w:val="nil"/>
                    <w:tr2bl w:val="nil"/>
                  </w:tcBorders>
                  <w:vAlign w:val="center"/>
                </w:tcPr>
                <w:p w14:paraId="6878B4C5">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r>
            <w:tr w14:paraId="7D5A0E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6B198DDA">
                  <w:pPr>
                    <w:pStyle w:val="219"/>
                    <w:spacing w:before="0"/>
                    <w:rPr>
                      <w:rFonts w:hint="eastAsia" w:ascii="Times New Roman" w:hAnsi="Times New Roman" w:eastAsia="宋体" w:cs="Times New Roman"/>
                      <w:sz w:val="21"/>
                      <w:szCs w:val="21"/>
                      <w:lang w:val="en-US" w:eastAsia="zh-CN"/>
                    </w:rPr>
                  </w:pPr>
                </w:p>
              </w:tc>
              <w:tc>
                <w:tcPr>
                  <w:tcW w:w="1179" w:type="pct"/>
                  <w:vMerge w:val="continue"/>
                  <w:tcBorders>
                    <w:tl2br w:val="nil"/>
                    <w:tr2bl w:val="nil"/>
                  </w:tcBorders>
                  <w:vAlign w:val="center"/>
                </w:tcPr>
                <w:p w14:paraId="644DBF22">
                  <w:pPr>
                    <w:jc w:val="center"/>
                    <w:rPr>
                      <w:rFonts w:hint="eastAsia"/>
                      <w:lang w:val="en-US" w:eastAsia="zh-CN"/>
                    </w:rPr>
                  </w:pPr>
                </w:p>
              </w:tc>
              <w:tc>
                <w:tcPr>
                  <w:tcW w:w="1790" w:type="pct"/>
                  <w:tcBorders>
                    <w:tl2br w:val="nil"/>
                    <w:tr2bl w:val="nil"/>
                  </w:tcBorders>
                  <w:vAlign w:val="center"/>
                </w:tcPr>
                <w:p w14:paraId="23AC5008">
                  <w:pPr>
                    <w:spacing w:line="300" w:lineRule="exact"/>
                    <w:ind w:left="42" w:leftChars="20" w:right="42" w:rightChars="2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YS2-1000</w:t>
                  </w:r>
                </w:p>
              </w:tc>
              <w:tc>
                <w:tcPr>
                  <w:tcW w:w="1368" w:type="pct"/>
                  <w:tcBorders>
                    <w:tl2br w:val="nil"/>
                    <w:tr2bl w:val="nil"/>
                  </w:tcBorders>
                  <w:vAlign w:val="center"/>
                </w:tcPr>
                <w:p w14:paraId="614414FA">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r>
            <w:tr w14:paraId="50083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370451A5">
                  <w:pPr>
                    <w:pStyle w:val="219"/>
                    <w:spacing w:before="0"/>
                    <w:rPr>
                      <w:rFonts w:ascii="Times New Roman" w:hAnsi="Times New Roman" w:cs="Times New Roman"/>
                      <w:sz w:val="21"/>
                      <w:szCs w:val="21"/>
                    </w:rPr>
                  </w:pPr>
                </w:p>
              </w:tc>
              <w:tc>
                <w:tcPr>
                  <w:tcW w:w="1179" w:type="pct"/>
                  <w:vMerge w:val="continue"/>
                  <w:tcBorders>
                    <w:tl2br w:val="nil"/>
                    <w:tr2bl w:val="nil"/>
                  </w:tcBorders>
                  <w:vAlign w:val="center"/>
                </w:tcPr>
                <w:p w14:paraId="287E7DE6">
                  <w:pPr>
                    <w:jc w:val="center"/>
                    <w:rPr>
                      <w:rFonts w:hint="eastAsia"/>
                      <w:lang w:val="en-US" w:eastAsia="zh-CN"/>
                    </w:rPr>
                  </w:pPr>
                </w:p>
              </w:tc>
              <w:tc>
                <w:tcPr>
                  <w:tcW w:w="1790" w:type="pct"/>
                  <w:tcBorders>
                    <w:tl2br w:val="nil"/>
                    <w:tr2bl w:val="nil"/>
                  </w:tcBorders>
                  <w:vAlign w:val="center"/>
                </w:tcPr>
                <w:p w14:paraId="6653CF58">
                  <w:pPr>
                    <w:spacing w:line="300" w:lineRule="exact"/>
                    <w:ind w:left="42" w:leftChars="20" w:right="42" w:rightChars="2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YS2-630</w:t>
                  </w:r>
                </w:p>
              </w:tc>
              <w:tc>
                <w:tcPr>
                  <w:tcW w:w="1368" w:type="pct"/>
                  <w:tcBorders>
                    <w:tl2br w:val="nil"/>
                    <w:tr2bl w:val="nil"/>
                  </w:tcBorders>
                  <w:vAlign w:val="center"/>
                </w:tcPr>
                <w:p w14:paraId="2C94D793">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w:t>
                  </w:r>
                </w:p>
              </w:tc>
            </w:tr>
            <w:tr w14:paraId="30B1D7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00019DBE">
                  <w:pPr>
                    <w:pStyle w:val="219"/>
                    <w:spacing w:before="0"/>
                    <w:rPr>
                      <w:rFonts w:ascii="Times New Roman" w:hAnsi="Times New Roman" w:cs="Times New Roman"/>
                      <w:sz w:val="21"/>
                      <w:szCs w:val="21"/>
                    </w:rPr>
                  </w:pPr>
                </w:p>
              </w:tc>
              <w:tc>
                <w:tcPr>
                  <w:tcW w:w="1179" w:type="pct"/>
                  <w:vMerge w:val="continue"/>
                  <w:tcBorders>
                    <w:tl2br w:val="nil"/>
                    <w:tr2bl w:val="nil"/>
                  </w:tcBorders>
                  <w:vAlign w:val="center"/>
                </w:tcPr>
                <w:p w14:paraId="7BC4F6EB">
                  <w:pPr>
                    <w:jc w:val="center"/>
                    <w:rPr>
                      <w:rFonts w:hint="eastAsia"/>
                      <w:lang w:val="en-US" w:eastAsia="zh-CN"/>
                    </w:rPr>
                  </w:pPr>
                </w:p>
              </w:tc>
              <w:tc>
                <w:tcPr>
                  <w:tcW w:w="1790" w:type="pct"/>
                  <w:tcBorders>
                    <w:tl2br w:val="nil"/>
                    <w:tr2bl w:val="nil"/>
                  </w:tcBorders>
                  <w:vAlign w:val="center"/>
                </w:tcPr>
                <w:p w14:paraId="5ACBCA2F">
                  <w:pPr>
                    <w:spacing w:line="300" w:lineRule="exact"/>
                    <w:ind w:left="42" w:leftChars="20" w:right="42" w:rightChars="2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YS2-500</w:t>
                  </w:r>
                </w:p>
              </w:tc>
              <w:tc>
                <w:tcPr>
                  <w:tcW w:w="1368" w:type="pct"/>
                  <w:tcBorders>
                    <w:tl2br w:val="nil"/>
                    <w:tr2bl w:val="nil"/>
                  </w:tcBorders>
                  <w:vAlign w:val="center"/>
                </w:tcPr>
                <w:p w14:paraId="7F63C480">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w:t>
                  </w:r>
                </w:p>
              </w:tc>
            </w:tr>
            <w:tr w14:paraId="2988A8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2EBD0ED1">
                  <w:pPr>
                    <w:pStyle w:val="219"/>
                    <w:spacing w:before="0"/>
                    <w:rPr>
                      <w:rFonts w:ascii="Times New Roman" w:hAnsi="Times New Roman" w:cs="Times New Roman"/>
                      <w:sz w:val="21"/>
                      <w:szCs w:val="21"/>
                    </w:rPr>
                  </w:pPr>
                </w:p>
              </w:tc>
              <w:tc>
                <w:tcPr>
                  <w:tcW w:w="1179" w:type="pct"/>
                  <w:vMerge w:val="continue"/>
                  <w:tcBorders>
                    <w:tl2br w:val="nil"/>
                    <w:tr2bl w:val="nil"/>
                  </w:tcBorders>
                  <w:vAlign w:val="center"/>
                </w:tcPr>
                <w:p w14:paraId="79CC8B45">
                  <w:pPr>
                    <w:jc w:val="center"/>
                    <w:rPr>
                      <w:rFonts w:hint="eastAsia"/>
                      <w:lang w:val="en-US" w:eastAsia="zh-CN"/>
                    </w:rPr>
                  </w:pPr>
                </w:p>
              </w:tc>
              <w:tc>
                <w:tcPr>
                  <w:tcW w:w="1790" w:type="pct"/>
                  <w:tcBorders>
                    <w:tl2br w:val="nil"/>
                    <w:tr2bl w:val="nil"/>
                  </w:tcBorders>
                  <w:vAlign w:val="center"/>
                </w:tcPr>
                <w:p w14:paraId="483F6132">
                  <w:pPr>
                    <w:spacing w:line="300" w:lineRule="exact"/>
                    <w:ind w:left="42" w:leftChars="20" w:right="42" w:rightChars="2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YS2-400</w:t>
                  </w:r>
                </w:p>
              </w:tc>
              <w:tc>
                <w:tcPr>
                  <w:tcW w:w="1368" w:type="pct"/>
                  <w:tcBorders>
                    <w:tl2br w:val="nil"/>
                    <w:tr2bl w:val="nil"/>
                  </w:tcBorders>
                  <w:vAlign w:val="center"/>
                </w:tcPr>
                <w:p w14:paraId="54D3554E">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w:t>
                  </w:r>
                </w:p>
              </w:tc>
            </w:tr>
            <w:tr w14:paraId="08956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tcBorders>
                    <w:tl2br w:val="nil"/>
                    <w:tr2bl w:val="nil"/>
                  </w:tcBorders>
                  <w:vAlign w:val="center"/>
                </w:tcPr>
                <w:p w14:paraId="369F640C">
                  <w:pPr>
                    <w:jc w:val="center"/>
                    <w:rPr>
                      <w:rFonts w:hint="eastAsia" w:ascii="Times New Roman" w:hAnsi="Times New Roman" w:eastAsia="宋体" w:cs="Times New Roman"/>
                      <w:szCs w:val="21"/>
                      <w:lang w:val="en-US" w:eastAsia="zh-CN"/>
                    </w:rPr>
                  </w:pPr>
                  <w:r>
                    <w:rPr>
                      <w:rFonts w:hint="eastAsia" w:ascii="Times New Roman" w:hAnsi="Times New Roman" w:cs="Times New Roman"/>
                      <w:sz w:val="21"/>
                      <w:szCs w:val="21"/>
                      <w:lang w:val="en-US" w:eastAsia="zh-CN"/>
                    </w:rPr>
                    <w:t>6</w:t>
                  </w:r>
                </w:p>
              </w:tc>
              <w:tc>
                <w:tcPr>
                  <w:tcW w:w="1179" w:type="pct"/>
                  <w:tcBorders>
                    <w:tl2br w:val="nil"/>
                    <w:tr2bl w:val="nil"/>
                  </w:tcBorders>
                  <w:vAlign w:val="center"/>
                </w:tcPr>
                <w:p w14:paraId="723819B3">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冲压件废料输送线</w:t>
                  </w:r>
                </w:p>
              </w:tc>
              <w:tc>
                <w:tcPr>
                  <w:tcW w:w="1790" w:type="pct"/>
                  <w:tcBorders>
                    <w:tl2br w:val="nil"/>
                    <w:tr2bl w:val="nil"/>
                  </w:tcBorders>
                  <w:vAlign w:val="center"/>
                </w:tcPr>
                <w:p w14:paraId="47E08982">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p>
              </w:tc>
              <w:tc>
                <w:tcPr>
                  <w:tcW w:w="1368" w:type="pct"/>
                  <w:tcBorders>
                    <w:tl2br w:val="nil"/>
                    <w:tr2bl w:val="nil"/>
                  </w:tcBorders>
                  <w:vAlign w:val="center"/>
                </w:tcPr>
                <w:p w14:paraId="56EBB397">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p>
              </w:tc>
            </w:tr>
            <w:tr w14:paraId="48386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restart"/>
                  <w:tcBorders>
                    <w:tl2br w:val="nil"/>
                    <w:tr2bl w:val="nil"/>
                  </w:tcBorders>
                  <w:vAlign w:val="center"/>
                </w:tcPr>
                <w:p w14:paraId="5B78883F">
                  <w:pPr>
                    <w:jc w:val="center"/>
                    <w:rPr>
                      <w:rFonts w:hint="eastAsia" w:ascii="Times New Roman" w:hAnsi="Times New Roman" w:eastAsia="宋体" w:cs="Times New Roman"/>
                      <w:szCs w:val="21"/>
                      <w:lang w:val="en-US" w:eastAsia="zh-CN"/>
                    </w:rPr>
                  </w:pPr>
                  <w:r>
                    <w:rPr>
                      <w:rFonts w:hint="eastAsia" w:ascii="Times New Roman" w:hAnsi="Times New Roman" w:cs="Times New Roman"/>
                      <w:sz w:val="21"/>
                      <w:szCs w:val="21"/>
                      <w:lang w:val="en-US" w:eastAsia="zh-CN"/>
                    </w:rPr>
                    <w:t>7</w:t>
                  </w:r>
                </w:p>
              </w:tc>
              <w:tc>
                <w:tcPr>
                  <w:tcW w:w="1179" w:type="pct"/>
                  <w:vMerge w:val="restart"/>
                  <w:tcBorders>
                    <w:tl2br w:val="nil"/>
                    <w:tr2bl w:val="nil"/>
                  </w:tcBorders>
                  <w:vAlign w:val="center"/>
                </w:tcPr>
                <w:p w14:paraId="32F37157">
                  <w:pPr>
                    <w:jc w:val="center"/>
                    <w:rPr>
                      <w:rFonts w:hint="eastAsia"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行车</w:t>
                  </w:r>
                </w:p>
              </w:tc>
              <w:tc>
                <w:tcPr>
                  <w:tcW w:w="1790" w:type="pct"/>
                  <w:tcBorders>
                    <w:tl2br w:val="nil"/>
                    <w:tr2bl w:val="nil"/>
                  </w:tcBorders>
                  <w:vAlign w:val="center"/>
                </w:tcPr>
                <w:p w14:paraId="64AF6597">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32T</w:t>
                  </w:r>
                </w:p>
              </w:tc>
              <w:tc>
                <w:tcPr>
                  <w:tcW w:w="1368" w:type="pct"/>
                  <w:tcBorders>
                    <w:tl2br w:val="nil"/>
                    <w:tr2bl w:val="nil"/>
                  </w:tcBorders>
                  <w:vAlign w:val="center"/>
                </w:tcPr>
                <w:p w14:paraId="32387B80">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r>
            <w:tr w14:paraId="110B3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7956D0CD">
                  <w:pPr>
                    <w:jc w:val="center"/>
                    <w:rPr>
                      <w:rFonts w:hint="eastAsia" w:ascii="Times New Roman" w:hAnsi="Times New Roman" w:eastAsia="宋体" w:cs="Times New Roman"/>
                      <w:szCs w:val="21"/>
                      <w:lang w:val="en-US" w:eastAsia="zh-CN"/>
                    </w:rPr>
                  </w:pPr>
                </w:p>
              </w:tc>
              <w:tc>
                <w:tcPr>
                  <w:tcW w:w="1179" w:type="pct"/>
                  <w:vMerge w:val="continue"/>
                  <w:tcBorders>
                    <w:tl2br w:val="nil"/>
                    <w:tr2bl w:val="nil"/>
                  </w:tcBorders>
                  <w:vAlign w:val="center"/>
                </w:tcPr>
                <w:p w14:paraId="499CE8BA">
                  <w:pPr>
                    <w:jc w:val="center"/>
                    <w:rPr>
                      <w:rFonts w:hint="eastAsia" w:ascii="Times New Roman" w:hAnsi="Times New Roman" w:eastAsia="宋体" w:cs="Times New Roman"/>
                      <w:szCs w:val="21"/>
                      <w:lang w:val="en-US" w:eastAsia="zh-CN"/>
                    </w:rPr>
                  </w:pPr>
                </w:p>
              </w:tc>
              <w:tc>
                <w:tcPr>
                  <w:tcW w:w="1790" w:type="pct"/>
                  <w:tcBorders>
                    <w:tl2br w:val="nil"/>
                    <w:tr2bl w:val="nil"/>
                  </w:tcBorders>
                  <w:vAlign w:val="center"/>
                </w:tcPr>
                <w:p w14:paraId="6DB6CEB5">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25T</w:t>
                  </w:r>
                </w:p>
              </w:tc>
              <w:tc>
                <w:tcPr>
                  <w:tcW w:w="1368" w:type="pct"/>
                  <w:tcBorders>
                    <w:tl2br w:val="nil"/>
                    <w:tr2bl w:val="nil"/>
                  </w:tcBorders>
                  <w:vAlign w:val="center"/>
                </w:tcPr>
                <w:p w14:paraId="0518D8A9">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r>
            <w:tr w14:paraId="75C67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45804228">
                  <w:pPr>
                    <w:jc w:val="center"/>
                    <w:rPr>
                      <w:rFonts w:hint="eastAsia" w:ascii="Times New Roman" w:hAnsi="Times New Roman" w:eastAsia="宋体" w:cs="Times New Roman"/>
                      <w:szCs w:val="21"/>
                      <w:lang w:val="en-US" w:eastAsia="zh-CN"/>
                    </w:rPr>
                  </w:pPr>
                </w:p>
              </w:tc>
              <w:tc>
                <w:tcPr>
                  <w:tcW w:w="1179" w:type="pct"/>
                  <w:vMerge w:val="continue"/>
                  <w:tcBorders>
                    <w:tl2br w:val="nil"/>
                    <w:tr2bl w:val="nil"/>
                  </w:tcBorders>
                  <w:vAlign w:val="center"/>
                </w:tcPr>
                <w:p w14:paraId="64935FA1">
                  <w:pPr>
                    <w:jc w:val="center"/>
                    <w:rPr>
                      <w:rFonts w:hint="eastAsia" w:ascii="Times New Roman" w:hAnsi="Times New Roman" w:eastAsia="宋体" w:cs="Times New Roman"/>
                      <w:szCs w:val="21"/>
                      <w:lang w:val="en-US" w:eastAsia="zh-CN"/>
                    </w:rPr>
                  </w:pPr>
                </w:p>
              </w:tc>
              <w:tc>
                <w:tcPr>
                  <w:tcW w:w="1790" w:type="pct"/>
                  <w:tcBorders>
                    <w:tl2br w:val="nil"/>
                    <w:tr2bl w:val="nil"/>
                  </w:tcBorders>
                  <w:vAlign w:val="center"/>
                </w:tcPr>
                <w:p w14:paraId="0DF5FC0A">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20T</w:t>
                  </w:r>
                </w:p>
              </w:tc>
              <w:tc>
                <w:tcPr>
                  <w:tcW w:w="1368" w:type="pct"/>
                  <w:tcBorders>
                    <w:tl2br w:val="nil"/>
                    <w:tr2bl w:val="nil"/>
                  </w:tcBorders>
                  <w:vAlign w:val="center"/>
                </w:tcPr>
                <w:p w14:paraId="3510F222">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r>
            <w:tr w14:paraId="49EB72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661" w:type="pct"/>
                  <w:vMerge w:val="continue"/>
                  <w:tcBorders>
                    <w:tl2br w:val="nil"/>
                    <w:tr2bl w:val="nil"/>
                  </w:tcBorders>
                  <w:vAlign w:val="center"/>
                </w:tcPr>
                <w:p w14:paraId="01E41EC4">
                  <w:pPr>
                    <w:jc w:val="center"/>
                    <w:rPr>
                      <w:rFonts w:hint="eastAsia" w:ascii="Times New Roman" w:hAnsi="Times New Roman" w:eastAsia="宋体" w:cs="Times New Roman"/>
                      <w:szCs w:val="21"/>
                      <w:lang w:val="en-US" w:eastAsia="zh-CN"/>
                    </w:rPr>
                  </w:pPr>
                </w:p>
              </w:tc>
              <w:tc>
                <w:tcPr>
                  <w:tcW w:w="1179" w:type="pct"/>
                  <w:vMerge w:val="continue"/>
                  <w:tcBorders>
                    <w:tl2br w:val="nil"/>
                    <w:tr2bl w:val="nil"/>
                  </w:tcBorders>
                  <w:vAlign w:val="center"/>
                </w:tcPr>
                <w:p w14:paraId="0308EF82">
                  <w:pPr>
                    <w:jc w:val="center"/>
                    <w:rPr>
                      <w:rFonts w:hint="eastAsia" w:ascii="Times New Roman" w:hAnsi="Times New Roman" w:eastAsia="宋体" w:cs="Times New Roman"/>
                      <w:szCs w:val="21"/>
                      <w:lang w:val="en-US" w:eastAsia="zh-CN"/>
                    </w:rPr>
                  </w:pPr>
                </w:p>
              </w:tc>
              <w:tc>
                <w:tcPr>
                  <w:tcW w:w="1790" w:type="pct"/>
                  <w:tcBorders>
                    <w:tl2br w:val="nil"/>
                    <w:tr2bl w:val="nil"/>
                  </w:tcBorders>
                  <w:vAlign w:val="center"/>
                </w:tcPr>
                <w:p w14:paraId="6619CDF4">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16T</w:t>
                  </w:r>
                </w:p>
              </w:tc>
              <w:tc>
                <w:tcPr>
                  <w:tcW w:w="1368" w:type="pct"/>
                  <w:tcBorders>
                    <w:tl2br w:val="nil"/>
                    <w:tr2bl w:val="nil"/>
                  </w:tcBorders>
                  <w:vAlign w:val="center"/>
                </w:tcPr>
                <w:p w14:paraId="6FB24EC8">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r>
          </w:tbl>
          <w:p w14:paraId="0F62F014">
            <w:pPr>
              <w:keepNext w:val="0"/>
              <w:keepLines w:val="0"/>
              <w:pageBreakBefore w:val="0"/>
              <w:widowControl w:val="0"/>
              <w:kinsoku/>
              <w:wordWrap/>
              <w:overflowPunct/>
              <w:topLinePunct w:val="0"/>
              <w:autoSpaceDE/>
              <w:autoSpaceDN/>
              <w:bidi w:val="0"/>
              <w:adjustRightInd/>
              <w:snapToGrid/>
              <w:spacing w:beforeAutospacing="0" w:line="360" w:lineRule="auto"/>
              <w:ind w:firstLine="482" w:firstLineChars="200"/>
              <w:textAlignment w:val="auto"/>
              <w:rPr>
                <w:rFonts w:hint="eastAsia" w:ascii="Times New Roman" w:hAnsi="Times New Roman" w:eastAsia="宋体" w:cs="Times New Roman"/>
                <w:b/>
                <w:kern w:val="0"/>
                <w:sz w:val="24"/>
              </w:rPr>
            </w:pPr>
            <w:r>
              <w:rPr>
                <w:rFonts w:hint="eastAsia" w:ascii="Times New Roman" w:hAnsi="Times New Roman" w:eastAsia="宋体" w:cs="Times New Roman"/>
                <w:b/>
                <w:kern w:val="0"/>
                <w:sz w:val="24"/>
                <w:lang w:val="en-US" w:eastAsia="zh-CN"/>
              </w:rPr>
              <w:t>5、主要原辅材料及能源消耗</w:t>
            </w:r>
          </w:p>
          <w:p w14:paraId="61A0EAD5">
            <w:pPr>
              <w:keepNext w:val="0"/>
              <w:keepLines w:val="0"/>
              <w:pageBreakBefore w:val="0"/>
              <w:kinsoku/>
              <w:wordWrap/>
              <w:overflowPunct/>
              <w:topLinePunct w:val="0"/>
              <w:autoSpaceDE/>
              <w:autoSpaceDN/>
              <w:bidi w:val="0"/>
              <w:adjustRightInd/>
              <w:snapToGrid/>
              <w:spacing w:beforeAutospacing="0" w:line="360" w:lineRule="auto"/>
              <w:ind w:firstLine="600" w:firstLineChars="250"/>
              <w:textAlignment w:val="auto"/>
              <w:rPr>
                <w:kern w:val="0"/>
                <w:sz w:val="24"/>
                <w:szCs w:val="20"/>
              </w:rPr>
            </w:pPr>
            <w:r>
              <w:rPr>
                <w:rFonts w:hint="eastAsia"/>
                <w:kern w:val="0"/>
                <w:sz w:val="24"/>
                <w:szCs w:val="20"/>
              </w:rPr>
              <w:t>项目主要原辅材料及能源消耗见下表。</w:t>
            </w:r>
          </w:p>
          <w:p w14:paraId="1E41EF4A">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szCs w:val="20"/>
              </w:rPr>
            </w:pPr>
            <w:r>
              <w:rPr>
                <w:rFonts w:hint="eastAsia"/>
                <w:b/>
                <w:kern w:val="0"/>
                <w:sz w:val="24"/>
                <w:szCs w:val="20"/>
              </w:rPr>
              <w:t>表2-</w:t>
            </w:r>
            <w:r>
              <w:rPr>
                <w:rFonts w:hint="eastAsia"/>
                <w:b/>
                <w:kern w:val="0"/>
                <w:sz w:val="24"/>
                <w:szCs w:val="20"/>
                <w:lang w:val="en-US" w:eastAsia="zh-CN"/>
              </w:rPr>
              <w:t>6</w:t>
            </w:r>
            <w:r>
              <w:rPr>
                <w:b/>
                <w:kern w:val="0"/>
                <w:sz w:val="24"/>
                <w:szCs w:val="20"/>
              </w:rPr>
              <w:t xml:space="preserve">  </w:t>
            </w:r>
            <w:r>
              <w:rPr>
                <w:rFonts w:hint="eastAsia"/>
                <w:b/>
                <w:kern w:val="0"/>
                <w:sz w:val="24"/>
                <w:szCs w:val="20"/>
              </w:rPr>
              <w:t>本项目主要原辅材料及能源消耗一览表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2032"/>
              <w:gridCol w:w="1231"/>
              <w:gridCol w:w="1417"/>
              <w:gridCol w:w="1508"/>
              <w:gridCol w:w="1338"/>
            </w:tblGrid>
            <w:tr w14:paraId="6663E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51" w:hRule="atLeast"/>
                <w:jc w:val="center"/>
              </w:trPr>
              <w:tc>
                <w:tcPr>
                  <w:tcW w:w="515" w:type="pct"/>
                  <w:tcBorders>
                    <w:tl2br w:val="nil"/>
                    <w:tr2bl w:val="nil"/>
                  </w:tcBorders>
                  <w:vAlign w:val="center"/>
                </w:tcPr>
                <w:p w14:paraId="62859989">
                  <w:pPr>
                    <w:jc w:val="center"/>
                    <w:rPr>
                      <w:b/>
                      <w:szCs w:val="21"/>
                    </w:rPr>
                  </w:pPr>
                  <w:r>
                    <w:rPr>
                      <w:szCs w:val="21"/>
                    </w:rPr>
                    <mc:AlternateContent>
                      <mc:Choice Requires="wps">
                        <w:drawing>
                          <wp:anchor distT="0" distB="0" distL="114300" distR="114300" simplePos="0" relativeHeight="251659264" behindDoc="1" locked="0" layoutInCell="1" allowOverlap="1">
                            <wp:simplePos x="0" y="0"/>
                            <wp:positionH relativeFrom="column">
                              <wp:posOffset>-13597890</wp:posOffset>
                            </wp:positionH>
                            <wp:positionV relativeFrom="paragraph">
                              <wp:posOffset>85725</wp:posOffset>
                            </wp:positionV>
                            <wp:extent cx="495300" cy="3609975"/>
                            <wp:effectExtent l="0" t="0" r="19050" b="28575"/>
                            <wp:wrapNone/>
                            <wp:docPr id="1" name="圆角矩形 1"/>
                            <wp:cNvGraphicFramePr/>
                            <a:graphic xmlns:a="http://schemas.openxmlformats.org/drawingml/2006/main">
                              <a:graphicData uri="http://schemas.microsoft.com/office/word/2010/wordprocessingShape">
                                <wps:wsp>
                                  <wps:cNvSpPr/>
                                  <wps:spPr>
                                    <a:xfrm>
                                      <a:off x="0" y="0"/>
                                      <a:ext cx="495300" cy="3609975"/>
                                    </a:xfrm>
                                    <a:prstGeom prst="roundRect">
                                      <a:avLst>
                                        <a:gd name="adj" fmla="val 16667"/>
                                      </a:avLst>
                                    </a:prstGeom>
                                    <a:solidFill>
                                      <a:srgbClr val="4F81BD"/>
                                    </a:solidFill>
                                    <a:ln w="25400" cap="flat" cmpd="sng">
                                      <a:solidFill>
                                        <a:srgbClr val="385D8A"/>
                                      </a:solidFill>
                                      <a:prstDash val="solid"/>
                                      <a:headEnd type="none" w="med" len="med"/>
                                      <a:tailEnd type="none" w="med" len="med"/>
                                    </a:ln>
                                  </wps:spPr>
                                  <wps:bodyPr anchor="ctr" upright="1"/>
                                </wps:wsp>
                              </a:graphicData>
                            </a:graphic>
                          </wp:anchor>
                        </w:drawing>
                      </mc:Choice>
                      <mc:Fallback>
                        <w:pict>
                          <v:roundrect id="_x0000_s1026" o:spid="_x0000_s1026" o:spt="2" style="position:absolute;left:0pt;margin-left:-1070.7pt;margin-top:6.75pt;height:284.25pt;width:39pt;z-index:-251657216;v-text-anchor:middle;mso-width-relative:page;mso-height-relative:page;" fillcolor="#4F81BD" filled="t" stroked="t" coordsize="21600,21600" arcsize="0.166666666666667" o:gfxdata="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O+qBN0AAAAOAQAADwAAAAAAAAABACAAAAAiAAAAZHJzL2Rvd25yZXYueG1s&#10;UEsBAhQAFAAAAAgAh07iQCrMtfMsAgAAWQQAAA4AAAAAAAAAAQAgAAAALAEAAGRycy9lMm9Eb2Mu&#10;eG1sUEsFBgAAAAAGAAYAWQEAAMoFAAAAAA==&#10;">
                            <v:fill on="t" focussize="0,0"/>
                            <v:stroke weight="2pt" color="#385D8A" joinstyle="round"/>
                            <v:imagedata o:title=""/>
                            <o:lock v:ext="edit" aspectratio="f"/>
                          </v:roundrect>
                        </w:pict>
                      </mc:Fallback>
                    </mc:AlternateContent>
                  </w:r>
                  <w:r>
                    <w:rPr>
                      <w:rFonts w:hint="eastAsia"/>
                      <w:b/>
                      <w:szCs w:val="21"/>
                    </w:rPr>
                    <w:t>类别</w:t>
                  </w:r>
                </w:p>
              </w:tc>
              <w:tc>
                <w:tcPr>
                  <w:tcW w:w="1210" w:type="pct"/>
                  <w:tcBorders>
                    <w:tl2br w:val="nil"/>
                    <w:tr2bl w:val="nil"/>
                  </w:tcBorders>
                  <w:vAlign w:val="center"/>
                </w:tcPr>
                <w:p w14:paraId="3A600AB1">
                  <w:pPr>
                    <w:jc w:val="center"/>
                    <w:rPr>
                      <w:b/>
                      <w:szCs w:val="21"/>
                    </w:rPr>
                  </w:pPr>
                  <w:r>
                    <w:rPr>
                      <w:b/>
                      <w:szCs w:val="21"/>
                    </w:rPr>
                    <w:t>名称</w:t>
                  </w:r>
                </w:p>
              </w:tc>
              <w:tc>
                <w:tcPr>
                  <w:tcW w:w="733" w:type="pct"/>
                  <w:tcBorders>
                    <w:tl2br w:val="nil"/>
                    <w:tr2bl w:val="nil"/>
                  </w:tcBorders>
                  <w:vAlign w:val="center"/>
                </w:tcPr>
                <w:p w14:paraId="1186EDB0">
                  <w:pPr>
                    <w:jc w:val="center"/>
                    <w:rPr>
                      <w:b/>
                      <w:szCs w:val="21"/>
                    </w:rPr>
                  </w:pPr>
                  <w:r>
                    <w:rPr>
                      <w:b/>
                      <w:szCs w:val="21"/>
                    </w:rPr>
                    <w:t>单位</w:t>
                  </w:r>
                </w:p>
              </w:tc>
              <w:tc>
                <w:tcPr>
                  <w:tcW w:w="844" w:type="pct"/>
                  <w:tcBorders>
                    <w:tl2br w:val="nil"/>
                    <w:tr2bl w:val="nil"/>
                  </w:tcBorders>
                  <w:vAlign w:val="center"/>
                </w:tcPr>
                <w:p w14:paraId="0059340F">
                  <w:pPr>
                    <w:jc w:val="center"/>
                    <w:rPr>
                      <w:b/>
                      <w:szCs w:val="21"/>
                    </w:rPr>
                  </w:pPr>
                  <w:r>
                    <w:rPr>
                      <w:b/>
                      <w:szCs w:val="21"/>
                    </w:rPr>
                    <w:t>用量</w:t>
                  </w:r>
                </w:p>
              </w:tc>
              <w:tc>
                <w:tcPr>
                  <w:tcW w:w="898" w:type="pct"/>
                  <w:tcBorders>
                    <w:tl2br w:val="nil"/>
                    <w:tr2bl w:val="nil"/>
                  </w:tcBorders>
                  <w:vAlign w:val="center"/>
                </w:tcPr>
                <w:p w14:paraId="792EE2FC">
                  <w:pPr>
                    <w:jc w:val="center"/>
                    <w:rPr>
                      <w:b/>
                      <w:szCs w:val="21"/>
                    </w:rPr>
                  </w:pPr>
                  <w:r>
                    <w:rPr>
                      <w:b/>
                      <w:szCs w:val="21"/>
                    </w:rPr>
                    <w:t>包装方式</w:t>
                  </w:r>
                </w:p>
              </w:tc>
              <w:tc>
                <w:tcPr>
                  <w:tcW w:w="797" w:type="pct"/>
                  <w:tcBorders>
                    <w:tl2br w:val="nil"/>
                    <w:tr2bl w:val="nil"/>
                  </w:tcBorders>
                  <w:vAlign w:val="center"/>
                </w:tcPr>
                <w:p w14:paraId="16C6DEF4">
                  <w:pPr>
                    <w:jc w:val="center"/>
                    <w:rPr>
                      <w:b/>
                      <w:szCs w:val="21"/>
                    </w:rPr>
                  </w:pPr>
                  <w:r>
                    <w:rPr>
                      <w:b/>
                      <w:szCs w:val="21"/>
                    </w:rPr>
                    <w:t>厂区最大存储量</w:t>
                  </w:r>
                </w:p>
              </w:tc>
            </w:tr>
            <w:tr w14:paraId="009BB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restart"/>
                  <w:tcBorders>
                    <w:tl2br w:val="nil"/>
                    <w:tr2bl w:val="nil"/>
                  </w:tcBorders>
                  <w:vAlign w:val="center"/>
                </w:tcPr>
                <w:p w14:paraId="2280CDEB">
                  <w:pPr>
                    <w:jc w:val="center"/>
                    <w:rPr>
                      <w:szCs w:val="21"/>
                    </w:rPr>
                  </w:pPr>
                  <w:r>
                    <w:rPr>
                      <w:rFonts w:hint="eastAsia"/>
                      <w:szCs w:val="21"/>
                    </w:rPr>
                    <w:t>原辅料</w:t>
                  </w:r>
                </w:p>
              </w:tc>
              <w:tc>
                <w:tcPr>
                  <w:tcW w:w="1210" w:type="pct"/>
                  <w:tcBorders>
                    <w:tl2br w:val="nil"/>
                    <w:tr2bl w:val="nil"/>
                  </w:tcBorders>
                  <w:vAlign w:val="center"/>
                </w:tcPr>
                <w:p w14:paraId="4268687E">
                  <w:pPr>
                    <w:spacing w:line="240" w:lineRule="auto"/>
                    <w:jc w:val="center"/>
                    <w:rPr>
                      <w:rFonts w:hint="eastAsia" w:eastAsia="宋体"/>
                      <w:sz w:val="21"/>
                      <w:szCs w:val="21"/>
                      <w:lang w:eastAsia="zh-CN"/>
                    </w:rPr>
                  </w:pPr>
                  <w:r>
                    <w:rPr>
                      <w:rFonts w:hint="eastAsia"/>
                      <w:sz w:val="21"/>
                      <w:szCs w:val="21"/>
                      <w:lang w:val="en-US" w:eastAsia="zh-CN"/>
                    </w:rPr>
                    <w:t>钢板</w:t>
                  </w:r>
                </w:p>
              </w:tc>
              <w:tc>
                <w:tcPr>
                  <w:tcW w:w="733" w:type="pct"/>
                  <w:tcBorders>
                    <w:tl2br w:val="nil"/>
                    <w:tr2bl w:val="nil"/>
                  </w:tcBorders>
                  <w:vAlign w:val="center"/>
                </w:tcPr>
                <w:p w14:paraId="3A7D857D">
                  <w:pPr>
                    <w:snapToGrid w:val="0"/>
                    <w:ind w:left="-105" w:leftChars="-50" w:right="-105" w:rightChars="-50"/>
                    <w:jc w:val="center"/>
                    <w:rPr>
                      <w:szCs w:val="21"/>
                    </w:rPr>
                  </w:pPr>
                  <w:r>
                    <w:rPr>
                      <w:rFonts w:hint="eastAsia" w:cs="Times New Roman"/>
                      <w:snapToGrid w:val="0"/>
                      <w:kern w:val="0"/>
                      <w:szCs w:val="21"/>
                      <w:lang w:val="en-US" w:eastAsia="zh-CN"/>
                    </w:rPr>
                    <w:t>万</w:t>
                  </w:r>
                  <w:r>
                    <w:rPr>
                      <w:rFonts w:hint="default" w:ascii="Times New Roman" w:hAnsi="Times New Roman" w:eastAsia="宋体" w:cs="Times New Roman"/>
                      <w:snapToGrid w:val="0"/>
                      <w:kern w:val="0"/>
                      <w:szCs w:val="21"/>
                      <w:lang w:val="en-US" w:eastAsia="zh-CN"/>
                    </w:rPr>
                    <w:t>t/a</w:t>
                  </w:r>
                </w:p>
              </w:tc>
              <w:tc>
                <w:tcPr>
                  <w:tcW w:w="844" w:type="pct"/>
                  <w:tcBorders>
                    <w:tl2br w:val="nil"/>
                    <w:tr2bl w:val="nil"/>
                  </w:tcBorders>
                  <w:vAlign w:val="center"/>
                </w:tcPr>
                <w:p w14:paraId="7C76CC78">
                  <w:pPr>
                    <w:jc w:val="center"/>
                    <w:rPr>
                      <w:rFonts w:hint="default" w:eastAsia="宋体"/>
                      <w:szCs w:val="21"/>
                      <w:lang w:val="en-US" w:eastAsia="zh-CN"/>
                    </w:rPr>
                  </w:pPr>
                  <w:r>
                    <w:rPr>
                      <w:rFonts w:hint="eastAsia"/>
                      <w:szCs w:val="21"/>
                      <w:lang w:val="en-US" w:eastAsia="zh-CN"/>
                    </w:rPr>
                    <w:t>8</w:t>
                  </w:r>
                </w:p>
              </w:tc>
              <w:tc>
                <w:tcPr>
                  <w:tcW w:w="898" w:type="pct"/>
                  <w:tcBorders>
                    <w:tl2br w:val="nil"/>
                    <w:tr2bl w:val="nil"/>
                  </w:tcBorders>
                  <w:vAlign w:val="center"/>
                </w:tcPr>
                <w:p w14:paraId="748F2368">
                  <w:pPr>
                    <w:jc w:val="center"/>
                    <w:rPr>
                      <w:rFonts w:hint="default" w:eastAsia="宋体"/>
                      <w:szCs w:val="21"/>
                      <w:lang w:val="en-US" w:eastAsia="zh-CN"/>
                    </w:rPr>
                  </w:pPr>
                  <w:r>
                    <w:rPr>
                      <w:rFonts w:hint="eastAsia"/>
                      <w:szCs w:val="21"/>
                      <w:lang w:val="en-US" w:eastAsia="zh-CN"/>
                    </w:rPr>
                    <w:t>捆扎</w:t>
                  </w:r>
                </w:p>
              </w:tc>
              <w:tc>
                <w:tcPr>
                  <w:tcW w:w="797" w:type="pct"/>
                  <w:tcBorders>
                    <w:tl2br w:val="nil"/>
                    <w:tr2bl w:val="nil"/>
                  </w:tcBorders>
                  <w:vAlign w:val="center"/>
                </w:tcPr>
                <w:p w14:paraId="324E4AE3">
                  <w:pPr>
                    <w:jc w:val="center"/>
                    <w:rPr>
                      <w:rFonts w:hint="default" w:eastAsia="宋体"/>
                      <w:szCs w:val="21"/>
                      <w:lang w:val="en-US" w:eastAsia="zh-CN"/>
                    </w:rPr>
                  </w:pPr>
                  <w:r>
                    <w:rPr>
                      <w:rFonts w:hint="eastAsia"/>
                      <w:szCs w:val="21"/>
                      <w:lang w:val="en-US" w:eastAsia="zh-CN"/>
                    </w:rPr>
                    <w:t>1万t</w:t>
                  </w:r>
                </w:p>
              </w:tc>
            </w:tr>
            <w:tr w14:paraId="0E22B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707855AA">
                  <w:pPr>
                    <w:jc w:val="center"/>
                    <w:rPr>
                      <w:szCs w:val="21"/>
                    </w:rPr>
                  </w:pPr>
                </w:p>
              </w:tc>
              <w:tc>
                <w:tcPr>
                  <w:tcW w:w="1210" w:type="pct"/>
                  <w:tcBorders>
                    <w:tl2br w:val="nil"/>
                    <w:tr2bl w:val="nil"/>
                  </w:tcBorders>
                  <w:vAlign w:val="center"/>
                </w:tcPr>
                <w:p w14:paraId="537B40BC">
                  <w:pPr>
                    <w:spacing w:line="240" w:lineRule="auto"/>
                    <w:jc w:val="center"/>
                    <w:rPr>
                      <w:rFonts w:hint="eastAsia" w:eastAsia="宋体"/>
                      <w:sz w:val="21"/>
                      <w:szCs w:val="21"/>
                      <w:lang w:eastAsia="zh-CN"/>
                    </w:rPr>
                  </w:pPr>
                  <w:r>
                    <w:rPr>
                      <w:rFonts w:hint="eastAsia"/>
                      <w:sz w:val="21"/>
                      <w:szCs w:val="21"/>
                      <w:lang w:val="en-US" w:eastAsia="zh-CN"/>
                    </w:rPr>
                    <w:t>实芯焊丝</w:t>
                  </w:r>
                </w:p>
              </w:tc>
              <w:tc>
                <w:tcPr>
                  <w:tcW w:w="733" w:type="pct"/>
                  <w:tcBorders>
                    <w:tl2br w:val="nil"/>
                    <w:tr2bl w:val="nil"/>
                  </w:tcBorders>
                  <w:vAlign w:val="center"/>
                </w:tcPr>
                <w:p w14:paraId="3A6F59EB">
                  <w:pPr>
                    <w:snapToGrid w:val="0"/>
                    <w:ind w:right="-105" w:rightChars="-50"/>
                    <w:jc w:val="center"/>
                    <w:rPr>
                      <w:szCs w:val="21"/>
                    </w:rPr>
                  </w:pPr>
                  <w:r>
                    <w:rPr>
                      <w:rFonts w:hint="default" w:ascii="Times New Roman" w:hAnsi="Times New Roman" w:eastAsia="宋体" w:cs="Times New Roman"/>
                      <w:snapToGrid w:val="0"/>
                      <w:kern w:val="0"/>
                      <w:szCs w:val="21"/>
                      <w:lang w:val="en-US" w:eastAsia="zh-CN"/>
                    </w:rPr>
                    <w:t>t/a</w:t>
                  </w:r>
                </w:p>
              </w:tc>
              <w:tc>
                <w:tcPr>
                  <w:tcW w:w="844" w:type="pct"/>
                  <w:tcBorders>
                    <w:tl2br w:val="nil"/>
                    <w:tr2bl w:val="nil"/>
                  </w:tcBorders>
                  <w:vAlign w:val="center"/>
                </w:tcPr>
                <w:p w14:paraId="5CD95C3E">
                  <w:pPr>
                    <w:jc w:val="center"/>
                    <w:rPr>
                      <w:rFonts w:hint="default" w:eastAsia="宋体"/>
                      <w:szCs w:val="21"/>
                      <w:lang w:val="en-US" w:eastAsia="zh-CN"/>
                    </w:rPr>
                  </w:pPr>
                  <w:r>
                    <w:rPr>
                      <w:rFonts w:hint="eastAsia"/>
                      <w:szCs w:val="21"/>
                      <w:lang w:val="en-US" w:eastAsia="zh-CN"/>
                    </w:rPr>
                    <w:t>50</w:t>
                  </w:r>
                </w:p>
              </w:tc>
              <w:tc>
                <w:tcPr>
                  <w:tcW w:w="898" w:type="pct"/>
                  <w:tcBorders>
                    <w:tl2br w:val="nil"/>
                    <w:tr2bl w:val="nil"/>
                  </w:tcBorders>
                  <w:vAlign w:val="center"/>
                </w:tcPr>
                <w:p w14:paraId="19B4A87E">
                  <w:pPr>
                    <w:jc w:val="center"/>
                    <w:rPr>
                      <w:rFonts w:hint="eastAsia" w:eastAsia="宋体"/>
                      <w:szCs w:val="21"/>
                      <w:lang w:val="en-US" w:eastAsia="zh-CN"/>
                    </w:rPr>
                  </w:pPr>
                  <w:r>
                    <w:rPr>
                      <w:rFonts w:hint="eastAsia"/>
                      <w:szCs w:val="21"/>
                      <w:lang w:val="en-US" w:eastAsia="zh-CN"/>
                    </w:rPr>
                    <w:t>袋装</w:t>
                  </w:r>
                </w:p>
              </w:tc>
              <w:tc>
                <w:tcPr>
                  <w:tcW w:w="797" w:type="pct"/>
                  <w:tcBorders>
                    <w:tl2br w:val="nil"/>
                    <w:tr2bl w:val="nil"/>
                  </w:tcBorders>
                  <w:vAlign w:val="center"/>
                </w:tcPr>
                <w:p w14:paraId="42B0A7D0">
                  <w:pPr>
                    <w:jc w:val="center"/>
                    <w:rPr>
                      <w:rFonts w:hint="default" w:eastAsia="宋体"/>
                      <w:szCs w:val="21"/>
                      <w:lang w:val="en-US" w:eastAsia="zh-CN"/>
                    </w:rPr>
                  </w:pPr>
                  <w:r>
                    <w:rPr>
                      <w:rFonts w:hint="eastAsia"/>
                      <w:szCs w:val="21"/>
                      <w:lang w:val="en-US" w:eastAsia="zh-CN"/>
                    </w:rPr>
                    <w:t>10</w:t>
                  </w:r>
                </w:p>
              </w:tc>
            </w:tr>
            <w:tr w14:paraId="3A363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662096B5">
                  <w:pPr>
                    <w:jc w:val="center"/>
                    <w:rPr>
                      <w:szCs w:val="21"/>
                    </w:rPr>
                  </w:pPr>
                </w:p>
              </w:tc>
              <w:tc>
                <w:tcPr>
                  <w:tcW w:w="1210" w:type="pct"/>
                  <w:tcBorders>
                    <w:tl2br w:val="nil"/>
                    <w:tr2bl w:val="nil"/>
                  </w:tcBorders>
                  <w:vAlign w:val="center"/>
                </w:tcPr>
                <w:p w14:paraId="0B427A72">
                  <w:pPr>
                    <w:spacing w:line="240" w:lineRule="auto"/>
                    <w:jc w:val="center"/>
                    <w:rPr>
                      <w:rFonts w:hint="eastAsia" w:eastAsia="宋体"/>
                      <w:sz w:val="21"/>
                      <w:szCs w:val="21"/>
                      <w:lang w:eastAsia="zh-CN"/>
                    </w:rPr>
                  </w:pPr>
                  <w:r>
                    <w:rPr>
                      <w:rFonts w:hint="eastAsia"/>
                      <w:sz w:val="21"/>
                      <w:szCs w:val="21"/>
                      <w:lang w:val="en-US" w:eastAsia="zh-CN"/>
                    </w:rPr>
                    <w:t>二氧化碳</w:t>
                  </w:r>
                </w:p>
              </w:tc>
              <w:tc>
                <w:tcPr>
                  <w:tcW w:w="733" w:type="pct"/>
                  <w:tcBorders>
                    <w:tl2br w:val="nil"/>
                    <w:tr2bl w:val="nil"/>
                  </w:tcBorders>
                  <w:vAlign w:val="center"/>
                </w:tcPr>
                <w:p w14:paraId="10600EFB">
                  <w:pPr>
                    <w:snapToGrid w:val="0"/>
                    <w:ind w:right="-105" w:rightChars="-50"/>
                    <w:jc w:val="center"/>
                    <w:rPr>
                      <w:rFonts w:hint="eastAsia" w:eastAsia="宋体"/>
                      <w:szCs w:val="21"/>
                      <w:lang w:eastAsia="zh-CN"/>
                    </w:rPr>
                  </w:pPr>
                  <w:r>
                    <w:rPr>
                      <w:rFonts w:hint="eastAsia"/>
                      <w:szCs w:val="21"/>
                      <w:lang w:val="en-US" w:eastAsia="zh-CN"/>
                    </w:rPr>
                    <w:t>瓶</w:t>
                  </w:r>
                </w:p>
              </w:tc>
              <w:tc>
                <w:tcPr>
                  <w:tcW w:w="844" w:type="pct"/>
                  <w:tcBorders>
                    <w:tl2br w:val="nil"/>
                    <w:tr2bl w:val="nil"/>
                  </w:tcBorders>
                  <w:vAlign w:val="center"/>
                </w:tcPr>
                <w:p w14:paraId="502B6310">
                  <w:pPr>
                    <w:jc w:val="center"/>
                    <w:rPr>
                      <w:rFonts w:hint="default" w:eastAsia="宋体"/>
                      <w:szCs w:val="21"/>
                      <w:lang w:val="en-US" w:eastAsia="zh-CN"/>
                    </w:rPr>
                  </w:pPr>
                  <w:r>
                    <w:rPr>
                      <w:rFonts w:hint="eastAsia"/>
                      <w:szCs w:val="21"/>
                      <w:lang w:val="en-US" w:eastAsia="zh-CN"/>
                    </w:rPr>
                    <w:t>5000</w:t>
                  </w:r>
                </w:p>
              </w:tc>
              <w:tc>
                <w:tcPr>
                  <w:tcW w:w="898" w:type="pct"/>
                  <w:tcBorders>
                    <w:tl2br w:val="nil"/>
                    <w:tr2bl w:val="nil"/>
                  </w:tcBorders>
                  <w:vAlign w:val="center"/>
                </w:tcPr>
                <w:p w14:paraId="2B843947">
                  <w:pPr>
                    <w:jc w:val="center"/>
                    <w:rPr>
                      <w:rFonts w:hint="default" w:eastAsia="宋体"/>
                      <w:szCs w:val="21"/>
                      <w:lang w:val="en-US" w:eastAsia="zh-CN"/>
                    </w:rPr>
                  </w:pPr>
                  <w:r>
                    <w:rPr>
                      <w:rFonts w:hint="eastAsia"/>
                      <w:szCs w:val="21"/>
                      <w:lang w:val="en-US" w:eastAsia="zh-CN"/>
                    </w:rPr>
                    <w:t>瓶装/40L</w:t>
                  </w:r>
                </w:p>
              </w:tc>
              <w:tc>
                <w:tcPr>
                  <w:tcW w:w="797" w:type="pct"/>
                  <w:tcBorders>
                    <w:tl2br w:val="nil"/>
                    <w:tr2bl w:val="nil"/>
                  </w:tcBorders>
                  <w:vAlign w:val="center"/>
                </w:tcPr>
                <w:p w14:paraId="0A9611D1">
                  <w:pPr>
                    <w:jc w:val="center"/>
                    <w:rPr>
                      <w:rFonts w:hint="default" w:eastAsia="宋体"/>
                      <w:szCs w:val="21"/>
                      <w:lang w:val="en-US" w:eastAsia="zh-CN"/>
                    </w:rPr>
                  </w:pPr>
                  <w:r>
                    <w:rPr>
                      <w:rFonts w:hint="eastAsia"/>
                      <w:szCs w:val="21"/>
                      <w:lang w:val="en-US" w:eastAsia="zh-CN"/>
                    </w:rPr>
                    <w:t>1000</w:t>
                  </w:r>
                </w:p>
              </w:tc>
            </w:tr>
            <w:tr w14:paraId="72C2B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46F552FE">
                  <w:pPr>
                    <w:jc w:val="center"/>
                    <w:rPr>
                      <w:szCs w:val="21"/>
                    </w:rPr>
                  </w:pPr>
                </w:p>
              </w:tc>
              <w:tc>
                <w:tcPr>
                  <w:tcW w:w="1210" w:type="pct"/>
                  <w:tcBorders>
                    <w:tl2br w:val="nil"/>
                    <w:tr2bl w:val="nil"/>
                  </w:tcBorders>
                  <w:vAlign w:val="center"/>
                </w:tcPr>
                <w:p w14:paraId="034B6F4E">
                  <w:pPr>
                    <w:spacing w:line="240" w:lineRule="auto"/>
                    <w:jc w:val="center"/>
                    <w:rPr>
                      <w:rFonts w:hint="eastAsia"/>
                      <w:sz w:val="21"/>
                      <w:szCs w:val="21"/>
                      <w:lang w:val="en-US" w:eastAsia="zh-CN"/>
                    </w:rPr>
                  </w:pPr>
                  <w:r>
                    <w:rPr>
                      <w:rFonts w:hint="eastAsia"/>
                      <w:sz w:val="21"/>
                      <w:szCs w:val="21"/>
                      <w:lang w:val="en-US" w:eastAsia="zh-CN"/>
                    </w:rPr>
                    <w:t>拉延油</w:t>
                  </w:r>
                </w:p>
              </w:tc>
              <w:tc>
                <w:tcPr>
                  <w:tcW w:w="733" w:type="pct"/>
                  <w:tcBorders>
                    <w:tl2br w:val="nil"/>
                    <w:tr2bl w:val="nil"/>
                  </w:tcBorders>
                  <w:vAlign w:val="center"/>
                </w:tcPr>
                <w:p w14:paraId="7FE7C7CE">
                  <w:pPr>
                    <w:snapToGrid w:val="0"/>
                    <w:ind w:right="-105" w:rightChars="-50"/>
                    <w:jc w:val="center"/>
                    <w:rPr>
                      <w:rFonts w:hint="default"/>
                      <w:szCs w:val="21"/>
                      <w:lang w:val="en-US" w:eastAsia="zh-CN"/>
                    </w:rPr>
                  </w:pPr>
                  <w:r>
                    <w:rPr>
                      <w:rFonts w:hint="eastAsia"/>
                      <w:szCs w:val="21"/>
                      <w:lang w:val="en-US" w:eastAsia="zh-CN"/>
                    </w:rPr>
                    <w:t>t/a</w:t>
                  </w:r>
                </w:p>
              </w:tc>
              <w:tc>
                <w:tcPr>
                  <w:tcW w:w="844" w:type="pct"/>
                  <w:tcBorders>
                    <w:tl2br w:val="nil"/>
                    <w:tr2bl w:val="nil"/>
                  </w:tcBorders>
                  <w:vAlign w:val="center"/>
                </w:tcPr>
                <w:p w14:paraId="30B6C864">
                  <w:pPr>
                    <w:jc w:val="center"/>
                    <w:rPr>
                      <w:rFonts w:hint="default"/>
                      <w:szCs w:val="21"/>
                      <w:lang w:val="en-US" w:eastAsia="zh-CN"/>
                    </w:rPr>
                  </w:pPr>
                  <w:r>
                    <w:rPr>
                      <w:rFonts w:hint="eastAsia"/>
                      <w:szCs w:val="21"/>
                      <w:lang w:val="en-US" w:eastAsia="zh-CN"/>
                    </w:rPr>
                    <w:t>5</w:t>
                  </w:r>
                </w:p>
              </w:tc>
              <w:tc>
                <w:tcPr>
                  <w:tcW w:w="1508" w:type="dxa"/>
                  <w:tcBorders>
                    <w:tl2br w:val="nil"/>
                    <w:tr2bl w:val="nil"/>
                  </w:tcBorders>
                  <w:vAlign w:val="center"/>
                </w:tcPr>
                <w:p w14:paraId="4C78364C">
                  <w:pPr>
                    <w:jc w:val="center"/>
                    <w:rPr>
                      <w:rFonts w:hint="eastAsia"/>
                      <w:szCs w:val="21"/>
                      <w:lang w:val="en-US" w:eastAsia="zh-CN"/>
                    </w:rPr>
                  </w:pPr>
                  <w:r>
                    <w:rPr>
                      <w:rFonts w:hint="eastAsia"/>
                      <w:szCs w:val="21"/>
                    </w:rPr>
                    <w:t>2</w:t>
                  </w:r>
                  <w:r>
                    <w:rPr>
                      <w:rFonts w:hint="eastAsia"/>
                      <w:szCs w:val="21"/>
                      <w:lang w:val="en-US" w:eastAsia="zh-CN"/>
                    </w:rPr>
                    <w:t>5</w:t>
                  </w:r>
                  <w:r>
                    <w:rPr>
                      <w:szCs w:val="21"/>
                    </w:rPr>
                    <w:t>kg/桶</w:t>
                  </w:r>
                </w:p>
              </w:tc>
              <w:tc>
                <w:tcPr>
                  <w:tcW w:w="1338" w:type="dxa"/>
                  <w:tcBorders>
                    <w:tl2br w:val="nil"/>
                    <w:tr2bl w:val="nil"/>
                  </w:tcBorders>
                  <w:vAlign w:val="center"/>
                </w:tcPr>
                <w:p w14:paraId="4334A763">
                  <w:pPr>
                    <w:jc w:val="center"/>
                    <w:rPr>
                      <w:rFonts w:hint="eastAsia"/>
                      <w:szCs w:val="21"/>
                      <w:lang w:val="en-US" w:eastAsia="zh-CN"/>
                    </w:rPr>
                  </w:pPr>
                  <w:r>
                    <w:rPr>
                      <w:rFonts w:hint="eastAsia"/>
                      <w:szCs w:val="21"/>
                      <w:lang w:val="en-US" w:eastAsia="zh-CN"/>
                    </w:rPr>
                    <w:t>1</w:t>
                  </w:r>
                </w:p>
              </w:tc>
            </w:tr>
            <w:tr w14:paraId="7BD5D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vMerge w:val="continue"/>
                  <w:tcBorders>
                    <w:tl2br w:val="nil"/>
                    <w:tr2bl w:val="nil"/>
                  </w:tcBorders>
                  <w:vAlign w:val="center"/>
                </w:tcPr>
                <w:p w14:paraId="7F2D6FD4">
                  <w:pPr>
                    <w:jc w:val="center"/>
                    <w:rPr>
                      <w:szCs w:val="21"/>
                    </w:rPr>
                  </w:pPr>
                </w:p>
              </w:tc>
              <w:tc>
                <w:tcPr>
                  <w:tcW w:w="1210" w:type="pct"/>
                  <w:tcBorders>
                    <w:tl2br w:val="nil"/>
                    <w:tr2bl w:val="nil"/>
                  </w:tcBorders>
                  <w:vAlign w:val="center"/>
                </w:tcPr>
                <w:p w14:paraId="6148EE5D">
                  <w:pPr>
                    <w:jc w:val="center"/>
                    <w:rPr>
                      <w:szCs w:val="21"/>
                    </w:rPr>
                  </w:pPr>
                  <w:r>
                    <w:rPr>
                      <w:rFonts w:hint="eastAsia"/>
                      <w:szCs w:val="21"/>
                    </w:rPr>
                    <w:t>润滑油</w:t>
                  </w:r>
                </w:p>
              </w:tc>
              <w:tc>
                <w:tcPr>
                  <w:tcW w:w="733" w:type="pct"/>
                  <w:tcBorders>
                    <w:tl2br w:val="nil"/>
                    <w:tr2bl w:val="nil"/>
                  </w:tcBorders>
                  <w:vAlign w:val="center"/>
                </w:tcPr>
                <w:p w14:paraId="45ED610B">
                  <w:pPr>
                    <w:jc w:val="center"/>
                    <w:rPr>
                      <w:szCs w:val="21"/>
                    </w:rPr>
                  </w:pPr>
                  <w:r>
                    <w:rPr>
                      <w:rFonts w:hint="eastAsia"/>
                      <w:szCs w:val="21"/>
                    </w:rPr>
                    <w:t>t</w:t>
                  </w:r>
                  <w:r>
                    <w:rPr>
                      <w:szCs w:val="21"/>
                    </w:rPr>
                    <w:t>/a</w:t>
                  </w:r>
                </w:p>
              </w:tc>
              <w:tc>
                <w:tcPr>
                  <w:tcW w:w="844" w:type="pct"/>
                  <w:tcBorders>
                    <w:tl2br w:val="nil"/>
                    <w:tr2bl w:val="nil"/>
                  </w:tcBorders>
                  <w:vAlign w:val="center"/>
                </w:tcPr>
                <w:p w14:paraId="3EB0B51E">
                  <w:pPr>
                    <w:jc w:val="center"/>
                    <w:rPr>
                      <w:rFonts w:hint="eastAsia" w:eastAsia="宋体"/>
                      <w:szCs w:val="21"/>
                      <w:lang w:eastAsia="zh-CN"/>
                    </w:rPr>
                  </w:pPr>
                  <w:r>
                    <w:rPr>
                      <w:rFonts w:hint="eastAsia"/>
                      <w:szCs w:val="21"/>
                      <w:lang w:val="en-US" w:eastAsia="zh-CN"/>
                    </w:rPr>
                    <w:t>1</w:t>
                  </w:r>
                </w:p>
              </w:tc>
              <w:tc>
                <w:tcPr>
                  <w:tcW w:w="898" w:type="pct"/>
                  <w:tcBorders>
                    <w:tl2br w:val="nil"/>
                    <w:tr2bl w:val="nil"/>
                  </w:tcBorders>
                  <w:vAlign w:val="center"/>
                </w:tcPr>
                <w:p w14:paraId="1C211CBD">
                  <w:pPr>
                    <w:jc w:val="center"/>
                    <w:rPr>
                      <w:szCs w:val="21"/>
                    </w:rPr>
                  </w:pPr>
                  <w:r>
                    <w:rPr>
                      <w:rFonts w:hint="eastAsia"/>
                      <w:szCs w:val="21"/>
                    </w:rPr>
                    <w:t>2</w:t>
                  </w:r>
                  <w:r>
                    <w:rPr>
                      <w:szCs w:val="21"/>
                    </w:rPr>
                    <w:t>0kg/桶</w:t>
                  </w:r>
                </w:p>
              </w:tc>
              <w:tc>
                <w:tcPr>
                  <w:tcW w:w="797" w:type="pct"/>
                  <w:tcBorders>
                    <w:tl2br w:val="nil"/>
                    <w:tr2bl w:val="nil"/>
                  </w:tcBorders>
                  <w:vAlign w:val="center"/>
                </w:tcPr>
                <w:p w14:paraId="3D583429">
                  <w:pPr>
                    <w:jc w:val="center"/>
                    <w:rPr>
                      <w:rFonts w:hint="default" w:eastAsia="宋体"/>
                      <w:szCs w:val="21"/>
                      <w:lang w:val="en-US" w:eastAsia="zh-CN"/>
                    </w:rPr>
                  </w:pPr>
                  <w:r>
                    <w:rPr>
                      <w:rFonts w:hint="eastAsia"/>
                      <w:szCs w:val="21"/>
                      <w:lang w:val="en-US" w:eastAsia="zh-CN"/>
                    </w:rPr>
                    <w:t>0.1</w:t>
                  </w:r>
                </w:p>
              </w:tc>
            </w:tr>
            <w:tr w14:paraId="0C583B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tcBorders>
                    <w:tl2br w:val="nil"/>
                    <w:tr2bl w:val="nil"/>
                  </w:tcBorders>
                  <w:vAlign w:val="center"/>
                </w:tcPr>
                <w:p w14:paraId="65EB658C">
                  <w:pPr>
                    <w:jc w:val="center"/>
                    <w:rPr>
                      <w:szCs w:val="21"/>
                    </w:rPr>
                  </w:pPr>
                  <w:r>
                    <w:rPr>
                      <w:rFonts w:hint="eastAsia"/>
                      <w:szCs w:val="21"/>
                    </w:rPr>
                    <w:t>水</w:t>
                  </w:r>
                </w:p>
              </w:tc>
              <w:tc>
                <w:tcPr>
                  <w:tcW w:w="1210" w:type="pct"/>
                  <w:tcBorders>
                    <w:tl2br w:val="nil"/>
                    <w:tr2bl w:val="nil"/>
                  </w:tcBorders>
                  <w:vAlign w:val="center"/>
                </w:tcPr>
                <w:p w14:paraId="12A38C98">
                  <w:pPr>
                    <w:jc w:val="center"/>
                    <w:rPr>
                      <w:color w:val="auto"/>
                      <w:szCs w:val="21"/>
                    </w:rPr>
                  </w:pPr>
                  <w:r>
                    <w:rPr>
                      <w:rFonts w:hint="eastAsia"/>
                      <w:color w:val="auto"/>
                      <w:szCs w:val="21"/>
                    </w:rPr>
                    <w:t>自来水</w:t>
                  </w:r>
                </w:p>
              </w:tc>
              <w:tc>
                <w:tcPr>
                  <w:tcW w:w="733" w:type="pct"/>
                  <w:tcBorders>
                    <w:tl2br w:val="nil"/>
                    <w:tr2bl w:val="nil"/>
                  </w:tcBorders>
                  <w:vAlign w:val="center"/>
                </w:tcPr>
                <w:p w14:paraId="275569CE">
                  <w:pPr>
                    <w:jc w:val="center"/>
                    <w:rPr>
                      <w:color w:val="auto"/>
                      <w:szCs w:val="21"/>
                    </w:rPr>
                  </w:pPr>
                  <w:r>
                    <w:rPr>
                      <w:rFonts w:hint="eastAsia"/>
                      <w:color w:val="auto"/>
                      <w:szCs w:val="21"/>
                    </w:rPr>
                    <w:t>t/a</w:t>
                  </w:r>
                </w:p>
              </w:tc>
              <w:tc>
                <w:tcPr>
                  <w:tcW w:w="844" w:type="pct"/>
                  <w:tcBorders>
                    <w:tl2br w:val="nil"/>
                    <w:tr2bl w:val="nil"/>
                  </w:tcBorders>
                  <w:vAlign w:val="center"/>
                </w:tcPr>
                <w:p w14:paraId="12C8BB5C">
                  <w:pPr>
                    <w:jc w:val="center"/>
                    <w:rPr>
                      <w:rFonts w:hint="default" w:eastAsia="宋体"/>
                      <w:color w:val="auto"/>
                      <w:szCs w:val="21"/>
                      <w:lang w:val="en-US" w:eastAsia="zh-CN"/>
                    </w:rPr>
                  </w:pPr>
                  <w:r>
                    <w:rPr>
                      <w:rFonts w:hint="eastAsia"/>
                      <w:color w:val="auto"/>
                      <w:szCs w:val="21"/>
                      <w:lang w:val="en-US" w:eastAsia="zh-CN"/>
                    </w:rPr>
                    <w:t>4500</w:t>
                  </w:r>
                </w:p>
              </w:tc>
              <w:tc>
                <w:tcPr>
                  <w:tcW w:w="898" w:type="pct"/>
                  <w:tcBorders>
                    <w:tl2br w:val="nil"/>
                    <w:tr2bl w:val="nil"/>
                  </w:tcBorders>
                  <w:vAlign w:val="center"/>
                </w:tcPr>
                <w:p w14:paraId="39C882C0">
                  <w:pPr>
                    <w:jc w:val="center"/>
                    <w:rPr>
                      <w:szCs w:val="21"/>
                    </w:rPr>
                  </w:pPr>
                  <w:r>
                    <w:rPr>
                      <w:rFonts w:hint="eastAsia"/>
                      <w:szCs w:val="21"/>
                    </w:rPr>
                    <w:t>/</w:t>
                  </w:r>
                </w:p>
              </w:tc>
              <w:tc>
                <w:tcPr>
                  <w:tcW w:w="797" w:type="pct"/>
                  <w:tcBorders>
                    <w:tl2br w:val="nil"/>
                    <w:tr2bl w:val="nil"/>
                  </w:tcBorders>
                  <w:vAlign w:val="center"/>
                </w:tcPr>
                <w:p w14:paraId="5C4CE0C8">
                  <w:pPr>
                    <w:jc w:val="center"/>
                    <w:rPr>
                      <w:szCs w:val="21"/>
                    </w:rPr>
                  </w:pPr>
                  <w:r>
                    <w:rPr>
                      <w:szCs w:val="21"/>
                    </w:rPr>
                    <w:t>/</w:t>
                  </w:r>
                </w:p>
              </w:tc>
            </w:tr>
            <w:tr w14:paraId="634C30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15" w:type="pct"/>
                  <w:tcBorders>
                    <w:tl2br w:val="nil"/>
                    <w:tr2bl w:val="nil"/>
                  </w:tcBorders>
                  <w:vAlign w:val="center"/>
                </w:tcPr>
                <w:p w14:paraId="2FE094F0">
                  <w:pPr>
                    <w:jc w:val="center"/>
                    <w:rPr>
                      <w:szCs w:val="21"/>
                    </w:rPr>
                  </w:pPr>
                  <w:r>
                    <w:rPr>
                      <w:rFonts w:hint="eastAsia"/>
                      <w:szCs w:val="21"/>
                    </w:rPr>
                    <w:t>电</w:t>
                  </w:r>
                </w:p>
              </w:tc>
              <w:tc>
                <w:tcPr>
                  <w:tcW w:w="1210" w:type="pct"/>
                  <w:tcBorders>
                    <w:tl2br w:val="nil"/>
                    <w:tr2bl w:val="nil"/>
                  </w:tcBorders>
                  <w:vAlign w:val="center"/>
                </w:tcPr>
                <w:p w14:paraId="55BE8704">
                  <w:pPr>
                    <w:jc w:val="center"/>
                    <w:rPr>
                      <w:szCs w:val="21"/>
                    </w:rPr>
                  </w:pPr>
                  <w:r>
                    <w:rPr>
                      <w:rFonts w:hint="eastAsia"/>
                      <w:szCs w:val="21"/>
                    </w:rPr>
                    <w:t>电</w:t>
                  </w:r>
                </w:p>
              </w:tc>
              <w:tc>
                <w:tcPr>
                  <w:tcW w:w="733" w:type="pct"/>
                  <w:tcBorders>
                    <w:tl2br w:val="nil"/>
                    <w:tr2bl w:val="nil"/>
                  </w:tcBorders>
                  <w:vAlign w:val="center"/>
                </w:tcPr>
                <w:p w14:paraId="094E7767">
                  <w:pPr>
                    <w:jc w:val="center"/>
                    <w:rPr>
                      <w:szCs w:val="21"/>
                    </w:rPr>
                  </w:pPr>
                  <w:r>
                    <w:rPr>
                      <w:szCs w:val="21"/>
                    </w:rPr>
                    <w:t>万kW·h</w:t>
                  </w:r>
                </w:p>
              </w:tc>
              <w:tc>
                <w:tcPr>
                  <w:tcW w:w="844" w:type="pct"/>
                  <w:tcBorders>
                    <w:tl2br w:val="nil"/>
                    <w:tr2bl w:val="nil"/>
                  </w:tcBorders>
                  <w:vAlign w:val="center"/>
                </w:tcPr>
                <w:p w14:paraId="224760D1">
                  <w:pPr>
                    <w:jc w:val="center"/>
                    <w:rPr>
                      <w:rFonts w:hint="default" w:eastAsia="宋体"/>
                      <w:szCs w:val="21"/>
                      <w:lang w:val="en-US" w:eastAsia="zh-CN"/>
                    </w:rPr>
                  </w:pPr>
                  <w:r>
                    <w:rPr>
                      <w:rFonts w:hint="eastAsia"/>
                      <w:szCs w:val="21"/>
                      <w:lang w:val="en-US" w:eastAsia="zh-CN"/>
                    </w:rPr>
                    <w:t>100</w:t>
                  </w:r>
                </w:p>
              </w:tc>
              <w:tc>
                <w:tcPr>
                  <w:tcW w:w="898" w:type="pct"/>
                  <w:tcBorders>
                    <w:tl2br w:val="nil"/>
                    <w:tr2bl w:val="nil"/>
                  </w:tcBorders>
                  <w:vAlign w:val="center"/>
                </w:tcPr>
                <w:p w14:paraId="275A06D2">
                  <w:pPr>
                    <w:jc w:val="center"/>
                    <w:rPr>
                      <w:szCs w:val="21"/>
                    </w:rPr>
                  </w:pPr>
                  <w:r>
                    <w:rPr>
                      <w:rFonts w:hint="eastAsia"/>
                      <w:szCs w:val="21"/>
                    </w:rPr>
                    <w:t>/</w:t>
                  </w:r>
                </w:p>
              </w:tc>
              <w:tc>
                <w:tcPr>
                  <w:tcW w:w="797" w:type="pct"/>
                  <w:tcBorders>
                    <w:tl2br w:val="nil"/>
                    <w:tr2bl w:val="nil"/>
                  </w:tcBorders>
                  <w:vAlign w:val="center"/>
                </w:tcPr>
                <w:p w14:paraId="43C47869">
                  <w:pPr>
                    <w:jc w:val="center"/>
                    <w:rPr>
                      <w:szCs w:val="21"/>
                    </w:rPr>
                  </w:pPr>
                  <w:r>
                    <w:rPr>
                      <w:rFonts w:hint="eastAsia"/>
                      <w:szCs w:val="21"/>
                    </w:rPr>
                    <w:t>/</w:t>
                  </w:r>
                </w:p>
              </w:tc>
            </w:tr>
          </w:tbl>
          <w:p w14:paraId="33C9CDEF">
            <w:pPr>
              <w:keepNext w:val="0"/>
              <w:keepLines w:val="0"/>
              <w:pageBreakBefore w:val="0"/>
              <w:kinsoku/>
              <w:wordWrap/>
              <w:overflowPunct/>
              <w:topLinePunct w:val="0"/>
              <w:autoSpaceDE w:val="0"/>
              <w:autoSpaceDN w:val="0"/>
              <w:bidi w:val="0"/>
              <w:adjustRightInd w:val="0"/>
              <w:snapToGrid/>
              <w:spacing w:beforeAutospacing="0" w:line="360" w:lineRule="auto"/>
              <w:ind w:firstLine="480" w:firstLineChars="200"/>
              <w:textAlignment w:val="auto"/>
              <w:rPr>
                <w:kern w:val="24"/>
                <w:sz w:val="24"/>
              </w:rPr>
            </w:pPr>
            <w:r>
              <w:rPr>
                <w:kern w:val="24"/>
                <w:sz w:val="24"/>
              </w:rPr>
              <w:t>主要原辅材料理化性质见下表。</w:t>
            </w:r>
          </w:p>
          <w:p w14:paraId="5FEE0AA3">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szCs w:val="20"/>
              </w:rPr>
            </w:pPr>
            <w:r>
              <w:rPr>
                <w:rFonts w:hint="eastAsia"/>
                <w:b/>
                <w:kern w:val="0"/>
                <w:sz w:val="24"/>
                <w:szCs w:val="20"/>
              </w:rPr>
              <w:t>表2-</w:t>
            </w:r>
            <w:r>
              <w:rPr>
                <w:rFonts w:hint="eastAsia"/>
                <w:b/>
                <w:kern w:val="0"/>
                <w:sz w:val="24"/>
                <w:szCs w:val="20"/>
                <w:lang w:val="en-US" w:eastAsia="zh-CN"/>
              </w:rPr>
              <w:t>7</w:t>
            </w:r>
            <w:r>
              <w:rPr>
                <w:b/>
                <w:kern w:val="0"/>
                <w:sz w:val="24"/>
                <w:szCs w:val="20"/>
              </w:rPr>
              <w:t xml:space="preserve">  </w:t>
            </w:r>
            <w:r>
              <w:rPr>
                <w:rFonts w:hint="eastAsia"/>
                <w:b/>
                <w:kern w:val="0"/>
                <w:sz w:val="24"/>
                <w:szCs w:val="20"/>
              </w:rPr>
              <w:t>项目原辅材料主要理化性质一览表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6992"/>
            </w:tblGrid>
            <w:tr w14:paraId="513E1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33" w:type="pct"/>
                  <w:tcBorders>
                    <w:tl2br w:val="nil"/>
                    <w:tr2bl w:val="nil"/>
                  </w:tcBorders>
                  <w:vAlign w:val="center"/>
                </w:tcPr>
                <w:p w14:paraId="4A1AE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原辅料名称</w:t>
                  </w:r>
                </w:p>
              </w:tc>
              <w:tc>
                <w:tcPr>
                  <w:tcW w:w="4166" w:type="pct"/>
                  <w:tcBorders>
                    <w:tl2br w:val="nil"/>
                    <w:tr2bl w:val="nil"/>
                  </w:tcBorders>
                  <w:vAlign w:val="center"/>
                </w:tcPr>
                <w:p w14:paraId="061AE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szCs w:val="21"/>
                    </w:rPr>
                    <w:t>理化性质</w:t>
                  </w:r>
                </w:p>
              </w:tc>
            </w:tr>
            <w:tr w14:paraId="714DF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833" w:type="pct"/>
                  <w:tcBorders>
                    <w:tl2br w:val="nil"/>
                    <w:tr2bl w:val="nil"/>
                  </w:tcBorders>
                  <w:vAlign w:val="center"/>
                </w:tcPr>
                <w:p w14:paraId="567FD53E">
                  <w:pPr>
                    <w:jc w:val="center"/>
                    <w:rPr>
                      <w:rFonts w:hint="default" w:eastAsia="宋体"/>
                      <w:szCs w:val="21"/>
                      <w:lang w:val="en-US" w:eastAsia="zh-CN"/>
                    </w:rPr>
                  </w:pPr>
                  <w:r>
                    <w:rPr>
                      <w:rFonts w:hint="eastAsia" w:hAnsi="宋体"/>
                      <w:kern w:val="24"/>
                      <w:szCs w:val="21"/>
                      <w:lang w:val="en-US" w:eastAsia="zh-CN"/>
                    </w:rPr>
                    <w:t>实芯焊丝</w:t>
                  </w:r>
                </w:p>
              </w:tc>
              <w:tc>
                <w:tcPr>
                  <w:tcW w:w="4166" w:type="pct"/>
                  <w:tcBorders>
                    <w:tl2br w:val="nil"/>
                    <w:tr2bl w:val="nil"/>
                  </w:tcBorders>
                  <w:vAlign w:val="center"/>
                </w:tcPr>
                <w:p w14:paraId="7F1A3268">
                  <w:pPr>
                    <w:jc w:val="both"/>
                    <w:rPr>
                      <w:rFonts w:hint="eastAsia" w:ascii="Times New Roman" w:hAnsi="宋体" w:eastAsia="宋体" w:cs="Times New Roman"/>
                      <w:kern w:val="24"/>
                      <w:szCs w:val="21"/>
                      <w:lang w:val="en-US" w:eastAsia="zh-CN"/>
                    </w:rPr>
                  </w:pPr>
                  <w:r>
                    <w:rPr>
                      <w:rFonts w:hint="eastAsia" w:ascii="Times New Roman" w:hAnsi="宋体" w:eastAsia="宋体" w:cs="Times New Roman"/>
                      <w:kern w:val="24"/>
                      <w:szCs w:val="21"/>
                      <w:lang w:val="en-US" w:eastAsia="zh-CN"/>
                    </w:rPr>
                    <w:t>CHW-50C6焊丝为实芯焊丝，主要成分碳 (C) 含量为 ‌0.06%‌，处于规范值0.06%~0.15%之间。锰 (Mn) 含量为 ‌1.44%‌，符合规范值1.40%~1.85%的要求。硅 (Si) 含量为 ‌0.84%‌，在规范值0.80%~1.15%范围内。磷 (P) 和硫 (S) 含量分别为 ‌0.007%‌ 和未列出但≤0.025%，均满足低含量要求。铬 (Cr)、镍 (Ni)、钼 (Mo) 含量均很低，分别不超过 ‌0.009%、0.024%、0.012%‌，远低于规范值。铜 (Cu) 含量为 ‌0.053%‌，远低于规范值≤0.50%。其他元素如钛 (Ti)、铌 (Nb) 等也未超出规范值。</w:t>
                  </w:r>
                </w:p>
                <w:p w14:paraId="012486A4">
                  <w:pPr>
                    <w:jc w:val="both"/>
                    <w:rPr>
                      <w:szCs w:val="21"/>
                    </w:rPr>
                  </w:pPr>
                  <w:r>
                    <w:rPr>
                      <w:rFonts w:hint="eastAsia" w:ascii="Times New Roman" w:hAnsi="宋体" w:eastAsia="宋体" w:cs="Times New Roman"/>
                      <w:kern w:val="24"/>
                      <w:szCs w:val="21"/>
                      <w:lang w:val="en-US" w:eastAsia="zh-CN"/>
                    </w:rPr>
                    <w:t>‌机械性能‌：‌抗拉强度为‌523 MPa‌，处于规范值490~670 MPa之间。‌屈服强度为‌424 MPa‌，高于规范值≥390 MPa。‌伸长率为‌28.5%‌，超过规范值≥27%。‌冲击功在-30℃下未明确列出具体数值，但进行了测试，且通常需满足一定标准。‌执行标准‌：该焊丝执行‌GB/T 8110-2020标准，符合EN10204 3.1要求。</w:t>
                  </w:r>
                </w:p>
              </w:tc>
            </w:tr>
          </w:tbl>
          <w:p w14:paraId="5606F409">
            <w:pPr>
              <w:keepNext w:val="0"/>
              <w:keepLines w:val="0"/>
              <w:pageBreakBefore w:val="0"/>
              <w:widowControl w:val="0"/>
              <w:kinsoku/>
              <w:wordWrap/>
              <w:overflowPunct/>
              <w:topLinePunct w:val="0"/>
              <w:autoSpaceDE/>
              <w:autoSpaceDN/>
              <w:bidi w:val="0"/>
              <w:adjustRightInd/>
              <w:snapToGrid/>
              <w:spacing w:beforeAutospacing="0" w:line="360" w:lineRule="auto"/>
              <w:ind w:firstLine="482" w:firstLineChars="200"/>
              <w:textAlignment w:val="auto"/>
              <w:rPr>
                <w:b/>
                <w:kern w:val="0"/>
                <w:sz w:val="24"/>
              </w:rPr>
            </w:pPr>
            <w:r>
              <w:rPr>
                <w:b/>
                <w:kern w:val="0"/>
                <w:sz w:val="24"/>
              </w:rPr>
              <w:t>6</w:t>
            </w:r>
            <w:r>
              <w:rPr>
                <w:rFonts w:hint="eastAsia"/>
                <w:b/>
                <w:kern w:val="0"/>
                <w:sz w:val="24"/>
              </w:rPr>
              <w:t>、项目平面布局合理性</w:t>
            </w:r>
          </w:p>
          <w:p w14:paraId="63CCDD67">
            <w:pPr>
              <w:autoSpaceDE w:val="0"/>
              <w:autoSpaceDN w:val="0"/>
              <w:adjustRightInd w:val="0"/>
              <w:spacing w:line="360" w:lineRule="auto"/>
              <w:ind w:firstLine="480" w:firstLineChars="200"/>
              <w:rPr>
                <w:color w:val="auto"/>
                <w:kern w:val="24"/>
                <w:sz w:val="24"/>
              </w:rPr>
            </w:pPr>
            <w:r>
              <w:rPr>
                <w:rFonts w:hint="eastAsia"/>
                <w:color w:val="auto"/>
                <w:sz w:val="24"/>
              </w:rPr>
              <w:t>本项目</w:t>
            </w:r>
            <w:r>
              <w:rPr>
                <w:rFonts w:hint="eastAsia"/>
                <w:color w:val="auto"/>
                <w:sz w:val="24"/>
                <w:lang w:val="en-US" w:eastAsia="zh-CN"/>
              </w:rPr>
              <w:t>新建</w:t>
            </w:r>
            <w:r>
              <w:rPr>
                <w:rFonts w:hint="eastAsia" w:eastAsiaTheme="minorEastAsia"/>
                <w:color w:val="auto"/>
                <w:sz w:val="24"/>
              </w:rPr>
              <w:t>厂房进行生产，原料区、</w:t>
            </w:r>
            <w:r>
              <w:rPr>
                <w:rFonts w:hint="eastAsia" w:eastAsiaTheme="minorEastAsia"/>
                <w:color w:val="auto"/>
                <w:sz w:val="24"/>
                <w:lang w:val="en-US" w:eastAsia="zh-CN"/>
              </w:rPr>
              <w:t>成品区位于厂房车间内，</w:t>
            </w:r>
            <w:r>
              <w:rPr>
                <w:rFonts w:hint="eastAsia" w:eastAsiaTheme="minorEastAsia"/>
                <w:color w:val="auto"/>
                <w:sz w:val="24"/>
              </w:rPr>
              <w:t>一般固废暂存库和危废暂存库位于</w:t>
            </w:r>
            <w:r>
              <w:rPr>
                <w:rFonts w:hint="eastAsia" w:eastAsiaTheme="minorEastAsia"/>
                <w:color w:val="auto"/>
                <w:sz w:val="24"/>
                <w:lang w:val="en-US" w:eastAsia="zh-CN"/>
              </w:rPr>
              <w:t>厂区南</w:t>
            </w:r>
            <w:r>
              <w:rPr>
                <w:rFonts w:hint="eastAsia" w:eastAsiaTheme="minorEastAsia"/>
                <w:color w:val="auto"/>
                <w:sz w:val="24"/>
              </w:rPr>
              <w:t>侧，办公区位于</w:t>
            </w:r>
            <w:r>
              <w:rPr>
                <w:rFonts w:hint="eastAsia" w:eastAsiaTheme="minorEastAsia"/>
                <w:color w:val="auto"/>
                <w:sz w:val="24"/>
                <w:lang w:val="en-US" w:eastAsia="zh-CN"/>
              </w:rPr>
              <w:t>厂区北</w:t>
            </w:r>
            <w:r>
              <w:rPr>
                <w:rFonts w:hint="eastAsia" w:eastAsiaTheme="minorEastAsia"/>
                <w:color w:val="auto"/>
                <w:sz w:val="24"/>
              </w:rPr>
              <w:t>侧。</w:t>
            </w:r>
            <w:r>
              <w:rPr>
                <w:rFonts w:hint="eastAsia"/>
                <w:color w:val="auto"/>
                <w:kern w:val="24"/>
                <w:sz w:val="24"/>
              </w:rPr>
              <w:t>从项目平面布置可看出，其人流、车流、货运路线清晰，厂区平面布置有利于项目生产运行过程中各部门的生产协作，提高生产效率。总体来说，项目的总平面布置较为合理。</w:t>
            </w:r>
          </w:p>
          <w:p w14:paraId="455693FB">
            <w:pPr>
              <w:spacing w:line="360" w:lineRule="auto"/>
              <w:ind w:left="504" w:leftChars="240"/>
              <w:rPr>
                <w:sz w:val="24"/>
              </w:rPr>
            </w:pPr>
            <w:r>
              <w:rPr>
                <w:b/>
                <w:kern w:val="0"/>
                <w:sz w:val="24"/>
              </w:rPr>
              <w:t>7</w:t>
            </w:r>
            <w:r>
              <w:rPr>
                <w:rFonts w:hint="eastAsia"/>
                <w:b/>
                <w:kern w:val="0"/>
                <w:sz w:val="24"/>
              </w:rPr>
              <w:t>、生产制度和劳动定员</w:t>
            </w:r>
          </w:p>
          <w:p w14:paraId="2577DCAD">
            <w:pPr>
              <w:spacing w:line="360" w:lineRule="auto"/>
              <w:ind w:firstLine="480" w:firstLineChars="200"/>
              <w:rPr>
                <w:sz w:val="24"/>
              </w:rPr>
            </w:pPr>
            <w:r>
              <w:rPr>
                <w:rFonts w:hint="eastAsia"/>
                <w:sz w:val="24"/>
              </w:rPr>
              <w:t>劳动定员：本项目劳动定员</w:t>
            </w:r>
            <w:r>
              <w:rPr>
                <w:rFonts w:hint="eastAsia"/>
                <w:sz w:val="24"/>
                <w:lang w:val="en-US" w:eastAsia="zh-CN"/>
              </w:rPr>
              <w:t>300</w:t>
            </w:r>
            <w:r>
              <w:rPr>
                <w:rFonts w:hint="eastAsia"/>
                <w:sz w:val="24"/>
              </w:rPr>
              <w:t>人，厂区设</w:t>
            </w:r>
            <w:r>
              <w:rPr>
                <w:rFonts w:hint="eastAsia"/>
                <w:sz w:val="24"/>
                <w:lang w:val="en-US" w:eastAsia="zh-CN"/>
              </w:rPr>
              <w:t>有</w:t>
            </w:r>
            <w:r>
              <w:rPr>
                <w:rFonts w:hint="eastAsia"/>
                <w:sz w:val="24"/>
              </w:rPr>
              <w:t>食堂。</w:t>
            </w:r>
          </w:p>
          <w:p w14:paraId="0259A02F">
            <w:pPr>
              <w:spacing w:line="360" w:lineRule="auto"/>
              <w:ind w:firstLine="480" w:firstLineChars="200"/>
              <w:rPr>
                <w:sz w:val="24"/>
              </w:rPr>
            </w:pPr>
            <w:r>
              <w:rPr>
                <w:rFonts w:hint="eastAsia"/>
                <w:sz w:val="24"/>
              </w:rPr>
              <w:t>生产制度：</w:t>
            </w:r>
            <w:r>
              <w:rPr>
                <w:sz w:val="24"/>
              </w:rPr>
              <w:t>年工作时间3</w:t>
            </w:r>
            <w:r>
              <w:rPr>
                <w:rFonts w:hint="eastAsia"/>
                <w:sz w:val="24"/>
              </w:rPr>
              <w:t>0</w:t>
            </w:r>
            <w:r>
              <w:rPr>
                <w:sz w:val="24"/>
              </w:rPr>
              <w:t>0天，实行</w:t>
            </w:r>
            <w:r>
              <w:rPr>
                <w:rFonts w:hint="eastAsia"/>
                <w:sz w:val="24"/>
                <w:lang w:val="en-US" w:eastAsia="zh-CN"/>
              </w:rPr>
              <w:t>三</w:t>
            </w:r>
            <w:r>
              <w:rPr>
                <w:sz w:val="24"/>
              </w:rPr>
              <w:t>班制</w:t>
            </w:r>
            <w:r>
              <w:rPr>
                <w:rFonts w:hint="eastAsia"/>
                <w:sz w:val="24"/>
              </w:rPr>
              <w:t>，每班</w:t>
            </w:r>
            <w:r>
              <w:rPr>
                <w:rFonts w:hint="eastAsia"/>
                <w:sz w:val="24"/>
                <w:lang w:val="en-US" w:eastAsia="zh-CN"/>
              </w:rPr>
              <w:t>8</w:t>
            </w:r>
            <w:r>
              <w:rPr>
                <w:rFonts w:hint="eastAsia"/>
                <w:sz w:val="24"/>
              </w:rPr>
              <w:t>小时。</w:t>
            </w:r>
          </w:p>
          <w:p w14:paraId="4362DB8E">
            <w:pPr>
              <w:spacing w:line="360" w:lineRule="auto"/>
              <w:ind w:left="504" w:leftChars="240"/>
              <w:rPr>
                <w:b/>
                <w:kern w:val="0"/>
                <w:sz w:val="24"/>
              </w:rPr>
            </w:pPr>
            <w:r>
              <w:rPr>
                <w:b/>
                <w:kern w:val="0"/>
                <w:sz w:val="24"/>
              </w:rPr>
              <w:t>8</w:t>
            </w:r>
            <w:r>
              <w:rPr>
                <w:rFonts w:hint="eastAsia"/>
                <w:b/>
                <w:kern w:val="0"/>
                <w:sz w:val="24"/>
              </w:rPr>
              <w:t>、水平衡</w:t>
            </w:r>
          </w:p>
          <w:p w14:paraId="428D9E12">
            <w:pPr>
              <w:pStyle w:val="170"/>
              <w:widowControl w:val="0"/>
              <w:spacing w:line="360" w:lineRule="auto"/>
              <w:ind w:firstLine="480"/>
              <w:jc w:val="both"/>
              <w:rPr>
                <w:sz w:val="24"/>
                <w:szCs w:val="24"/>
              </w:rPr>
            </w:pPr>
            <w:r>
              <w:rPr>
                <w:rFonts w:hint="eastAsia"/>
                <w:sz w:val="24"/>
                <w:szCs w:val="24"/>
              </w:rPr>
              <w:t>本项目用水主要为</w:t>
            </w:r>
            <w:r>
              <w:rPr>
                <w:sz w:val="24"/>
                <w:szCs w:val="24"/>
              </w:rPr>
              <w:t>生活用水，</w:t>
            </w:r>
            <w:r>
              <w:rPr>
                <w:rFonts w:hint="eastAsia"/>
                <w:sz w:val="24"/>
                <w:szCs w:val="24"/>
              </w:rPr>
              <w:t>废水为生活污水。</w:t>
            </w:r>
          </w:p>
          <w:p w14:paraId="4DF5EDF5">
            <w:pPr>
              <w:numPr>
                <w:ilvl w:val="0"/>
                <w:numId w:val="0"/>
              </w:numPr>
              <w:spacing w:line="360" w:lineRule="auto"/>
              <w:ind w:firstLine="480" w:firstLineChars="200"/>
              <w:rPr>
                <w:kern w:val="0"/>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kern w:val="0"/>
                <w:sz w:val="24"/>
              </w:rPr>
              <w:t>生活用水：</w:t>
            </w:r>
            <w:r>
              <w:rPr>
                <w:rFonts w:hint="eastAsia"/>
                <w:kern w:val="0"/>
                <w:sz w:val="24"/>
              </w:rPr>
              <w:t>项目劳动定员</w:t>
            </w:r>
            <w:r>
              <w:rPr>
                <w:rFonts w:hint="eastAsia"/>
                <w:kern w:val="0"/>
                <w:sz w:val="24"/>
                <w:lang w:val="en-US" w:eastAsia="zh-CN"/>
              </w:rPr>
              <w:t>300</w:t>
            </w:r>
            <w:r>
              <w:rPr>
                <w:rFonts w:hint="eastAsia"/>
                <w:kern w:val="0"/>
                <w:sz w:val="24"/>
              </w:rPr>
              <w:t>人，根据《安徽省行业用水定额》（DB34/T 679-2019），员工生活用水以</w:t>
            </w:r>
            <w:r>
              <w:rPr>
                <w:rFonts w:hint="eastAsia"/>
                <w:kern w:val="0"/>
                <w:sz w:val="24"/>
                <w:lang w:val="en-US" w:eastAsia="zh-CN"/>
              </w:rPr>
              <w:t>5</w:t>
            </w:r>
            <w:r>
              <w:rPr>
                <w:rFonts w:hint="eastAsia"/>
                <w:kern w:val="0"/>
                <w:sz w:val="24"/>
              </w:rPr>
              <w:t>0L/人·d计，则职工生活用水量为</w:t>
            </w:r>
            <w:r>
              <w:rPr>
                <w:rFonts w:hint="eastAsia"/>
                <w:kern w:val="0"/>
                <w:sz w:val="24"/>
                <w:lang w:val="en-US" w:eastAsia="zh-CN"/>
              </w:rPr>
              <w:t>15</w:t>
            </w:r>
            <w:r>
              <w:rPr>
                <w:rFonts w:hint="eastAsia"/>
                <w:kern w:val="0"/>
                <w:sz w:val="24"/>
              </w:rPr>
              <w:t>m</w:t>
            </w:r>
            <w:r>
              <w:rPr>
                <w:rFonts w:hint="eastAsia"/>
                <w:kern w:val="0"/>
                <w:sz w:val="24"/>
                <w:vertAlign w:val="superscript"/>
              </w:rPr>
              <w:t>3</w:t>
            </w:r>
            <w:r>
              <w:rPr>
                <w:rFonts w:hint="eastAsia"/>
                <w:kern w:val="0"/>
                <w:sz w:val="24"/>
              </w:rPr>
              <w:t>/d（</w:t>
            </w:r>
            <w:r>
              <w:rPr>
                <w:rFonts w:hint="eastAsia"/>
                <w:kern w:val="0"/>
                <w:sz w:val="24"/>
                <w:lang w:val="en-US" w:eastAsia="zh-CN"/>
              </w:rPr>
              <w:t>4500</w:t>
            </w:r>
            <w:r>
              <w:rPr>
                <w:rFonts w:hint="eastAsia"/>
                <w:kern w:val="0"/>
                <w:sz w:val="24"/>
              </w:rPr>
              <w:t>m</w:t>
            </w:r>
            <w:r>
              <w:rPr>
                <w:rFonts w:hint="eastAsia"/>
                <w:kern w:val="0"/>
                <w:sz w:val="24"/>
                <w:vertAlign w:val="superscript"/>
              </w:rPr>
              <w:t>3</w:t>
            </w:r>
            <w:r>
              <w:rPr>
                <w:rFonts w:hint="eastAsia"/>
                <w:kern w:val="0"/>
                <w:sz w:val="24"/>
              </w:rPr>
              <w:t>/a）。生活污水产生系数以0.8计，则本项目生活污水排放量为</w:t>
            </w:r>
            <w:r>
              <w:rPr>
                <w:rFonts w:hint="eastAsia"/>
                <w:kern w:val="0"/>
                <w:sz w:val="24"/>
                <w:lang w:val="en-US" w:eastAsia="zh-CN"/>
              </w:rPr>
              <w:t>12</w:t>
            </w:r>
            <w:r>
              <w:rPr>
                <w:rFonts w:hint="eastAsia"/>
                <w:kern w:val="0"/>
                <w:sz w:val="24"/>
              </w:rPr>
              <w:t>m</w:t>
            </w:r>
            <w:r>
              <w:rPr>
                <w:rFonts w:hint="eastAsia"/>
                <w:kern w:val="0"/>
                <w:sz w:val="24"/>
                <w:vertAlign w:val="superscript"/>
              </w:rPr>
              <w:t>3</w:t>
            </w:r>
            <w:r>
              <w:rPr>
                <w:rFonts w:hint="eastAsia"/>
                <w:kern w:val="0"/>
                <w:sz w:val="24"/>
              </w:rPr>
              <w:t>/d（</w:t>
            </w:r>
            <w:r>
              <w:rPr>
                <w:rFonts w:hint="eastAsia"/>
                <w:kern w:val="0"/>
                <w:sz w:val="24"/>
                <w:lang w:val="en-US" w:eastAsia="zh-CN"/>
              </w:rPr>
              <w:t>3600</w:t>
            </w:r>
            <w:r>
              <w:rPr>
                <w:rFonts w:hint="eastAsia"/>
                <w:kern w:val="0"/>
                <w:sz w:val="24"/>
              </w:rPr>
              <w:t>m</w:t>
            </w:r>
            <w:r>
              <w:rPr>
                <w:rFonts w:hint="eastAsia"/>
                <w:kern w:val="0"/>
                <w:sz w:val="24"/>
                <w:vertAlign w:val="superscript"/>
              </w:rPr>
              <w:t>3</w:t>
            </w:r>
            <w:r>
              <w:rPr>
                <w:rFonts w:hint="eastAsia"/>
                <w:kern w:val="0"/>
                <w:sz w:val="24"/>
              </w:rPr>
              <w:t>/a）。生活污水中主要污染物浓度为COD、BOD</w:t>
            </w:r>
            <w:r>
              <w:rPr>
                <w:rFonts w:hint="eastAsia"/>
                <w:kern w:val="0"/>
                <w:sz w:val="24"/>
                <w:vertAlign w:val="subscript"/>
              </w:rPr>
              <w:t>5</w:t>
            </w:r>
            <w:r>
              <w:rPr>
                <w:rFonts w:hint="eastAsia"/>
                <w:kern w:val="0"/>
                <w:sz w:val="24"/>
                <w:vertAlign w:val="baseline"/>
                <w:lang w:eastAsia="zh-CN"/>
              </w:rPr>
              <w:t>、</w:t>
            </w:r>
            <w:r>
              <w:rPr>
                <w:rFonts w:hint="eastAsia"/>
                <w:kern w:val="0"/>
                <w:sz w:val="24"/>
              </w:rPr>
              <w:t>氨氮、SS，生活污水经厂区化粪池处理后废水排放入市政污水管网，进入</w:t>
            </w:r>
            <w:r>
              <w:rPr>
                <w:rFonts w:hint="eastAsia"/>
                <w:kern w:val="0"/>
                <w:sz w:val="24"/>
                <w:lang w:val="en-US" w:eastAsia="zh-CN"/>
              </w:rPr>
              <w:t>芜湖市滨江</w:t>
            </w:r>
            <w:r>
              <w:rPr>
                <w:rFonts w:hint="eastAsia"/>
                <w:kern w:val="0"/>
                <w:sz w:val="24"/>
              </w:rPr>
              <w:t>污水处理厂进一步处理，最终排入长江芜湖段</w:t>
            </w:r>
            <w:r>
              <w:rPr>
                <w:kern w:val="0"/>
                <w:sz w:val="24"/>
              </w:rPr>
              <w:t>。</w:t>
            </w:r>
          </w:p>
          <w:p w14:paraId="6EB6AC8A">
            <w:pPr>
              <w:spacing w:line="360" w:lineRule="auto"/>
              <w:ind w:left="504" w:leftChars="240"/>
              <w:rPr>
                <w:kern w:val="0"/>
                <w:sz w:val="24"/>
              </w:rPr>
            </w:pPr>
            <w:r>
              <w:rPr>
                <w:kern w:val="0"/>
                <w:sz w:val="24"/>
              </w:rPr>
              <w:t>本项目水平衡见下图。</w:t>
            </w:r>
          </w:p>
          <w:p w14:paraId="7106107B">
            <w:pPr>
              <w:spacing w:line="360" w:lineRule="auto"/>
              <w:jc w:val="center"/>
              <w:rPr>
                <w:kern w:val="0"/>
                <w:sz w:val="24"/>
              </w:rPr>
            </w:pPr>
            <w:r>
              <w:drawing>
                <wp:inline distT="0" distB="0" distL="114300" distR="114300">
                  <wp:extent cx="5360035" cy="1244600"/>
                  <wp:effectExtent l="0" t="0" r="1206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360035" cy="1244600"/>
                          </a:xfrm>
                          <a:prstGeom prst="rect">
                            <a:avLst/>
                          </a:prstGeom>
                          <a:noFill/>
                          <a:ln>
                            <a:noFill/>
                          </a:ln>
                        </pic:spPr>
                      </pic:pic>
                    </a:graphicData>
                  </a:graphic>
                </wp:inline>
              </w:drawing>
            </w:r>
          </w:p>
          <w:p w14:paraId="10B343AF">
            <w:pPr>
              <w:jc w:val="center"/>
              <w:rPr>
                <w:rFonts w:cs="宋体"/>
                <w:kern w:val="0"/>
                <w:sz w:val="24"/>
              </w:rPr>
            </w:pPr>
            <w:r>
              <w:rPr>
                <w:b/>
                <w:kern w:val="0"/>
                <w:sz w:val="24"/>
              </w:rPr>
              <w:t>图</w:t>
            </w:r>
            <w:r>
              <w:rPr>
                <w:rFonts w:hint="eastAsia"/>
                <w:b/>
                <w:kern w:val="0"/>
                <w:sz w:val="24"/>
              </w:rPr>
              <w:t>2</w:t>
            </w:r>
            <w:r>
              <w:rPr>
                <w:b/>
                <w:kern w:val="0"/>
                <w:sz w:val="24"/>
              </w:rPr>
              <w:t>-1  本项目水平衡图</w:t>
            </w:r>
            <w:r>
              <w:rPr>
                <w:rFonts w:hint="eastAsia"/>
                <w:b/>
                <w:kern w:val="0"/>
                <w:sz w:val="24"/>
              </w:rPr>
              <w:t xml:space="preserve"> </w:t>
            </w:r>
            <w:r>
              <w:rPr>
                <w:b/>
                <w:kern w:val="0"/>
                <w:sz w:val="24"/>
              </w:rPr>
              <w:t xml:space="preserve"> 单位：t/d</w:t>
            </w:r>
          </w:p>
        </w:tc>
      </w:tr>
      <w:tr w14:paraId="4E182A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31" w:hRule="atLeast"/>
          <w:jc w:val="center"/>
        </w:trPr>
        <w:tc>
          <w:tcPr>
            <w:tcW w:w="534" w:type="dxa"/>
            <w:vAlign w:val="center"/>
          </w:tcPr>
          <w:p w14:paraId="33F8DCFA">
            <w:pPr>
              <w:autoSpaceDE w:val="0"/>
              <w:autoSpaceDN w:val="0"/>
              <w:adjustRightInd w:val="0"/>
              <w:snapToGrid w:val="0"/>
              <w:jc w:val="center"/>
              <w:rPr>
                <w:rFonts w:cs="宋体"/>
                <w:kern w:val="0"/>
                <w:sz w:val="24"/>
              </w:rPr>
            </w:pPr>
            <w:r>
              <w:rPr>
                <w:rFonts w:hint="eastAsia" w:cs="宋体"/>
                <w:kern w:val="0"/>
                <w:sz w:val="24"/>
              </w:rPr>
              <w:t>工艺流程和产排污环节</w:t>
            </w:r>
          </w:p>
        </w:tc>
        <w:tc>
          <w:tcPr>
            <w:tcW w:w="8526" w:type="dxa"/>
            <w:vAlign w:val="center"/>
          </w:tcPr>
          <w:p w14:paraId="6D4244E6">
            <w:pPr>
              <w:autoSpaceDE w:val="0"/>
              <w:autoSpaceDN w:val="0"/>
              <w:adjustRightInd w:val="0"/>
              <w:snapToGrid w:val="0"/>
              <w:spacing w:line="360" w:lineRule="auto"/>
              <w:ind w:firstLine="482" w:firstLineChars="200"/>
              <w:rPr>
                <w:b/>
                <w:kern w:val="0"/>
                <w:sz w:val="24"/>
                <w:szCs w:val="20"/>
              </w:rPr>
            </w:pPr>
            <w:r>
              <w:rPr>
                <w:b/>
                <w:kern w:val="0"/>
                <w:sz w:val="24"/>
                <w:szCs w:val="20"/>
              </w:rPr>
              <w:t>1</w:t>
            </w:r>
            <w:r>
              <w:rPr>
                <w:rFonts w:hint="eastAsia"/>
                <w:b/>
                <w:kern w:val="0"/>
                <w:sz w:val="24"/>
                <w:szCs w:val="20"/>
              </w:rPr>
              <w:t>、生产工艺流程</w:t>
            </w:r>
          </w:p>
          <w:p w14:paraId="225A22D8">
            <w:pPr>
              <w:spacing w:line="360" w:lineRule="auto"/>
              <w:ind w:firstLine="480" w:firstLineChars="200"/>
              <w:jc w:val="left"/>
              <w:rPr>
                <w:bCs/>
                <w:iCs/>
                <w:kern w:val="0"/>
                <w:sz w:val="24"/>
              </w:rPr>
            </w:pPr>
            <w:r>
              <w:rPr>
                <w:bCs/>
                <w:iCs/>
                <w:kern w:val="0"/>
                <w:sz w:val="24"/>
              </w:rPr>
              <w:t>本项目生产工艺流程如下。</w:t>
            </w:r>
          </w:p>
          <w:p w14:paraId="76F77289">
            <w:pPr>
              <w:spacing w:line="360" w:lineRule="auto"/>
              <w:jc w:val="center"/>
              <w:rPr>
                <w:bCs/>
                <w:kern w:val="0"/>
                <w:sz w:val="24"/>
                <w:szCs w:val="20"/>
              </w:rPr>
            </w:pPr>
            <w:r>
              <w:drawing>
                <wp:inline distT="0" distB="0" distL="114300" distR="114300">
                  <wp:extent cx="2773680" cy="3275330"/>
                  <wp:effectExtent l="0" t="0" r="762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2773680" cy="3275330"/>
                          </a:xfrm>
                          <a:prstGeom prst="rect">
                            <a:avLst/>
                          </a:prstGeom>
                          <a:noFill/>
                          <a:ln>
                            <a:noFill/>
                          </a:ln>
                        </pic:spPr>
                      </pic:pic>
                    </a:graphicData>
                  </a:graphic>
                </wp:inline>
              </w:drawing>
            </w:r>
          </w:p>
          <w:p w14:paraId="0DF1E935">
            <w:pPr>
              <w:spacing w:line="360" w:lineRule="auto"/>
              <w:jc w:val="center"/>
              <w:rPr>
                <w:b/>
                <w:bCs/>
                <w:kern w:val="0"/>
                <w:sz w:val="24"/>
                <w:szCs w:val="20"/>
              </w:rPr>
            </w:pPr>
            <w:r>
              <w:rPr>
                <w:rFonts w:hint="eastAsia"/>
                <w:b/>
                <w:bCs/>
                <w:kern w:val="0"/>
                <w:sz w:val="24"/>
                <w:szCs w:val="20"/>
              </w:rPr>
              <w:t>图</w:t>
            </w:r>
            <w:r>
              <w:rPr>
                <w:b/>
                <w:bCs/>
                <w:kern w:val="0"/>
                <w:sz w:val="24"/>
                <w:szCs w:val="20"/>
              </w:rPr>
              <w:t>2</w:t>
            </w:r>
            <w:r>
              <w:rPr>
                <w:rFonts w:hint="eastAsia"/>
                <w:b/>
                <w:bCs/>
                <w:kern w:val="0"/>
                <w:sz w:val="24"/>
                <w:szCs w:val="20"/>
              </w:rPr>
              <w:t>-</w:t>
            </w:r>
            <w:r>
              <w:rPr>
                <w:rFonts w:hint="eastAsia"/>
                <w:b/>
                <w:bCs/>
                <w:kern w:val="0"/>
                <w:sz w:val="24"/>
                <w:szCs w:val="20"/>
                <w:lang w:val="en-US" w:eastAsia="zh-CN"/>
              </w:rPr>
              <w:t>2</w:t>
            </w:r>
            <w:r>
              <w:rPr>
                <w:b/>
                <w:bCs/>
                <w:kern w:val="0"/>
                <w:sz w:val="24"/>
                <w:szCs w:val="20"/>
              </w:rPr>
              <w:t xml:space="preserve">  本项目</w:t>
            </w:r>
            <w:r>
              <w:rPr>
                <w:rFonts w:hint="eastAsia"/>
                <w:b/>
                <w:bCs/>
                <w:kern w:val="0"/>
                <w:sz w:val="24"/>
                <w:szCs w:val="20"/>
              </w:rPr>
              <w:t>生产工艺及产污节点图</w:t>
            </w:r>
          </w:p>
          <w:p w14:paraId="148C5E6A">
            <w:pPr>
              <w:autoSpaceDE w:val="0"/>
              <w:autoSpaceDN w:val="0"/>
              <w:adjustRightInd w:val="0"/>
              <w:snapToGrid w:val="0"/>
              <w:spacing w:line="360" w:lineRule="auto"/>
              <w:rPr>
                <w:b/>
                <w:kern w:val="0"/>
                <w:sz w:val="24"/>
                <w:szCs w:val="20"/>
              </w:rPr>
            </w:pPr>
            <w:r>
              <w:rPr>
                <w:rFonts w:hint="eastAsia"/>
                <w:b/>
                <w:kern w:val="0"/>
                <w:sz w:val="24"/>
                <w:szCs w:val="20"/>
              </w:rPr>
              <w:t>生产工艺流程简述：</w:t>
            </w:r>
          </w:p>
          <w:p w14:paraId="429D8A06">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eastAsia"/>
                <w:b w:val="0"/>
                <w:bCs/>
                <w:kern w:val="0"/>
                <w:sz w:val="24"/>
              </w:rPr>
            </w:pPr>
            <w:r>
              <w:rPr>
                <w:rFonts w:hint="eastAsia"/>
                <w:b w:val="0"/>
                <w:bCs/>
                <w:kern w:val="0"/>
                <w:sz w:val="24"/>
              </w:rPr>
              <w:t>原料准备‌：</w:t>
            </w:r>
            <w:r>
              <w:rPr>
                <w:rFonts w:hint="eastAsia"/>
                <w:b w:val="0"/>
                <w:bCs/>
                <w:kern w:val="0"/>
                <w:sz w:val="24"/>
                <w:lang w:val="en-US" w:eastAsia="zh-CN"/>
              </w:rPr>
              <w:t>采购原材料</w:t>
            </w:r>
            <w:r>
              <w:rPr>
                <w:rFonts w:hint="eastAsia"/>
                <w:b w:val="0"/>
                <w:bCs/>
                <w:kern w:val="0"/>
                <w:sz w:val="24"/>
              </w:rPr>
              <w:t>‌钢板，作为生产的基础原料。</w:t>
            </w:r>
          </w:p>
          <w:p w14:paraId="09A99939">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eastAsia"/>
                <w:b w:val="0"/>
                <w:bCs/>
                <w:kern w:val="0"/>
                <w:sz w:val="24"/>
              </w:rPr>
            </w:pPr>
            <w:r>
              <w:rPr>
                <w:rFonts w:hint="eastAsia"/>
                <w:b w:val="0"/>
                <w:bCs/>
                <w:kern w:val="0"/>
                <w:sz w:val="24"/>
              </w:rPr>
              <w:t>‌卷料‌：钢板经过‌卷料‌操作，形成卷状以便于后续加工。</w:t>
            </w:r>
          </w:p>
          <w:p w14:paraId="00E8055B">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eastAsia"/>
                <w:b w:val="0"/>
                <w:bCs/>
                <w:kern w:val="0"/>
                <w:sz w:val="24"/>
              </w:rPr>
            </w:pPr>
            <w:r>
              <w:rPr>
                <w:rFonts w:hint="eastAsia"/>
                <w:b w:val="0"/>
                <w:bCs/>
                <w:kern w:val="0"/>
                <w:sz w:val="24"/>
              </w:rPr>
              <w:t>‌冲压成型‌：卷料</w:t>
            </w:r>
            <w:r>
              <w:rPr>
                <w:rFonts w:hint="eastAsia"/>
                <w:b w:val="0"/>
                <w:bCs/>
                <w:kern w:val="0"/>
                <w:sz w:val="24"/>
                <w:lang w:val="en-US" w:eastAsia="zh-CN"/>
              </w:rPr>
              <w:t>后采用冲压机</w:t>
            </w:r>
            <w:r>
              <w:rPr>
                <w:rFonts w:hint="eastAsia"/>
                <w:b w:val="0"/>
                <w:bCs/>
                <w:kern w:val="0"/>
                <w:sz w:val="24"/>
              </w:rPr>
              <w:t>进行‌冲压‌操作，</w:t>
            </w:r>
            <w:r>
              <w:rPr>
                <w:rFonts w:hint="eastAsia"/>
                <w:b w:val="0"/>
                <w:bCs/>
                <w:kern w:val="0"/>
                <w:sz w:val="24"/>
                <w:lang w:val="en-US" w:eastAsia="zh-CN"/>
              </w:rPr>
              <w:t>此过程将产生S1废拉延油、S2废金属边角料以及噪声N</w:t>
            </w:r>
            <w:r>
              <w:rPr>
                <w:rFonts w:hint="eastAsia"/>
                <w:b w:val="0"/>
                <w:bCs/>
                <w:kern w:val="0"/>
                <w:sz w:val="24"/>
              </w:rPr>
              <w:t>。</w:t>
            </w:r>
          </w:p>
          <w:p w14:paraId="48AFA61C">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eastAsia"/>
                <w:b w:val="0"/>
                <w:bCs/>
                <w:kern w:val="0"/>
                <w:sz w:val="24"/>
              </w:rPr>
            </w:pPr>
            <w:r>
              <w:rPr>
                <w:rFonts w:hint="eastAsia"/>
                <w:b w:val="0"/>
                <w:bCs/>
                <w:kern w:val="0"/>
                <w:sz w:val="24"/>
              </w:rPr>
              <w:t>‌焊接‌：冲压后的零件送入机器人焊接工作站进行点焊、弧焊等工艺动作。机器人焊接工作站是多种工艺复合集成的综合加工工序，主要由氩弧焊、气保焊、点焊组成，通过不同的焊接方式完成不同金属件之间的焊接组合。具体工艺简述如下：</w:t>
            </w:r>
          </w:p>
          <w:p w14:paraId="56BC8CEC">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default" w:ascii="Times New Roman" w:hAnsi="Times New Roman" w:cs="Times New Roman"/>
                <w:b w:val="0"/>
                <w:bCs/>
                <w:kern w:val="0"/>
                <w:sz w:val="24"/>
              </w:rPr>
            </w:pPr>
            <w:r>
              <w:rPr>
                <w:rFonts w:hint="default" w:ascii="Times New Roman" w:hAnsi="Times New Roman" w:eastAsia="华文仿宋" w:cs="Times New Roman"/>
                <w:b w:val="0"/>
                <w:bCs/>
                <w:kern w:val="0"/>
                <w:sz w:val="24"/>
              </w:rPr>
              <w:t>①</w:t>
            </w:r>
            <w:r>
              <w:rPr>
                <w:rFonts w:hint="default" w:ascii="Times New Roman" w:hAnsi="Times New Roman" w:cs="Times New Roman"/>
                <w:b w:val="0"/>
                <w:bCs/>
                <w:kern w:val="0"/>
                <w:sz w:val="24"/>
              </w:rPr>
              <w:t>点焊</w:t>
            </w:r>
            <w:r>
              <w:rPr>
                <w:rFonts w:hint="eastAsia" w:ascii="Times New Roman" w:hAnsi="Times New Roman" w:cs="Times New Roman"/>
                <w:b w:val="0"/>
                <w:bCs/>
                <w:kern w:val="0"/>
                <w:sz w:val="24"/>
                <w:lang w:eastAsia="zh-CN"/>
              </w:rPr>
              <w:t>、</w:t>
            </w:r>
            <w:r>
              <w:rPr>
                <w:rFonts w:hint="eastAsia" w:ascii="Times New Roman" w:hAnsi="Times New Roman" w:cs="Times New Roman"/>
                <w:b w:val="0"/>
                <w:bCs/>
                <w:kern w:val="0"/>
                <w:sz w:val="24"/>
                <w:lang w:val="en-US" w:eastAsia="zh-CN"/>
              </w:rPr>
              <w:t>凸焊</w:t>
            </w:r>
            <w:r>
              <w:rPr>
                <w:rFonts w:hint="default" w:ascii="Times New Roman" w:hAnsi="Times New Roman" w:cs="Times New Roman"/>
                <w:b w:val="0"/>
                <w:bCs/>
                <w:kern w:val="0"/>
                <w:sz w:val="24"/>
              </w:rPr>
              <w:t>：点焊</w:t>
            </w:r>
            <w:r>
              <w:rPr>
                <w:rFonts w:hint="eastAsia" w:ascii="Times New Roman" w:hAnsi="Times New Roman" w:cs="Times New Roman"/>
                <w:b w:val="0"/>
                <w:bCs/>
                <w:kern w:val="0"/>
                <w:sz w:val="24"/>
                <w:lang w:eastAsia="zh-CN"/>
              </w:rPr>
              <w:t>、</w:t>
            </w:r>
            <w:r>
              <w:rPr>
                <w:rFonts w:hint="eastAsia" w:ascii="Times New Roman" w:hAnsi="Times New Roman" w:cs="Times New Roman"/>
                <w:b w:val="0"/>
                <w:bCs/>
                <w:kern w:val="0"/>
                <w:sz w:val="24"/>
                <w:lang w:val="en-US" w:eastAsia="zh-CN"/>
              </w:rPr>
              <w:t>凸焊</w:t>
            </w:r>
            <w:r>
              <w:rPr>
                <w:rFonts w:hint="default" w:ascii="Times New Roman" w:hAnsi="Times New Roman" w:cs="Times New Roman"/>
                <w:b w:val="0"/>
                <w:bCs/>
                <w:kern w:val="0"/>
                <w:sz w:val="24"/>
              </w:rPr>
              <w:t>是指把螺母、冷冲小零件通过机器人自动电阻点焊的方式焊接到电池壳体上，此工序会产生噪声；</w:t>
            </w:r>
          </w:p>
          <w:p w14:paraId="4AD415FE">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eastAsia" w:eastAsia="宋体"/>
                <w:b w:val="0"/>
                <w:bCs/>
                <w:kern w:val="0"/>
                <w:sz w:val="24"/>
                <w:lang w:eastAsia="zh-CN"/>
              </w:rPr>
            </w:pPr>
            <w:r>
              <w:rPr>
                <w:rFonts w:hint="default" w:ascii="Times New Roman" w:hAnsi="Times New Roman" w:eastAsia="华文仿宋" w:cs="Times New Roman"/>
                <w:b w:val="0"/>
                <w:bCs/>
                <w:kern w:val="0"/>
                <w:sz w:val="24"/>
              </w:rPr>
              <w:t>②</w:t>
            </w:r>
            <w:r>
              <w:rPr>
                <w:rFonts w:hint="default" w:ascii="Times New Roman" w:hAnsi="Times New Roman" w:cs="Times New Roman"/>
                <w:b w:val="0"/>
                <w:bCs/>
                <w:kern w:val="0"/>
                <w:sz w:val="24"/>
              </w:rPr>
              <w:t>弧焊：是指机器人以</w:t>
            </w:r>
            <w:r>
              <w:rPr>
                <w:rFonts w:hint="eastAsia" w:ascii="Times New Roman" w:hAnsi="Times New Roman" w:cs="Times New Roman"/>
                <w:b w:val="0"/>
                <w:bCs/>
                <w:kern w:val="0"/>
                <w:sz w:val="24"/>
                <w:lang w:val="en-US" w:eastAsia="zh-CN"/>
              </w:rPr>
              <w:t>自动</w:t>
            </w:r>
            <w:r>
              <w:rPr>
                <w:rFonts w:hint="default" w:ascii="Times New Roman" w:hAnsi="Times New Roman" w:cs="Times New Roman"/>
                <w:b w:val="0"/>
                <w:bCs/>
                <w:kern w:val="0"/>
                <w:sz w:val="24"/>
              </w:rPr>
              <w:t>弧焊</w:t>
            </w:r>
            <w:r>
              <w:rPr>
                <w:rFonts w:hint="eastAsia" w:ascii="Times New Roman" w:hAnsi="Times New Roman" w:cs="Times New Roman"/>
                <w:b w:val="0"/>
                <w:bCs/>
                <w:kern w:val="0"/>
                <w:sz w:val="24"/>
                <w:lang w:eastAsia="zh-CN"/>
              </w:rPr>
              <w:t>、</w:t>
            </w:r>
            <w:r>
              <w:rPr>
                <w:rFonts w:hint="eastAsia" w:ascii="Times New Roman" w:hAnsi="Times New Roman" w:cs="Times New Roman"/>
                <w:b w:val="0"/>
                <w:bCs/>
                <w:kern w:val="0"/>
                <w:sz w:val="24"/>
                <w:lang w:val="en-US" w:eastAsia="zh-CN"/>
              </w:rPr>
              <w:t>手工</w:t>
            </w:r>
            <w:r>
              <w:rPr>
                <w:rFonts w:hint="default" w:ascii="Times New Roman" w:hAnsi="Times New Roman" w:cs="Times New Roman"/>
                <w:b w:val="0"/>
                <w:bCs/>
                <w:kern w:val="0"/>
                <w:sz w:val="24"/>
              </w:rPr>
              <w:t>的方式把零件焊接到电池壳体上，此工序会产</w:t>
            </w:r>
            <w:r>
              <w:rPr>
                <w:rFonts w:hint="eastAsia"/>
                <w:b w:val="0"/>
                <w:bCs/>
                <w:kern w:val="0"/>
                <w:sz w:val="24"/>
              </w:rPr>
              <w:t>生</w:t>
            </w:r>
            <w:r>
              <w:rPr>
                <w:rFonts w:hint="eastAsia"/>
                <w:b w:val="0"/>
                <w:bCs/>
                <w:kern w:val="0"/>
                <w:sz w:val="24"/>
                <w:lang w:val="en-US" w:eastAsia="zh-CN"/>
              </w:rPr>
              <w:t>G1</w:t>
            </w:r>
            <w:r>
              <w:rPr>
                <w:rFonts w:hint="eastAsia"/>
                <w:b w:val="0"/>
                <w:bCs/>
                <w:kern w:val="0"/>
                <w:sz w:val="24"/>
              </w:rPr>
              <w:t>焊接烟尘、噪声</w:t>
            </w:r>
            <w:r>
              <w:rPr>
                <w:rFonts w:hint="eastAsia"/>
                <w:b w:val="0"/>
                <w:bCs/>
                <w:kern w:val="0"/>
                <w:sz w:val="24"/>
                <w:lang w:val="en-US" w:eastAsia="zh-CN"/>
              </w:rPr>
              <w:t>N</w:t>
            </w:r>
            <w:r>
              <w:rPr>
                <w:rFonts w:hint="eastAsia"/>
                <w:b w:val="0"/>
                <w:bCs/>
                <w:kern w:val="0"/>
                <w:sz w:val="24"/>
                <w:lang w:eastAsia="zh-CN"/>
              </w:rPr>
              <w:t>。</w:t>
            </w:r>
          </w:p>
          <w:p w14:paraId="63BF6D7E">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rFonts w:hint="eastAsia"/>
                <w:b w:val="0"/>
                <w:bCs/>
                <w:kern w:val="0"/>
                <w:sz w:val="24"/>
              </w:rPr>
            </w:pPr>
            <w:r>
              <w:rPr>
                <w:rFonts w:hint="eastAsia"/>
                <w:b w:val="0"/>
                <w:bCs/>
                <w:kern w:val="0"/>
                <w:sz w:val="24"/>
              </w:rPr>
              <w:t>检验‌：焊接完成后的产品进行‌检验，确保产品质量符合相关标准和要求</w:t>
            </w:r>
            <w:r>
              <w:rPr>
                <w:rFonts w:hint="eastAsia"/>
                <w:b w:val="0"/>
                <w:bCs/>
                <w:kern w:val="0"/>
                <w:sz w:val="24"/>
                <w:lang w:eastAsia="zh-CN"/>
              </w:rPr>
              <w:t>，</w:t>
            </w:r>
            <w:r>
              <w:rPr>
                <w:rFonts w:hint="eastAsia"/>
                <w:b w:val="0"/>
                <w:bCs/>
                <w:kern w:val="0"/>
                <w:sz w:val="24"/>
                <w:lang w:val="en-US" w:eastAsia="zh-CN"/>
              </w:rPr>
              <w:t>此过程会产生S3不合格品，收集后外售</w:t>
            </w:r>
            <w:r>
              <w:rPr>
                <w:rFonts w:hint="eastAsia"/>
                <w:b w:val="0"/>
                <w:bCs/>
                <w:kern w:val="0"/>
                <w:sz w:val="24"/>
              </w:rPr>
              <w:t>。</w:t>
            </w:r>
          </w:p>
          <w:p w14:paraId="102DF119">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0" w:firstLineChars="200"/>
              <w:jc w:val="left"/>
              <w:textAlignment w:val="auto"/>
              <w:rPr>
                <w:b w:val="0"/>
                <w:bCs/>
                <w:kern w:val="0"/>
                <w:sz w:val="24"/>
              </w:rPr>
            </w:pPr>
            <w:r>
              <w:rPr>
                <w:rFonts w:hint="eastAsia"/>
                <w:b w:val="0"/>
                <w:bCs/>
                <w:kern w:val="0"/>
                <w:sz w:val="24"/>
              </w:rPr>
              <w:t>‌装配</w:t>
            </w:r>
            <w:r>
              <w:rPr>
                <w:rFonts w:hint="eastAsia"/>
                <w:b w:val="0"/>
                <w:bCs/>
                <w:kern w:val="0"/>
                <w:sz w:val="24"/>
                <w:lang w:val="en-US" w:eastAsia="zh-CN"/>
              </w:rPr>
              <w:t>入库</w:t>
            </w:r>
            <w:r>
              <w:rPr>
                <w:rFonts w:hint="eastAsia"/>
                <w:b w:val="0"/>
                <w:bCs/>
                <w:kern w:val="0"/>
                <w:sz w:val="24"/>
              </w:rPr>
              <w:t>‌：通过检验的产品进行‌装配‌，将各个部件组合成完整的产品。最终，装配完成的产品进行‌入库。</w:t>
            </w:r>
          </w:p>
          <w:p w14:paraId="2DF73602">
            <w:pPr>
              <w:keepNext w:val="0"/>
              <w:keepLines w:val="0"/>
              <w:pageBreakBefore w:val="0"/>
              <w:widowControl/>
              <w:kinsoku/>
              <w:wordWrap/>
              <w:overflowPunct/>
              <w:topLinePunct w:val="0"/>
              <w:autoSpaceDE w:val="0"/>
              <w:autoSpaceDN w:val="0"/>
              <w:bidi w:val="0"/>
              <w:adjustRightInd/>
              <w:snapToGrid w:val="0"/>
              <w:spacing w:beforeAutospacing="0" w:line="360" w:lineRule="auto"/>
              <w:ind w:right="0" w:firstLine="482" w:firstLineChars="200"/>
              <w:jc w:val="left"/>
              <w:textAlignment w:val="auto"/>
              <w:rPr>
                <w:b/>
                <w:kern w:val="0"/>
                <w:sz w:val="24"/>
              </w:rPr>
            </w:pPr>
            <w:r>
              <w:rPr>
                <w:b/>
                <w:kern w:val="0"/>
                <w:sz w:val="24"/>
              </w:rPr>
              <w:t>4、项目运营期主要污染工序及污染因子</w:t>
            </w:r>
          </w:p>
          <w:p w14:paraId="7FDFC769">
            <w:pPr>
              <w:keepNext w:val="0"/>
              <w:keepLines w:val="0"/>
              <w:pageBreakBefore w:val="0"/>
              <w:kinsoku/>
              <w:wordWrap/>
              <w:overflowPunct/>
              <w:topLinePunct w:val="0"/>
              <w:bidi w:val="0"/>
              <w:adjustRightInd/>
              <w:spacing w:beforeAutospacing="0" w:line="360" w:lineRule="auto"/>
              <w:ind w:right="0" w:firstLine="360" w:firstLineChars="150"/>
              <w:jc w:val="left"/>
              <w:textAlignment w:val="auto"/>
              <w:rPr>
                <w:kern w:val="0"/>
                <w:sz w:val="24"/>
                <w:szCs w:val="20"/>
              </w:rPr>
            </w:pPr>
            <w:r>
              <w:rPr>
                <w:kern w:val="0"/>
                <w:sz w:val="24"/>
                <w:szCs w:val="20"/>
              </w:rPr>
              <w:t>项目运营期主要污染工序及污染因子见下表。</w:t>
            </w:r>
          </w:p>
          <w:p w14:paraId="7C9A1818">
            <w:pPr>
              <w:keepNext w:val="0"/>
              <w:keepLines w:val="0"/>
              <w:pageBreakBefore w:val="0"/>
              <w:widowControl w:val="0"/>
              <w:kinsoku/>
              <w:wordWrap/>
              <w:overflowPunct/>
              <w:topLinePunct w:val="0"/>
              <w:autoSpaceDE/>
              <w:autoSpaceDN/>
              <w:bidi w:val="0"/>
              <w:adjustRightInd/>
              <w:snapToGrid/>
              <w:spacing w:beforeAutospacing="0" w:line="240" w:lineRule="auto"/>
              <w:ind w:right="0"/>
              <w:jc w:val="center"/>
              <w:textAlignment w:val="auto"/>
              <w:rPr>
                <w:b/>
                <w:sz w:val="24"/>
              </w:rPr>
            </w:pPr>
            <w:r>
              <w:rPr>
                <w:b/>
                <w:sz w:val="24"/>
              </w:rPr>
              <w:t>表</w:t>
            </w:r>
            <w:r>
              <w:rPr>
                <w:rFonts w:hint="eastAsia"/>
                <w:b/>
                <w:sz w:val="24"/>
              </w:rPr>
              <w:t>2</w:t>
            </w:r>
            <w:r>
              <w:rPr>
                <w:b/>
                <w:sz w:val="24"/>
              </w:rPr>
              <w:t>-</w:t>
            </w:r>
            <w:r>
              <w:rPr>
                <w:rFonts w:hint="eastAsia"/>
                <w:b/>
                <w:sz w:val="24"/>
                <w:lang w:val="en-US" w:eastAsia="zh-CN"/>
              </w:rPr>
              <w:t>8</w:t>
            </w:r>
            <w:r>
              <w:rPr>
                <w:b/>
                <w:sz w:val="24"/>
              </w:rPr>
              <w:t xml:space="preserve">  运营期主要污染工序一览表</w:t>
            </w:r>
          </w:p>
          <w:tbl>
            <w:tblPr>
              <w:tblStyle w:val="59"/>
              <w:tblW w:w="477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358"/>
              <w:gridCol w:w="1125"/>
              <w:gridCol w:w="1542"/>
              <w:gridCol w:w="3287"/>
            </w:tblGrid>
            <w:tr w14:paraId="0796EE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36" w:type="pct"/>
                  <w:tcBorders>
                    <w:tl2br w:val="nil"/>
                    <w:tr2bl w:val="nil"/>
                  </w:tcBorders>
                  <w:vAlign w:val="center"/>
                </w:tcPr>
                <w:p w14:paraId="3E9B59C3">
                  <w:pPr>
                    <w:jc w:val="center"/>
                    <w:rPr>
                      <w:b/>
                      <w:szCs w:val="21"/>
                    </w:rPr>
                  </w:pPr>
                  <w:r>
                    <w:rPr>
                      <w:b/>
                      <w:szCs w:val="21"/>
                    </w:rPr>
                    <w:t>类别</w:t>
                  </w:r>
                </w:p>
              </w:tc>
              <w:tc>
                <w:tcPr>
                  <w:tcW w:w="847" w:type="pct"/>
                  <w:tcBorders>
                    <w:tl2br w:val="nil"/>
                    <w:tr2bl w:val="nil"/>
                  </w:tcBorders>
                  <w:vAlign w:val="center"/>
                </w:tcPr>
                <w:p w14:paraId="79110123">
                  <w:pPr>
                    <w:jc w:val="center"/>
                    <w:rPr>
                      <w:rFonts w:hint="default" w:eastAsia="宋体"/>
                      <w:b/>
                      <w:szCs w:val="21"/>
                      <w:lang w:val="en-US" w:eastAsia="zh-CN"/>
                    </w:rPr>
                  </w:pPr>
                  <w:r>
                    <w:rPr>
                      <w:rFonts w:hint="eastAsia"/>
                      <w:b/>
                      <w:szCs w:val="21"/>
                      <w:lang w:val="en-US" w:eastAsia="zh-CN"/>
                    </w:rPr>
                    <w:t>污染源编号</w:t>
                  </w:r>
                </w:p>
              </w:tc>
              <w:tc>
                <w:tcPr>
                  <w:tcW w:w="702" w:type="pct"/>
                  <w:tcBorders>
                    <w:tl2br w:val="nil"/>
                    <w:tr2bl w:val="nil"/>
                  </w:tcBorders>
                  <w:vAlign w:val="center"/>
                </w:tcPr>
                <w:p w14:paraId="7F9FE92F">
                  <w:pPr>
                    <w:jc w:val="center"/>
                    <w:rPr>
                      <w:b/>
                      <w:szCs w:val="21"/>
                    </w:rPr>
                  </w:pPr>
                  <w:r>
                    <w:rPr>
                      <w:rFonts w:hint="eastAsia"/>
                      <w:b/>
                      <w:szCs w:val="21"/>
                      <w:lang w:val="en-US" w:eastAsia="zh-CN"/>
                    </w:rPr>
                    <w:t>产污</w:t>
                  </w:r>
                  <w:r>
                    <w:rPr>
                      <w:b/>
                      <w:szCs w:val="21"/>
                    </w:rPr>
                    <w:t>环节</w:t>
                  </w:r>
                </w:p>
              </w:tc>
              <w:tc>
                <w:tcPr>
                  <w:tcW w:w="962" w:type="pct"/>
                  <w:tcBorders>
                    <w:tl2br w:val="nil"/>
                    <w:tr2bl w:val="nil"/>
                  </w:tcBorders>
                  <w:vAlign w:val="center"/>
                </w:tcPr>
                <w:p w14:paraId="4DF7C81B">
                  <w:pPr>
                    <w:jc w:val="center"/>
                    <w:rPr>
                      <w:b/>
                      <w:szCs w:val="21"/>
                    </w:rPr>
                  </w:pPr>
                  <w:r>
                    <w:rPr>
                      <w:b/>
                      <w:szCs w:val="21"/>
                    </w:rPr>
                    <w:t>主要污染物</w:t>
                  </w:r>
                </w:p>
              </w:tc>
              <w:tc>
                <w:tcPr>
                  <w:tcW w:w="2051" w:type="pct"/>
                  <w:tcBorders>
                    <w:tl2br w:val="nil"/>
                    <w:tr2bl w:val="nil"/>
                  </w:tcBorders>
                  <w:vAlign w:val="center"/>
                </w:tcPr>
                <w:p w14:paraId="34C1BDB1">
                  <w:pPr>
                    <w:jc w:val="center"/>
                    <w:rPr>
                      <w:b/>
                      <w:szCs w:val="21"/>
                    </w:rPr>
                  </w:pPr>
                  <w:r>
                    <w:rPr>
                      <w:b/>
                      <w:szCs w:val="21"/>
                    </w:rPr>
                    <w:t>措施及去向</w:t>
                  </w:r>
                </w:p>
              </w:tc>
            </w:tr>
            <w:tr w14:paraId="095F50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36" w:type="pct"/>
                  <w:tcBorders>
                    <w:tl2br w:val="nil"/>
                    <w:tr2bl w:val="nil"/>
                  </w:tcBorders>
                  <w:vAlign w:val="center"/>
                </w:tcPr>
                <w:p w14:paraId="444729CA">
                  <w:pPr>
                    <w:jc w:val="center"/>
                    <w:rPr>
                      <w:szCs w:val="21"/>
                    </w:rPr>
                  </w:pPr>
                  <w:r>
                    <w:rPr>
                      <w:szCs w:val="21"/>
                    </w:rPr>
                    <w:t>废气</w:t>
                  </w:r>
                </w:p>
              </w:tc>
              <w:tc>
                <w:tcPr>
                  <w:tcW w:w="847" w:type="pct"/>
                  <w:tcBorders>
                    <w:tl2br w:val="nil"/>
                    <w:tr2bl w:val="nil"/>
                  </w:tcBorders>
                  <w:vAlign w:val="center"/>
                </w:tcPr>
                <w:p w14:paraId="1DD1011F">
                  <w:pPr>
                    <w:jc w:val="center"/>
                    <w:rPr>
                      <w:rFonts w:hint="default" w:eastAsia="宋体"/>
                      <w:szCs w:val="21"/>
                      <w:lang w:val="en-US" w:eastAsia="zh-CN"/>
                    </w:rPr>
                  </w:pPr>
                  <w:r>
                    <w:rPr>
                      <w:rFonts w:hint="eastAsia"/>
                      <w:szCs w:val="21"/>
                      <w:lang w:val="en-US" w:eastAsia="zh-CN"/>
                    </w:rPr>
                    <w:t>G1</w:t>
                  </w:r>
                </w:p>
              </w:tc>
              <w:tc>
                <w:tcPr>
                  <w:tcW w:w="702" w:type="pct"/>
                  <w:tcBorders>
                    <w:tl2br w:val="nil"/>
                    <w:tr2bl w:val="nil"/>
                  </w:tcBorders>
                  <w:vAlign w:val="center"/>
                </w:tcPr>
                <w:p w14:paraId="7B28D0A3">
                  <w:pPr>
                    <w:jc w:val="center"/>
                    <w:rPr>
                      <w:rFonts w:hint="default" w:eastAsia="宋体"/>
                      <w:szCs w:val="21"/>
                      <w:lang w:val="en-US" w:eastAsia="zh-CN"/>
                    </w:rPr>
                  </w:pPr>
                  <w:r>
                    <w:rPr>
                      <w:rFonts w:hint="eastAsia"/>
                      <w:szCs w:val="21"/>
                      <w:lang w:val="en-US" w:eastAsia="zh-CN"/>
                    </w:rPr>
                    <w:t>焊接</w:t>
                  </w:r>
                </w:p>
              </w:tc>
              <w:tc>
                <w:tcPr>
                  <w:tcW w:w="962" w:type="pct"/>
                  <w:tcBorders>
                    <w:tl2br w:val="nil"/>
                    <w:tr2bl w:val="nil"/>
                  </w:tcBorders>
                  <w:vAlign w:val="center"/>
                </w:tcPr>
                <w:p w14:paraId="36C9BC2C">
                  <w:pPr>
                    <w:jc w:val="center"/>
                    <w:rPr>
                      <w:rFonts w:hint="eastAsia"/>
                      <w:szCs w:val="21"/>
                      <w:lang w:val="en-US" w:eastAsia="zh-CN"/>
                    </w:rPr>
                  </w:pPr>
                  <w:r>
                    <w:rPr>
                      <w:rFonts w:hint="eastAsia"/>
                      <w:szCs w:val="21"/>
                      <w:lang w:val="en-US" w:eastAsia="zh-CN"/>
                    </w:rPr>
                    <w:t>焊接烟尘</w:t>
                  </w:r>
                </w:p>
              </w:tc>
              <w:tc>
                <w:tcPr>
                  <w:tcW w:w="2051" w:type="pct"/>
                  <w:tcBorders>
                    <w:tl2br w:val="nil"/>
                    <w:tr2bl w:val="nil"/>
                  </w:tcBorders>
                  <w:vAlign w:val="center"/>
                </w:tcPr>
                <w:p w14:paraId="67D8F5EC">
                  <w:pPr>
                    <w:jc w:val="center"/>
                    <w:rPr>
                      <w:szCs w:val="21"/>
                    </w:rPr>
                  </w:pPr>
                  <w:r>
                    <w:rPr>
                      <w:rFonts w:hint="eastAsia"/>
                      <w:szCs w:val="21"/>
                    </w:rPr>
                    <w:t>集气管道收集后</w:t>
                  </w:r>
                  <w:r>
                    <w:rPr>
                      <w:rFonts w:hint="eastAsia"/>
                      <w:szCs w:val="21"/>
                      <w:lang w:val="en-US" w:eastAsia="zh-CN"/>
                    </w:rPr>
                    <w:t>经布袋除尘器</w:t>
                  </w:r>
                  <w:r>
                    <w:rPr>
                      <w:rFonts w:hint="eastAsia"/>
                      <w:szCs w:val="21"/>
                    </w:rPr>
                    <w:t>处理后于1根</w:t>
                  </w:r>
                  <w:r>
                    <w:rPr>
                      <w:rFonts w:hint="eastAsia"/>
                      <w:szCs w:val="21"/>
                      <w:lang w:val="en-US" w:eastAsia="zh-CN"/>
                    </w:rPr>
                    <w:t>20</w:t>
                  </w:r>
                  <w:r>
                    <w:rPr>
                      <w:rFonts w:hint="eastAsia"/>
                      <w:szCs w:val="21"/>
                    </w:rPr>
                    <w:t>m高排气筒排放（D</w:t>
                  </w:r>
                  <w:r>
                    <w:rPr>
                      <w:szCs w:val="21"/>
                    </w:rPr>
                    <w:t>A001</w:t>
                  </w:r>
                  <w:r>
                    <w:rPr>
                      <w:rFonts w:hint="eastAsia"/>
                      <w:szCs w:val="21"/>
                    </w:rPr>
                    <w:t>）</w:t>
                  </w:r>
                </w:p>
              </w:tc>
            </w:tr>
            <w:tr w14:paraId="104DFC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6" w:type="pct"/>
                  <w:tcBorders>
                    <w:tl2br w:val="nil"/>
                    <w:tr2bl w:val="nil"/>
                  </w:tcBorders>
                  <w:vAlign w:val="center"/>
                </w:tcPr>
                <w:p w14:paraId="0C63787A">
                  <w:pPr>
                    <w:jc w:val="center"/>
                    <w:rPr>
                      <w:szCs w:val="21"/>
                    </w:rPr>
                  </w:pPr>
                  <w:r>
                    <w:rPr>
                      <w:szCs w:val="21"/>
                    </w:rPr>
                    <w:t>废水</w:t>
                  </w:r>
                </w:p>
              </w:tc>
              <w:tc>
                <w:tcPr>
                  <w:tcW w:w="847" w:type="pct"/>
                  <w:tcBorders>
                    <w:tl2br w:val="nil"/>
                    <w:tr2bl w:val="nil"/>
                  </w:tcBorders>
                  <w:vAlign w:val="center"/>
                </w:tcPr>
                <w:p w14:paraId="2F070E9D">
                  <w:pPr>
                    <w:jc w:val="center"/>
                    <w:rPr>
                      <w:rFonts w:hint="default" w:eastAsia="宋体"/>
                      <w:szCs w:val="21"/>
                      <w:lang w:val="en-US" w:eastAsia="zh-CN"/>
                    </w:rPr>
                  </w:pPr>
                  <w:r>
                    <w:rPr>
                      <w:rFonts w:hint="eastAsia"/>
                      <w:szCs w:val="21"/>
                      <w:lang w:val="en-US" w:eastAsia="zh-CN"/>
                    </w:rPr>
                    <w:t>W1</w:t>
                  </w:r>
                </w:p>
              </w:tc>
              <w:tc>
                <w:tcPr>
                  <w:tcW w:w="702" w:type="pct"/>
                  <w:tcBorders>
                    <w:tl2br w:val="nil"/>
                    <w:tr2bl w:val="nil"/>
                  </w:tcBorders>
                  <w:vAlign w:val="center"/>
                </w:tcPr>
                <w:p w14:paraId="3FEDD05A">
                  <w:pPr>
                    <w:jc w:val="center"/>
                    <w:rPr>
                      <w:rFonts w:hint="default" w:eastAsia="宋体"/>
                      <w:szCs w:val="21"/>
                      <w:lang w:val="en-US" w:eastAsia="zh-CN"/>
                    </w:rPr>
                  </w:pPr>
                  <w:r>
                    <w:rPr>
                      <w:szCs w:val="21"/>
                    </w:rPr>
                    <w:t>办公、生活</w:t>
                  </w:r>
                </w:p>
              </w:tc>
              <w:tc>
                <w:tcPr>
                  <w:tcW w:w="962" w:type="pct"/>
                  <w:tcBorders>
                    <w:tl2br w:val="nil"/>
                    <w:tr2bl w:val="nil"/>
                  </w:tcBorders>
                  <w:vAlign w:val="center"/>
                </w:tcPr>
                <w:p w14:paraId="18634117">
                  <w:pPr>
                    <w:jc w:val="center"/>
                    <w:rPr>
                      <w:rFonts w:hint="eastAsia" w:ascii="Times New Roman" w:hAnsi="Times New Roman" w:eastAsia="宋体"/>
                      <w:bCs/>
                      <w:caps w:val="0"/>
                      <w:color w:val="auto"/>
                      <w:szCs w:val="21"/>
                      <w:highlight w:val="none"/>
                      <w:lang w:val="en-US" w:eastAsia="zh-CN"/>
                    </w:rPr>
                  </w:pPr>
                  <w:r>
                    <w:rPr>
                      <w:szCs w:val="21"/>
                    </w:rPr>
                    <w:t>pH、COD、BOD</w:t>
                  </w:r>
                  <w:r>
                    <w:rPr>
                      <w:szCs w:val="21"/>
                      <w:vertAlign w:val="subscript"/>
                    </w:rPr>
                    <w:t>5</w:t>
                  </w:r>
                  <w:r>
                    <w:rPr>
                      <w:szCs w:val="21"/>
                    </w:rPr>
                    <w:t>、SS、氨氮</w:t>
                  </w:r>
                </w:p>
              </w:tc>
              <w:tc>
                <w:tcPr>
                  <w:tcW w:w="2051" w:type="pct"/>
                  <w:tcBorders>
                    <w:tl2br w:val="nil"/>
                    <w:tr2bl w:val="nil"/>
                  </w:tcBorders>
                  <w:vAlign w:val="center"/>
                </w:tcPr>
                <w:p w14:paraId="326413F9">
                  <w:pPr>
                    <w:jc w:val="center"/>
                    <w:rPr>
                      <w:rFonts w:hint="eastAsia"/>
                      <w:szCs w:val="21"/>
                    </w:rPr>
                  </w:pPr>
                  <w:r>
                    <w:rPr>
                      <w:rFonts w:hint="eastAsia"/>
                      <w:szCs w:val="21"/>
                    </w:rPr>
                    <w:t>经</w:t>
                  </w:r>
                  <w:r>
                    <w:rPr>
                      <w:szCs w:val="21"/>
                    </w:rPr>
                    <w:t>化粪池处理后排</w:t>
                  </w:r>
                  <w:r>
                    <w:rPr>
                      <w:rFonts w:hint="eastAsia"/>
                      <w:szCs w:val="21"/>
                    </w:rPr>
                    <w:t>入</w:t>
                  </w:r>
                  <w:r>
                    <w:rPr>
                      <w:rFonts w:hint="eastAsia"/>
                      <w:szCs w:val="21"/>
                      <w:lang w:val="en-US" w:eastAsia="zh-CN"/>
                    </w:rPr>
                    <w:t>滨江</w:t>
                  </w:r>
                  <w:r>
                    <w:rPr>
                      <w:rFonts w:hint="eastAsia"/>
                      <w:szCs w:val="21"/>
                    </w:rPr>
                    <w:t>污水处理厂</w:t>
                  </w:r>
                </w:p>
              </w:tc>
            </w:tr>
            <w:tr w14:paraId="71A167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36" w:type="pct"/>
                  <w:tcBorders>
                    <w:tl2br w:val="nil"/>
                    <w:tr2bl w:val="nil"/>
                  </w:tcBorders>
                  <w:vAlign w:val="center"/>
                </w:tcPr>
                <w:p w14:paraId="426E0419">
                  <w:pPr>
                    <w:jc w:val="center"/>
                    <w:rPr>
                      <w:szCs w:val="21"/>
                    </w:rPr>
                  </w:pPr>
                  <w:r>
                    <w:rPr>
                      <w:szCs w:val="21"/>
                    </w:rPr>
                    <w:t>噪声</w:t>
                  </w:r>
                </w:p>
              </w:tc>
              <w:tc>
                <w:tcPr>
                  <w:tcW w:w="847" w:type="pct"/>
                  <w:tcBorders>
                    <w:tl2br w:val="nil"/>
                    <w:tr2bl w:val="nil"/>
                  </w:tcBorders>
                  <w:vAlign w:val="center"/>
                </w:tcPr>
                <w:p w14:paraId="44086C50">
                  <w:pPr>
                    <w:jc w:val="center"/>
                    <w:rPr>
                      <w:rFonts w:hint="eastAsia" w:eastAsia="宋体"/>
                      <w:szCs w:val="21"/>
                      <w:lang w:val="en-US" w:eastAsia="zh-CN"/>
                    </w:rPr>
                  </w:pPr>
                  <w:r>
                    <w:rPr>
                      <w:rFonts w:hint="eastAsia"/>
                      <w:szCs w:val="21"/>
                      <w:lang w:val="en-US" w:eastAsia="zh-CN"/>
                    </w:rPr>
                    <w:t>N</w:t>
                  </w:r>
                </w:p>
              </w:tc>
              <w:tc>
                <w:tcPr>
                  <w:tcW w:w="702" w:type="pct"/>
                  <w:tcBorders>
                    <w:tl2br w:val="nil"/>
                    <w:tr2bl w:val="nil"/>
                  </w:tcBorders>
                  <w:vAlign w:val="center"/>
                </w:tcPr>
                <w:p w14:paraId="57D3AACA">
                  <w:pPr>
                    <w:jc w:val="center"/>
                    <w:rPr>
                      <w:rFonts w:hint="default" w:eastAsia="宋体"/>
                      <w:szCs w:val="21"/>
                      <w:lang w:val="en-US" w:eastAsia="zh-CN"/>
                    </w:rPr>
                  </w:pPr>
                  <w:r>
                    <w:rPr>
                      <w:rFonts w:hint="eastAsia"/>
                      <w:szCs w:val="21"/>
                      <w:lang w:val="en-US" w:eastAsia="zh-CN"/>
                    </w:rPr>
                    <w:t>冲压、焊接</w:t>
                  </w:r>
                </w:p>
              </w:tc>
              <w:tc>
                <w:tcPr>
                  <w:tcW w:w="962" w:type="pct"/>
                  <w:tcBorders>
                    <w:tl2br w:val="nil"/>
                    <w:tr2bl w:val="nil"/>
                  </w:tcBorders>
                  <w:vAlign w:val="center"/>
                </w:tcPr>
                <w:p w14:paraId="38EAD05F">
                  <w:pPr>
                    <w:jc w:val="center"/>
                    <w:rPr>
                      <w:szCs w:val="21"/>
                    </w:rPr>
                  </w:pPr>
                  <w:r>
                    <w:rPr>
                      <w:szCs w:val="21"/>
                    </w:rPr>
                    <w:t>噪</w:t>
                  </w:r>
                  <w:r>
                    <w:rPr>
                      <w:rFonts w:hint="eastAsia"/>
                      <w:szCs w:val="21"/>
                    </w:rPr>
                    <w:t>声</w:t>
                  </w:r>
                </w:p>
              </w:tc>
              <w:tc>
                <w:tcPr>
                  <w:tcW w:w="2051" w:type="pct"/>
                  <w:tcBorders>
                    <w:tl2br w:val="nil"/>
                    <w:tr2bl w:val="nil"/>
                  </w:tcBorders>
                  <w:vAlign w:val="center"/>
                </w:tcPr>
                <w:p w14:paraId="6E4BEBC9">
                  <w:pPr>
                    <w:jc w:val="center"/>
                    <w:rPr>
                      <w:szCs w:val="21"/>
                    </w:rPr>
                  </w:pPr>
                  <w:r>
                    <w:rPr>
                      <w:szCs w:val="21"/>
                    </w:rPr>
                    <w:t>隔声、减振等</w:t>
                  </w:r>
                </w:p>
              </w:tc>
            </w:tr>
            <w:tr w14:paraId="34421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36" w:type="pct"/>
                  <w:vMerge w:val="restart"/>
                  <w:tcBorders>
                    <w:tl2br w:val="nil"/>
                    <w:tr2bl w:val="nil"/>
                  </w:tcBorders>
                  <w:vAlign w:val="center"/>
                </w:tcPr>
                <w:p w14:paraId="57FECA49">
                  <w:pPr>
                    <w:jc w:val="center"/>
                    <w:rPr>
                      <w:szCs w:val="21"/>
                    </w:rPr>
                  </w:pPr>
                  <w:r>
                    <w:rPr>
                      <w:szCs w:val="21"/>
                    </w:rPr>
                    <w:t>固废</w:t>
                  </w:r>
                </w:p>
              </w:tc>
              <w:tc>
                <w:tcPr>
                  <w:tcW w:w="847" w:type="pct"/>
                  <w:tcBorders>
                    <w:tl2br w:val="nil"/>
                    <w:tr2bl w:val="nil"/>
                  </w:tcBorders>
                  <w:vAlign w:val="center"/>
                </w:tcPr>
                <w:p w14:paraId="64650605">
                  <w:pPr>
                    <w:jc w:val="center"/>
                    <w:rPr>
                      <w:rFonts w:hint="default" w:eastAsia="宋体"/>
                      <w:szCs w:val="21"/>
                      <w:lang w:val="en-US" w:eastAsia="zh-CN"/>
                    </w:rPr>
                  </w:pPr>
                  <w:r>
                    <w:rPr>
                      <w:rFonts w:hint="eastAsia"/>
                      <w:szCs w:val="21"/>
                      <w:lang w:val="en-US" w:eastAsia="zh-CN"/>
                    </w:rPr>
                    <w:t>S1</w:t>
                  </w:r>
                </w:p>
              </w:tc>
              <w:tc>
                <w:tcPr>
                  <w:tcW w:w="702" w:type="pct"/>
                  <w:tcBorders>
                    <w:tl2br w:val="nil"/>
                    <w:tr2bl w:val="nil"/>
                  </w:tcBorders>
                  <w:vAlign w:val="center"/>
                </w:tcPr>
                <w:p w14:paraId="5B325429">
                  <w:pPr>
                    <w:jc w:val="center"/>
                    <w:rPr>
                      <w:szCs w:val="21"/>
                    </w:rPr>
                  </w:pPr>
                  <w:r>
                    <w:rPr>
                      <w:rFonts w:hint="eastAsia"/>
                      <w:szCs w:val="21"/>
                      <w:lang w:val="en-US" w:eastAsia="zh-CN"/>
                    </w:rPr>
                    <w:t>冲压</w:t>
                  </w:r>
                </w:p>
              </w:tc>
              <w:tc>
                <w:tcPr>
                  <w:tcW w:w="962" w:type="pct"/>
                  <w:tcBorders>
                    <w:tl2br w:val="nil"/>
                    <w:tr2bl w:val="nil"/>
                  </w:tcBorders>
                  <w:vAlign w:val="center"/>
                </w:tcPr>
                <w:p w14:paraId="6FEEE2EF">
                  <w:pPr>
                    <w:jc w:val="center"/>
                    <w:rPr>
                      <w:rFonts w:hint="default"/>
                      <w:szCs w:val="21"/>
                      <w:lang w:val="en-US"/>
                    </w:rPr>
                  </w:pPr>
                  <w:r>
                    <w:rPr>
                      <w:rFonts w:hint="eastAsia"/>
                      <w:szCs w:val="21"/>
                      <w:lang w:val="en-US" w:eastAsia="zh-CN"/>
                    </w:rPr>
                    <w:t>废拉延油</w:t>
                  </w:r>
                </w:p>
              </w:tc>
              <w:tc>
                <w:tcPr>
                  <w:tcW w:w="2051" w:type="pct"/>
                  <w:tcBorders>
                    <w:tl2br w:val="nil"/>
                    <w:tr2bl w:val="nil"/>
                  </w:tcBorders>
                  <w:vAlign w:val="center"/>
                </w:tcPr>
                <w:p w14:paraId="34D39684">
                  <w:pPr>
                    <w:jc w:val="center"/>
                    <w:rPr>
                      <w:szCs w:val="21"/>
                    </w:rPr>
                  </w:pPr>
                  <w:r>
                    <w:rPr>
                      <w:szCs w:val="21"/>
                    </w:rPr>
                    <w:t>交有资质单位处置</w:t>
                  </w:r>
                </w:p>
              </w:tc>
            </w:tr>
            <w:tr w14:paraId="586AE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36" w:type="pct"/>
                  <w:vMerge w:val="continue"/>
                  <w:tcBorders>
                    <w:tl2br w:val="nil"/>
                    <w:tr2bl w:val="nil"/>
                  </w:tcBorders>
                  <w:vAlign w:val="center"/>
                </w:tcPr>
                <w:p w14:paraId="0E6AEF19">
                  <w:pPr>
                    <w:jc w:val="center"/>
                    <w:rPr>
                      <w:szCs w:val="21"/>
                    </w:rPr>
                  </w:pPr>
                </w:p>
              </w:tc>
              <w:tc>
                <w:tcPr>
                  <w:tcW w:w="847" w:type="pct"/>
                  <w:tcBorders>
                    <w:tl2br w:val="nil"/>
                    <w:tr2bl w:val="nil"/>
                  </w:tcBorders>
                  <w:shd w:val="clear" w:color="auto" w:fill="auto"/>
                  <w:vAlign w:val="center"/>
                </w:tcPr>
                <w:p w14:paraId="2ED48ECD">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S2</w:t>
                  </w:r>
                </w:p>
              </w:tc>
              <w:tc>
                <w:tcPr>
                  <w:tcW w:w="702" w:type="pct"/>
                  <w:tcBorders>
                    <w:tl2br w:val="nil"/>
                    <w:tr2bl w:val="nil"/>
                  </w:tcBorders>
                  <w:vAlign w:val="center"/>
                </w:tcPr>
                <w:p w14:paraId="2BF3FB16">
                  <w:pPr>
                    <w:jc w:val="center"/>
                    <w:rPr>
                      <w:rFonts w:hint="default"/>
                      <w:szCs w:val="21"/>
                      <w:lang w:val="en-US" w:eastAsia="zh-CN"/>
                    </w:rPr>
                  </w:pPr>
                  <w:r>
                    <w:rPr>
                      <w:rFonts w:hint="eastAsia"/>
                      <w:szCs w:val="21"/>
                      <w:lang w:val="en-US" w:eastAsia="zh-CN"/>
                    </w:rPr>
                    <w:t>冲压</w:t>
                  </w:r>
                </w:p>
              </w:tc>
              <w:tc>
                <w:tcPr>
                  <w:tcW w:w="962" w:type="pct"/>
                  <w:tcBorders>
                    <w:tl2br w:val="nil"/>
                    <w:tr2bl w:val="nil"/>
                  </w:tcBorders>
                  <w:vAlign w:val="center"/>
                </w:tcPr>
                <w:p w14:paraId="16F488FE">
                  <w:pPr>
                    <w:jc w:val="center"/>
                    <w:rPr>
                      <w:rFonts w:hint="default"/>
                      <w:szCs w:val="21"/>
                      <w:lang w:val="en-US" w:eastAsia="zh-CN"/>
                    </w:rPr>
                  </w:pPr>
                  <w:r>
                    <w:rPr>
                      <w:rFonts w:hint="eastAsia"/>
                      <w:szCs w:val="21"/>
                      <w:lang w:val="en-US" w:eastAsia="zh-CN"/>
                    </w:rPr>
                    <w:t>废金属边角料</w:t>
                  </w:r>
                </w:p>
              </w:tc>
              <w:tc>
                <w:tcPr>
                  <w:tcW w:w="2051" w:type="pct"/>
                  <w:tcBorders>
                    <w:tl2br w:val="nil"/>
                    <w:tr2bl w:val="nil"/>
                  </w:tcBorders>
                  <w:vAlign w:val="center"/>
                </w:tcPr>
                <w:p w14:paraId="70E62A64">
                  <w:pPr>
                    <w:jc w:val="center"/>
                    <w:rPr>
                      <w:szCs w:val="21"/>
                    </w:rPr>
                  </w:pPr>
                  <w:r>
                    <w:rPr>
                      <w:rFonts w:hint="eastAsia"/>
                      <w:szCs w:val="21"/>
                      <w:lang w:val="en-US" w:eastAsia="zh-CN"/>
                    </w:rPr>
                    <w:t>收集后外售</w:t>
                  </w:r>
                </w:p>
              </w:tc>
            </w:tr>
            <w:tr w14:paraId="10C3A7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6" w:type="pct"/>
                  <w:vMerge w:val="continue"/>
                  <w:tcBorders>
                    <w:tl2br w:val="nil"/>
                    <w:tr2bl w:val="nil"/>
                  </w:tcBorders>
                  <w:vAlign w:val="center"/>
                </w:tcPr>
                <w:p w14:paraId="2CA1D6D1">
                  <w:pPr>
                    <w:jc w:val="center"/>
                    <w:rPr>
                      <w:szCs w:val="21"/>
                    </w:rPr>
                  </w:pPr>
                </w:p>
              </w:tc>
              <w:tc>
                <w:tcPr>
                  <w:tcW w:w="847" w:type="pct"/>
                  <w:tcBorders>
                    <w:tl2br w:val="nil"/>
                    <w:tr2bl w:val="nil"/>
                  </w:tcBorders>
                  <w:shd w:val="clear" w:color="auto" w:fill="auto"/>
                  <w:vAlign w:val="center"/>
                </w:tcPr>
                <w:p w14:paraId="5A6B0C5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S3</w:t>
                  </w:r>
                </w:p>
              </w:tc>
              <w:tc>
                <w:tcPr>
                  <w:tcW w:w="702" w:type="pct"/>
                  <w:tcBorders>
                    <w:tl2br w:val="nil"/>
                    <w:tr2bl w:val="nil"/>
                  </w:tcBorders>
                  <w:vAlign w:val="center"/>
                </w:tcPr>
                <w:p w14:paraId="56CC3E87">
                  <w:pPr>
                    <w:jc w:val="center"/>
                    <w:rPr>
                      <w:rFonts w:hint="default" w:eastAsia="宋体"/>
                      <w:szCs w:val="21"/>
                      <w:lang w:val="en-US" w:eastAsia="zh-CN"/>
                    </w:rPr>
                  </w:pPr>
                  <w:r>
                    <w:rPr>
                      <w:rFonts w:hint="eastAsia"/>
                      <w:szCs w:val="21"/>
                      <w:lang w:val="en-US" w:eastAsia="zh-CN"/>
                    </w:rPr>
                    <w:t>检验</w:t>
                  </w:r>
                </w:p>
              </w:tc>
              <w:tc>
                <w:tcPr>
                  <w:tcW w:w="962" w:type="pct"/>
                  <w:tcBorders>
                    <w:tl2br w:val="nil"/>
                    <w:tr2bl w:val="nil"/>
                  </w:tcBorders>
                  <w:vAlign w:val="center"/>
                </w:tcPr>
                <w:p w14:paraId="3114FC6A">
                  <w:pPr>
                    <w:jc w:val="center"/>
                    <w:rPr>
                      <w:rFonts w:hint="default"/>
                      <w:szCs w:val="21"/>
                      <w:lang w:val="en-US" w:eastAsia="zh-CN"/>
                    </w:rPr>
                  </w:pPr>
                  <w:r>
                    <w:rPr>
                      <w:rFonts w:hint="eastAsia"/>
                      <w:szCs w:val="21"/>
                      <w:lang w:val="en-US" w:eastAsia="zh-CN"/>
                    </w:rPr>
                    <w:t>不合格品</w:t>
                  </w:r>
                </w:p>
              </w:tc>
              <w:tc>
                <w:tcPr>
                  <w:tcW w:w="2051" w:type="pct"/>
                  <w:tcBorders>
                    <w:tl2br w:val="nil"/>
                    <w:tr2bl w:val="nil"/>
                  </w:tcBorders>
                  <w:vAlign w:val="center"/>
                </w:tcPr>
                <w:p w14:paraId="74879748">
                  <w:pPr>
                    <w:jc w:val="center"/>
                    <w:rPr>
                      <w:rFonts w:hint="default" w:eastAsia="宋体"/>
                      <w:szCs w:val="21"/>
                      <w:lang w:val="en-US" w:eastAsia="zh-CN"/>
                    </w:rPr>
                  </w:pPr>
                  <w:r>
                    <w:rPr>
                      <w:rFonts w:hint="eastAsia"/>
                      <w:szCs w:val="21"/>
                      <w:lang w:val="en-US" w:eastAsia="zh-CN"/>
                    </w:rPr>
                    <w:t>收集后外售</w:t>
                  </w:r>
                </w:p>
              </w:tc>
            </w:tr>
            <w:tr w14:paraId="3D5526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36" w:type="pct"/>
                  <w:vMerge w:val="continue"/>
                  <w:tcBorders>
                    <w:tl2br w:val="nil"/>
                    <w:tr2bl w:val="nil"/>
                  </w:tcBorders>
                  <w:vAlign w:val="center"/>
                </w:tcPr>
                <w:p w14:paraId="3D1027B8">
                  <w:pPr>
                    <w:jc w:val="center"/>
                    <w:rPr>
                      <w:szCs w:val="21"/>
                    </w:rPr>
                  </w:pPr>
                </w:p>
              </w:tc>
              <w:tc>
                <w:tcPr>
                  <w:tcW w:w="847" w:type="pct"/>
                  <w:tcBorders>
                    <w:tl2br w:val="nil"/>
                    <w:tr2bl w:val="nil"/>
                  </w:tcBorders>
                  <w:shd w:val="clear" w:color="auto" w:fill="auto"/>
                  <w:vAlign w:val="center"/>
                </w:tcPr>
                <w:p w14:paraId="6DFF214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S4</w:t>
                  </w:r>
                </w:p>
              </w:tc>
              <w:tc>
                <w:tcPr>
                  <w:tcW w:w="702" w:type="pct"/>
                  <w:tcBorders>
                    <w:tl2br w:val="nil"/>
                    <w:tr2bl w:val="nil"/>
                  </w:tcBorders>
                  <w:vAlign w:val="center"/>
                </w:tcPr>
                <w:p w14:paraId="43B06FA4">
                  <w:pPr>
                    <w:jc w:val="center"/>
                    <w:rPr>
                      <w:szCs w:val="21"/>
                    </w:rPr>
                  </w:pPr>
                  <w:r>
                    <w:rPr>
                      <w:szCs w:val="21"/>
                    </w:rPr>
                    <w:t>废气处理</w:t>
                  </w:r>
                </w:p>
              </w:tc>
              <w:tc>
                <w:tcPr>
                  <w:tcW w:w="962" w:type="pct"/>
                  <w:tcBorders>
                    <w:tl2br w:val="nil"/>
                    <w:tr2bl w:val="nil"/>
                  </w:tcBorders>
                  <w:vAlign w:val="center"/>
                </w:tcPr>
                <w:p w14:paraId="481FDF10">
                  <w:pPr>
                    <w:jc w:val="center"/>
                    <w:rPr>
                      <w:rFonts w:hint="default"/>
                      <w:szCs w:val="21"/>
                      <w:lang w:val="en-US" w:eastAsia="zh-CN"/>
                    </w:rPr>
                  </w:pPr>
                  <w:r>
                    <w:rPr>
                      <w:rFonts w:hint="eastAsia"/>
                      <w:szCs w:val="21"/>
                      <w:lang w:val="en-US" w:eastAsia="zh-CN"/>
                    </w:rPr>
                    <w:t>废粉尘</w:t>
                  </w:r>
                </w:p>
              </w:tc>
              <w:tc>
                <w:tcPr>
                  <w:tcW w:w="2051" w:type="pct"/>
                  <w:tcBorders>
                    <w:tl2br w:val="nil"/>
                    <w:tr2bl w:val="nil"/>
                  </w:tcBorders>
                  <w:vAlign w:val="center"/>
                </w:tcPr>
                <w:p w14:paraId="62B7B986">
                  <w:pPr>
                    <w:jc w:val="center"/>
                    <w:rPr>
                      <w:szCs w:val="21"/>
                    </w:rPr>
                  </w:pPr>
                  <w:r>
                    <w:rPr>
                      <w:rFonts w:hint="eastAsia"/>
                      <w:szCs w:val="21"/>
                      <w:lang w:val="en-US" w:eastAsia="zh-CN"/>
                    </w:rPr>
                    <w:t>收集后外售</w:t>
                  </w:r>
                </w:p>
              </w:tc>
            </w:tr>
            <w:tr w14:paraId="26C57A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36" w:type="pct"/>
                  <w:vMerge w:val="continue"/>
                  <w:tcBorders>
                    <w:tl2br w:val="nil"/>
                    <w:tr2bl w:val="nil"/>
                  </w:tcBorders>
                  <w:vAlign w:val="center"/>
                </w:tcPr>
                <w:p w14:paraId="06B091F3">
                  <w:pPr>
                    <w:jc w:val="center"/>
                    <w:rPr>
                      <w:szCs w:val="21"/>
                    </w:rPr>
                  </w:pPr>
                </w:p>
              </w:tc>
              <w:tc>
                <w:tcPr>
                  <w:tcW w:w="847" w:type="pct"/>
                  <w:tcBorders>
                    <w:tl2br w:val="nil"/>
                    <w:tr2bl w:val="nil"/>
                  </w:tcBorders>
                  <w:shd w:val="clear" w:color="auto" w:fill="auto"/>
                  <w:vAlign w:val="center"/>
                </w:tcPr>
                <w:p w14:paraId="0FD60D1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S5</w:t>
                  </w:r>
                </w:p>
              </w:tc>
              <w:tc>
                <w:tcPr>
                  <w:tcW w:w="702" w:type="pct"/>
                  <w:tcBorders>
                    <w:tl2br w:val="nil"/>
                    <w:tr2bl w:val="nil"/>
                  </w:tcBorders>
                  <w:vAlign w:val="center"/>
                </w:tcPr>
                <w:p w14:paraId="1C3DB47D">
                  <w:pPr>
                    <w:jc w:val="center"/>
                    <w:rPr>
                      <w:rFonts w:hint="default" w:eastAsia="宋体"/>
                      <w:szCs w:val="21"/>
                      <w:lang w:val="en-US" w:eastAsia="zh-CN"/>
                    </w:rPr>
                  </w:pPr>
                  <w:r>
                    <w:rPr>
                      <w:rFonts w:hint="eastAsia"/>
                      <w:szCs w:val="21"/>
                    </w:rPr>
                    <w:t>设备维护</w:t>
                  </w:r>
                </w:p>
              </w:tc>
              <w:tc>
                <w:tcPr>
                  <w:tcW w:w="962" w:type="pct"/>
                  <w:tcBorders>
                    <w:tl2br w:val="nil"/>
                    <w:tr2bl w:val="nil"/>
                  </w:tcBorders>
                  <w:vAlign w:val="center"/>
                </w:tcPr>
                <w:p w14:paraId="03338B87">
                  <w:pPr>
                    <w:jc w:val="center"/>
                    <w:rPr>
                      <w:rFonts w:hint="eastAsia"/>
                      <w:szCs w:val="21"/>
                      <w:lang w:val="en-US" w:eastAsia="zh-CN"/>
                    </w:rPr>
                  </w:pPr>
                  <w:r>
                    <w:rPr>
                      <w:szCs w:val="21"/>
                    </w:rPr>
                    <w:t>废润滑油</w:t>
                  </w:r>
                </w:p>
              </w:tc>
              <w:tc>
                <w:tcPr>
                  <w:tcW w:w="2051" w:type="pct"/>
                  <w:tcBorders>
                    <w:tl2br w:val="nil"/>
                    <w:tr2bl w:val="nil"/>
                  </w:tcBorders>
                  <w:vAlign w:val="center"/>
                </w:tcPr>
                <w:p w14:paraId="0641D643">
                  <w:pPr>
                    <w:jc w:val="center"/>
                    <w:rPr>
                      <w:rFonts w:hint="default" w:eastAsia="宋体"/>
                      <w:szCs w:val="21"/>
                      <w:lang w:val="en-US" w:eastAsia="zh-CN"/>
                    </w:rPr>
                  </w:pPr>
                  <w:r>
                    <w:rPr>
                      <w:szCs w:val="21"/>
                    </w:rPr>
                    <w:t>交有资质单位处置</w:t>
                  </w:r>
                </w:p>
              </w:tc>
            </w:tr>
            <w:tr w14:paraId="6B854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36" w:type="pct"/>
                  <w:vMerge w:val="continue"/>
                  <w:tcBorders>
                    <w:tl2br w:val="nil"/>
                    <w:tr2bl w:val="nil"/>
                  </w:tcBorders>
                  <w:vAlign w:val="center"/>
                </w:tcPr>
                <w:p w14:paraId="642AE5F0">
                  <w:pPr>
                    <w:jc w:val="center"/>
                    <w:rPr>
                      <w:szCs w:val="21"/>
                    </w:rPr>
                  </w:pPr>
                </w:p>
              </w:tc>
              <w:tc>
                <w:tcPr>
                  <w:tcW w:w="847" w:type="pct"/>
                  <w:tcBorders>
                    <w:tl2br w:val="nil"/>
                    <w:tr2bl w:val="nil"/>
                  </w:tcBorders>
                  <w:shd w:val="clear" w:color="auto" w:fill="auto"/>
                  <w:vAlign w:val="center"/>
                </w:tcPr>
                <w:p w14:paraId="6993D56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S6</w:t>
                  </w:r>
                </w:p>
              </w:tc>
              <w:tc>
                <w:tcPr>
                  <w:tcW w:w="702" w:type="pct"/>
                  <w:tcBorders>
                    <w:tl2br w:val="nil"/>
                    <w:tr2bl w:val="nil"/>
                  </w:tcBorders>
                  <w:vAlign w:val="center"/>
                </w:tcPr>
                <w:p w14:paraId="3E8C0448">
                  <w:pPr>
                    <w:jc w:val="center"/>
                    <w:rPr>
                      <w:szCs w:val="21"/>
                    </w:rPr>
                  </w:pPr>
                  <w:r>
                    <w:rPr>
                      <w:rFonts w:hint="eastAsia"/>
                      <w:szCs w:val="21"/>
                    </w:rPr>
                    <w:t>润滑油使用</w:t>
                  </w:r>
                </w:p>
              </w:tc>
              <w:tc>
                <w:tcPr>
                  <w:tcW w:w="962" w:type="pct"/>
                  <w:tcBorders>
                    <w:tl2br w:val="nil"/>
                    <w:tr2bl w:val="nil"/>
                  </w:tcBorders>
                  <w:vAlign w:val="center"/>
                </w:tcPr>
                <w:p w14:paraId="628D6A9D">
                  <w:pPr>
                    <w:jc w:val="center"/>
                    <w:rPr>
                      <w:szCs w:val="21"/>
                    </w:rPr>
                  </w:pPr>
                  <w:r>
                    <w:rPr>
                      <w:szCs w:val="21"/>
                    </w:rPr>
                    <w:t>废油桶</w:t>
                  </w:r>
                </w:p>
              </w:tc>
              <w:tc>
                <w:tcPr>
                  <w:tcW w:w="2051" w:type="pct"/>
                  <w:tcBorders>
                    <w:tl2br w:val="nil"/>
                    <w:tr2bl w:val="nil"/>
                  </w:tcBorders>
                  <w:vAlign w:val="center"/>
                </w:tcPr>
                <w:p w14:paraId="1C8D15AD">
                  <w:pPr>
                    <w:jc w:val="center"/>
                    <w:rPr>
                      <w:szCs w:val="21"/>
                    </w:rPr>
                  </w:pPr>
                  <w:r>
                    <w:rPr>
                      <w:szCs w:val="21"/>
                    </w:rPr>
                    <w:t>交有资质单位处置</w:t>
                  </w:r>
                </w:p>
              </w:tc>
            </w:tr>
            <w:tr w14:paraId="63F4F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36" w:type="pct"/>
                  <w:vMerge w:val="continue"/>
                  <w:tcBorders>
                    <w:tl2br w:val="nil"/>
                    <w:tr2bl w:val="nil"/>
                  </w:tcBorders>
                  <w:vAlign w:val="center"/>
                </w:tcPr>
                <w:p w14:paraId="5AF80C67">
                  <w:pPr>
                    <w:jc w:val="center"/>
                    <w:rPr>
                      <w:szCs w:val="21"/>
                    </w:rPr>
                  </w:pPr>
                </w:p>
              </w:tc>
              <w:tc>
                <w:tcPr>
                  <w:tcW w:w="847" w:type="pct"/>
                  <w:tcBorders>
                    <w:tl2br w:val="nil"/>
                    <w:tr2bl w:val="nil"/>
                  </w:tcBorders>
                  <w:vAlign w:val="center"/>
                </w:tcPr>
                <w:p w14:paraId="2B462A54">
                  <w:pPr>
                    <w:jc w:val="center"/>
                    <w:rPr>
                      <w:rFonts w:hint="default" w:eastAsia="宋体"/>
                      <w:szCs w:val="21"/>
                      <w:lang w:val="en-US" w:eastAsia="zh-CN"/>
                    </w:rPr>
                  </w:pPr>
                  <w:r>
                    <w:rPr>
                      <w:rFonts w:hint="eastAsia"/>
                      <w:szCs w:val="21"/>
                      <w:lang w:val="en-US" w:eastAsia="zh-CN"/>
                    </w:rPr>
                    <w:t>S7</w:t>
                  </w:r>
                </w:p>
              </w:tc>
              <w:tc>
                <w:tcPr>
                  <w:tcW w:w="702" w:type="pct"/>
                  <w:tcBorders>
                    <w:tl2br w:val="nil"/>
                    <w:tr2bl w:val="nil"/>
                  </w:tcBorders>
                  <w:vAlign w:val="center"/>
                </w:tcPr>
                <w:p w14:paraId="53FD822A">
                  <w:pPr>
                    <w:jc w:val="center"/>
                    <w:rPr>
                      <w:szCs w:val="21"/>
                    </w:rPr>
                  </w:pPr>
                  <w:r>
                    <w:rPr>
                      <w:szCs w:val="21"/>
                    </w:rPr>
                    <w:t>生活办公</w:t>
                  </w:r>
                </w:p>
              </w:tc>
              <w:tc>
                <w:tcPr>
                  <w:tcW w:w="962" w:type="pct"/>
                  <w:tcBorders>
                    <w:tl2br w:val="nil"/>
                    <w:tr2bl w:val="nil"/>
                  </w:tcBorders>
                  <w:vAlign w:val="center"/>
                </w:tcPr>
                <w:p w14:paraId="6917417F">
                  <w:pPr>
                    <w:jc w:val="center"/>
                    <w:rPr>
                      <w:szCs w:val="21"/>
                    </w:rPr>
                  </w:pPr>
                  <w:r>
                    <w:rPr>
                      <w:szCs w:val="21"/>
                    </w:rPr>
                    <w:t>生活垃圾</w:t>
                  </w:r>
                </w:p>
              </w:tc>
              <w:tc>
                <w:tcPr>
                  <w:tcW w:w="2051" w:type="pct"/>
                  <w:tcBorders>
                    <w:tl2br w:val="nil"/>
                    <w:tr2bl w:val="nil"/>
                  </w:tcBorders>
                  <w:vAlign w:val="center"/>
                </w:tcPr>
                <w:p w14:paraId="3F776F48">
                  <w:pPr>
                    <w:jc w:val="center"/>
                    <w:rPr>
                      <w:szCs w:val="21"/>
                    </w:rPr>
                  </w:pPr>
                  <w:r>
                    <w:rPr>
                      <w:rFonts w:hint="eastAsia"/>
                      <w:szCs w:val="21"/>
                    </w:rPr>
                    <w:t>交由</w:t>
                  </w:r>
                  <w:r>
                    <w:rPr>
                      <w:szCs w:val="21"/>
                    </w:rPr>
                    <w:t>环卫部门</w:t>
                  </w:r>
                  <w:r>
                    <w:rPr>
                      <w:rFonts w:hint="eastAsia"/>
                      <w:szCs w:val="21"/>
                    </w:rPr>
                    <w:t>统一清运</w:t>
                  </w:r>
                </w:p>
              </w:tc>
            </w:tr>
          </w:tbl>
          <w:p w14:paraId="77020F01">
            <w:pPr>
              <w:autoSpaceDE w:val="0"/>
              <w:autoSpaceDN w:val="0"/>
              <w:adjustRightInd w:val="0"/>
              <w:snapToGrid w:val="0"/>
              <w:spacing w:line="360" w:lineRule="auto"/>
              <w:ind w:firstLine="480" w:firstLineChars="200"/>
              <w:jc w:val="left"/>
              <w:rPr>
                <w:rFonts w:cs="宋体"/>
                <w:kern w:val="0"/>
                <w:sz w:val="24"/>
              </w:rPr>
            </w:pPr>
          </w:p>
          <w:p w14:paraId="749D3571">
            <w:pPr>
              <w:autoSpaceDE w:val="0"/>
              <w:autoSpaceDN w:val="0"/>
              <w:adjustRightInd w:val="0"/>
              <w:snapToGrid w:val="0"/>
              <w:spacing w:line="360" w:lineRule="auto"/>
              <w:ind w:firstLine="480" w:firstLineChars="200"/>
              <w:jc w:val="left"/>
              <w:rPr>
                <w:rFonts w:cs="宋体"/>
                <w:kern w:val="0"/>
                <w:sz w:val="24"/>
              </w:rPr>
            </w:pPr>
          </w:p>
        </w:tc>
      </w:tr>
      <w:tr w14:paraId="7A594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73" w:hRule="atLeast"/>
          <w:jc w:val="center"/>
        </w:trPr>
        <w:tc>
          <w:tcPr>
            <w:tcW w:w="534" w:type="dxa"/>
            <w:vAlign w:val="center"/>
          </w:tcPr>
          <w:p w14:paraId="101A09B6">
            <w:pPr>
              <w:autoSpaceDE w:val="0"/>
              <w:autoSpaceDN w:val="0"/>
              <w:adjustRightInd w:val="0"/>
              <w:snapToGrid w:val="0"/>
              <w:jc w:val="center"/>
              <w:rPr>
                <w:rFonts w:cs="宋体"/>
                <w:kern w:val="0"/>
                <w:sz w:val="24"/>
              </w:rPr>
            </w:pPr>
            <w:r>
              <w:rPr>
                <w:rFonts w:hint="eastAsia" w:cs="宋体"/>
                <w:kern w:val="0"/>
                <w:sz w:val="24"/>
              </w:rPr>
              <w:t>与项目有关的原有环境污染问题</w:t>
            </w:r>
          </w:p>
        </w:tc>
        <w:tc>
          <w:tcPr>
            <w:tcW w:w="8526" w:type="dxa"/>
            <w:vAlign w:val="center"/>
          </w:tcPr>
          <w:p w14:paraId="55AE723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color w:val="auto"/>
                <w:sz w:val="24"/>
                <w:szCs w:val="24"/>
              </w:rPr>
            </w:pPr>
            <w:r>
              <w:rPr>
                <w:rFonts w:hint="eastAsia" w:ascii="宋体" w:hAnsi="宋体" w:eastAsia="宋体" w:cs="宋体"/>
                <w:color w:val="auto"/>
                <w:kern w:val="0"/>
                <w:sz w:val="24"/>
                <w:szCs w:val="24"/>
                <w:lang w:val="en-US" w:eastAsia="zh-CN" w:bidi="ar"/>
              </w:rPr>
              <w:t>本项目为新建项目，购置空置工业用地，新建厂房进行生产，因此不存在与项目有关的原有环境污染问题。</w:t>
            </w:r>
          </w:p>
          <w:p w14:paraId="51F33587">
            <w:pPr>
              <w:autoSpaceDE w:val="0"/>
              <w:autoSpaceDN w:val="0"/>
              <w:adjustRightInd w:val="0"/>
              <w:snapToGrid w:val="0"/>
              <w:spacing w:line="360" w:lineRule="auto"/>
              <w:ind w:firstLine="482" w:firstLineChars="200"/>
              <w:rPr>
                <w:b/>
                <w:kern w:val="0"/>
                <w:sz w:val="24"/>
                <w:szCs w:val="20"/>
              </w:rPr>
            </w:pPr>
          </w:p>
        </w:tc>
      </w:tr>
    </w:tbl>
    <w:p w14:paraId="506000A4">
      <w:pPr>
        <w:tabs>
          <w:tab w:val="left" w:pos="2235"/>
        </w:tabs>
        <w:rPr>
          <w:rFonts w:cs="宋体"/>
          <w:sz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10A4C09">
      <w:pPr>
        <w:pStyle w:val="54"/>
        <w:tabs>
          <w:tab w:val="left" w:pos="270"/>
          <w:tab w:val="center" w:pos="4422"/>
        </w:tabs>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三、区域环境质量现状、环境保护目标及评价标准</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527"/>
      </w:tblGrid>
      <w:tr w14:paraId="4F634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60" w:hRule="atLeast"/>
          <w:jc w:val="center"/>
        </w:trPr>
        <w:tc>
          <w:tcPr>
            <w:tcW w:w="534" w:type="dxa"/>
            <w:vAlign w:val="center"/>
          </w:tcPr>
          <w:p w14:paraId="2313C525">
            <w:pPr>
              <w:autoSpaceDE w:val="0"/>
              <w:autoSpaceDN w:val="0"/>
              <w:adjustRightInd w:val="0"/>
              <w:snapToGrid w:val="0"/>
              <w:jc w:val="center"/>
              <w:rPr>
                <w:rFonts w:cs="宋体"/>
                <w:kern w:val="0"/>
                <w:sz w:val="24"/>
              </w:rPr>
            </w:pPr>
            <w:r>
              <w:rPr>
                <w:rFonts w:hint="eastAsia" w:cs="宋体"/>
                <w:kern w:val="0"/>
                <w:sz w:val="24"/>
              </w:rPr>
              <w:t>区域</w:t>
            </w:r>
          </w:p>
          <w:p w14:paraId="487EE80B">
            <w:pPr>
              <w:autoSpaceDE w:val="0"/>
              <w:autoSpaceDN w:val="0"/>
              <w:adjustRightInd w:val="0"/>
              <w:snapToGrid w:val="0"/>
              <w:jc w:val="center"/>
              <w:rPr>
                <w:rFonts w:cs="宋体"/>
                <w:kern w:val="0"/>
                <w:sz w:val="24"/>
              </w:rPr>
            </w:pPr>
            <w:r>
              <w:rPr>
                <w:rFonts w:hint="eastAsia" w:cs="宋体"/>
                <w:kern w:val="0"/>
                <w:sz w:val="24"/>
              </w:rPr>
              <w:t>环境</w:t>
            </w:r>
          </w:p>
          <w:p w14:paraId="4798D266">
            <w:pPr>
              <w:autoSpaceDE w:val="0"/>
              <w:autoSpaceDN w:val="0"/>
              <w:adjustRightInd w:val="0"/>
              <w:snapToGrid w:val="0"/>
              <w:jc w:val="center"/>
              <w:rPr>
                <w:rFonts w:cs="宋体"/>
                <w:kern w:val="0"/>
                <w:sz w:val="24"/>
              </w:rPr>
            </w:pPr>
            <w:r>
              <w:rPr>
                <w:rFonts w:hint="eastAsia" w:cs="宋体"/>
                <w:kern w:val="0"/>
                <w:sz w:val="24"/>
              </w:rPr>
              <w:t>质量</w:t>
            </w:r>
          </w:p>
          <w:p w14:paraId="4CCC7C2E">
            <w:pPr>
              <w:autoSpaceDE w:val="0"/>
              <w:autoSpaceDN w:val="0"/>
              <w:adjustRightInd w:val="0"/>
              <w:snapToGrid w:val="0"/>
              <w:jc w:val="center"/>
              <w:rPr>
                <w:rFonts w:cs="宋体"/>
                <w:kern w:val="0"/>
                <w:sz w:val="24"/>
              </w:rPr>
            </w:pPr>
            <w:r>
              <w:rPr>
                <w:rFonts w:hint="eastAsia" w:cs="宋体"/>
                <w:kern w:val="0"/>
                <w:sz w:val="24"/>
              </w:rPr>
              <w:t>现状</w:t>
            </w:r>
          </w:p>
        </w:tc>
        <w:tc>
          <w:tcPr>
            <w:tcW w:w="8527" w:type="dxa"/>
            <w:vAlign w:val="center"/>
          </w:tcPr>
          <w:p w14:paraId="5BC4C47B">
            <w:pPr>
              <w:widowControl/>
              <w:tabs>
                <w:tab w:val="left" w:pos="1418"/>
              </w:tabs>
              <w:spacing w:before="100" w:beforeAutospacing="1" w:line="360" w:lineRule="auto"/>
              <w:ind w:firstLine="482" w:firstLineChars="200"/>
              <w:jc w:val="left"/>
              <w:rPr>
                <w:b/>
                <w:bCs/>
                <w:sz w:val="24"/>
              </w:rPr>
            </w:pPr>
            <w:r>
              <w:rPr>
                <w:b/>
                <w:kern w:val="0"/>
                <w:sz w:val="24"/>
              </w:rPr>
              <w:t>1</w:t>
            </w:r>
            <w:r>
              <w:rPr>
                <w:rFonts w:hint="eastAsia"/>
                <w:b/>
                <w:kern w:val="0"/>
                <w:sz w:val="24"/>
              </w:rPr>
              <w:t>、</w:t>
            </w:r>
            <w:r>
              <w:rPr>
                <w:b/>
                <w:bCs/>
                <w:sz w:val="24"/>
              </w:rPr>
              <w:t>环境</w:t>
            </w:r>
            <w:r>
              <w:rPr>
                <w:rFonts w:hint="eastAsia"/>
                <w:b/>
                <w:bCs/>
                <w:sz w:val="24"/>
              </w:rPr>
              <w:t>空气质量</w:t>
            </w:r>
          </w:p>
          <w:p w14:paraId="26B27F5F">
            <w:pPr>
              <w:widowControl/>
              <w:tabs>
                <w:tab w:val="left" w:pos="1418"/>
              </w:tabs>
              <w:spacing w:line="360" w:lineRule="auto"/>
              <w:ind w:firstLine="426" w:firstLineChars="177"/>
              <w:jc w:val="left"/>
              <w:rPr>
                <w:b/>
                <w:bCs/>
                <w:sz w:val="24"/>
              </w:rPr>
            </w:pPr>
            <w:r>
              <w:rPr>
                <w:rFonts w:hint="eastAsia"/>
                <w:b/>
                <w:sz w:val="24"/>
              </w:rPr>
              <w:t>（1）</w:t>
            </w:r>
            <w:r>
              <w:rPr>
                <w:b/>
                <w:bCs/>
                <w:sz w:val="24"/>
              </w:rPr>
              <w:t>区域环境</w:t>
            </w:r>
            <w:r>
              <w:rPr>
                <w:rFonts w:hint="eastAsia"/>
                <w:b/>
                <w:bCs/>
                <w:sz w:val="24"/>
              </w:rPr>
              <w:t>空气达标情况</w:t>
            </w:r>
          </w:p>
          <w:p w14:paraId="4FCFE9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aps w:val="0"/>
                <w:color w:val="000000" w:themeColor="text1"/>
                <w:sz w:val="24"/>
                <w:highlight w:val="none"/>
                <w14:textFill>
                  <w14:solidFill>
                    <w14:schemeClr w14:val="tx1"/>
                  </w14:solidFill>
                </w14:textFill>
              </w:rPr>
            </w:pP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根据《建设项目环境影响报告表编制技术指南（污染影响类）（试行）》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14:paraId="340BFB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aps w:val="0"/>
                <w:color w:val="000000" w:themeColor="text1"/>
                <w:sz w:val="24"/>
                <w:highlight w:val="none"/>
                <w14:textFill>
                  <w14:solidFill>
                    <w14:schemeClr w14:val="tx1"/>
                  </w14:solidFill>
                </w14:textFill>
              </w:rPr>
            </w:pP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本次评价选取202</w:t>
            </w:r>
            <w:r>
              <w:rPr>
                <w:rFonts w:hint="eastAsia" w:cs="Times New Roman"/>
                <w:b w:val="0"/>
                <w:bCs/>
                <w:caps w:val="0"/>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年作为评价基准年，根据《202</w:t>
            </w:r>
            <w:r>
              <w:rPr>
                <w:rFonts w:hint="eastAsia" w:cs="Times New Roman"/>
                <w:b w:val="0"/>
                <w:bCs/>
                <w:caps w:val="0"/>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年芜湖市生态环境状况公报》，以下为首要污染物浓度汇总表。</w:t>
            </w:r>
          </w:p>
          <w:p w14:paraId="0D42F7F2">
            <w:pPr>
              <w:adjustRightInd w:val="0"/>
              <w:snapToGrid w:val="0"/>
              <w:jc w:val="center"/>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表3-1  区域空气质量现状评价表</w:t>
            </w:r>
          </w:p>
          <w:tbl>
            <w:tblPr>
              <w:tblStyle w:val="59"/>
              <w:tblW w:w="839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049"/>
              <w:gridCol w:w="1173"/>
              <w:gridCol w:w="995"/>
              <w:gridCol w:w="1092"/>
              <w:gridCol w:w="1052"/>
              <w:gridCol w:w="1019"/>
              <w:gridCol w:w="1017"/>
            </w:tblGrid>
            <w:tr w14:paraId="16E971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8" w:hRule="atLeast"/>
                <w:jc w:val="center"/>
              </w:trPr>
              <w:tc>
                <w:tcPr>
                  <w:tcW w:w="2049" w:type="dxa"/>
                  <w:tcBorders>
                    <w:tl2br w:val="nil"/>
                    <w:tr2bl w:val="nil"/>
                  </w:tcBorders>
                  <w:noWrap w:val="0"/>
                  <w:tcMar>
                    <w:top w:w="15" w:type="dxa"/>
                    <w:left w:w="15" w:type="dxa"/>
                    <w:bottom w:w="0" w:type="dxa"/>
                    <w:right w:w="15" w:type="dxa"/>
                  </w:tcMar>
                  <w:vAlign w:val="center"/>
                </w:tcPr>
                <w:p w14:paraId="1C19456F">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所在区域</w:t>
                  </w:r>
                </w:p>
              </w:tc>
              <w:tc>
                <w:tcPr>
                  <w:tcW w:w="1173" w:type="dxa"/>
                  <w:tcBorders>
                    <w:tl2br w:val="nil"/>
                    <w:tr2bl w:val="nil"/>
                  </w:tcBorders>
                  <w:noWrap w:val="0"/>
                  <w:tcMar>
                    <w:top w:w="15" w:type="dxa"/>
                    <w:left w:w="15" w:type="dxa"/>
                    <w:bottom w:w="0" w:type="dxa"/>
                    <w:right w:w="15" w:type="dxa"/>
                  </w:tcMar>
                  <w:vAlign w:val="center"/>
                </w:tcPr>
                <w:p w14:paraId="5B888352">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SO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w:t>
                  </w:r>
                </w:p>
                <w:p w14:paraId="775A0CF7">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995" w:type="dxa"/>
                  <w:tcBorders>
                    <w:tl2br w:val="nil"/>
                    <w:tr2bl w:val="nil"/>
                  </w:tcBorders>
                  <w:noWrap w:val="0"/>
                  <w:tcMar>
                    <w:top w:w="15" w:type="dxa"/>
                    <w:left w:w="15" w:type="dxa"/>
                    <w:bottom w:w="0" w:type="dxa"/>
                    <w:right w:w="15" w:type="dxa"/>
                  </w:tcMar>
                  <w:vAlign w:val="center"/>
                </w:tcPr>
                <w:p w14:paraId="4012EE13">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NO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w:t>
                  </w:r>
                </w:p>
                <w:p w14:paraId="367FA86B">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92" w:type="dxa"/>
                  <w:tcBorders>
                    <w:tl2br w:val="nil"/>
                    <w:tr2bl w:val="nil"/>
                  </w:tcBorders>
                  <w:noWrap w:val="0"/>
                  <w:tcMar>
                    <w:top w:w="15" w:type="dxa"/>
                    <w:left w:w="15" w:type="dxa"/>
                    <w:bottom w:w="0" w:type="dxa"/>
                    <w:right w:w="15" w:type="dxa"/>
                  </w:tcMar>
                  <w:vAlign w:val="center"/>
                </w:tcPr>
                <w:p w14:paraId="0CD93F7F">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8h</w:t>
                  </w:r>
                </w:p>
                <w:p w14:paraId="5A5F9991">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52" w:type="dxa"/>
                  <w:tcBorders>
                    <w:tl2br w:val="nil"/>
                    <w:tr2bl w:val="nil"/>
                  </w:tcBorders>
                  <w:noWrap w:val="0"/>
                  <w:tcMar>
                    <w:top w:w="15" w:type="dxa"/>
                    <w:left w:w="15" w:type="dxa"/>
                    <w:bottom w:w="0" w:type="dxa"/>
                    <w:right w:w="15" w:type="dxa"/>
                  </w:tcMar>
                  <w:vAlign w:val="center"/>
                </w:tcPr>
                <w:p w14:paraId="2405E67B">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CO</w:t>
                  </w:r>
                </w:p>
                <w:p w14:paraId="294E592F">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mg/m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19" w:type="dxa"/>
                  <w:tcBorders>
                    <w:tl2br w:val="nil"/>
                    <w:tr2bl w:val="nil"/>
                  </w:tcBorders>
                  <w:noWrap w:val="0"/>
                  <w:tcMar>
                    <w:top w:w="15" w:type="dxa"/>
                    <w:left w:w="15" w:type="dxa"/>
                    <w:bottom w:w="0" w:type="dxa"/>
                    <w:right w:w="15" w:type="dxa"/>
                  </w:tcMar>
                  <w:vAlign w:val="center"/>
                </w:tcPr>
                <w:p w14:paraId="1A3B72B2">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PM</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10</w:t>
                  </w:r>
                </w:p>
                <w:p w14:paraId="22348DDF">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17" w:type="dxa"/>
                  <w:tcBorders>
                    <w:tl2br w:val="nil"/>
                    <w:tr2bl w:val="nil"/>
                  </w:tcBorders>
                  <w:noWrap w:val="0"/>
                  <w:tcMar>
                    <w:top w:w="15" w:type="dxa"/>
                    <w:left w:w="15" w:type="dxa"/>
                    <w:bottom w:w="0" w:type="dxa"/>
                    <w:right w:w="15" w:type="dxa"/>
                  </w:tcMar>
                  <w:vAlign w:val="center"/>
                </w:tcPr>
                <w:p w14:paraId="73911575">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PM</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2.5</w:t>
                  </w:r>
                </w:p>
                <w:p w14:paraId="13394A0D">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r>
            <w:tr w14:paraId="2CF28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2049" w:type="dxa"/>
                  <w:tcBorders>
                    <w:tl2br w:val="nil"/>
                    <w:tr2bl w:val="nil"/>
                  </w:tcBorders>
                  <w:noWrap w:val="0"/>
                  <w:tcMar>
                    <w:top w:w="15" w:type="dxa"/>
                    <w:left w:w="15" w:type="dxa"/>
                    <w:bottom w:w="0" w:type="dxa"/>
                    <w:right w:w="15" w:type="dxa"/>
                  </w:tcMar>
                  <w:vAlign w:val="center"/>
                </w:tcPr>
                <w:p w14:paraId="4ED1B98A">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芜湖市</w:t>
                  </w:r>
                </w:p>
              </w:tc>
              <w:tc>
                <w:tcPr>
                  <w:tcW w:w="1173" w:type="dxa"/>
                  <w:tcBorders>
                    <w:tl2br w:val="nil"/>
                    <w:tr2bl w:val="nil"/>
                  </w:tcBorders>
                  <w:noWrap w:val="0"/>
                  <w:tcMar>
                    <w:top w:w="15" w:type="dxa"/>
                    <w:left w:w="15" w:type="dxa"/>
                    <w:bottom w:w="0" w:type="dxa"/>
                    <w:right w:w="15" w:type="dxa"/>
                  </w:tcMar>
                  <w:vAlign w:val="center"/>
                </w:tcPr>
                <w:p w14:paraId="1C10DDF4">
                  <w:pPr>
                    <w:keepNext/>
                    <w:keepLines/>
                    <w:adjustRightInd w:val="0"/>
                    <w:snapToGrid w:val="0"/>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8</w:t>
                  </w:r>
                </w:p>
              </w:tc>
              <w:tc>
                <w:tcPr>
                  <w:tcW w:w="995" w:type="dxa"/>
                  <w:tcBorders>
                    <w:tl2br w:val="nil"/>
                    <w:tr2bl w:val="nil"/>
                  </w:tcBorders>
                  <w:noWrap w:val="0"/>
                  <w:tcMar>
                    <w:top w:w="15" w:type="dxa"/>
                    <w:left w:w="15" w:type="dxa"/>
                    <w:bottom w:w="0" w:type="dxa"/>
                    <w:right w:w="15" w:type="dxa"/>
                  </w:tcMar>
                  <w:vAlign w:val="center"/>
                </w:tcPr>
                <w:p w14:paraId="04DF9CA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30</w:t>
                  </w:r>
                </w:p>
              </w:tc>
              <w:tc>
                <w:tcPr>
                  <w:tcW w:w="1092" w:type="dxa"/>
                  <w:tcBorders>
                    <w:tl2br w:val="nil"/>
                    <w:tr2bl w:val="nil"/>
                  </w:tcBorders>
                  <w:noWrap w:val="0"/>
                  <w:tcMar>
                    <w:top w:w="15" w:type="dxa"/>
                    <w:left w:w="15" w:type="dxa"/>
                    <w:bottom w:w="0" w:type="dxa"/>
                    <w:right w:w="15" w:type="dxa"/>
                  </w:tcMar>
                  <w:vAlign w:val="center"/>
                </w:tcPr>
                <w:p w14:paraId="61F9D407">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164</w:t>
                  </w:r>
                </w:p>
              </w:tc>
              <w:tc>
                <w:tcPr>
                  <w:tcW w:w="1052" w:type="dxa"/>
                  <w:tcBorders>
                    <w:tl2br w:val="nil"/>
                    <w:tr2bl w:val="nil"/>
                  </w:tcBorders>
                  <w:noWrap w:val="0"/>
                  <w:tcMar>
                    <w:top w:w="15" w:type="dxa"/>
                    <w:left w:w="15" w:type="dxa"/>
                    <w:bottom w:w="0" w:type="dxa"/>
                    <w:right w:w="15" w:type="dxa"/>
                  </w:tcMar>
                  <w:vAlign w:val="center"/>
                </w:tcPr>
                <w:p w14:paraId="1444A70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w:t>
                  </w:r>
                </w:p>
              </w:tc>
              <w:tc>
                <w:tcPr>
                  <w:tcW w:w="1019" w:type="dxa"/>
                  <w:tcBorders>
                    <w:tl2br w:val="nil"/>
                    <w:tr2bl w:val="nil"/>
                  </w:tcBorders>
                  <w:noWrap w:val="0"/>
                  <w:tcMar>
                    <w:top w:w="15" w:type="dxa"/>
                    <w:left w:w="15" w:type="dxa"/>
                    <w:bottom w:w="0" w:type="dxa"/>
                    <w:right w:w="15" w:type="dxa"/>
                  </w:tcMar>
                  <w:vAlign w:val="center"/>
                </w:tcPr>
                <w:p w14:paraId="64F9546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53</w:t>
                  </w:r>
                </w:p>
              </w:tc>
              <w:tc>
                <w:tcPr>
                  <w:tcW w:w="1017" w:type="dxa"/>
                  <w:tcBorders>
                    <w:tl2br w:val="nil"/>
                    <w:tr2bl w:val="nil"/>
                  </w:tcBorders>
                  <w:noWrap w:val="0"/>
                  <w:tcMar>
                    <w:top w:w="15" w:type="dxa"/>
                    <w:left w:w="15" w:type="dxa"/>
                    <w:bottom w:w="0" w:type="dxa"/>
                    <w:right w:w="15" w:type="dxa"/>
                  </w:tcMar>
                  <w:vAlign w:val="center"/>
                </w:tcPr>
                <w:p w14:paraId="72BC0BCD">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33</w:t>
                  </w:r>
                </w:p>
              </w:tc>
            </w:tr>
            <w:tr w14:paraId="5FC56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2049" w:type="dxa"/>
                  <w:tcBorders>
                    <w:tl2br w:val="nil"/>
                    <w:tr2bl w:val="nil"/>
                  </w:tcBorders>
                  <w:noWrap w:val="0"/>
                  <w:tcMar>
                    <w:top w:w="15" w:type="dxa"/>
                    <w:left w:w="15" w:type="dxa"/>
                    <w:bottom w:w="0" w:type="dxa"/>
                    <w:right w:w="15" w:type="dxa"/>
                  </w:tcMar>
                  <w:vAlign w:val="center"/>
                </w:tcPr>
                <w:p w14:paraId="31336854">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标准值</w:t>
                  </w:r>
                </w:p>
              </w:tc>
              <w:tc>
                <w:tcPr>
                  <w:tcW w:w="1173" w:type="dxa"/>
                  <w:tcBorders>
                    <w:tl2br w:val="nil"/>
                    <w:tr2bl w:val="nil"/>
                  </w:tcBorders>
                  <w:noWrap w:val="0"/>
                  <w:tcMar>
                    <w:top w:w="15" w:type="dxa"/>
                    <w:left w:w="15" w:type="dxa"/>
                    <w:bottom w:w="0" w:type="dxa"/>
                    <w:right w:w="15" w:type="dxa"/>
                  </w:tcMar>
                  <w:vAlign w:val="center"/>
                </w:tcPr>
                <w:p w14:paraId="2938F6CF">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60</w:t>
                  </w:r>
                </w:p>
              </w:tc>
              <w:tc>
                <w:tcPr>
                  <w:tcW w:w="995" w:type="dxa"/>
                  <w:tcBorders>
                    <w:tl2br w:val="nil"/>
                    <w:tr2bl w:val="nil"/>
                  </w:tcBorders>
                  <w:noWrap w:val="0"/>
                  <w:tcMar>
                    <w:top w:w="15" w:type="dxa"/>
                    <w:left w:w="15" w:type="dxa"/>
                    <w:bottom w:w="0" w:type="dxa"/>
                    <w:right w:w="15" w:type="dxa"/>
                  </w:tcMar>
                  <w:vAlign w:val="center"/>
                </w:tcPr>
                <w:p w14:paraId="62CE9C0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w:t>
                  </w:r>
                </w:p>
              </w:tc>
              <w:tc>
                <w:tcPr>
                  <w:tcW w:w="1092" w:type="dxa"/>
                  <w:tcBorders>
                    <w:tl2br w:val="nil"/>
                    <w:tr2bl w:val="nil"/>
                  </w:tcBorders>
                  <w:noWrap w:val="0"/>
                  <w:tcMar>
                    <w:top w:w="15" w:type="dxa"/>
                    <w:left w:w="15" w:type="dxa"/>
                    <w:bottom w:w="0" w:type="dxa"/>
                    <w:right w:w="15" w:type="dxa"/>
                  </w:tcMar>
                  <w:vAlign w:val="center"/>
                </w:tcPr>
                <w:p w14:paraId="5A8C4DBF">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160</w:t>
                  </w:r>
                </w:p>
              </w:tc>
              <w:tc>
                <w:tcPr>
                  <w:tcW w:w="1052" w:type="dxa"/>
                  <w:tcBorders>
                    <w:tl2br w:val="nil"/>
                    <w:tr2bl w:val="nil"/>
                  </w:tcBorders>
                  <w:noWrap w:val="0"/>
                  <w:tcMar>
                    <w:top w:w="15" w:type="dxa"/>
                    <w:left w:w="15" w:type="dxa"/>
                    <w:bottom w:w="0" w:type="dxa"/>
                    <w:right w:w="15" w:type="dxa"/>
                  </w:tcMar>
                  <w:vAlign w:val="center"/>
                </w:tcPr>
                <w:p w14:paraId="0DFEAF56">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w:t>
                  </w:r>
                </w:p>
              </w:tc>
              <w:tc>
                <w:tcPr>
                  <w:tcW w:w="1019" w:type="dxa"/>
                  <w:tcBorders>
                    <w:tl2br w:val="nil"/>
                    <w:tr2bl w:val="nil"/>
                  </w:tcBorders>
                  <w:noWrap w:val="0"/>
                  <w:tcMar>
                    <w:top w:w="15" w:type="dxa"/>
                    <w:left w:w="15" w:type="dxa"/>
                    <w:bottom w:w="0" w:type="dxa"/>
                    <w:right w:w="15" w:type="dxa"/>
                  </w:tcMar>
                  <w:vAlign w:val="center"/>
                </w:tcPr>
                <w:p w14:paraId="473BA6E2">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70</w:t>
                  </w:r>
                </w:p>
              </w:tc>
              <w:tc>
                <w:tcPr>
                  <w:tcW w:w="1017" w:type="dxa"/>
                  <w:tcBorders>
                    <w:tl2br w:val="nil"/>
                    <w:tr2bl w:val="nil"/>
                  </w:tcBorders>
                  <w:noWrap w:val="0"/>
                  <w:tcMar>
                    <w:top w:w="15" w:type="dxa"/>
                    <w:left w:w="15" w:type="dxa"/>
                    <w:bottom w:w="0" w:type="dxa"/>
                    <w:right w:w="15" w:type="dxa"/>
                  </w:tcMar>
                  <w:vAlign w:val="center"/>
                </w:tcPr>
                <w:p w14:paraId="35081809">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35</w:t>
                  </w:r>
                </w:p>
              </w:tc>
            </w:tr>
            <w:tr w14:paraId="5AC42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8" w:hRule="atLeast"/>
                <w:jc w:val="center"/>
              </w:trPr>
              <w:tc>
                <w:tcPr>
                  <w:tcW w:w="2049" w:type="dxa"/>
                  <w:tcBorders>
                    <w:tl2br w:val="nil"/>
                    <w:tr2bl w:val="nil"/>
                  </w:tcBorders>
                  <w:noWrap w:val="0"/>
                  <w:tcMar>
                    <w:top w:w="15" w:type="dxa"/>
                    <w:left w:w="15" w:type="dxa"/>
                    <w:bottom w:w="0" w:type="dxa"/>
                    <w:right w:w="15" w:type="dxa"/>
                  </w:tcMar>
                  <w:vAlign w:val="center"/>
                </w:tcPr>
                <w:p w14:paraId="21C492DA">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达标情况</w:t>
                  </w:r>
                </w:p>
              </w:tc>
              <w:tc>
                <w:tcPr>
                  <w:tcW w:w="1173" w:type="dxa"/>
                  <w:tcBorders>
                    <w:tl2br w:val="nil"/>
                    <w:tr2bl w:val="nil"/>
                  </w:tcBorders>
                  <w:noWrap w:val="0"/>
                  <w:tcMar>
                    <w:top w:w="15" w:type="dxa"/>
                    <w:left w:w="15" w:type="dxa"/>
                    <w:bottom w:w="0" w:type="dxa"/>
                    <w:right w:w="15" w:type="dxa"/>
                  </w:tcMar>
                  <w:vAlign w:val="center"/>
                </w:tcPr>
                <w:p w14:paraId="5867397D">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995" w:type="dxa"/>
                  <w:tcBorders>
                    <w:tl2br w:val="nil"/>
                    <w:tr2bl w:val="nil"/>
                  </w:tcBorders>
                  <w:noWrap w:val="0"/>
                  <w:tcMar>
                    <w:top w:w="15" w:type="dxa"/>
                    <w:left w:w="15" w:type="dxa"/>
                    <w:bottom w:w="0" w:type="dxa"/>
                    <w:right w:w="15" w:type="dxa"/>
                  </w:tcMar>
                  <w:vAlign w:val="center"/>
                </w:tcPr>
                <w:p w14:paraId="0D32814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92" w:type="dxa"/>
                  <w:tcBorders>
                    <w:tl2br w:val="nil"/>
                    <w:tr2bl w:val="nil"/>
                  </w:tcBorders>
                  <w:noWrap w:val="0"/>
                  <w:tcMar>
                    <w:top w:w="15" w:type="dxa"/>
                    <w:left w:w="15" w:type="dxa"/>
                    <w:bottom w:w="0" w:type="dxa"/>
                    <w:right w:w="15" w:type="dxa"/>
                  </w:tcMar>
                  <w:vAlign w:val="center"/>
                </w:tcPr>
                <w:p w14:paraId="2F28DE78">
                  <w:pPr>
                    <w:keepNext/>
                    <w:keepLines/>
                    <w:adjustRightInd w:val="0"/>
                    <w:snapToGrid w:val="0"/>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不</w:t>
                  </w: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52" w:type="dxa"/>
                  <w:tcBorders>
                    <w:tl2br w:val="nil"/>
                    <w:tr2bl w:val="nil"/>
                  </w:tcBorders>
                  <w:noWrap w:val="0"/>
                  <w:tcMar>
                    <w:top w:w="15" w:type="dxa"/>
                    <w:left w:w="15" w:type="dxa"/>
                    <w:bottom w:w="0" w:type="dxa"/>
                    <w:right w:w="15" w:type="dxa"/>
                  </w:tcMar>
                  <w:vAlign w:val="center"/>
                </w:tcPr>
                <w:p w14:paraId="1A4D54C3">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19" w:type="dxa"/>
                  <w:tcBorders>
                    <w:tl2br w:val="nil"/>
                    <w:tr2bl w:val="nil"/>
                  </w:tcBorders>
                  <w:noWrap w:val="0"/>
                  <w:tcMar>
                    <w:top w:w="15" w:type="dxa"/>
                    <w:left w:w="15" w:type="dxa"/>
                    <w:bottom w:w="0" w:type="dxa"/>
                    <w:right w:w="15" w:type="dxa"/>
                  </w:tcMar>
                  <w:vAlign w:val="center"/>
                </w:tcPr>
                <w:p w14:paraId="40BB009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17" w:type="dxa"/>
                  <w:tcBorders>
                    <w:tl2br w:val="nil"/>
                    <w:tr2bl w:val="nil"/>
                  </w:tcBorders>
                  <w:noWrap w:val="0"/>
                  <w:tcMar>
                    <w:top w:w="15" w:type="dxa"/>
                    <w:left w:w="15" w:type="dxa"/>
                    <w:bottom w:w="0" w:type="dxa"/>
                    <w:right w:w="15" w:type="dxa"/>
                  </w:tcMar>
                  <w:vAlign w:val="center"/>
                </w:tcPr>
                <w:p w14:paraId="3CE9ED53">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r>
          </w:tbl>
          <w:p w14:paraId="6C94EBEA">
            <w:pPr>
              <w:widowControl/>
              <w:autoSpaceDE w:val="0"/>
              <w:autoSpaceDN w:val="0"/>
              <w:spacing w:line="360" w:lineRule="auto"/>
              <w:ind w:firstLine="482"/>
              <w:jc w:val="left"/>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由上表监测数据判定，芜湖市区域环境空气执行《环境空气质量标准》（GB3095-2012）</w:t>
            </w:r>
            <w:r>
              <w:rPr>
                <w:rFonts w:hint="eastAsia" w:cs="Times New Roman"/>
                <w:caps w:val="0"/>
                <w:color w:val="000000" w:themeColor="text1"/>
                <w:kern w:val="0"/>
                <w:sz w:val="24"/>
                <w:szCs w:val="20"/>
                <w:highlight w:val="none"/>
                <w:lang w:val="en-US" w:eastAsia="zh-CN"/>
                <w14:textFill>
                  <w14:solidFill>
                    <w14:schemeClr w14:val="tx1"/>
                  </w14:solidFill>
                </w14:textFill>
              </w:rPr>
              <w:t>及其修改单</w:t>
            </w: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中二类区标准，芜湖市为环境空气为“</w:t>
            </w:r>
            <w:r>
              <w:rPr>
                <w:rFonts w:hint="eastAsia" w:cs="Times New Roman"/>
                <w:caps w:val="0"/>
                <w:color w:val="000000" w:themeColor="text1"/>
                <w:kern w:val="0"/>
                <w:sz w:val="24"/>
                <w:szCs w:val="20"/>
                <w:highlight w:val="none"/>
                <w:lang w:val="en-US" w:eastAsia="zh-CN"/>
                <w14:textFill>
                  <w14:solidFill>
                    <w14:schemeClr w14:val="tx1"/>
                  </w14:solidFill>
                </w14:textFill>
              </w:rPr>
              <w:t>不</w:t>
            </w: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达标区”。根据该监测数据判定，项目所在区域为环境空气质量</w:t>
            </w:r>
            <w:r>
              <w:rPr>
                <w:rFonts w:hint="eastAsia" w:cs="Times New Roman"/>
                <w:caps w:val="0"/>
                <w:color w:val="000000" w:themeColor="text1"/>
                <w:kern w:val="0"/>
                <w:sz w:val="24"/>
                <w:szCs w:val="20"/>
                <w:highlight w:val="none"/>
                <w:lang w:val="en-US" w:eastAsia="zh-CN"/>
                <w14:textFill>
                  <w14:solidFill>
                    <w14:schemeClr w14:val="tx1"/>
                  </w14:solidFill>
                </w14:textFill>
              </w:rPr>
              <w:t>不</w:t>
            </w: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达标区域。</w:t>
            </w:r>
          </w:p>
          <w:p w14:paraId="5B58D18D">
            <w:pPr>
              <w:keepNext w:val="0"/>
              <w:keepLines w:val="0"/>
              <w:pageBreakBefore w:val="0"/>
              <w:widowControl/>
              <w:kinsoku/>
              <w:wordWrap/>
              <w:overflowPunct/>
              <w:topLinePunct w:val="0"/>
              <w:autoSpaceDE w:val="0"/>
              <w:autoSpaceDN w:val="0"/>
              <w:bidi w:val="0"/>
              <w:adjustRightInd/>
              <w:snapToGrid/>
              <w:spacing w:line="360" w:lineRule="auto"/>
              <w:ind w:firstLine="482"/>
              <w:jc w:val="left"/>
              <w:textAlignment w:val="auto"/>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措施与行动：</w:t>
            </w:r>
          </w:p>
          <w:p w14:paraId="52D7547E">
            <w:pPr>
              <w:widowControl/>
              <w:autoSpaceDE w:val="0"/>
              <w:autoSpaceDN w:val="0"/>
              <w:spacing w:line="360" w:lineRule="auto"/>
              <w:ind w:firstLine="482"/>
              <w:jc w:val="left"/>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深入贯彻落实国务院《空气质量持续改善行动计划》和《安徽省空气质量持续改善行动方案》，研究制定《芜湖市2024-2025年大气污染防治重点任务攻坚工作方案》，统筹推进相关工作。</w:t>
            </w:r>
          </w:p>
          <w:p w14:paraId="4B9D66C0">
            <w:pPr>
              <w:widowControl/>
              <w:autoSpaceDE w:val="0"/>
              <w:autoSpaceDN w:val="0"/>
              <w:spacing w:line="360" w:lineRule="auto"/>
              <w:ind w:firstLine="482"/>
              <w:jc w:val="left"/>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一是持续推动重点行业深度治理。持续推进钢铁、水泥行业超低排放改造工作。完成玻璃行业在产生产线污染防治设施提升改造，达到玻璃行业省地标排放限值要求。完成燃煤锅炉淘汰治理任务。</w:t>
            </w:r>
          </w:p>
          <w:p w14:paraId="667A38B4">
            <w:pPr>
              <w:widowControl/>
              <w:autoSpaceDE w:val="0"/>
              <w:autoSpaceDN w:val="0"/>
              <w:spacing w:line="360" w:lineRule="auto"/>
              <w:ind w:firstLine="482"/>
              <w:jc w:val="left"/>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二是持续开展挥发性有机物治理。积极推进化工、涂装、包装印刷等重点行业挥发性有机物（VOCs）综合治理，从源头替代、过程管控、末端治理等方面开展排查整治涉VOCs企业；开展活性炭吸附处理设施专项帮扶检查，常态化开展VOCs走航溯源。</w:t>
            </w:r>
          </w:p>
          <w:p w14:paraId="007EA99A">
            <w:pPr>
              <w:widowControl/>
              <w:autoSpaceDE w:val="0"/>
              <w:autoSpaceDN w:val="0"/>
              <w:spacing w:line="360" w:lineRule="auto"/>
              <w:ind w:firstLine="482"/>
              <w:jc w:val="left"/>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三是强化重污染天气应急应对。修订《芜湖市重污染天气应急预案》，动态更新完善应急减排清单和减排措施；持续开展政企协商减排，依法启动重污染天气预警；利用雷达走航、重点源在线监测、用电监控等技术，结合现场排查，进一步强化涉气企业帮扶指导。</w:t>
            </w:r>
          </w:p>
          <w:p w14:paraId="1CEAB31C">
            <w:pPr>
              <w:widowControl/>
              <w:autoSpaceDE w:val="0"/>
              <w:autoSpaceDN w:val="0"/>
              <w:spacing w:line="360" w:lineRule="auto"/>
              <w:ind w:firstLine="482"/>
              <w:jc w:val="left"/>
              <w:rPr>
                <w:bCs/>
                <w:kern w:val="0"/>
                <w:sz w:val="24"/>
                <w:szCs w:val="20"/>
              </w:rPr>
            </w:pPr>
            <w:r>
              <w:rPr>
                <w:rFonts w:hint="eastAsia"/>
                <w:b/>
                <w:kern w:val="0"/>
                <w:sz w:val="24"/>
              </w:rPr>
              <w:t>（</w:t>
            </w:r>
            <w:r>
              <w:rPr>
                <w:b/>
                <w:kern w:val="0"/>
                <w:sz w:val="24"/>
              </w:rPr>
              <w:t>2</w:t>
            </w:r>
            <w:r>
              <w:rPr>
                <w:rFonts w:hint="eastAsia"/>
                <w:b/>
                <w:kern w:val="0"/>
                <w:sz w:val="24"/>
              </w:rPr>
              <w:t>）</w:t>
            </w:r>
            <w:r>
              <w:rPr>
                <w:b/>
                <w:kern w:val="0"/>
                <w:sz w:val="24"/>
              </w:rPr>
              <w:t>特征污染物环境质量现状</w:t>
            </w:r>
          </w:p>
          <w:p w14:paraId="72E5F6FC">
            <w:pPr>
              <w:widowControl/>
              <w:adjustRightInd w:val="0"/>
              <w:spacing w:line="360" w:lineRule="auto"/>
              <w:ind w:firstLine="480" w:firstLineChars="200"/>
              <w:jc w:val="left"/>
              <w:rPr>
                <w:sz w:val="24"/>
                <w:szCs w:val="20"/>
              </w:rPr>
            </w:pPr>
            <w:r>
              <w:rPr>
                <w:rFonts w:hint="eastAsia"/>
                <w:bCs/>
                <w:sz w:val="24"/>
              </w:rPr>
              <w:t>为了解项目所在区域的环境质量现状，TSP监测结果引用《三山经开区智能网联汽车零部件项目环境影响报告书》大气环境质量现状监测数据，监测日期2024年7月28日~8月2日，监测点位（烟墩头）位于本项目西南侧</w:t>
            </w:r>
            <w:r>
              <w:rPr>
                <w:rFonts w:hint="eastAsia"/>
                <w:bCs/>
                <w:sz w:val="24"/>
                <w:lang w:val="en-US" w:eastAsia="zh-CN"/>
              </w:rPr>
              <w:t>1.8</w:t>
            </w:r>
            <w:r>
              <w:rPr>
                <w:rFonts w:hint="eastAsia"/>
                <w:bCs/>
                <w:sz w:val="24"/>
              </w:rPr>
              <w:t>km，属于指南要求的建设项目周边5千米范围内，近3年的现有监测数据，该数据引用合理。监测布点见下表</w:t>
            </w:r>
            <w:r>
              <w:rPr>
                <w:rFonts w:hint="eastAsia"/>
                <w:bCs/>
                <w:sz w:val="24"/>
                <w:lang w:eastAsia="zh-CN"/>
              </w:rPr>
              <w:t>，</w:t>
            </w:r>
            <w:r>
              <w:rPr>
                <w:rFonts w:hint="eastAsia"/>
                <w:bCs/>
                <w:sz w:val="24"/>
              </w:rPr>
              <w:t>监测点位与本项目位置关系图见下图：</w:t>
            </w:r>
          </w:p>
          <w:p w14:paraId="2A3ECA5F">
            <w:pPr>
              <w:keepNext w:val="0"/>
              <w:keepLines w:val="0"/>
              <w:pageBreakBefore w:val="0"/>
              <w:widowControl w:val="0"/>
              <w:kinsoku/>
              <w:wordWrap/>
              <w:overflowPunct/>
              <w:topLinePunct w:val="0"/>
              <w:autoSpaceDE/>
              <w:autoSpaceDN/>
              <w:bidi w:val="0"/>
              <w:adjustRightInd/>
              <w:snapToGrid/>
              <w:spacing w:beforeAutospacing="0" w:line="240" w:lineRule="auto"/>
              <w:jc w:val="center"/>
              <w:textAlignment w:val="auto"/>
              <w:rPr>
                <w:b/>
                <w:sz w:val="24"/>
              </w:rPr>
            </w:pPr>
            <w:r>
              <w:rPr>
                <w:b/>
                <w:sz w:val="24"/>
              </w:rPr>
              <w:t>表3-</w:t>
            </w:r>
            <w:r>
              <w:rPr>
                <w:rFonts w:hint="eastAsia"/>
                <w:b/>
                <w:sz w:val="24"/>
                <w:lang w:val="en-US" w:eastAsia="zh-CN"/>
              </w:rPr>
              <w:t>2</w:t>
            </w:r>
            <w:r>
              <w:rPr>
                <w:b/>
                <w:sz w:val="24"/>
              </w:rPr>
              <w:t xml:space="preserve">  环境空气质量监测结果及评价一览表</w:t>
            </w:r>
          </w:p>
          <w:tbl>
            <w:tblPr>
              <w:tblStyle w:val="59"/>
              <w:tblW w:w="82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48"/>
              <w:gridCol w:w="1651"/>
              <w:gridCol w:w="1861"/>
              <w:gridCol w:w="2002"/>
              <w:gridCol w:w="1216"/>
            </w:tblGrid>
            <w:tr w14:paraId="24A62F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trPr>
              <w:tc>
                <w:tcPr>
                  <w:tcW w:w="935" w:type="pct"/>
                  <w:vMerge w:val="restart"/>
                  <w:tcBorders>
                    <w:tl2br w:val="nil"/>
                    <w:tr2bl w:val="nil"/>
                  </w:tcBorders>
                  <w:vAlign w:val="center"/>
                </w:tcPr>
                <w:p w14:paraId="43AA8C8D">
                  <w:pPr>
                    <w:widowControl/>
                    <w:jc w:val="center"/>
                    <w:rPr>
                      <w:rFonts w:hint="eastAsia" w:eastAsia="宋体"/>
                      <w:b/>
                      <w:kern w:val="0"/>
                      <w:szCs w:val="21"/>
                      <w:lang w:eastAsia="zh-CN"/>
                    </w:rPr>
                  </w:pPr>
                  <w:r>
                    <w:rPr>
                      <w:rFonts w:hint="eastAsia"/>
                      <w:b/>
                      <w:kern w:val="0"/>
                      <w:szCs w:val="21"/>
                      <w:lang w:val="en-US" w:eastAsia="zh-CN"/>
                    </w:rPr>
                    <w:t>监测点位</w:t>
                  </w:r>
                </w:p>
              </w:tc>
              <w:tc>
                <w:tcPr>
                  <w:tcW w:w="997" w:type="pct"/>
                  <w:vMerge w:val="restart"/>
                  <w:tcBorders>
                    <w:tl2br w:val="nil"/>
                    <w:tr2bl w:val="nil"/>
                  </w:tcBorders>
                  <w:vAlign w:val="center"/>
                </w:tcPr>
                <w:p w14:paraId="2D83BE82">
                  <w:pPr>
                    <w:widowControl/>
                    <w:jc w:val="center"/>
                    <w:rPr>
                      <w:rFonts w:hint="eastAsia" w:eastAsia="宋体"/>
                      <w:b/>
                      <w:kern w:val="0"/>
                      <w:szCs w:val="21"/>
                      <w:lang w:eastAsia="zh-CN"/>
                    </w:rPr>
                  </w:pPr>
                  <w:r>
                    <w:rPr>
                      <w:rFonts w:hint="eastAsia"/>
                      <w:b/>
                      <w:kern w:val="0"/>
                      <w:szCs w:val="21"/>
                      <w:lang w:val="en-US" w:eastAsia="zh-CN"/>
                    </w:rPr>
                    <w:t>采样日期</w:t>
                  </w:r>
                </w:p>
              </w:tc>
              <w:tc>
                <w:tcPr>
                  <w:tcW w:w="1124" w:type="pct"/>
                  <w:tcBorders>
                    <w:tl2br w:val="nil"/>
                    <w:tr2bl w:val="nil"/>
                  </w:tcBorders>
                  <w:shd w:val="clear" w:color="auto" w:fill="auto"/>
                  <w:vAlign w:val="center"/>
                </w:tcPr>
                <w:p w14:paraId="37D93BE4">
                  <w:pPr>
                    <w:widowControl/>
                    <w:jc w:val="center"/>
                    <w:rPr>
                      <w:rFonts w:hint="default"/>
                      <w:b/>
                      <w:kern w:val="0"/>
                      <w:szCs w:val="21"/>
                      <w:lang w:val="en-US"/>
                    </w:rPr>
                  </w:pPr>
                  <w:r>
                    <w:rPr>
                      <w:rFonts w:hint="eastAsia"/>
                      <w:b/>
                      <w:kern w:val="0"/>
                      <w:szCs w:val="21"/>
                      <w:lang w:val="en-US" w:eastAsia="zh-CN"/>
                    </w:rPr>
                    <w:t>污染物浓度范围</w:t>
                  </w:r>
                </w:p>
              </w:tc>
              <w:tc>
                <w:tcPr>
                  <w:tcW w:w="1209" w:type="pct"/>
                  <w:tcBorders>
                    <w:tl2br w:val="nil"/>
                    <w:tr2bl w:val="nil"/>
                  </w:tcBorders>
                  <w:shd w:val="clear" w:color="auto" w:fill="auto"/>
                  <w:vAlign w:val="center"/>
                </w:tcPr>
                <w:p w14:paraId="7AB7C38E">
                  <w:pPr>
                    <w:widowControl/>
                    <w:jc w:val="center"/>
                    <w:rPr>
                      <w:rFonts w:hint="eastAsia"/>
                      <w:b/>
                      <w:kern w:val="0"/>
                      <w:szCs w:val="21"/>
                      <w:lang w:val="en-US" w:eastAsia="zh-CN"/>
                    </w:rPr>
                  </w:pPr>
                  <w:r>
                    <w:rPr>
                      <w:rFonts w:hint="eastAsia"/>
                      <w:b/>
                      <w:kern w:val="0"/>
                      <w:szCs w:val="21"/>
                      <w:lang w:val="en-US" w:eastAsia="zh-CN"/>
                    </w:rPr>
                    <w:t>空气污染指数 Pi 范围</w:t>
                  </w:r>
                </w:p>
              </w:tc>
              <w:tc>
                <w:tcPr>
                  <w:tcW w:w="734" w:type="pct"/>
                  <w:vMerge w:val="restart"/>
                  <w:tcBorders>
                    <w:tl2br w:val="nil"/>
                    <w:tr2bl w:val="nil"/>
                  </w:tcBorders>
                  <w:shd w:val="clear" w:color="auto" w:fill="auto"/>
                  <w:vAlign w:val="center"/>
                </w:tcPr>
                <w:p w14:paraId="4F9F2AA2">
                  <w:pPr>
                    <w:widowControl/>
                    <w:jc w:val="center"/>
                    <w:rPr>
                      <w:rFonts w:hint="eastAsia" w:eastAsia="宋体"/>
                      <w:b/>
                      <w:kern w:val="0"/>
                      <w:szCs w:val="21"/>
                      <w:lang w:eastAsia="zh-CN"/>
                    </w:rPr>
                  </w:pPr>
                  <w:r>
                    <w:rPr>
                      <w:rFonts w:hint="eastAsia"/>
                      <w:b/>
                      <w:kern w:val="0"/>
                      <w:szCs w:val="21"/>
                      <w:lang w:val="en-US" w:eastAsia="zh-CN"/>
                    </w:rPr>
                    <w:t>标准值mg/m</w:t>
                  </w:r>
                  <w:r>
                    <w:rPr>
                      <w:rFonts w:hint="eastAsia"/>
                      <w:b/>
                      <w:kern w:val="0"/>
                      <w:szCs w:val="21"/>
                      <w:vertAlign w:val="superscript"/>
                      <w:lang w:val="en-US" w:eastAsia="zh-CN"/>
                    </w:rPr>
                    <w:t>3</w:t>
                  </w:r>
                </w:p>
              </w:tc>
            </w:tr>
            <w:tr w14:paraId="7EB0F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9" w:hRule="atLeast"/>
              </w:trPr>
              <w:tc>
                <w:tcPr>
                  <w:tcW w:w="935" w:type="pct"/>
                  <w:vMerge w:val="continue"/>
                  <w:tcBorders>
                    <w:tl2br w:val="nil"/>
                    <w:tr2bl w:val="nil"/>
                  </w:tcBorders>
                  <w:vAlign w:val="center"/>
                </w:tcPr>
                <w:p w14:paraId="73A69C17">
                  <w:pPr>
                    <w:widowControl/>
                    <w:jc w:val="center"/>
                  </w:pPr>
                </w:p>
              </w:tc>
              <w:tc>
                <w:tcPr>
                  <w:tcW w:w="997" w:type="pct"/>
                  <w:vMerge w:val="continue"/>
                  <w:tcBorders>
                    <w:tl2br w:val="nil"/>
                    <w:tr2bl w:val="nil"/>
                  </w:tcBorders>
                  <w:vAlign w:val="center"/>
                </w:tcPr>
                <w:p w14:paraId="03BF6C50">
                  <w:pPr>
                    <w:widowControl/>
                    <w:jc w:val="center"/>
                  </w:pPr>
                </w:p>
              </w:tc>
              <w:tc>
                <w:tcPr>
                  <w:tcW w:w="1124" w:type="pct"/>
                  <w:tcBorders>
                    <w:tl2br w:val="nil"/>
                    <w:tr2bl w:val="nil"/>
                  </w:tcBorders>
                  <w:shd w:val="clear" w:color="auto" w:fill="auto"/>
                  <w:vAlign w:val="center"/>
                </w:tcPr>
                <w:p w14:paraId="60F45048">
                  <w:pPr>
                    <w:widowControl/>
                    <w:jc w:val="center"/>
                    <w:rPr>
                      <w:rFonts w:hint="default"/>
                      <w:b/>
                      <w:kern w:val="0"/>
                      <w:szCs w:val="21"/>
                      <w:lang w:val="en-US" w:eastAsia="zh-CN"/>
                    </w:rPr>
                  </w:pPr>
                  <w:r>
                    <w:rPr>
                      <w:rFonts w:hint="eastAsia"/>
                      <w:b/>
                      <w:kern w:val="0"/>
                      <w:szCs w:val="21"/>
                      <w:lang w:val="en-US" w:eastAsia="zh-CN"/>
                    </w:rPr>
                    <w:t>TSPmg/m</w:t>
                  </w:r>
                  <w:r>
                    <w:rPr>
                      <w:rFonts w:hint="eastAsia"/>
                      <w:b/>
                      <w:kern w:val="0"/>
                      <w:szCs w:val="21"/>
                      <w:vertAlign w:val="superscript"/>
                      <w:lang w:val="en-US" w:eastAsia="zh-CN"/>
                    </w:rPr>
                    <w:t>3</w:t>
                  </w:r>
                </w:p>
              </w:tc>
              <w:tc>
                <w:tcPr>
                  <w:tcW w:w="1209" w:type="pct"/>
                  <w:tcBorders>
                    <w:tl2br w:val="nil"/>
                    <w:tr2bl w:val="nil"/>
                  </w:tcBorders>
                  <w:shd w:val="clear" w:color="auto" w:fill="auto"/>
                  <w:vAlign w:val="center"/>
                </w:tcPr>
                <w:p w14:paraId="2BD14E71">
                  <w:pPr>
                    <w:widowControl/>
                    <w:jc w:val="center"/>
                    <w:rPr>
                      <w:rFonts w:hint="default"/>
                      <w:b/>
                      <w:kern w:val="0"/>
                      <w:szCs w:val="21"/>
                      <w:lang w:val="en-US" w:eastAsia="zh-CN"/>
                    </w:rPr>
                  </w:pPr>
                  <w:r>
                    <w:rPr>
                      <w:rFonts w:hint="eastAsia"/>
                      <w:b/>
                      <w:kern w:val="0"/>
                      <w:szCs w:val="21"/>
                      <w:lang w:val="en-US" w:eastAsia="zh-CN"/>
                    </w:rPr>
                    <w:t>TSPmg/m</w:t>
                  </w:r>
                  <w:r>
                    <w:rPr>
                      <w:rFonts w:hint="eastAsia"/>
                      <w:b/>
                      <w:kern w:val="0"/>
                      <w:szCs w:val="21"/>
                      <w:vertAlign w:val="superscript"/>
                      <w:lang w:val="en-US" w:eastAsia="zh-CN"/>
                    </w:rPr>
                    <w:t>3</w:t>
                  </w:r>
                </w:p>
              </w:tc>
              <w:tc>
                <w:tcPr>
                  <w:tcW w:w="734" w:type="pct"/>
                  <w:vMerge w:val="continue"/>
                  <w:tcBorders>
                    <w:tl2br w:val="nil"/>
                    <w:tr2bl w:val="nil"/>
                  </w:tcBorders>
                  <w:shd w:val="clear" w:color="auto" w:fill="auto"/>
                  <w:vAlign w:val="center"/>
                </w:tcPr>
                <w:p w14:paraId="6C9CF2B2">
                  <w:pPr>
                    <w:widowControl/>
                    <w:jc w:val="center"/>
                    <w:rPr>
                      <w:rFonts w:hint="eastAsia"/>
                      <w:b/>
                      <w:kern w:val="0"/>
                      <w:szCs w:val="21"/>
                      <w:lang w:val="en-US" w:eastAsia="zh-CN"/>
                    </w:rPr>
                  </w:pPr>
                </w:p>
              </w:tc>
            </w:tr>
            <w:tr w14:paraId="6B2BC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935" w:type="pct"/>
                  <w:vMerge w:val="restart"/>
                  <w:tcBorders>
                    <w:tl2br w:val="nil"/>
                    <w:tr2bl w:val="nil"/>
                  </w:tcBorders>
                  <w:vAlign w:val="center"/>
                </w:tcPr>
                <w:p w14:paraId="27CB9001">
                  <w:pPr>
                    <w:widowControl/>
                    <w:jc w:val="center"/>
                    <w:rPr>
                      <w:rFonts w:hint="default" w:eastAsia="宋体"/>
                      <w:kern w:val="0"/>
                      <w:szCs w:val="21"/>
                      <w:lang w:val="en-US" w:eastAsia="zh-CN"/>
                    </w:rPr>
                  </w:pPr>
                  <w:r>
                    <w:rPr>
                      <w:rFonts w:hint="eastAsia"/>
                      <w:bCs/>
                      <w:sz w:val="24"/>
                    </w:rPr>
                    <w:t>烟墩头</w:t>
                  </w:r>
                </w:p>
              </w:tc>
              <w:tc>
                <w:tcPr>
                  <w:tcW w:w="997" w:type="pct"/>
                  <w:tcBorders>
                    <w:tl2br w:val="nil"/>
                    <w:tr2bl w:val="nil"/>
                  </w:tcBorders>
                  <w:vAlign w:val="center"/>
                </w:tcPr>
                <w:p w14:paraId="3007B138">
                  <w:pPr>
                    <w:widowControl/>
                    <w:jc w:val="center"/>
                    <w:rPr>
                      <w:rFonts w:hint="default" w:eastAsia="宋体"/>
                      <w:kern w:val="0"/>
                      <w:szCs w:val="21"/>
                      <w:lang w:val="en-US" w:eastAsia="zh-CN"/>
                    </w:rPr>
                  </w:pPr>
                  <w:r>
                    <w:rPr>
                      <w:rFonts w:hint="eastAsia"/>
                      <w:kern w:val="0"/>
                      <w:szCs w:val="21"/>
                      <w:lang w:val="en-US" w:eastAsia="zh-CN"/>
                    </w:rPr>
                    <w:t>2024.7.27</w:t>
                  </w:r>
                </w:p>
              </w:tc>
              <w:tc>
                <w:tcPr>
                  <w:tcW w:w="1124" w:type="pct"/>
                  <w:tcBorders>
                    <w:tl2br w:val="nil"/>
                    <w:tr2bl w:val="nil"/>
                  </w:tcBorders>
                  <w:shd w:val="clear" w:color="auto" w:fill="auto"/>
                  <w:vAlign w:val="center"/>
                </w:tcPr>
                <w:p w14:paraId="3286E930">
                  <w:pPr>
                    <w:widowControl/>
                    <w:jc w:val="center"/>
                    <w:rPr>
                      <w:rFonts w:hint="default" w:eastAsia="宋体"/>
                      <w:kern w:val="0"/>
                      <w:szCs w:val="21"/>
                      <w:lang w:val="en-US" w:eastAsia="zh-CN"/>
                    </w:rPr>
                  </w:pPr>
                  <w:r>
                    <w:rPr>
                      <w:rFonts w:hint="eastAsia"/>
                      <w:kern w:val="0"/>
                      <w:szCs w:val="21"/>
                      <w:lang w:val="en-US" w:eastAsia="zh-CN"/>
                    </w:rPr>
                    <w:t>0.213</w:t>
                  </w:r>
                </w:p>
              </w:tc>
              <w:tc>
                <w:tcPr>
                  <w:tcW w:w="1209" w:type="pct"/>
                  <w:tcBorders>
                    <w:tl2br w:val="nil"/>
                    <w:tr2bl w:val="nil"/>
                  </w:tcBorders>
                  <w:shd w:val="clear" w:color="auto" w:fill="auto"/>
                  <w:vAlign w:val="center"/>
                </w:tcPr>
                <w:p w14:paraId="4EB4F605">
                  <w:pPr>
                    <w:widowControl/>
                    <w:jc w:val="center"/>
                    <w:rPr>
                      <w:rFonts w:hint="default" w:eastAsia="宋体"/>
                      <w:kern w:val="0"/>
                      <w:szCs w:val="21"/>
                      <w:lang w:val="en-US" w:eastAsia="zh-CN"/>
                    </w:rPr>
                  </w:pPr>
                  <w:r>
                    <w:rPr>
                      <w:rFonts w:hint="eastAsia"/>
                      <w:kern w:val="0"/>
                      <w:szCs w:val="21"/>
                      <w:lang w:val="en-US" w:eastAsia="zh-CN"/>
                    </w:rPr>
                    <w:t>0.67</w:t>
                  </w:r>
                </w:p>
              </w:tc>
              <w:tc>
                <w:tcPr>
                  <w:tcW w:w="734" w:type="pct"/>
                  <w:vMerge w:val="restart"/>
                  <w:tcBorders>
                    <w:tl2br w:val="nil"/>
                    <w:tr2bl w:val="nil"/>
                  </w:tcBorders>
                  <w:shd w:val="clear" w:color="auto" w:fill="auto"/>
                  <w:vAlign w:val="center"/>
                </w:tcPr>
                <w:p w14:paraId="4E1CD33E">
                  <w:pPr>
                    <w:widowControl/>
                    <w:jc w:val="center"/>
                    <w:rPr>
                      <w:rFonts w:hint="default" w:eastAsia="宋体"/>
                      <w:kern w:val="0"/>
                      <w:szCs w:val="21"/>
                      <w:lang w:val="en-US" w:eastAsia="zh-CN"/>
                    </w:rPr>
                  </w:pPr>
                  <w:r>
                    <w:rPr>
                      <w:rFonts w:hint="eastAsia"/>
                      <w:kern w:val="0"/>
                      <w:szCs w:val="21"/>
                      <w:lang w:val="en-US" w:eastAsia="zh-CN"/>
                    </w:rPr>
                    <w:t>0.3</w:t>
                  </w:r>
                </w:p>
              </w:tc>
            </w:tr>
            <w:tr w14:paraId="7CD489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935" w:type="pct"/>
                  <w:vMerge w:val="continue"/>
                  <w:tcBorders>
                    <w:tl2br w:val="nil"/>
                    <w:tr2bl w:val="nil"/>
                  </w:tcBorders>
                  <w:vAlign w:val="center"/>
                </w:tcPr>
                <w:p w14:paraId="1F38870D">
                  <w:pPr>
                    <w:widowControl/>
                    <w:jc w:val="center"/>
                    <w:rPr>
                      <w:rFonts w:hint="eastAsia"/>
                      <w:bCs/>
                      <w:sz w:val="24"/>
                    </w:rPr>
                  </w:pPr>
                </w:p>
              </w:tc>
              <w:tc>
                <w:tcPr>
                  <w:tcW w:w="997" w:type="pct"/>
                  <w:tcBorders>
                    <w:tl2br w:val="nil"/>
                    <w:tr2bl w:val="nil"/>
                  </w:tcBorders>
                  <w:vAlign w:val="center"/>
                </w:tcPr>
                <w:p w14:paraId="286F070A">
                  <w:pPr>
                    <w:widowControl/>
                    <w:jc w:val="center"/>
                    <w:rPr>
                      <w:rFonts w:hint="default"/>
                      <w:kern w:val="0"/>
                      <w:szCs w:val="21"/>
                      <w:lang w:val="en-US" w:eastAsia="zh-CN"/>
                    </w:rPr>
                  </w:pPr>
                  <w:r>
                    <w:rPr>
                      <w:rFonts w:hint="eastAsia"/>
                      <w:kern w:val="0"/>
                      <w:szCs w:val="21"/>
                      <w:lang w:val="en-US" w:eastAsia="zh-CN"/>
                    </w:rPr>
                    <w:t>2024.7.28</w:t>
                  </w:r>
                </w:p>
              </w:tc>
              <w:tc>
                <w:tcPr>
                  <w:tcW w:w="1124" w:type="pct"/>
                  <w:tcBorders>
                    <w:tl2br w:val="nil"/>
                    <w:tr2bl w:val="nil"/>
                  </w:tcBorders>
                  <w:shd w:val="clear" w:color="auto" w:fill="auto"/>
                  <w:vAlign w:val="center"/>
                </w:tcPr>
                <w:p w14:paraId="4BACC92C">
                  <w:pPr>
                    <w:widowControl/>
                    <w:jc w:val="center"/>
                    <w:rPr>
                      <w:rFonts w:hint="default"/>
                      <w:kern w:val="0"/>
                      <w:szCs w:val="21"/>
                      <w:lang w:val="en-US" w:eastAsia="zh-CN"/>
                    </w:rPr>
                  </w:pPr>
                  <w:r>
                    <w:rPr>
                      <w:rFonts w:hint="eastAsia"/>
                      <w:kern w:val="0"/>
                      <w:szCs w:val="21"/>
                      <w:lang w:val="en-US" w:eastAsia="zh-CN"/>
                    </w:rPr>
                    <w:t>0.175</w:t>
                  </w:r>
                </w:p>
              </w:tc>
              <w:tc>
                <w:tcPr>
                  <w:tcW w:w="1209" w:type="pct"/>
                  <w:tcBorders>
                    <w:tl2br w:val="nil"/>
                    <w:tr2bl w:val="nil"/>
                  </w:tcBorders>
                  <w:shd w:val="clear" w:color="auto" w:fill="auto"/>
                  <w:vAlign w:val="center"/>
                </w:tcPr>
                <w:p w14:paraId="44350592">
                  <w:pPr>
                    <w:widowControl/>
                    <w:jc w:val="center"/>
                    <w:rPr>
                      <w:rFonts w:hint="default"/>
                      <w:kern w:val="0"/>
                      <w:szCs w:val="21"/>
                      <w:lang w:val="en-US" w:eastAsia="zh-CN"/>
                    </w:rPr>
                  </w:pPr>
                  <w:r>
                    <w:rPr>
                      <w:rFonts w:hint="eastAsia"/>
                      <w:kern w:val="0"/>
                      <w:szCs w:val="21"/>
                      <w:lang w:val="en-US" w:eastAsia="zh-CN"/>
                    </w:rPr>
                    <w:t>0.62</w:t>
                  </w:r>
                </w:p>
              </w:tc>
              <w:tc>
                <w:tcPr>
                  <w:tcW w:w="734" w:type="pct"/>
                  <w:vMerge w:val="continue"/>
                  <w:tcBorders>
                    <w:tl2br w:val="nil"/>
                    <w:tr2bl w:val="nil"/>
                  </w:tcBorders>
                  <w:shd w:val="clear" w:color="auto" w:fill="auto"/>
                  <w:vAlign w:val="center"/>
                </w:tcPr>
                <w:p w14:paraId="5C86E1B2">
                  <w:pPr>
                    <w:widowControl/>
                    <w:jc w:val="center"/>
                    <w:rPr>
                      <w:rFonts w:hint="eastAsia"/>
                      <w:kern w:val="0"/>
                      <w:szCs w:val="21"/>
                      <w:lang w:val="en-US" w:eastAsia="zh-CN"/>
                    </w:rPr>
                  </w:pPr>
                </w:p>
              </w:tc>
            </w:tr>
            <w:tr w14:paraId="26CE62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935" w:type="pct"/>
                  <w:vMerge w:val="continue"/>
                  <w:tcBorders>
                    <w:tl2br w:val="nil"/>
                    <w:tr2bl w:val="nil"/>
                  </w:tcBorders>
                  <w:vAlign w:val="center"/>
                </w:tcPr>
                <w:p w14:paraId="688C4AD0">
                  <w:pPr>
                    <w:widowControl/>
                    <w:jc w:val="center"/>
                    <w:rPr>
                      <w:rFonts w:hint="eastAsia"/>
                      <w:bCs/>
                      <w:sz w:val="24"/>
                    </w:rPr>
                  </w:pPr>
                </w:p>
              </w:tc>
              <w:tc>
                <w:tcPr>
                  <w:tcW w:w="997" w:type="pct"/>
                  <w:tcBorders>
                    <w:tl2br w:val="nil"/>
                    <w:tr2bl w:val="nil"/>
                  </w:tcBorders>
                  <w:vAlign w:val="center"/>
                </w:tcPr>
                <w:p w14:paraId="5D770D22">
                  <w:pPr>
                    <w:widowControl/>
                    <w:jc w:val="center"/>
                    <w:rPr>
                      <w:rFonts w:hint="default"/>
                      <w:kern w:val="0"/>
                      <w:szCs w:val="21"/>
                      <w:lang w:val="en-US" w:eastAsia="zh-CN"/>
                    </w:rPr>
                  </w:pPr>
                  <w:r>
                    <w:rPr>
                      <w:rFonts w:hint="eastAsia"/>
                      <w:kern w:val="0"/>
                      <w:szCs w:val="21"/>
                      <w:lang w:val="en-US" w:eastAsia="zh-CN"/>
                    </w:rPr>
                    <w:t>2024.7.29</w:t>
                  </w:r>
                </w:p>
              </w:tc>
              <w:tc>
                <w:tcPr>
                  <w:tcW w:w="1124" w:type="pct"/>
                  <w:tcBorders>
                    <w:tl2br w:val="nil"/>
                    <w:tr2bl w:val="nil"/>
                  </w:tcBorders>
                  <w:shd w:val="clear" w:color="auto" w:fill="auto"/>
                  <w:vAlign w:val="center"/>
                </w:tcPr>
                <w:p w14:paraId="49EA8379">
                  <w:pPr>
                    <w:widowControl/>
                    <w:jc w:val="center"/>
                    <w:rPr>
                      <w:rFonts w:hint="default"/>
                      <w:kern w:val="0"/>
                      <w:szCs w:val="21"/>
                      <w:lang w:val="en-US" w:eastAsia="zh-CN"/>
                    </w:rPr>
                  </w:pPr>
                  <w:r>
                    <w:rPr>
                      <w:rFonts w:hint="eastAsia"/>
                      <w:kern w:val="0"/>
                      <w:szCs w:val="21"/>
                      <w:lang w:val="en-US" w:eastAsia="zh-CN"/>
                    </w:rPr>
                    <w:t>0.214</w:t>
                  </w:r>
                </w:p>
              </w:tc>
              <w:tc>
                <w:tcPr>
                  <w:tcW w:w="1209" w:type="pct"/>
                  <w:tcBorders>
                    <w:tl2br w:val="nil"/>
                    <w:tr2bl w:val="nil"/>
                  </w:tcBorders>
                  <w:shd w:val="clear" w:color="auto" w:fill="auto"/>
                  <w:vAlign w:val="center"/>
                </w:tcPr>
                <w:p w14:paraId="61BA0580">
                  <w:pPr>
                    <w:widowControl/>
                    <w:jc w:val="center"/>
                    <w:rPr>
                      <w:rFonts w:hint="default"/>
                      <w:kern w:val="0"/>
                      <w:szCs w:val="21"/>
                      <w:lang w:val="en-US" w:eastAsia="zh-CN"/>
                    </w:rPr>
                  </w:pPr>
                  <w:r>
                    <w:rPr>
                      <w:rFonts w:hint="eastAsia"/>
                      <w:kern w:val="0"/>
                      <w:szCs w:val="21"/>
                      <w:lang w:val="en-US" w:eastAsia="zh-CN"/>
                    </w:rPr>
                    <w:t>0.71</w:t>
                  </w:r>
                </w:p>
              </w:tc>
              <w:tc>
                <w:tcPr>
                  <w:tcW w:w="734" w:type="pct"/>
                  <w:vMerge w:val="continue"/>
                  <w:tcBorders>
                    <w:tl2br w:val="nil"/>
                    <w:tr2bl w:val="nil"/>
                  </w:tcBorders>
                  <w:shd w:val="clear" w:color="auto" w:fill="auto"/>
                  <w:vAlign w:val="center"/>
                </w:tcPr>
                <w:p w14:paraId="45B28E3D">
                  <w:pPr>
                    <w:widowControl/>
                    <w:jc w:val="center"/>
                    <w:rPr>
                      <w:rFonts w:hint="eastAsia"/>
                      <w:kern w:val="0"/>
                      <w:szCs w:val="21"/>
                      <w:lang w:val="en-US" w:eastAsia="zh-CN"/>
                    </w:rPr>
                  </w:pPr>
                </w:p>
              </w:tc>
            </w:tr>
            <w:tr w14:paraId="49BA2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935" w:type="pct"/>
                  <w:vMerge w:val="continue"/>
                  <w:tcBorders>
                    <w:tl2br w:val="nil"/>
                    <w:tr2bl w:val="nil"/>
                  </w:tcBorders>
                  <w:vAlign w:val="center"/>
                </w:tcPr>
                <w:p w14:paraId="10A51BA7">
                  <w:pPr>
                    <w:widowControl/>
                    <w:jc w:val="center"/>
                    <w:rPr>
                      <w:rFonts w:hint="eastAsia"/>
                      <w:bCs/>
                      <w:sz w:val="24"/>
                    </w:rPr>
                  </w:pPr>
                </w:p>
              </w:tc>
              <w:tc>
                <w:tcPr>
                  <w:tcW w:w="997" w:type="pct"/>
                  <w:tcBorders>
                    <w:tl2br w:val="nil"/>
                    <w:tr2bl w:val="nil"/>
                  </w:tcBorders>
                  <w:vAlign w:val="center"/>
                </w:tcPr>
                <w:p w14:paraId="341E27A8">
                  <w:pPr>
                    <w:widowControl/>
                    <w:jc w:val="center"/>
                    <w:rPr>
                      <w:rFonts w:hint="default"/>
                      <w:kern w:val="0"/>
                      <w:szCs w:val="21"/>
                      <w:lang w:val="en-US" w:eastAsia="zh-CN"/>
                    </w:rPr>
                  </w:pPr>
                  <w:r>
                    <w:rPr>
                      <w:rFonts w:hint="eastAsia"/>
                      <w:kern w:val="0"/>
                      <w:szCs w:val="21"/>
                      <w:lang w:val="en-US" w:eastAsia="zh-CN"/>
                    </w:rPr>
                    <w:t>2024.7.30</w:t>
                  </w:r>
                </w:p>
              </w:tc>
              <w:tc>
                <w:tcPr>
                  <w:tcW w:w="1124" w:type="pct"/>
                  <w:tcBorders>
                    <w:tl2br w:val="nil"/>
                    <w:tr2bl w:val="nil"/>
                  </w:tcBorders>
                  <w:shd w:val="clear" w:color="auto" w:fill="auto"/>
                  <w:vAlign w:val="center"/>
                </w:tcPr>
                <w:p w14:paraId="6EA2B9A1">
                  <w:pPr>
                    <w:widowControl/>
                    <w:jc w:val="center"/>
                    <w:rPr>
                      <w:rFonts w:hint="default"/>
                      <w:kern w:val="0"/>
                      <w:szCs w:val="21"/>
                      <w:lang w:val="en-US" w:eastAsia="zh-CN"/>
                    </w:rPr>
                  </w:pPr>
                  <w:r>
                    <w:rPr>
                      <w:rFonts w:hint="eastAsia"/>
                      <w:kern w:val="0"/>
                      <w:szCs w:val="21"/>
                      <w:lang w:val="en-US" w:eastAsia="zh-CN"/>
                    </w:rPr>
                    <w:t>0.179</w:t>
                  </w:r>
                </w:p>
              </w:tc>
              <w:tc>
                <w:tcPr>
                  <w:tcW w:w="1209" w:type="pct"/>
                  <w:tcBorders>
                    <w:tl2br w:val="nil"/>
                    <w:tr2bl w:val="nil"/>
                  </w:tcBorders>
                  <w:shd w:val="clear" w:color="auto" w:fill="auto"/>
                  <w:vAlign w:val="center"/>
                </w:tcPr>
                <w:p w14:paraId="66D6C4F7">
                  <w:pPr>
                    <w:widowControl/>
                    <w:jc w:val="center"/>
                    <w:rPr>
                      <w:rFonts w:hint="default"/>
                      <w:kern w:val="0"/>
                      <w:szCs w:val="21"/>
                      <w:lang w:val="en-US" w:eastAsia="zh-CN"/>
                    </w:rPr>
                  </w:pPr>
                  <w:r>
                    <w:rPr>
                      <w:rFonts w:hint="eastAsia"/>
                      <w:kern w:val="0"/>
                      <w:szCs w:val="21"/>
                      <w:lang w:val="en-US" w:eastAsia="zh-CN"/>
                    </w:rPr>
                    <w:t>0.6</w:t>
                  </w:r>
                </w:p>
              </w:tc>
              <w:tc>
                <w:tcPr>
                  <w:tcW w:w="734" w:type="pct"/>
                  <w:vMerge w:val="continue"/>
                  <w:tcBorders>
                    <w:tl2br w:val="nil"/>
                    <w:tr2bl w:val="nil"/>
                  </w:tcBorders>
                  <w:shd w:val="clear" w:color="auto" w:fill="auto"/>
                  <w:vAlign w:val="center"/>
                </w:tcPr>
                <w:p w14:paraId="2AB16972">
                  <w:pPr>
                    <w:widowControl/>
                    <w:jc w:val="center"/>
                    <w:rPr>
                      <w:rFonts w:hint="eastAsia"/>
                      <w:kern w:val="0"/>
                      <w:szCs w:val="21"/>
                      <w:lang w:val="en-US" w:eastAsia="zh-CN"/>
                    </w:rPr>
                  </w:pPr>
                </w:p>
              </w:tc>
            </w:tr>
            <w:tr w14:paraId="2174B0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3" w:hRule="atLeast"/>
              </w:trPr>
              <w:tc>
                <w:tcPr>
                  <w:tcW w:w="935" w:type="pct"/>
                  <w:vMerge w:val="continue"/>
                  <w:tcBorders>
                    <w:tl2br w:val="nil"/>
                    <w:tr2bl w:val="nil"/>
                  </w:tcBorders>
                  <w:vAlign w:val="center"/>
                </w:tcPr>
                <w:p w14:paraId="7F72F967">
                  <w:pPr>
                    <w:widowControl/>
                    <w:jc w:val="center"/>
                    <w:rPr>
                      <w:rFonts w:hint="eastAsia"/>
                      <w:bCs/>
                      <w:sz w:val="24"/>
                    </w:rPr>
                  </w:pPr>
                </w:p>
              </w:tc>
              <w:tc>
                <w:tcPr>
                  <w:tcW w:w="997" w:type="pct"/>
                  <w:tcBorders>
                    <w:tl2br w:val="nil"/>
                    <w:tr2bl w:val="nil"/>
                  </w:tcBorders>
                  <w:vAlign w:val="center"/>
                </w:tcPr>
                <w:p w14:paraId="270F2B80">
                  <w:pPr>
                    <w:widowControl/>
                    <w:jc w:val="center"/>
                    <w:rPr>
                      <w:rFonts w:hint="default"/>
                      <w:kern w:val="0"/>
                      <w:szCs w:val="21"/>
                      <w:lang w:val="en-US" w:eastAsia="zh-CN"/>
                    </w:rPr>
                  </w:pPr>
                  <w:r>
                    <w:rPr>
                      <w:rFonts w:hint="eastAsia"/>
                      <w:kern w:val="0"/>
                      <w:szCs w:val="21"/>
                      <w:lang w:val="en-US" w:eastAsia="zh-CN"/>
                    </w:rPr>
                    <w:t>2024.7.31</w:t>
                  </w:r>
                </w:p>
              </w:tc>
              <w:tc>
                <w:tcPr>
                  <w:tcW w:w="1124" w:type="pct"/>
                  <w:tcBorders>
                    <w:tl2br w:val="nil"/>
                    <w:tr2bl w:val="nil"/>
                  </w:tcBorders>
                  <w:shd w:val="clear" w:color="auto" w:fill="auto"/>
                  <w:vAlign w:val="center"/>
                </w:tcPr>
                <w:p w14:paraId="5D27F00C">
                  <w:pPr>
                    <w:widowControl/>
                    <w:jc w:val="center"/>
                    <w:rPr>
                      <w:rFonts w:hint="default"/>
                      <w:kern w:val="0"/>
                      <w:szCs w:val="21"/>
                      <w:lang w:val="en-US" w:eastAsia="zh-CN"/>
                    </w:rPr>
                  </w:pPr>
                  <w:r>
                    <w:rPr>
                      <w:rFonts w:hint="eastAsia"/>
                      <w:kern w:val="0"/>
                      <w:szCs w:val="21"/>
                      <w:lang w:val="en-US" w:eastAsia="zh-CN"/>
                    </w:rPr>
                    <w:t>0.190</w:t>
                  </w:r>
                </w:p>
              </w:tc>
              <w:tc>
                <w:tcPr>
                  <w:tcW w:w="1209" w:type="pct"/>
                  <w:tcBorders>
                    <w:tl2br w:val="nil"/>
                    <w:tr2bl w:val="nil"/>
                  </w:tcBorders>
                  <w:shd w:val="clear" w:color="auto" w:fill="auto"/>
                  <w:vAlign w:val="center"/>
                </w:tcPr>
                <w:p w14:paraId="226909D8">
                  <w:pPr>
                    <w:widowControl/>
                    <w:jc w:val="center"/>
                    <w:rPr>
                      <w:rFonts w:hint="default"/>
                      <w:kern w:val="0"/>
                      <w:szCs w:val="21"/>
                      <w:lang w:val="en-US" w:eastAsia="zh-CN"/>
                    </w:rPr>
                  </w:pPr>
                  <w:r>
                    <w:rPr>
                      <w:rFonts w:hint="eastAsia"/>
                      <w:kern w:val="0"/>
                      <w:szCs w:val="21"/>
                      <w:lang w:val="en-US" w:eastAsia="zh-CN"/>
                    </w:rPr>
                    <w:t>0.63</w:t>
                  </w:r>
                </w:p>
              </w:tc>
              <w:tc>
                <w:tcPr>
                  <w:tcW w:w="734" w:type="pct"/>
                  <w:vMerge w:val="continue"/>
                  <w:tcBorders>
                    <w:tl2br w:val="nil"/>
                    <w:tr2bl w:val="nil"/>
                  </w:tcBorders>
                  <w:shd w:val="clear" w:color="auto" w:fill="auto"/>
                  <w:vAlign w:val="center"/>
                </w:tcPr>
                <w:p w14:paraId="3ED70DF8">
                  <w:pPr>
                    <w:widowControl/>
                    <w:jc w:val="center"/>
                    <w:rPr>
                      <w:rFonts w:hint="eastAsia"/>
                      <w:kern w:val="0"/>
                      <w:szCs w:val="21"/>
                      <w:lang w:val="en-US" w:eastAsia="zh-CN"/>
                    </w:rPr>
                  </w:pPr>
                </w:p>
              </w:tc>
            </w:tr>
            <w:tr w14:paraId="3F185F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935" w:type="pct"/>
                  <w:vMerge w:val="continue"/>
                  <w:tcBorders>
                    <w:tl2br w:val="nil"/>
                    <w:tr2bl w:val="nil"/>
                  </w:tcBorders>
                  <w:vAlign w:val="center"/>
                </w:tcPr>
                <w:p w14:paraId="59E188E1">
                  <w:pPr>
                    <w:widowControl/>
                    <w:jc w:val="center"/>
                    <w:rPr>
                      <w:rFonts w:hint="eastAsia"/>
                      <w:bCs/>
                      <w:sz w:val="24"/>
                    </w:rPr>
                  </w:pPr>
                </w:p>
              </w:tc>
              <w:tc>
                <w:tcPr>
                  <w:tcW w:w="997" w:type="pct"/>
                  <w:tcBorders>
                    <w:tl2br w:val="nil"/>
                    <w:tr2bl w:val="nil"/>
                  </w:tcBorders>
                  <w:vAlign w:val="center"/>
                </w:tcPr>
                <w:p w14:paraId="375768EE">
                  <w:pPr>
                    <w:widowControl/>
                    <w:jc w:val="center"/>
                    <w:rPr>
                      <w:rFonts w:hint="default"/>
                      <w:kern w:val="0"/>
                      <w:szCs w:val="21"/>
                      <w:lang w:val="en-US" w:eastAsia="zh-CN"/>
                    </w:rPr>
                  </w:pPr>
                  <w:r>
                    <w:rPr>
                      <w:rFonts w:hint="eastAsia"/>
                      <w:kern w:val="0"/>
                      <w:szCs w:val="21"/>
                      <w:lang w:val="en-US" w:eastAsia="zh-CN"/>
                    </w:rPr>
                    <w:t>2024.8.01</w:t>
                  </w:r>
                </w:p>
              </w:tc>
              <w:tc>
                <w:tcPr>
                  <w:tcW w:w="1124" w:type="pct"/>
                  <w:tcBorders>
                    <w:tl2br w:val="nil"/>
                    <w:tr2bl w:val="nil"/>
                  </w:tcBorders>
                  <w:shd w:val="clear" w:color="auto" w:fill="auto"/>
                  <w:vAlign w:val="center"/>
                </w:tcPr>
                <w:p w14:paraId="06D90B42">
                  <w:pPr>
                    <w:widowControl/>
                    <w:jc w:val="center"/>
                    <w:rPr>
                      <w:rFonts w:hint="default"/>
                      <w:kern w:val="0"/>
                      <w:szCs w:val="21"/>
                      <w:lang w:val="en-US" w:eastAsia="zh-CN"/>
                    </w:rPr>
                  </w:pPr>
                  <w:r>
                    <w:rPr>
                      <w:rFonts w:hint="eastAsia"/>
                      <w:kern w:val="0"/>
                      <w:szCs w:val="21"/>
                      <w:lang w:val="en-US" w:eastAsia="zh-CN"/>
                    </w:rPr>
                    <w:t>0.145</w:t>
                  </w:r>
                </w:p>
              </w:tc>
              <w:tc>
                <w:tcPr>
                  <w:tcW w:w="1209" w:type="pct"/>
                  <w:tcBorders>
                    <w:tl2br w:val="nil"/>
                    <w:tr2bl w:val="nil"/>
                  </w:tcBorders>
                  <w:shd w:val="clear" w:color="auto" w:fill="auto"/>
                  <w:vAlign w:val="center"/>
                </w:tcPr>
                <w:p w14:paraId="770644A0">
                  <w:pPr>
                    <w:widowControl/>
                    <w:jc w:val="center"/>
                    <w:rPr>
                      <w:rFonts w:hint="default"/>
                      <w:kern w:val="0"/>
                      <w:szCs w:val="21"/>
                      <w:lang w:val="en-US" w:eastAsia="zh-CN"/>
                    </w:rPr>
                  </w:pPr>
                  <w:r>
                    <w:rPr>
                      <w:rFonts w:hint="eastAsia"/>
                      <w:kern w:val="0"/>
                      <w:szCs w:val="21"/>
                      <w:lang w:val="en-US" w:eastAsia="zh-CN"/>
                    </w:rPr>
                    <w:t>0.49</w:t>
                  </w:r>
                </w:p>
              </w:tc>
              <w:tc>
                <w:tcPr>
                  <w:tcW w:w="734" w:type="pct"/>
                  <w:vMerge w:val="continue"/>
                  <w:tcBorders>
                    <w:tl2br w:val="nil"/>
                    <w:tr2bl w:val="nil"/>
                  </w:tcBorders>
                  <w:shd w:val="clear" w:color="auto" w:fill="auto"/>
                  <w:vAlign w:val="center"/>
                </w:tcPr>
                <w:p w14:paraId="3A20461C">
                  <w:pPr>
                    <w:widowControl/>
                    <w:jc w:val="center"/>
                    <w:rPr>
                      <w:rFonts w:hint="eastAsia"/>
                      <w:kern w:val="0"/>
                      <w:szCs w:val="21"/>
                      <w:lang w:val="en-US" w:eastAsia="zh-CN"/>
                    </w:rPr>
                  </w:pPr>
                </w:p>
              </w:tc>
            </w:tr>
            <w:tr w14:paraId="4E9D1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935" w:type="pct"/>
                  <w:vMerge w:val="continue"/>
                  <w:tcBorders>
                    <w:tl2br w:val="nil"/>
                    <w:tr2bl w:val="nil"/>
                  </w:tcBorders>
                  <w:vAlign w:val="center"/>
                </w:tcPr>
                <w:p w14:paraId="552431B2">
                  <w:pPr>
                    <w:widowControl/>
                    <w:jc w:val="center"/>
                    <w:rPr>
                      <w:rFonts w:hint="eastAsia"/>
                      <w:bCs/>
                      <w:sz w:val="24"/>
                    </w:rPr>
                  </w:pPr>
                </w:p>
              </w:tc>
              <w:tc>
                <w:tcPr>
                  <w:tcW w:w="997" w:type="pct"/>
                  <w:tcBorders>
                    <w:tl2br w:val="nil"/>
                    <w:tr2bl w:val="nil"/>
                  </w:tcBorders>
                  <w:vAlign w:val="center"/>
                </w:tcPr>
                <w:p w14:paraId="69CAA0A1">
                  <w:pPr>
                    <w:widowControl/>
                    <w:jc w:val="center"/>
                    <w:rPr>
                      <w:rFonts w:hint="default"/>
                      <w:kern w:val="0"/>
                      <w:szCs w:val="21"/>
                      <w:lang w:val="en-US" w:eastAsia="zh-CN"/>
                    </w:rPr>
                  </w:pPr>
                  <w:r>
                    <w:rPr>
                      <w:rFonts w:hint="eastAsia"/>
                      <w:kern w:val="0"/>
                      <w:szCs w:val="21"/>
                      <w:lang w:val="en-US" w:eastAsia="zh-CN"/>
                    </w:rPr>
                    <w:t>2024.8.02</w:t>
                  </w:r>
                </w:p>
              </w:tc>
              <w:tc>
                <w:tcPr>
                  <w:tcW w:w="1124" w:type="pct"/>
                  <w:tcBorders>
                    <w:tl2br w:val="nil"/>
                    <w:tr2bl w:val="nil"/>
                  </w:tcBorders>
                  <w:shd w:val="clear" w:color="auto" w:fill="auto"/>
                  <w:vAlign w:val="center"/>
                </w:tcPr>
                <w:p w14:paraId="189610C9">
                  <w:pPr>
                    <w:widowControl/>
                    <w:jc w:val="center"/>
                    <w:rPr>
                      <w:rFonts w:hint="default"/>
                      <w:kern w:val="0"/>
                      <w:szCs w:val="21"/>
                      <w:lang w:val="en-US" w:eastAsia="zh-CN"/>
                    </w:rPr>
                  </w:pPr>
                  <w:r>
                    <w:rPr>
                      <w:rFonts w:hint="eastAsia"/>
                      <w:kern w:val="0"/>
                      <w:szCs w:val="21"/>
                      <w:lang w:val="en-US" w:eastAsia="zh-CN"/>
                    </w:rPr>
                    <w:t>0.207</w:t>
                  </w:r>
                </w:p>
              </w:tc>
              <w:tc>
                <w:tcPr>
                  <w:tcW w:w="1209" w:type="pct"/>
                  <w:tcBorders>
                    <w:tl2br w:val="nil"/>
                    <w:tr2bl w:val="nil"/>
                  </w:tcBorders>
                  <w:shd w:val="clear" w:color="auto" w:fill="auto"/>
                  <w:vAlign w:val="center"/>
                </w:tcPr>
                <w:p w14:paraId="3B8155C5">
                  <w:pPr>
                    <w:widowControl/>
                    <w:jc w:val="center"/>
                    <w:rPr>
                      <w:rFonts w:hint="default"/>
                      <w:kern w:val="0"/>
                      <w:szCs w:val="21"/>
                      <w:lang w:val="en-US" w:eastAsia="zh-CN"/>
                    </w:rPr>
                  </w:pPr>
                  <w:r>
                    <w:rPr>
                      <w:rFonts w:hint="eastAsia"/>
                      <w:kern w:val="0"/>
                      <w:szCs w:val="21"/>
                      <w:lang w:val="en-US" w:eastAsia="zh-CN"/>
                    </w:rPr>
                    <w:t>0.68</w:t>
                  </w:r>
                </w:p>
              </w:tc>
              <w:tc>
                <w:tcPr>
                  <w:tcW w:w="734" w:type="pct"/>
                  <w:vMerge w:val="continue"/>
                  <w:tcBorders>
                    <w:tl2br w:val="nil"/>
                    <w:tr2bl w:val="nil"/>
                  </w:tcBorders>
                  <w:shd w:val="clear" w:color="auto" w:fill="auto"/>
                  <w:vAlign w:val="center"/>
                </w:tcPr>
                <w:p w14:paraId="21F86CCD">
                  <w:pPr>
                    <w:widowControl/>
                    <w:jc w:val="center"/>
                    <w:rPr>
                      <w:rFonts w:hint="eastAsia"/>
                      <w:kern w:val="0"/>
                      <w:szCs w:val="21"/>
                      <w:lang w:val="en-US" w:eastAsia="zh-CN"/>
                    </w:rPr>
                  </w:pPr>
                </w:p>
              </w:tc>
            </w:tr>
          </w:tbl>
          <w:p w14:paraId="45ECD002">
            <w:pPr>
              <w:widowControl/>
              <w:adjustRightInd w:val="0"/>
              <w:spacing w:line="360" w:lineRule="auto"/>
              <w:ind w:firstLine="480" w:firstLineChars="200"/>
              <w:jc w:val="left"/>
              <w:rPr>
                <w:kern w:val="0"/>
                <w:sz w:val="24"/>
                <w:szCs w:val="20"/>
              </w:rPr>
            </w:pPr>
            <w:r>
              <w:rPr>
                <w:rFonts w:hint="eastAsia" w:ascii="Times New Roman" w:hAnsi="Times New Roman" w:eastAsia="宋体" w:cs="Times New Roman"/>
                <w:bCs/>
                <w:sz w:val="24"/>
              </w:rPr>
              <w:t>由上表可知，监测点位TSP日均值浓度范围为 0.145~0.214mg/m</w:t>
            </w:r>
            <w:r>
              <w:rPr>
                <w:rFonts w:hint="eastAsia" w:ascii="Times New Roman" w:hAnsi="Times New Roman" w:eastAsia="宋体" w:cs="Times New Roman"/>
                <w:bCs/>
                <w:sz w:val="24"/>
                <w:vertAlign w:val="superscript"/>
              </w:rPr>
              <w:t>3</w:t>
            </w:r>
            <w:r>
              <w:rPr>
                <w:rFonts w:hint="eastAsia" w:ascii="Times New Roman" w:hAnsi="Times New Roman" w:eastAsia="宋体" w:cs="Times New Roman"/>
                <w:bCs/>
                <w:sz w:val="24"/>
              </w:rPr>
              <w:t>。TSP 能够满足《环境空气质量标准》（GB3095-2012）及其修改单中的二级标准限值要求，区域环境空气质量良好。</w:t>
            </w:r>
            <w:r>
              <w:rPr>
                <w:sz w:val="24"/>
              </w:rPr>
              <mc:AlternateContent>
                <mc:Choice Requires="wps">
                  <w:drawing>
                    <wp:anchor distT="0" distB="0" distL="114300" distR="114300" simplePos="0" relativeHeight="251663360" behindDoc="0" locked="0" layoutInCell="1" allowOverlap="1">
                      <wp:simplePos x="0" y="0"/>
                      <wp:positionH relativeFrom="column">
                        <wp:posOffset>2357120</wp:posOffset>
                      </wp:positionH>
                      <wp:positionV relativeFrom="paragraph">
                        <wp:posOffset>1683385</wp:posOffset>
                      </wp:positionV>
                      <wp:extent cx="762000" cy="295910"/>
                      <wp:effectExtent l="0" t="0" r="0" b="0"/>
                      <wp:wrapNone/>
                      <wp:docPr id="14" name="文本框 14"/>
                      <wp:cNvGraphicFramePr/>
                      <a:graphic xmlns:a="http://schemas.openxmlformats.org/drawingml/2006/main">
                        <a:graphicData uri="http://schemas.microsoft.com/office/word/2010/wordprocessingShape">
                          <wps:wsp>
                            <wps:cNvSpPr txBox="1"/>
                            <wps:spPr>
                              <a:xfrm>
                                <a:off x="2917825" y="3732530"/>
                                <a:ext cx="762000" cy="295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DD37BF">
                                  <w:pPr>
                                    <w:rPr>
                                      <w:rFonts w:hint="default" w:eastAsia="宋体"/>
                                      <w:color w:val="FF0000"/>
                                      <w:lang w:val="en-US" w:eastAsia="zh-CN"/>
                                    </w:rPr>
                                  </w:pPr>
                                  <w:r>
                                    <w:rPr>
                                      <w:rFonts w:hint="eastAsia"/>
                                      <w:color w:val="FF0000"/>
                                      <w:lang w:val="en-US" w:eastAsia="zh-CN"/>
                                    </w:rPr>
                                    <w:t>1.8km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6pt;margin-top:132.55pt;height:23.3pt;width:60pt;z-index:251663360;mso-width-relative:page;mso-height-relative:page;" filled="f" stroked="f" coordsize="21600,21600" o:gfxdata="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5UEm82wAAAAsBAAAPAAAAAAAA&#10;AAEAIAAAACIAAABkcnMvZG93bnJldi54bWxQSwECFAAUAAAACACHTuJAJLET4EgCAABzBAAADgAA&#10;AAAAAAABACAAAAAqAQAAZHJzL2Uyb0RvYy54bWxQSwUGAAAAAAYABgBZAQAA5AUAAAAA&#10;">
                      <v:fill on="f" focussize="0,0"/>
                      <v:stroke on="f" weight="0.5pt"/>
                      <v:imagedata o:title=""/>
                      <o:lock v:ext="edit" aspectratio="f"/>
                      <v:textbox>
                        <w:txbxContent>
                          <w:p w14:paraId="1BDD37BF">
                            <w:pPr>
                              <w:rPr>
                                <w:rFonts w:hint="default" w:eastAsia="宋体"/>
                                <w:color w:val="FF0000"/>
                                <w:lang w:val="en-US" w:eastAsia="zh-CN"/>
                              </w:rPr>
                            </w:pPr>
                            <w:r>
                              <w:rPr>
                                <w:rFonts w:hint="eastAsia"/>
                                <w:color w:val="FF0000"/>
                                <w:lang w:val="en-US" w:eastAsia="zh-CN"/>
                              </w:rPr>
                              <w:t>1.8km</w:t>
                            </w: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1629410</wp:posOffset>
                      </wp:positionH>
                      <wp:positionV relativeFrom="paragraph">
                        <wp:posOffset>1390015</wp:posOffset>
                      </wp:positionV>
                      <wp:extent cx="1362075" cy="762635"/>
                      <wp:effectExtent l="0" t="4445" r="9525" b="13970"/>
                      <wp:wrapNone/>
                      <wp:docPr id="13" name="直接箭头连接符 13"/>
                      <wp:cNvGraphicFramePr/>
                      <a:graphic xmlns:a="http://schemas.openxmlformats.org/drawingml/2006/main">
                        <a:graphicData uri="http://schemas.microsoft.com/office/word/2010/wordprocessingShape">
                          <wps:wsp>
                            <wps:cNvCnPr/>
                            <wps:spPr>
                              <a:xfrm flipH="1">
                                <a:off x="2219325" y="4007485"/>
                                <a:ext cx="1362075" cy="762635"/>
                              </a:xfrm>
                              <a:prstGeom prst="straightConnector1">
                                <a:avLst/>
                              </a:prstGeom>
                              <a:ln w="9525">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28.3pt;margin-top:109.45pt;height:60.05pt;width:107.25pt;z-index:251662336;mso-width-relative:page;mso-height-relative:page;" filled="f" stroked="t" coordsize="21600,21600" o:gfxdata="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Qd40PaAAAACwEAAA8A&#10;AAAAAAAAAQAgAAAAIgAAAGRycy9kb3ducmV2LnhtbFBLAQIUABQAAAAIAIdO4kANzKGjFQIAAOQD&#10;AAAOAAAAAAAAAAEAIAAAACkBAABkcnMvZTJvRG9jLnhtbFBLBQYAAAAABgAGAFkBAACwBQAAAAA=&#10;">
                      <v:fill on="f" focussize="0,0"/>
                      <v:stroke color="#FF0000 [3204]" joinstyle="round" endarrow="open"/>
                      <v:imagedata o:title=""/>
                      <o:lock v:ext="edit" aspectratio="f"/>
                    </v:shape>
                  </w:pict>
                </mc:Fallback>
              </mc:AlternateContent>
            </w:r>
            <w:r>
              <w:drawing>
                <wp:anchor distT="0" distB="0" distL="114300" distR="114300" simplePos="0" relativeHeight="251661312" behindDoc="0" locked="0" layoutInCell="1" allowOverlap="1">
                  <wp:simplePos x="0" y="0"/>
                  <wp:positionH relativeFrom="column">
                    <wp:posOffset>4425950</wp:posOffset>
                  </wp:positionH>
                  <wp:positionV relativeFrom="paragraph">
                    <wp:posOffset>-21590</wp:posOffset>
                  </wp:positionV>
                  <wp:extent cx="847725" cy="809625"/>
                  <wp:effectExtent l="0" t="0" r="9525" b="9525"/>
                  <wp:wrapNone/>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3"/>
                          <a:stretch>
                            <a:fillRect/>
                          </a:stretch>
                        </pic:blipFill>
                        <pic:spPr>
                          <a:xfrm>
                            <a:off x="0" y="0"/>
                            <a:ext cx="847725" cy="809625"/>
                          </a:xfrm>
                          <a:prstGeom prst="rect">
                            <a:avLst/>
                          </a:prstGeom>
                          <a:noFill/>
                          <a:ln>
                            <a:noFill/>
                          </a:ln>
                        </pic:spPr>
                      </pic:pic>
                    </a:graphicData>
                  </a:graphic>
                </wp:anchor>
              </w:drawing>
            </w:r>
            <w:r>
              <w:drawing>
                <wp:inline distT="0" distB="0" distL="114300" distR="114300">
                  <wp:extent cx="5272405" cy="3905250"/>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5272405" cy="3905250"/>
                          </a:xfrm>
                          <a:prstGeom prst="rect">
                            <a:avLst/>
                          </a:prstGeom>
                          <a:noFill/>
                          <a:ln>
                            <a:noFill/>
                          </a:ln>
                        </pic:spPr>
                      </pic:pic>
                    </a:graphicData>
                  </a:graphic>
                </wp:inline>
              </w:drawing>
            </w:r>
          </w:p>
          <w:p w14:paraId="29CE4CEC">
            <w:pPr>
              <w:keepNext w:val="0"/>
              <w:keepLines w:val="0"/>
              <w:pageBreakBefore w:val="0"/>
              <w:widowControl/>
              <w:tabs>
                <w:tab w:val="left" w:pos="1418"/>
              </w:tabs>
              <w:kinsoku/>
              <w:wordWrap/>
              <w:overflowPunct/>
              <w:topLinePunct w:val="0"/>
              <w:autoSpaceDE/>
              <w:autoSpaceDN/>
              <w:bidi w:val="0"/>
              <w:adjustRightInd/>
              <w:snapToGrid/>
              <w:spacing w:line="240" w:lineRule="auto"/>
              <w:jc w:val="center"/>
              <w:textAlignment w:val="auto"/>
              <w:rPr>
                <w:b/>
                <w:kern w:val="0"/>
                <w:sz w:val="24"/>
                <w:szCs w:val="20"/>
              </w:rPr>
            </w:pPr>
            <w:r>
              <w:rPr>
                <w:rFonts w:hint="eastAsia"/>
                <w:b/>
                <w:kern w:val="0"/>
                <w:sz w:val="24"/>
                <w:szCs w:val="20"/>
              </w:rPr>
              <w:t>图 3-1 监测点位示意图</w:t>
            </w:r>
          </w:p>
          <w:p w14:paraId="739786AD">
            <w:pPr>
              <w:widowControl/>
              <w:tabs>
                <w:tab w:val="left" w:pos="1418"/>
              </w:tabs>
              <w:spacing w:line="360" w:lineRule="auto"/>
              <w:ind w:firstLine="482" w:firstLineChars="200"/>
              <w:jc w:val="left"/>
              <w:rPr>
                <w:b/>
                <w:kern w:val="0"/>
                <w:sz w:val="24"/>
                <w:szCs w:val="20"/>
              </w:rPr>
            </w:pPr>
            <w:r>
              <w:rPr>
                <w:b/>
                <w:kern w:val="0"/>
                <w:sz w:val="24"/>
                <w:szCs w:val="20"/>
              </w:rPr>
              <w:t>2、地表水环境质量状况</w:t>
            </w:r>
          </w:p>
          <w:p w14:paraId="1D396964">
            <w:pPr>
              <w:spacing w:line="360" w:lineRule="auto"/>
              <w:ind w:firstLine="480" w:firstLineChars="200"/>
              <w:rPr>
                <w:rFonts w:hint="eastAsia"/>
                <w:sz w:val="24"/>
              </w:rPr>
            </w:pPr>
            <w:r>
              <w:rPr>
                <w:rFonts w:hint="eastAsia"/>
                <w:sz w:val="24"/>
              </w:rPr>
              <w:t>（一）水环境质量</w:t>
            </w:r>
          </w:p>
          <w:p w14:paraId="3E31BFA8">
            <w:pPr>
              <w:spacing w:line="360" w:lineRule="auto"/>
              <w:ind w:firstLine="480" w:firstLineChars="200"/>
              <w:rPr>
                <w:rFonts w:hint="eastAsia"/>
                <w:sz w:val="24"/>
              </w:rPr>
            </w:pPr>
            <w:r>
              <w:rPr>
                <w:rFonts w:hint="eastAsia"/>
                <w:sz w:val="24"/>
              </w:rPr>
              <w:t>1、主要河流水质状况</w:t>
            </w:r>
          </w:p>
          <w:p w14:paraId="6815C059">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 xml:space="preserve">2024年，长江东西梁山、青弋江宝塔根、漳河澛港桥、裕溪河裕溪口、青山河查湾、黄浒河荻港、西河入裕溪河口、裕溪河三汊河、青山河三里埂、七星河乔木等10个列入国家考核的地表水断面水质达到Ⅱ类标准。国考断面水质优良比例、达标率均为100%。城市水质指数位居全省第5位。  </w:t>
            </w:r>
          </w:p>
          <w:p w14:paraId="40FE30A6">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2、县级以上集中式饮用水水源水质状况</w:t>
            </w:r>
          </w:p>
          <w:p w14:paraId="6BB3C4D3">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芜湖市二水厂（长江）水源地、芜湖市四水厂（长江）水源地、芜湖市漳河备用水源地、湾沚区自来水厂（青弋江）水源地、湾沚区自来水厂（青弋江）红杨取水口水源地、芜湖市三山水厂繁昌芦南水厂（长江）饮用水水源地、无为市西河备用水源地、无为市高沟（长江）水源地、无为市泥汊（长江）水源地、南陵县二水厂（青弋江）水源地等10个县级以上饮用水水源地水质均达到《地表水环境质量标准》（GB3838-2002）Ⅲ类标准，水质达标率100%。</w:t>
            </w:r>
          </w:p>
          <w:p w14:paraId="7B71D703">
            <w:pPr>
              <w:spacing w:line="360" w:lineRule="auto"/>
              <w:ind w:firstLine="480" w:firstLineChars="200"/>
              <w:rPr>
                <w:rFonts w:hint="eastAsia"/>
                <w:sz w:val="24"/>
              </w:rPr>
            </w:pPr>
            <w:r>
              <w:rPr>
                <w:rFonts w:hint="eastAsia"/>
                <w:sz w:val="24"/>
              </w:rPr>
              <w:t>（二）措施与行动</w:t>
            </w:r>
          </w:p>
          <w:p w14:paraId="2F7D73B0">
            <w:pPr>
              <w:spacing w:line="360" w:lineRule="auto"/>
              <w:ind w:firstLine="480" w:firstLineChars="200"/>
              <w:rPr>
                <w:rFonts w:hint="eastAsia"/>
                <w:sz w:val="24"/>
              </w:rPr>
            </w:pPr>
            <w:r>
              <w:rPr>
                <w:rFonts w:hint="eastAsia"/>
                <w:sz w:val="24"/>
              </w:rPr>
              <w:t>一是落实水环境质量监测预警和水质目标考核。严格落实水环境质量监测预警和目标考核机制，每月对长江干流（芜湖段）及主要支流37个断面开展监测分析并发布预警，充分运用预警、调度等手段，督促属地落实水环境质量改善措施。</w:t>
            </w:r>
          </w:p>
          <w:p w14:paraId="1E02E3F2">
            <w:pPr>
              <w:spacing w:line="360" w:lineRule="auto"/>
              <w:ind w:firstLine="480" w:firstLineChars="200"/>
              <w:rPr>
                <w:rFonts w:hint="eastAsia"/>
                <w:sz w:val="24"/>
              </w:rPr>
            </w:pPr>
            <w:r>
              <w:rPr>
                <w:rFonts w:hint="eastAsia"/>
                <w:sz w:val="24"/>
              </w:rPr>
              <w:t>二是加强饮用水水源地环境保护。完成湾沚区自来水厂红杨取水口、无为市泥汊饮用水水源地2处取水口站点建设，实时监测水质；整并乡镇（农村）水源地4个；指导芜湖市四水厂（长江）等县级及以上水源地应急演练；完成2024年度县级以上饮用水水源地环境状况评估和农村饮用水水源地基础信息更新工作。</w:t>
            </w:r>
          </w:p>
          <w:p w14:paraId="5DC63893">
            <w:pPr>
              <w:spacing w:line="360" w:lineRule="auto"/>
              <w:ind w:firstLine="480" w:firstLineChars="200"/>
              <w:rPr>
                <w:rFonts w:hint="eastAsia"/>
                <w:sz w:val="24"/>
              </w:rPr>
            </w:pPr>
            <w:r>
              <w:rPr>
                <w:rFonts w:hint="eastAsia"/>
                <w:sz w:val="24"/>
              </w:rPr>
              <w:t>三是推进长江干流及一二级支流入河排污口整治。完成长江干流和一二级支流排污口“一口一策”整治方案编制，整治完成干流排污口1459个，一二级支流排污口290个。</w:t>
            </w:r>
          </w:p>
          <w:p w14:paraId="7927B2E1">
            <w:pPr>
              <w:spacing w:line="360" w:lineRule="auto"/>
              <w:ind w:firstLine="480" w:firstLineChars="200"/>
              <w:rPr>
                <w:rFonts w:hint="eastAsia"/>
                <w:sz w:val="24"/>
              </w:rPr>
            </w:pPr>
            <w:r>
              <w:rPr>
                <w:rFonts w:hint="eastAsia"/>
                <w:sz w:val="24"/>
              </w:rPr>
              <w:t>四是统筹推进工业园区水污染整治。加强省级以上工业园区水污染治理，推进化工园区专用污水处理设施建设，进一步提升污水收集处理效能，防范水环境风险隐患。</w:t>
            </w:r>
          </w:p>
          <w:p w14:paraId="5949F344">
            <w:pPr>
              <w:spacing w:line="360" w:lineRule="auto"/>
              <w:ind w:firstLine="480" w:firstLineChars="200"/>
              <w:rPr>
                <w:sz w:val="24"/>
              </w:rPr>
            </w:pPr>
            <w:r>
              <w:rPr>
                <w:rFonts w:hint="eastAsia"/>
                <w:sz w:val="24"/>
              </w:rPr>
              <w:t>本项目地所在区域污水由</w:t>
            </w:r>
            <w:r>
              <w:rPr>
                <w:rFonts w:hint="eastAsia"/>
                <w:sz w:val="24"/>
                <w:lang w:val="en-US" w:eastAsia="zh-CN"/>
              </w:rPr>
              <w:t>滨江污水</w:t>
            </w:r>
            <w:r>
              <w:rPr>
                <w:rFonts w:hint="eastAsia"/>
                <w:sz w:val="24"/>
              </w:rPr>
              <w:t>处理厂收集处理后执行《城镇污水处理厂污染物排放标准》（GB18918-2002）表1中一级A标准排入长江芜湖段。根据上述资料，长江芜湖段水质现状符合国家《地表水环境质量标准》（GB3838-2002）III类标准，地表水质量较好，水质达标。</w:t>
            </w:r>
          </w:p>
          <w:p w14:paraId="05064CFA">
            <w:pPr>
              <w:widowControl/>
              <w:tabs>
                <w:tab w:val="left" w:pos="1418"/>
              </w:tabs>
              <w:spacing w:line="360" w:lineRule="auto"/>
              <w:ind w:firstLine="602" w:firstLineChars="250"/>
              <w:jc w:val="left"/>
              <w:rPr>
                <w:b/>
                <w:kern w:val="0"/>
                <w:sz w:val="24"/>
              </w:rPr>
            </w:pPr>
            <w:r>
              <w:rPr>
                <w:b/>
                <w:kern w:val="0"/>
                <w:sz w:val="24"/>
              </w:rPr>
              <w:t>3</w:t>
            </w:r>
            <w:r>
              <w:rPr>
                <w:rFonts w:hint="eastAsia"/>
                <w:b/>
                <w:kern w:val="0"/>
                <w:sz w:val="24"/>
              </w:rPr>
              <w:t>、区域声环境状况</w:t>
            </w:r>
          </w:p>
          <w:p w14:paraId="667148EA">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2024年，芜湖市区域噪声声环境昼间平均等效声级为57.5分贝。根据《环境噪声监测技术规范城市声环境常规监测》（HJ640-2012）中对城市区域环境噪声评价的要求，芜湖市区域环境噪声处于三级水平。</w:t>
            </w:r>
          </w:p>
          <w:p w14:paraId="5DC3BB0E">
            <w:pPr>
              <w:adjustRightInd w:val="0"/>
              <w:spacing w:line="360" w:lineRule="auto"/>
              <w:ind w:firstLine="480" w:firstLineChars="200"/>
              <w:textAlignment w:val="baseline"/>
              <w:rPr>
                <w:rFonts w:eastAsiaTheme="minorEastAsia"/>
                <w:bCs/>
                <w:sz w:val="24"/>
                <w:szCs w:val="21"/>
              </w:rPr>
            </w:pPr>
            <w:r>
              <w:rPr>
                <w:rFonts w:eastAsiaTheme="minorEastAsia"/>
                <w:bCs/>
                <w:sz w:val="24"/>
                <w:szCs w:val="21"/>
              </w:rPr>
              <w:t>根据《建设项目环境影响报告表编制技术指南（污染影响类）（试行）》中</w:t>
            </w:r>
            <w:r>
              <w:rPr>
                <w:rFonts w:ascii="宋体" w:hAnsi="宋体"/>
                <w:bCs/>
                <w:sz w:val="24"/>
                <w:szCs w:val="21"/>
              </w:rPr>
              <w:t>“</w:t>
            </w:r>
            <w:r>
              <w:rPr>
                <w:rFonts w:eastAsiaTheme="minorEastAsia"/>
                <w:bCs/>
                <w:sz w:val="24"/>
                <w:szCs w:val="21"/>
              </w:rPr>
              <w:t>区域环境质量</w:t>
            </w:r>
            <w:r>
              <w:rPr>
                <w:rFonts w:ascii="宋体" w:hAnsi="宋体"/>
                <w:bCs/>
                <w:sz w:val="24"/>
                <w:szCs w:val="21"/>
              </w:rPr>
              <w:t>”</w:t>
            </w:r>
            <w:r>
              <w:rPr>
                <w:rFonts w:eastAsiaTheme="minorEastAsia"/>
                <w:bCs/>
                <w:sz w:val="24"/>
                <w:szCs w:val="21"/>
              </w:rPr>
              <w:t>的</w:t>
            </w:r>
            <w:r>
              <w:rPr>
                <w:rFonts w:ascii="宋体" w:hAnsi="宋体"/>
                <w:bCs/>
                <w:sz w:val="24"/>
                <w:szCs w:val="21"/>
              </w:rPr>
              <w:t>“</w:t>
            </w:r>
            <w:r>
              <w:rPr>
                <w:rFonts w:eastAsiaTheme="minorEastAsia"/>
                <w:bCs/>
                <w:sz w:val="24"/>
                <w:szCs w:val="21"/>
              </w:rPr>
              <w:t>3、声环境—厂界外周边50米范围内存在声环境保护目标的建设项目，应监测保护目标声环境质量现状并评价达标情况。各点位应监测昼夜间噪声，监测时间不少于1天，项目夜间不生产则仅监测昼间噪声。</w:t>
            </w:r>
            <w:r>
              <w:rPr>
                <w:rFonts w:ascii="宋体" w:hAnsi="宋体"/>
                <w:bCs/>
                <w:sz w:val="24"/>
                <w:szCs w:val="21"/>
              </w:rPr>
              <w:t>”</w:t>
            </w:r>
            <w:r>
              <w:rPr>
                <w:rFonts w:eastAsiaTheme="minorEastAsia"/>
                <w:bCs/>
                <w:sz w:val="24"/>
                <w:szCs w:val="21"/>
              </w:rPr>
              <w:t>。</w:t>
            </w:r>
          </w:p>
          <w:p w14:paraId="38EBF6AE">
            <w:pPr>
              <w:adjustRightInd w:val="0"/>
              <w:spacing w:line="360" w:lineRule="auto"/>
              <w:ind w:firstLine="480" w:firstLineChars="200"/>
              <w:textAlignment w:val="baseline"/>
              <w:rPr>
                <w:rFonts w:eastAsiaTheme="minorEastAsia"/>
                <w:bCs/>
                <w:sz w:val="24"/>
                <w:szCs w:val="21"/>
              </w:rPr>
            </w:pPr>
            <w:r>
              <w:rPr>
                <w:rFonts w:eastAsiaTheme="minorEastAsia"/>
                <w:bCs/>
                <w:sz w:val="24"/>
                <w:szCs w:val="21"/>
              </w:rPr>
              <w:t>本项目厂界外周边50米范围内不存在声环境保护目标，故无需进行声现状监测。</w:t>
            </w:r>
          </w:p>
          <w:p w14:paraId="6449FA27">
            <w:pPr>
              <w:adjustRightInd w:val="0"/>
              <w:spacing w:line="360" w:lineRule="auto"/>
              <w:ind w:firstLine="482" w:firstLineChars="200"/>
              <w:textAlignment w:val="baseline"/>
              <w:rPr>
                <w:rFonts w:hint="eastAsia" w:eastAsiaTheme="minorEastAsia"/>
                <w:b/>
                <w:bCs w:val="0"/>
                <w:sz w:val="24"/>
                <w:szCs w:val="21"/>
              </w:rPr>
            </w:pPr>
            <w:r>
              <w:rPr>
                <w:rFonts w:hint="eastAsia" w:eastAsiaTheme="minorEastAsia"/>
                <w:b/>
                <w:bCs w:val="0"/>
                <w:sz w:val="24"/>
                <w:szCs w:val="21"/>
              </w:rPr>
              <w:t>4、生态环境质量</w:t>
            </w:r>
          </w:p>
          <w:p w14:paraId="5AA3852C">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本项目</w:t>
            </w:r>
            <w:r>
              <w:rPr>
                <w:rFonts w:hint="eastAsia" w:eastAsiaTheme="minorEastAsia"/>
                <w:bCs/>
                <w:sz w:val="24"/>
                <w:szCs w:val="21"/>
                <w:lang w:val="en-US" w:eastAsia="zh-CN"/>
              </w:rPr>
              <w:t>位于</w:t>
            </w:r>
            <w:r>
              <w:rPr>
                <w:rFonts w:hint="eastAsia" w:cs="宋体"/>
                <w:sz w:val="24"/>
                <w:lang w:val="en-US" w:eastAsia="zh-CN"/>
              </w:rPr>
              <w:t>安徽芜湖三山经济开发区凤栖路以南、夏家湖路以西地块</w:t>
            </w:r>
            <w:r>
              <w:rPr>
                <w:rFonts w:hint="eastAsia" w:eastAsiaTheme="minorEastAsia"/>
                <w:bCs/>
                <w:sz w:val="24"/>
                <w:szCs w:val="21"/>
              </w:rPr>
              <w:t>，用地范围内无生态环境保护目标，故</w:t>
            </w:r>
            <w:r>
              <w:rPr>
                <w:rFonts w:hint="eastAsia" w:eastAsiaTheme="minorEastAsia"/>
                <w:bCs/>
                <w:sz w:val="24"/>
                <w:szCs w:val="21"/>
                <w:lang w:val="en-US" w:eastAsia="zh-CN"/>
              </w:rPr>
              <w:t>无</w:t>
            </w:r>
            <w:r>
              <w:rPr>
                <w:rFonts w:hint="eastAsia" w:eastAsiaTheme="minorEastAsia"/>
                <w:bCs/>
                <w:sz w:val="24"/>
                <w:szCs w:val="21"/>
              </w:rPr>
              <w:t>需进行生态现状调查。</w:t>
            </w:r>
          </w:p>
          <w:p w14:paraId="60B9850A">
            <w:pPr>
              <w:adjustRightInd w:val="0"/>
              <w:spacing w:line="360" w:lineRule="auto"/>
              <w:ind w:firstLine="482" w:firstLineChars="200"/>
              <w:textAlignment w:val="baseline"/>
              <w:rPr>
                <w:rFonts w:hint="eastAsia" w:eastAsiaTheme="minorEastAsia"/>
                <w:bCs/>
                <w:sz w:val="24"/>
                <w:szCs w:val="21"/>
              </w:rPr>
            </w:pPr>
            <w:r>
              <w:rPr>
                <w:rFonts w:hint="eastAsia" w:eastAsiaTheme="minorEastAsia"/>
                <w:b/>
                <w:bCs w:val="0"/>
                <w:sz w:val="24"/>
                <w:szCs w:val="21"/>
              </w:rPr>
              <w:t>5、电磁辐射环境质量</w:t>
            </w:r>
          </w:p>
          <w:p w14:paraId="1A5D1A76">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本项目</w:t>
            </w:r>
            <w:r>
              <w:rPr>
                <w:rFonts w:hint="eastAsia" w:eastAsiaTheme="minorEastAsia"/>
                <w:bCs/>
                <w:sz w:val="24"/>
                <w:szCs w:val="21"/>
                <w:lang w:val="en-US" w:eastAsia="zh-CN"/>
              </w:rPr>
              <w:t>不涉及</w:t>
            </w:r>
            <w:r>
              <w:rPr>
                <w:rFonts w:hint="eastAsia" w:eastAsiaTheme="minorEastAsia"/>
                <w:bCs/>
                <w:sz w:val="24"/>
                <w:szCs w:val="21"/>
              </w:rPr>
              <w:t>。</w:t>
            </w:r>
          </w:p>
          <w:p w14:paraId="0350FE42">
            <w:pPr>
              <w:adjustRightInd w:val="0"/>
              <w:spacing w:line="360" w:lineRule="auto"/>
              <w:ind w:firstLine="482" w:firstLineChars="200"/>
              <w:textAlignment w:val="baseline"/>
              <w:rPr>
                <w:rFonts w:hint="eastAsia" w:eastAsiaTheme="minorEastAsia"/>
                <w:b/>
                <w:bCs w:val="0"/>
                <w:sz w:val="24"/>
                <w:szCs w:val="21"/>
              </w:rPr>
            </w:pPr>
            <w:r>
              <w:rPr>
                <w:rFonts w:hint="eastAsia" w:eastAsiaTheme="minorEastAsia"/>
                <w:b/>
                <w:bCs w:val="0"/>
                <w:sz w:val="24"/>
                <w:szCs w:val="21"/>
              </w:rPr>
              <w:t>6、地下水、土壤环境质量</w:t>
            </w:r>
          </w:p>
          <w:p w14:paraId="33200FE3">
            <w:pPr>
              <w:adjustRightInd w:val="0"/>
              <w:spacing w:line="360" w:lineRule="auto"/>
              <w:ind w:firstLine="480" w:firstLineChars="200"/>
              <w:textAlignment w:val="baseline"/>
              <w:rPr>
                <w:rFonts w:hint="eastAsia" w:eastAsiaTheme="minorEastAsia"/>
                <w:bCs/>
                <w:sz w:val="24"/>
                <w:szCs w:val="21"/>
              </w:rPr>
            </w:pPr>
            <w:r>
              <w:rPr>
                <w:rFonts w:hint="eastAsia" w:eastAsiaTheme="minorEastAsia"/>
                <w:bCs/>
                <w:sz w:val="24"/>
                <w:szCs w:val="21"/>
              </w:rPr>
              <w:t>经采取有效的分区防渗措施及污染防控措施，项目对区域地下水、土壤环境基本不造成影响。</w:t>
            </w:r>
          </w:p>
        </w:tc>
      </w:tr>
      <w:tr w14:paraId="3CACC0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534" w:type="dxa"/>
            <w:vAlign w:val="center"/>
          </w:tcPr>
          <w:p w14:paraId="2FD87CAC">
            <w:pPr>
              <w:autoSpaceDE w:val="0"/>
              <w:autoSpaceDN w:val="0"/>
              <w:adjustRightInd w:val="0"/>
              <w:snapToGrid w:val="0"/>
              <w:jc w:val="center"/>
              <w:rPr>
                <w:rFonts w:cs="宋体"/>
                <w:kern w:val="0"/>
                <w:sz w:val="24"/>
              </w:rPr>
            </w:pPr>
            <w:r>
              <w:rPr>
                <w:rFonts w:hint="eastAsia" w:cs="宋体"/>
                <w:kern w:val="0"/>
                <w:sz w:val="24"/>
              </w:rPr>
              <w:t>环境</w:t>
            </w:r>
          </w:p>
          <w:p w14:paraId="1F339566">
            <w:pPr>
              <w:autoSpaceDE w:val="0"/>
              <w:autoSpaceDN w:val="0"/>
              <w:adjustRightInd w:val="0"/>
              <w:snapToGrid w:val="0"/>
              <w:jc w:val="center"/>
              <w:rPr>
                <w:rFonts w:cs="宋体"/>
                <w:kern w:val="0"/>
                <w:sz w:val="24"/>
              </w:rPr>
            </w:pPr>
            <w:r>
              <w:rPr>
                <w:rFonts w:hint="eastAsia" w:cs="宋体"/>
                <w:kern w:val="0"/>
                <w:sz w:val="24"/>
              </w:rPr>
              <w:t>保护</w:t>
            </w:r>
          </w:p>
          <w:p w14:paraId="18F72567">
            <w:pPr>
              <w:autoSpaceDE w:val="0"/>
              <w:autoSpaceDN w:val="0"/>
              <w:adjustRightInd w:val="0"/>
              <w:snapToGrid w:val="0"/>
              <w:jc w:val="center"/>
              <w:rPr>
                <w:rFonts w:cs="宋体"/>
                <w:kern w:val="0"/>
                <w:sz w:val="24"/>
              </w:rPr>
            </w:pPr>
            <w:r>
              <w:rPr>
                <w:rFonts w:hint="eastAsia" w:cs="宋体"/>
                <w:kern w:val="0"/>
                <w:sz w:val="24"/>
              </w:rPr>
              <w:t>目标</w:t>
            </w:r>
          </w:p>
        </w:tc>
        <w:tc>
          <w:tcPr>
            <w:tcW w:w="8527" w:type="dxa"/>
            <w:vAlign w:val="center"/>
          </w:tcPr>
          <w:p w14:paraId="7377F48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napToGrid w:val="0"/>
                <w:kern w:val="0"/>
                <w:sz w:val="24"/>
                <w:szCs w:val="20"/>
              </w:rPr>
            </w:pPr>
            <w:r>
              <w:rPr>
                <w:rFonts w:hint="eastAsia"/>
                <w:snapToGrid w:val="0"/>
                <w:kern w:val="0"/>
                <w:sz w:val="24"/>
                <w:szCs w:val="20"/>
              </w:rPr>
              <w:t>根据对本项目所在地周边环境现状的踏勘，本项目环境保护目标及保护级别见下表。</w:t>
            </w:r>
          </w:p>
          <w:p w14:paraId="5BED7879">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rPr>
            </w:pPr>
            <w:r>
              <w:rPr>
                <w:rFonts w:hint="eastAsia"/>
                <w:b/>
                <w:kern w:val="0"/>
                <w:sz w:val="24"/>
              </w:rPr>
              <w:t>表3-</w:t>
            </w:r>
            <w:r>
              <w:rPr>
                <w:rFonts w:hint="eastAsia"/>
                <w:b/>
                <w:kern w:val="0"/>
                <w:sz w:val="24"/>
                <w:lang w:val="en-US" w:eastAsia="zh-CN"/>
              </w:rPr>
              <w:t>3</w:t>
            </w:r>
            <w:r>
              <w:rPr>
                <w:b/>
                <w:kern w:val="0"/>
                <w:sz w:val="24"/>
              </w:rPr>
              <w:t xml:space="preserve">  </w:t>
            </w:r>
            <w:r>
              <w:rPr>
                <w:rFonts w:hint="eastAsia"/>
                <w:b/>
                <w:kern w:val="0"/>
                <w:sz w:val="24"/>
              </w:rPr>
              <w:t>主要环境保护目标</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76"/>
              <w:gridCol w:w="1622"/>
              <w:gridCol w:w="652"/>
              <w:gridCol w:w="753"/>
              <w:gridCol w:w="1264"/>
              <w:gridCol w:w="818"/>
              <w:gridCol w:w="1138"/>
              <w:gridCol w:w="1188"/>
            </w:tblGrid>
            <w:tr w14:paraId="681755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2" w:hRule="atLeast"/>
              </w:trPr>
              <w:tc>
                <w:tcPr>
                  <w:tcW w:w="527" w:type="pct"/>
                  <w:vMerge w:val="restart"/>
                  <w:tcBorders>
                    <w:tl2br w:val="nil"/>
                    <w:tr2bl w:val="nil"/>
                  </w:tcBorders>
                  <w:vAlign w:val="center"/>
                </w:tcPr>
                <w:p w14:paraId="40339D16">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环境</w:t>
                  </w:r>
                </w:p>
                <w:p w14:paraId="171E3ABF">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要素</w:t>
                  </w:r>
                </w:p>
              </w:tc>
              <w:tc>
                <w:tcPr>
                  <w:tcW w:w="975" w:type="pct"/>
                  <w:vMerge w:val="restart"/>
                  <w:tcBorders>
                    <w:tl2br w:val="nil"/>
                    <w:tr2bl w:val="nil"/>
                  </w:tcBorders>
                  <w:vAlign w:val="center"/>
                </w:tcPr>
                <w:p w14:paraId="7DC07E7C">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名称</w:t>
                  </w:r>
                </w:p>
              </w:tc>
              <w:tc>
                <w:tcPr>
                  <w:tcW w:w="845" w:type="pct"/>
                  <w:gridSpan w:val="2"/>
                  <w:tcBorders>
                    <w:tl2br w:val="nil"/>
                    <w:tr2bl w:val="nil"/>
                  </w:tcBorders>
                  <w:vAlign w:val="center"/>
                </w:tcPr>
                <w:p w14:paraId="5CC157BA">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坐标（m）</w:t>
                  </w:r>
                </w:p>
              </w:tc>
              <w:tc>
                <w:tcPr>
                  <w:tcW w:w="760" w:type="pct"/>
                  <w:vMerge w:val="restart"/>
                  <w:tcBorders>
                    <w:tl2br w:val="nil"/>
                    <w:tr2bl w:val="nil"/>
                  </w:tcBorders>
                  <w:vAlign w:val="center"/>
                </w:tcPr>
                <w:p w14:paraId="004F5E01">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保护对象</w:t>
                  </w:r>
                </w:p>
              </w:tc>
              <w:tc>
                <w:tcPr>
                  <w:tcW w:w="492" w:type="pct"/>
                  <w:vMerge w:val="restart"/>
                  <w:tcBorders>
                    <w:tl2br w:val="nil"/>
                    <w:tr2bl w:val="nil"/>
                  </w:tcBorders>
                  <w:vAlign w:val="center"/>
                </w:tcPr>
                <w:p w14:paraId="7FD60142">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相对厂</w:t>
                  </w:r>
                </w:p>
                <w:p w14:paraId="4FFB4A52">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址方位</w:t>
                  </w:r>
                </w:p>
              </w:tc>
              <w:tc>
                <w:tcPr>
                  <w:tcW w:w="684" w:type="pct"/>
                  <w:vMerge w:val="restart"/>
                  <w:tcBorders>
                    <w:tl2br w:val="nil"/>
                    <w:tr2bl w:val="nil"/>
                  </w:tcBorders>
                  <w:vAlign w:val="center"/>
                </w:tcPr>
                <w:p w14:paraId="765F1210">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相对厂界</w:t>
                  </w:r>
                </w:p>
                <w:p w14:paraId="3844EDB1">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距离</w:t>
                  </w:r>
                </w:p>
              </w:tc>
              <w:tc>
                <w:tcPr>
                  <w:tcW w:w="714" w:type="pct"/>
                  <w:vMerge w:val="restart"/>
                  <w:tcBorders>
                    <w:tl2br w:val="nil"/>
                    <w:tr2bl w:val="nil"/>
                  </w:tcBorders>
                  <w:vAlign w:val="center"/>
                </w:tcPr>
                <w:p w14:paraId="475F7F22">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环境</w:t>
                  </w:r>
                </w:p>
                <w:p w14:paraId="359D2168">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功能区</w:t>
                  </w:r>
                </w:p>
              </w:tc>
            </w:tr>
            <w:tr w14:paraId="060B1A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27" w:type="pct"/>
                  <w:vMerge w:val="continue"/>
                  <w:tcBorders>
                    <w:tl2br w:val="nil"/>
                    <w:tr2bl w:val="nil"/>
                  </w:tcBorders>
                  <w:vAlign w:val="center"/>
                </w:tcPr>
                <w:p w14:paraId="6233C986">
                  <w:pPr>
                    <w:adjustRightInd w:val="0"/>
                    <w:snapToGrid w:val="0"/>
                    <w:jc w:val="center"/>
                    <w:rPr>
                      <w:rFonts w:hint="default" w:ascii="Times New Roman" w:hAnsi="Times New Roman" w:cs="Times New Roman"/>
                      <w:b/>
                      <w:szCs w:val="21"/>
                    </w:rPr>
                  </w:pPr>
                </w:p>
              </w:tc>
              <w:tc>
                <w:tcPr>
                  <w:tcW w:w="975" w:type="pct"/>
                  <w:vMerge w:val="continue"/>
                  <w:tcBorders>
                    <w:tl2br w:val="nil"/>
                    <w:tr2bl w:val="nil"/>
                  </w:tcBorders>
                  <w:vAlign w:val="center"/>
                </w:tcPr>
                <w:p w14:paraId="77C6FE9B">
                  <w:pPr>
                    <w:adjustRightInd w:val="0"/>
                    <w:snapToGrid w:val="0"/>
                    <w:jc w:val="center"/>
                    <w:rPr>
                      <w:rFonts w:hint="default" w:ascii="Times New Roman" w:hAnsi="Times New Roman" w:cs="Times New Roman"/>
                      <w:b/>
                      <w:szCs w:val="21"/>
                    </w:rPr>
                  </w:pPr>
                </w:p>
              </w:tc>
              <w:tc>
                <w:tcPr>
                  <w:tcW w:w="392" w:type="pct"/>
                  <w:tcBorders>
                    <w:tl2br w:val="nil"/>
                    <w:tr2bl w:val="nil"/>
                  </w:tcBorders>
                  <w:vAlign w:val="center"/>
                </w:tcPr>
                <w:p w14:paraId="282273DA">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X</w:t>
                  </w:r>
                </w:p>
              </w:tc>
              <w:tc>
                <w:tcPr>
                  <w:tcW w:w="453" w:type="pct"/>
                  <w:tcBorders>
                    <w:tl2br w:val="nil"/>
                    <w:tr2bl w:val="nil"/>
                  </w:tcBorders>
                  <w:vAlign w:val="center"/>
                </w:tcPr>
                <w:p w14:paraId="4CC32944">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Y</w:t>
                  </w:r>
                </w:p>
              </w:tc>
              <w:tc>
                <w:tcPr>
                  <w:tcW w:w="760" w:type="pct"/>
                  <w:vMerge w:val="continue"/>
                  <w:tcBorders>
                    <w:tl2br w:val="nil"/>
                    <w:tr2bl w:val="nil"/>
                  </w:tcBorders>
                  <w:vAlign w:val="center"/>
                </w:tcPr>
                <w:p w14:paraId="761302F2">
                  <w:pPr>
                    <w:adjustRightInd w:val="0"/>
                    <w:snapToGrid w:val="0"/>
                    <w:jc w:val="center"/>
                    <w:rPr>
                      <w:rFonts w:hint="default" w:ascii="Times New Roman" w:hAnsi="Times New Roman" w:cs="Times New Roman"/>
                      <w:b/>
                      <w:szCs w:val="21"/>
                    </w:rPr>
                  </w:pPr>
                </w:p>
              </w:tc>
              <w:tc>
                <w:tcPr>
                  <w:tcW w:w="492" w:type="pct"/>
                  <w:vMerge w:val="continue"/>
                  <w:tcBorders>
                    <w:tl2br w:val="nil"/>
                    <w:tr2bl w:val="nil"/>
                  </w:tcBorders>
                  <w:vAlign w:val="center"/>
                </w:tcPr>
                <w:p w14:paraId="5264F7AC">
                  <w:pPr>
                    <w:adjustRightInd w:val="0"/>
                    <w:snapToGrid w:val="0"/>
                    <w:jc w:val="center"/>
                    <w:rPr>
                      <w:rFonts w:hint="default" w:ascii="Times New Roman" w:hAnsi="Times New Roman" w:cs="Times New Roman"/>
                      <w:b/>
                      <w:szCs w:val="21"/>
                    </w:rPr>
                  </w:pPr>
                </w:p>
              </w:tc>
              <w:tc>
                <w:tcPr>
                  <w:tcW w:w="684" w:type="pct"/>
                  <w:vMerge w:val="continue"/>
                  <w:tcBorders>
                    <w:tl2br w:val="nil"/>
                    <w:tr2bl w:val="nil"/>
                  </w:tcBorders>
                  <w:vAlign w:val="center"/>
                </w:tcPr>
                <w:p w14:paraId="067E61C5">
                  <w:pPr>
                    <w:adjustRightInd w:val="0"/>
                    <w:snapToGrid w:val="0"/>
                    <w:jc w:val="center"/>
                    <w:rPr>
                      <w:rFonts w:hint="default" w:ascii="Times New Roman" w:hAnsi="Times New Roman" w:cs="Times New Roman"/>
                      <w:b/>
                      <w:szCs w:val="21"/>
                    </w:rPr>
                  </w:pPr>
                </w:p>
              </w:tc>
              <w:tc>
                <w:tcPr>
                  <w:tcW w:w="714" w:type="pct"/>
                  <w:vMerge w:val="continue"/>
                  <w:tcBorders>
                    <w:tl2br w:val="nil"/>
                    <w:tr2bl w:val="nil"/>
                  </w:tcBorders>
                  <w:vAlign w:val="center"/>
                </w:tcPr>
                <w:p w14:paraId="397985B4">
                  <w:pPr>
                    <w:adjustRightInd w:val="0"/>
                    <w:snapToGrid w:val="0"/>
                    <w:jc w:val="center"/>
                    <w:rPr>
                      <w:rFonts w:hint="default" w:ascii="Times New Roman" w:hAnsi="Times New Roman" w:cs="Times New Roman"/>
                      <w:b/>
                      <w:szCs w:val="21"/>
                    </w:rPr>
                  </w:pPr>
                </w:p>
              </w:tc>
            </w:tr>
            <w:tr w14:paraId="529CF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527" w:type="pct"/>
                  <w:tcBorders>
                    <w:tl2br w:val="nil"/>
                    <w:tr2bl w:val="nil"/>
                  </w:tcBorders>
                  <w:vAlign w:val="center"/>
                </w:tcPr>
                <w:p w14:paraId="7309CDA8">
                  <w:pPr>
                    <w:spacing w:line="300" w:lineRule="exact"/>
                    <w:jc w:val="center"/>
                    <w:rPr>
                      <w:rFonts w:hint="default" w:ascii="Times New Roman" w:hAnsi="Times New Roman" w:cs="Times New Roman"/>
                      <w:szCs w:val="21"/>
                    </w:rPr>
                  </w:pPr>
                  <w:r>
                    <w:rPr>
                      <w:rFonts w:hint="default" w:ascii="Times New Roman" w:hAnsi="Times New Roman" w:cs="Times New Roman"/>
                      <w:szCs w:val="21"/>
                    </w:rPr>
                    <w:t>环境</w:t>
                  </w:r>
                </w:p>
                <w:p w14:paraId="5A239C31">
                  <w:pPr>
                    <w:spacing w:line="300" w:lineRule="exact"/>
                    <w:jc w:val="center"/>
                    <w:rPr>
                      <w:rFonts w:hint="default" w:ascii="Times New Roman" w:hAnsi="Times New Roman" w:cs="Times New Roman"/>
                      <w:szCs w:val="21"/>
                    </w:rPr>
                  </w:pPr>
                  <w:r>
                    <w:rPr>
                      <w:rFonts w:hint="default" w:ascii="Times New Roman" w:hAnsi="Times New Roman" w:cs="Times New Roman"/>
                      <w:szCs w:val="21"/>
                    </w:rPr>
                    <w:t>空气</w:t>
                  </w:r>
                </w:p>
              </w:tc>
              <w:tc>
                <w:tcPr>
                  <w:tcW w:w="975" w:type="pct"/>
                  <w:tcBorders>
                    <w:tl2br w:val="nil"/>
                    <w:tr2bl w:val="nil"/>
                  </w:tcBorders>
                  <w:vAlign w:val="center"/>
                </w:tcPr>
                <w:p w14:paraId="232BEEE0">
                  <w:pPr>
                    <w:spacing w:line="300" w:lineRule="exact"/>
                    <w:jc w:val="center"/>
                    <w:rPr>
                      <w:rFonts w:hint="default" w:ascii="Times New Roman" w:hAnsi="Times New Roman" w:eastAsia="宋体" w:cs="Times New Roman"/>
                      <w:szCs w:val="21"/>
                      <w:lang w:val="en-US" w:eastAsia="zh-CN"/>
                    </w:rPr>
                  </w:pPr>
                  <w:r>
                    <w:rPr>
                      <w:rFonts w:hint="eastAsia" w:cs="Times New Roman"/>
                      <w:snapToGrid w:val="0"/>
                      <w:kern w:val="0"/>
                      <w:szCs w:val="21"/>
                      <w:lang w:val="en-US" w:eastAsia="zh-CN"/>
                    </w:rPr>
                    <w:t>纪屋基村</w:t>
                  </w:r>
                </w:p>
              </w:tc>
              <w:tc>
                <w:tcPr>
                  <w:tcW w:w="392" w:type="pct"/>
                  <w:tcBorders>
                    <w:tl2br w:val="nil"/>
                    <w:tr2bl w:val="nil"/>
                  </w:tcBorders>
                  <w:vAlign w:val="center"/>
                </w:tcPr>
                <w:p w14:paraId="6777D081">
                  <w:pPr>
                    <w:spacing w:line="300" w:lineRule="exact"/>
                    <w:jc w:val="center"/>
                    <w:rPr>
                      <w:rFonts w:hint="default" w:ascii="Times New Roman" w:hAnsi="Times New Roman" w:eastAsia="宋体" w:cs="Times New Roman"/>
                      <w:szCs w:val="21"/>
                      <w:lang w:val="en-US" w:eastAsia="zh-CN"/>
                    </w:rPr>
                  </w:pPr>
                  <w:r>
                    <w:rPr>
                      <w:rFonts w:hint="eastAsia" w:cs="Times New Roman"/>
                      <w:szCs w:val="21"/>
                      <w:lang w:val="en-US" w:eastAsia="zh-CN"/>
                    </w:rPr>
                    <w:t>0</w:t>
                  </w:r>
                </w:p>
              </w:tc>
              <w:tc>
                <w:tcPr>
                  <w:tcW w:w="453" w:type="pct"/>
                  <w:tcBorders>
                    <w:tl2br w:val="nil"/>
                    <w:tr2bl w:val="nil"/>
                  </w:tcBorders>
                  <w:vAlign w:val="center"/>
                </w:tcPr>
                <w:p w14:paraId="7A86C97D">
                  <w:pPr>
                    <w:spacing w:line="300" w:lineRule="exact"/>
                    <w:jc w:val="center"/>
                    <w:rPr>
                      <w:rFonts w:hint="default" w:ascii="Times New Roman" w:hAnsi="Times New Roman" w:cs="Times New Roman"/>
                      <w:szCs w:val="21"/>
                    </w:rPr>
                  </w:pPr>
                  <w:r>
                    <w:rPr>
                      <w:rFonts w:hint="eastAsia" w:cs="Times New Roman"/>
                      <w:szCs w:val="21"/>
                      <w:lang w:val="en-US" w:eastAsia="zh-CN"/>
                    </w:rPr>
                    <w:t>-590</w:t>
                  </w:r>
                </w:p>
              </w:tc>
              <w:tc>
                <w:tcPr>
                  <w:tcW w:w="760" w:type="pct"/>
                  <w:tcBorders>
                    <w:tl2br w:val="nil"/>
                    <w:tr2bl w:val="nil"/>
                  </w:tcBorders>
                  <w:vAlign w:val="center"/>
                </w:tcPr>
                <w:p w14:paraId="1FECBE71">
                  <w:pPr>
                    <w:snapToGrid w:val="0"/>
                    <w:jc w:val="center"/>
                    <w:rPr>
                      <w:rFonts w:hint="default" w:ascii="Times New Roman" w:hAnsi="Times New Roman" w:eastAsia="宋体" w:cs="Times New Roman"/>
                      <w:szCs w:val="21"/>
                      <w:lang w:val="en-US" w:eastAsia="zh-CN"/>
                    </w:rPr>
                  </w:pPr>
                  <w:r>
                    <w:rPr>
                      <w:rFonts w:hint="eastAsia" w:cs="Times New Roman"/>
                      <w:szCs w:val="21"/>
                      <w:lang w:val="en-US" w:eastAsia="zh-CN"/>
                    </w:rPr>
                    <w:t>居民</w:t>
                  </w:r>
                </w:p>
              </w:tc>
              <w:tc>
                <w:tcPr>
                  <w:tcW w:w="492" w:type="pct"/>
                  <w:tcBorders>
                    <w:tl2br w:val="nil"/>
                    <w:tr2bl w:val="nil"/>
                  </w:tcBorders>
                  <w:vAlign w:val="center"/>
                </w:tcPr>
                <w:p w14:paraId="5852BC9B">
                  <w:pPr>
                    <w:spacing w:line="300" w:lineRule="exact"/>
                    <w:jc w:val="center"/>
                    <w:rPr>
                      <w:rFonts w:hint="eastAsia" w:ascii="Times New Roman" w:hAnsi="Times New Roman" w:eastAsia="宋体" w:cs="Times New Roman"/>
                      <w:szCs w:val="21"/>
                      <w:lang w:eastAsia="zh-CN"/>
                    </w:rPr>
                  </w:pPr>
                  <w:r>
                    <w:rPr>
                      <w:rFonts w:hint="eastAsia" w:cs="Times New Roman"/>
                      <w:szCs w:val="21"/>
                      <w:lang w:val="en-US" w:eastAsia="zh-CN"/>
                    </w:rPr>
                    <w:t>S</w:t>
                  </w:r>
                </w:p>
              </w:tc>
              <w:tc>
                <w:tcPr>
                  <w:tcW w:w="684" w:type="pct"/>
                  <w:tcBorders>
                    <w:tl2br w:val="nil"/>
                    <w:tr2bl w:val="nil"/>
                  </w:tcBorders>
                  <w:vAlign w:val="center"/>
                </w:tcPr>
                <w:p w14:paraId="791A720D">
                  <w:pPr>
                    <w:spacing w:line="300" w:lineRule="exact"/>
                    <w:jc w:val="center"/>
                    <w:rPr>
                      <w:rFonts w:hint="default" w:ascii="Times New Roman" w:hAnsi="Times New Roman" w:eastAsia="宋体" w:cs="Times New Roman"/>
                      <w:szCs w:val="21"/>
                      <w:lang w:val="en-US" w:eastAsia="zh-CN"/>
                    </w:rPr>
                  </w:pPr>
                  <w:r>
                    <w:rPr>
                      <w:rFonts w:hint="eastAsia" w:cs="Times New Roman"/>
                      <w:szCs w:val="21"/>
                      <w:lang w:val="en-US" w:eastAsia="zh-CN"/>
                    </w:rPr>
                    <w:t>482m</w:t>
                  </w:r>
                </w:p>
              </w:tc>
              <w:tc>
                <w:tcPr>
                  <w:tcW w:w="714" w:type="pct"/>
                  <w:tcBorders>
                    <w:tl2br w:val="nil"/>
                    <w:tr2bl w:val="nil"/>
                  </w:tcBorders>
                  <w:vAlign w:val="center"/>
                </w:tcPr>
                <w:p w14:paraId="06966492">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二类</w:t>
                  </w:r>
                </w:p>
              </w:tc>
            </w:tr>
            <w:tr w14:paraId="2B2E7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2" w:hRule="atLeast"/>
              </w:trPr>
              <w:tc>
                <w:tcPr>
                  <w:tcW w:w="527" w:type="pct"/>
                  <w:vMerge w:val="restart"/>
                  <w:tcBorders>
                    <w:tl2br w:val="nil"/>
                    <w:tr2bl w:val="nil"/>
                  </w:tcBorders>
                  <w:vAlign w:val="center"/>
                </w:tcPr>
                <w:p w14:paraId="6A628CAC">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水环境</w:t>
                  </w:r>
                </w:p>
              </w:tc>
              <w:tc>
                <w:tcPr>
                  <w:tcW w:w="975" w:type="pct"/>
                  <w:tcBorders>
                    <w:tl2br w:val="nil"/>
                    <w:tr2bl w:val="nil"/>
                  </w:tcBorders>
                  <w:vAlign w:val="center"/>
                </w:tcPr>
                <w:p w14:paraId="61BB92CD">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长江</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芜湖段）</w:t>
                  </w:r>
                </w:p>
              </w:tc>
              <w:tc>
                <w:tcPr>
                  <w:tcW w:w="392" w:type="pct"/>
                  <w:tcBorders>
                    <w:tl2br w:val="nil"/>
                    <w:tr2bl w:val="nil"/>
                  </w:tcBorders>
                  <w:vAlign w:val="center"/>
                </w:tcPr>
                <w:p w14:paraId="73FBA706">
                  <w:pPr>
                    <w:jc w:val="center"/>
                    <w:rPr>
                      <w:rFonts w:hint="default" w:ascii="Times New Roman" w:hAnsi="Times New Roman" w:cs="Times New Roman"/>
                      <w:szCs w:val="21"/>
                    </w:rPr>
                  </w:pPr>
                  <w:r>
                    <w:rPr>
                      <w:rFonts w:hint="default" w:ascii="Times New Roman" w:hAnsi="Times New Roman" w:cs="Times New Roman"/>
                      <w:szCs w:val="21"/>
                    </w:rPr>
                    <w:t>/</w:t>
                  </w:r>
                </w:p>
              </w:tc>
              <w:tc>
                <w:tcPr>
                  <w:tcW w:w="453" w:type="pct"/>
                  <w:tcBorders>
                    <w:tl2br w:val="nil"/>
                    <w:tr2bl w:val="nil"/>
                  </w:tcBorders>
                  <w:vAlign w:val="center"/>
                </w:tcPr>
                <w:p w14:paraId="1843883E">
                  <w:pPr>
                    <w:jc w:val="center"/>
                    <w:rPr>
                      <w:rFonts w:hint="default" w:ascii="Times New Roman" w:hAnsi="Times New Roman" w:cs="Times New Roman"/>
                      <w:szCs w:val="21"/>
                    </w:rPr>
                  </w:pPr>
                  <w:r>
                    <w:rPr>
                      <w:rFonts w:hint="default" w:ascii="Times New Roman" w:hAnsi="Times New Roman" w:cs="Times New Roman"/>
                      <w:szCs w:val="21"/>
                    </w:rPr>
                    <w:t>/</w:t>
                  </w:r>
                </w:p>
              </w:tc>
              <w:tc>
                <w:tcPr>
                  <w:tcW w:w="760" w:type="pct"/>
                  <w:tcBorders>
                    <w:tl2br w:val="nil"/>
                    <w:tr2bl w:val="nil"/>
                  </w:tcBorders>
                  <w:vAlign w:val="center"/>
                </w:tcPr>
                <w:p w14:paraId="71CE7E20">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大型</w:t>
                  </w:r>
                </w:p>
              </w:tc>
              <w:tc>
                <w:tcPr>
                  <w:tcW w:w="492" w:type="pct"/>
                  <w:tcBorders>
                    <w:tl2br w:val="nil"/>
                    <w:tr2bl w:val="nil"/>
                  </w:tcBorders>
                  <w:vAlign w:val="center"/>
                </w:tcPr>
                <w:p w14:paraId="19C97608">
                  <w:pPr>
                    <w:jc w:val="center"/>
                    <w:rPr>
                      <w:rFonts w:hint="eastAsia" w:ascii="Times New Roman" w:hAnsi="Times New Roman" w:eastAsia="宋体" w:cs="Times New Roman"/>
                      <w:szCs w:val="21"/>
                      <w:lang w:eastAsia="zh-CN"/>
                    </w:rPr>
                  </w:pPr>
                  <w:r>
                    <w:rPr>
                      <w:rFonts w:hint="eastAsia" w:cs="Times New Roman"/>
                      <w:szCs w:val="21"/>
                      <w:lang w:val="en-US" w:eastAsia="zh-CN"/>
                    </w:rPr>
                    <w:t>N</w:t>
                  </w:r>
                </w:p>
              </w:tc>
              <w:tc>
                <w:tcPr>
                  <w:tcW w:w="684" w:type="pct"/>
                  <w:tcBorders>
                    <w:tl2br w:val="nil"/>
                    <w:tr2bl w:val="nil"/>
                  </w:tcBorders>
                  <w:vAlign w:val="center"/>
                </w:tcPr>
                <w:p w14:paraId="60C1D3AA">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bCs/>
                      <w:szCs w:val="21"/>
                      <w:lang w:val="en-US" w:eastAsia="zh-CN"/>
                    </w:rPr>
                    <w:t>5.6km</w:t>
                  </w:r>
                </w:p>
              </w:tc>
              <w:tc>
                <w:tcPr>
                  <w:tcW w:w="714" w:type="pct"/>
                  <w:tcBorders>
                    <w:tl2br w:val="nil"/>
                    <w:tr2bl w:val="nil"/>
                  </w:tcBorders>
                  <w:vAlign w:val="center"/>
                </w:tcPr>
                <w:p w14:paraId="06E21AE5">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Ⅲ类</w:t>
                  </w:r>
                </w:p>
              </w:tc>
            </w:tr>
            <w:tr w14:paraId="389EF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0" w:hRule="atLeast"/>
              </w:trPr>
              <w:tc>
                <w:tcPr>
                  <w:tcW w:w="527" w:type="pct"/>
                  <w:vMerge w:val="continue"/>
                  <w:tcBorders>
                    <w:tl2br w:val="nil"/>
                    <w:tr2bl w:val="nil"/>
                  </w:tcBorders>
                  <w:vAlign w:val="center"/>
                </w:tcPr>
                <w:p w14:paraId="51659CE5">
                  <w:pPr>
                    <w:adjustRightInd w:val="0"/>
                    <w:snapToGrid w:val="0"/>
                    <w:jc w:val="center"/>
                    <w:rPr>
                      <w:rFonts w:hint="default" w:ascii="Times New Roman" w:hAnsi="Times New Roman" w:cs="Times New Roman"/>
                      <w:szCs w:val="21"/>
                    </w:rPr>
                  </w:pPr>
                </w:p>
              </w:tc>
              <w:tc>
                <w:tcPr>
                  <w:tcW w:w="975" w:type="pct"/>
                  <w:tcBorders>
                    <w:tl2br w:val="nil"/>
                    <w:tr2bl w:val="nil"/>
                  </w:tcBorders>
                  <w:vAlign w:val="center"/>
                </w:tcPr>
                <w:p w14:paraId="10F9DE89">
                  <w:pPr>
                    <w:jc w:val="center"/>
                    <w:rPr>
                      <w:rFonts w:hint="default" w:ascii="Times New Roman" w:hAnsi="Times New Roman" w:eastAsia="宋体" w:cs="Times New Roman"/>
                      <w:szCs w:val="21"/>
                      <w:lang w:val="en-US" w:eastAsia="zh-CN"/>
                    </w:rPr>
                  </w:pPr>
                  <w:r>
                    <w:rPr>
                      <w:rFonts w:hint="eastAsia" w:cs="Times New Roman"/>
                      <w:szCs w:val="21"/>
                      <w:lang w:val="en-US" w:eastAsia="zh-CN"/>
                    </w:rPr>
                    <w:t>龙窝</w:t>
                  </w:r>
                  <w:r>
                    <w:rPr>
                      <w:rFonts w:hint="default" w:ascii="Times New Roman" w:hAnsi="Times New Roman" w:cs="Times New Roman"/>
                      <w:szCs w:val="21"/>
                      <w:lang w:val="en-US" w:eastAsia="zh-CN"/>
                    </w:rPr>
                    <w:t>河</w:t>
                  </w:r>
                </w:p>
              </w:tc>
              <w:tc>
                <w:tcPr>
                  <w:tcW w:w="392" w:type="pct"/>
                  <w:tcBorders>
                    <w:tl2br w:val="nil"/>
                    <w:tr2bl w:val="nil"/>
                  </w:tcBorders>
                  <w:vAlign w:val="center"/>
                </w:tcPr>
                <w:p w14:paraId="0FBBD6D0">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453" w:type="pct"/>
                  <w:tcBorders>
                    <w:tl2br w:val="nil"/>
                    <w:tr2bl w:val="nil"/>
                  </w:tcBorders>
                  <w:vAlign w:val="center"/>
                </w:tcPr>
                <w:p w14:paraId="25B6F7DB">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760" w:type="pct"/>
                  <w:tcBorders>
                    <w:tl2br w:val="nil"/>
                    <w:tr2bl w:val="nil"/>
                  </w:tcBorders>
                  <w:vAlign w:val="center"/>
                </w:tcPr>
                <w:p w14:paraId="1B939D8B">
                  <w:pPr>
                    <w:jc w:val="center"/>
                    <w:rPr>
                      <w:rFonts w:hint="default" w:ascii="Times New Roman" w:hAnsi="Times New Roman" w:eastAsia="宋体" w:cs="Times New Roman"/>
                      <w:szCs w:val="21"/>
                      <w:lang w:val="en-US" w:eastAsia="zh-CN"/>
                    </w:rPr>
                  </w:pPr>
                  <w:r>
                    <w:rPr>
                      <w:rFonts w:hint="eastAsia" w:cs="Times New Roman"/>
                      <w:szCs w:val="21"/>
                      <w:lang w:val="en-US" w:eastAsia="zh-CN"/>
                    </w:rPr>
                    <w:t>小</w:t>
                  </w:r>
                  <w:r>
                    <w:rPr>
                      <w:rFonts w:hint="default" w:ascii="Times New Roman" w:hAnsi="Times New Roman" w:cs="Times New Roman"/>
                      <w:szCs w:val="21"/>
                      <w:lang w:val="en-US" w:eastAsia="zh-CN"/>
                    </w:rPr>
                    <w:t>型</w:t>
                  </w:r>
                </w:p>
              </w:tc>
              <w:tc>
                <w:tcPr>
                  <w:tcW w:w="492" w:type="pct"/>
                  <w:tcBorders>
                    <w:tl2br w:val="nil"/>
                    <w:tr2bl w:val="nil"/>
                  </w:tcBorders>
                  <w:vAlign w:val="center"/>
                </w:tcPr>
                <w:p w14:paraId="4384DC00">
                  <w:pPr>
                    <w:jc w:val="center"/>
                    <w:rPr>
                      <w:rFonts w:hint="default" w:ascii="Times New Roman" w:hAnsi="Times New Roman" w:eastAsia="宋体" w:cs="Times New Roman"/>
                      <w:szCs w:val="21"/>
                      <w:lang w:val="en-US" w:eastAsia="zh-CN"/>
                    </w:rPr>
                  </w:pPr>
                  <w:r>
                    <w:rPr>
                      <w:rFonts w:hint="eastAsia" w:cs="Times New Roman"/>
                      <w:szCs w:val="21"/>
                      <w:lang w:val="en-US" w:eastAsia="zh-CN"/>
                    </w:rPr>
                    <w:t>NE</w:t>
                  </w:r>
                </w:p>
              </w:tc>
              <w:tc>
                <w:tcPr>
                  <w:tcW w:w="684" w:type="pct"/>
                  <w:tcBorders>
                    <w:tl2br w:val="nil"/>
                    <w:tr2bl w:val="nil"/>
                  </w:tcBorders>
                  <w:vAlign w:val="center"/>
                </w:tcPr>
                <w:p w14:paraId="0B15E3F1">
                  <w:pPr>
                    <w:jc w:val="center"/>
                    <w:rPr>
                      <w:rFonts w:hint="default" w:ascii="Times New Roman" w:hAnsi="Times New Roman" w:eastAsia="宋体" w:cs="Times New Roman"/>
                      <w:szCs w:val="21"/>
                      <w:lang w:val="en-US" w:eastAsia="zh-CN"/>
                    </w:rPr>
                  </w:pPr>
                  <w:r>
                    <w:rPr>
                      <w:rFonts w:hint="eastAsia" w:cs="Times New Roman"/>
                      <w:szCs w:val="21"/>
                      <w:lang w:val="en-US" w:eastAsia="zh-CN"/>
                    </w:rPr>
                    <w:t>7.5k</w:t>
                  </w:r>
                  <w:r>
                    <w:rPr>
                      <w:rFonts w:hint="default" w:ascii="Times New Roman" w:hAnsi="Times New Roman" w:cs="Times New Roman"/>
                      <w:szCs w:val="21"/>
                      <w:lang w:val="en-US" w:eastAsia="zh-CN"/>
                    </w:rPr>
                    <w:t>m</w:t>
                  </w:r>
                </w:p>
              </w:tc>
              <w:tc>
                <w:tcPr>
                  <w:tcW w:w="714" w:type="pct"/>
                  <w:tcBorders>
                    <w:tl2br w:val="nil"/>
                    <w:tr2bl w:val="nil"/>
                  </w:tcBorders>
                  <w:vAlign w:val="center"/>
                </w:tcPr>
                <w:p w14:paraId="3EB187B9">
                  <w:pPr>
                    <w:adjustRightInd w:val="0"/>
                    <w:snapToGrid w:val="0"/>
                    <w:jc w:val="center"/>
                    <w:rPr>
                      <w:rFonts w:hint="default" w:ascii="Times New Roman" w:hAnsi="Times New Roman" w:eastAsia="微软雅黑" w:cs="Times New Roman"/>
                      <w:szCs w:val="21"/>
                      <w:lang w:val="en-US" w:eastAsia="zh-CN"/>
                    </w:rPr>
                  </w:pPr>
                  <w:r>
                    <w:rPr>
                      <w:rFonts w:hint="default" w:ascii="Times New Roman" w:hAnsi="Times New Roman" w:eastAsia="宋体" w:cs="Times New Roman"/>
                      <w:szCs w:val="21"/>
                    </w:rPr>
                    <w:t>Ⅳ</w:t>
                  </w:r>
                  <w:r>
                    <w:rPr>
                      <w:rFonts w:hint="default" w:ascii="Times New Roman" w:hAnsi="Times New Roman" w:eastAsia="宋体" w:cs="Times New Roman"/>
                      <w:szCs w:val="21"/>
                      <w:lang w:val="en-US" w:eastAsia="zh-CN"/>
                    </w:rPr>
                    <w:t>类</w:t>
                  </w:r>
                </w:p>
              </w:tc>
            </w:tr>
            <w:tr w14:paraId="478C8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0" w:hRule="atLeast"/>
              </w:trPr>
              <w:tc>
                <w:tcPr>
                  <w:tcW w:w="527" w:type="pct"/>
                  <w:tcBorders>
                    <w:tl2br w:val="nil"/>
                    <w:tr2bl w:val="nil"/>
                  </w:tcBorders>
                  <w:vAlign w:val="center"/>
                </w:tcPr>
                <w:p w14:paraId="174E889B">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声环境</w:t>
                  </w:r>
                </w:p>
              </w:tc>
              <w:tc>
                <w:tcPr>
                  <w:tcW w:w="975" w:type="pct"/>
                  <w:tcBorders>
                    <w:tl2br w:val="nil"/>
                    <w:tr2bl w:val="nil"/>
                  </w:tcBorders>
                  <w:vAlign w:val="center"/>
                </w:tcPr>
                <w:p w14:paraId="3ADB5B1B">
                  <w:pPr>
                    <w:spacing w:line="300" w:lineRule="exact"/>
                    <w:jc w:val="center"/>
                    <w:rPr>
                      <w:rFonts w:hint="default" w:ascii="Times New Roman" w:hAnsi="Times New Roman" w:cs="Times New Roman"/>
                      <w:szCs w:val="21"/>
                    </w:rPr>
                  </w:pPr>
                  <w:r>
                    <w:rPr>
                      <w:rFonts w:hint="default" w:ascii="Times New Roman" w:hAnsi="Times New Roman" w:cs="Times New Roman"/>
                      <w:szCs w:val="21"/>
                    </w:rPr>
                    <w:t>厂界</w:t>
                  </w:r>
                </w:p>
              </w:tc>
              <w:tc>
                <w:tcPr>
                  <w:tcW w:w="392" w:type="pct"/>
                  <w:tcBorders>
                    <w:tl2br w:val="nil"/>
                    <w:tr2bl w:val="nil"/>
                  </w:tcBorders>
                  <w:vAlign w:val="center"/>
                </w:tcPr>
                <w:p w14:paraId="0C42E883">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453" w:type="pct"/>
                  <w:tcBorders>
                    <w:tl2br w:val="nil"/>
                    <w:tr2bl w:val="nil"/>
                  </w:tcBorders>
                  <w:vAlign w:val="center"/>
                </w:tcPr>
                <w:p w14:paraId="7DDEAAED">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760" w:type="pct"/>
                  <w:tcBorders>
                    <w:tl2br w:val="nil"/>
                    <w:tr2bl w:val="nil"/>
                  </w:tcBorders>
                  <w:vAlign w:val="center"/>
                </w:tcPr>
                <w:p w14:paraId="62502EEC">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492" w:type="pct"/>
                  <w:tcBorders>
                    <w:tl2br w:val="nil"/>
                    <w:tr2bl w:val="nil"/>
                  </w:tcBorders>
                  <w:vAlign w:val="center"/>
                </w:tcPr>
                <w:p w14:paraId="3924F212">
                  <w:pPr>
                    <w:jc w:val="center"/>
                    <w:rPr>
                      <w:rFonts w:hint="default" w:ascii="Times New Roman" w:hAnsi="Times New Roman" w:cs="Times New Roman"/>
                      <w:bCs/>
                      <w:szCs w:val="21"/>
                    </w:rPr>
                  </w:pPr>
                  <w:r>
                    <w:rPr>
                      <w:rFonts w:hint="default" w:ascii="Times New Roman" w:hAnsi="Times New Roman" w:cs="Times New Roman"/>
                      <w:bCs/>
                      <w:szCs w:val="21"/>
                    </w:rPr>
                    <w:t>/</w:t>
                  </w:r>
                </w:p>
              </w:tc>
              <w:tc>
                <w:tcPr>
                  <w:tcW w:w="684" w:type="pct"/>
                  <w:tcBorders>
                    <w:tl2br w:val="nil"/>
                    <w:tr2bl w:val="nil"/>
                  </w:tcBorders>
                  <w:vAlign w:val="center"/>
                </w:tcPr>
                <w:p w14:paraId="59676A50">
                  <w:pPr>
                    <w:jc w:val="center"/>
                    <w:rPr>
                      <w:rFonts w:hint="default" w:ascii="Times New Roman" w:hAnsi="Times New Roman" w:eastAsia="宋体" w:cs="Times New Roman"/>
                      <w:bCs/>
                      <w:szCs w:val="21"/>
                      <w:lang w:val="en-US" w:eastAsia="zh-CN"/>
                    </w:rPr>
                  </w:pPr>
                  <w:r>
                    <w:rPr>
                      <w:rFonts w:hint="default" w:ascii="Times New Roman" w:hAnsi="Times New Roman" w:cs="Times New Roman"/>
                      <w:bCs/>
                      <w:szCs w:val="21"/>
                    </w:rPr>
                    <w:t>1</w:t>
                  </w:r>
                  <w:r>
                    <w:rPr>
                      <w:rFonts w:hint="default" w:ascii="Times New Roman" w:hAnsi="Times New Roman" w:cs="Times New Roman"/>
                      <w:bCs/>
                      <w:szCs w:val="21"/>
                      <w:lang w:val="en-US" w:eastAsia="zh-CN"/>
                    </w:rPr>
                    <w:t>m</w:t>
                  </w:r>
                </w:p>
              </w:tc>
              <w:tc>
                <w:tcPr>
                  <w:tcW w:w="714" w:type="pct"/>
                  <w:tcBorders>
                    <w:tl2br w:val="nil"/>
                    <w:tr2bl w:val="nil"/>
                  </w:tcBorders>
                  <w:vAlign w:val="center"/>
                </w:tcPr>
                <w:p w14:paraId="6F666DBB">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3类</w:t>
                  </w:r>
                </w:p>
              </w:tc>
            </w:tr>
          </w:tbl>
          <w:p w14:paraId="3C7702A1">
            <w:pPr>
              <w:adjustRightInd w:val="0"/>
              <w:snapToGrid w:val="0"/>
              <w:ind w:firstLine="210" w:firstLineChars="100"/>
              <w:rPr>
                <w:szCs w:val="21"/>
              </w:rPr>
            </w:pPr>
            <w:r>
              <w:rPr>
                <w:rFonts w:cs="宋体"/>
                <w:kern w:val="0"/>
                <w:szCs w:val="21"/>
              </w:rPr>
              <w:t>注：</w:t>
            </w:r>
            <w:r>
              <w:rPr>
                <w:rFonts w:hint="eastAsia"/>
                <w:szCs w:val="21"/>
              </w:rPr>
              <w:t>本项目以厂址中心为坐标原点，正东为X轴正方向，正北为Y轴正方向，其中环境空气保护目标坐标取距离厂址最近点位位置。</w:t>
            </w:r>
          </w:p>
        </w:tc>
      </w:tr>
      <w:tr w14:paraId="6BFBB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34" w:type="dxa"/>
            <w:tcMar>
              <w:left w:w="28" w:type="dxa"/>
              <w:right w:w="28" w:type="dxa"/>
            </w:tcMar>
            <w:vAlign w:val="center"/>
          </w:tcPr>
          <w:p w14:paraId="4A54F7C1">
            <w:pPr>
              <w:autoSpaceDE w:val="0"/>
              <w:autoSpaceDN w:val="0"/>
              <w:adjustRightInd w:val="0"/>
              <w:snapToGrid w:val="0"/>
              <w:jc w:val="center"/>
              <w:rPr>
                <w:rFonts w:cs="宋体"/>
                <w:kern w:val="0"/>
                <w:sz w:val="24"/>
              </w:rPr>
            </w:pPr>
            <w:r>
              <w:rPr>
                <w:rFonts w:hint="eastAsia" w:cs="宋体"/>
                <w:kern w:val="0"/>
                <w:sz w:val="24"/>
              </w:rPr>
              <w:t>污染</w:t>
            </w:r>
          </w:p>
          <w:p w14:paraId="38B1818D">
            <w:pPr>
              <w:autoSpaceDE w:val="0"/>
              <w:autoSpaceDN w:val="0"/>
              <w:adjustRightInd w:val="0"/>
              <w:snapToGrid w:val="0"/>
              <w:jc w:val="center"/>
              <w:rPr>
                <w:rFonts w:cs="宋体"/>
                <w:kern w:val="0"/>
                <w:sz w:val="24"/>
              </w:rPr>
            </w:pPr>
            <w:r>
              <w:rPr>
                <w:rFonts w:hint="eastAsia" w:cs="宋体"/>
                <w:kern w:val="0"/>
                <w:sz w:val="24"/>
              </w:rPr>
              <w:t>物排</w:t>
            </w:r>
          </w:p>
          <w:p w14:paraId="0CC3E148">
            <w:pPr>
              <w:autoSpaceDE w:val="0"/>
              <w:autoSpaceDN w:val="0"/>
              <w:adjustRightInd w:val="0"/>
              <w:snapToGrid w:val="0"/>
              <w:jc w:val="center"/>
              <w:rPr>
                <w:rFonts w:cs="宋体"/>
                <w:kern w:val="0"/>
                <w:sz w:val="24"/>
              </w:rPr>
            </w:pPr>
            <w:r>
              <w:rPr>
                <w:rFonts w:hint="eastAsia" w:cs="宋体"/>
                <w:kern w:val="0"/>
                <w:sz w:val="24"/>
              </w:rPr>
              <w:t>放控</w:t>
            </w:r>
          </w:p>
          <w:p w14:paraId="51A63F94">
            <w:pPr>
              <w:autoSpaceDE w:val="0"/>
              <w:autoSpaceDN w:val="0"/>
              <w:adjustRightInd w:val="0"/>
              <w:snapToGrid w:val="0"/>
              <w:jc w:val="center"/>
              <w:rPr>
                <w:rFonts w:cs="宋体"/>
                <w:kern w:val="0"/>
                <w:sz w:val="24"/>
              </w:rPr>
            </w:pPr>
            <w:r>
              <w:rPr>
                <w:rFonts w:hint="eastAsia" w:cs="宋体"/>
                <w:kern w:val="0"/>
                <w:sz w:val="24"/>
              </w:rPr>
              <w:t>制标</w:t>
            </w:r>
          </w:p>
          <w:p w14:paraId="71E1E1FC">
            <w:pPr>
              <w:autoSpaceDE w:val="0"/>
              <w:autoSpaceDN w:val="0"/>
              <w:adjustRightInd w:val="0"/>
              <w:snapToGrid w:val="0"/>
              <w:jc w:val="center"/>
              <w:rPr>
                <w:rFonts w:cs="宋体"/>
                <w:kern w:val="0"/>
                <w:sz w:val="24"/>
              </w:rPr>
            </w:pPr>
            <w:r>
              <w:rPr>
                <w:rFonts w:hint="eastAsia" w:cs="宋体"/>
                <w:kern w:val="0"/>
                <w:sz w:val="24"/>
              </w:rPr>
              <w:t>准</w:t>
            </w:r>
          </w:p>
        </w:tc>
        <w:tc>
          <w:tcPr>
            <w:tcW w:w="8527" w:type="dxa"/>
            <w:vAlign w:val="center"/>
          </w:tcPr>
          <w:p w14:paraId="01A77CDB">
            <w:pPr>
              <w:spacing w:line="360" w:lineRule="auto"/>
              <w:ind w:firstLine="482" w:firstLineChars="200"/>
              <w:rPr>
                <w:b/>
                <w:kern w:val="0"/>
                <w:sz w:val="24"/>
                <w:szCs w:val="20"/>
              </w:rPr>
            </w:pPr>
            <w:r>
              <w:rPr>
                <w:b/>
                <w:kern w:val="0"/>
                <w:sz w:val="24"/>
                <w:szCs w:val="20"/>
              </w:rPr>
              <w:t>1、废气</w:t>
            </w:r>
          </w:p>
          <w:p w14:paraId="1463AF4B">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both"/>
              <w:textAlignment w:val="auto"/>
              <w:rPr>
                <w:rFonts w:hint="default"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（1）施工期</w:t>
            </w:r>
          </w:p>
          <w:p w14:paraId="2A5C8D9A">
            <w:pPr>
              <w:autoSpaceDE w:val="0"/>
              <w:autoSpaceDN w:val="0"/>
              <w:adjustRightInd w:val="0"/>
              <w:spacing w:line="360" w:lineRule="auto"/>
              <w:ind w:firstLine="480" w:firstLineChars="200"/>
              <w:jc w:val="left"/>
              <w:rPr>
                <w:color w:val="auto"/>
                <w:kern w:val="0"/>
                <w:sz w:val="24"/>
              </w:rPr>
            </w:pPr>
            <w:r>
              <w:rPr>
                <w:color w:val="auto"/>
                <w:kern w:val="0"/>
                <w:sz w:val="24"/>
              </w:rPr>
              <w:t>本项目</w:t>
            </w:r>
            <w:r>
              <w:rPr>
                <w:rFonts w:hint="eastAsia"/>
                <w:color w:val="auto"/>
                <w:kern w:val="0"/>
                <w:sz w:val="24"/>
              </w:rPr>
              <w:t>施工期场地颗粒物排放执行《施工场地颗粒物排放标准》（D</w:t>
            </w:r>
            <w:r>
              <w:rPr>
                <w:color w:val="auto"/>
                <w:kern w:val="0"/>
                <w:sz w:val="24"/>
              </w:rPr>
              <w:t>B34/4811-2024</w:t>
            </w:r>
            <w:r>
              <w:rPr>
                <w:rFonts w:hint="eastAsia"/>
                <w:color w:val="auto"/>
                <w:kern w:val="0"/>
                <w:sz w:val="24"/>
              </w:rPr>
              <w:t>）中表1中监测点颗粒物排放要求，具体</w:t>
            </w:r>
            <w:r>
              <w:rPr>
                <w:color w:val="auto"/>
                <w:kern w:val="0"/>
                <w:sz w:val="24"/>
              </w:rPr>
              <w:t>见</w:t>
            </w:r>
            <w:r>
              <w:rPr>
                <w:rFonts w:hint="eastAsia"/>
                <w:color w:val="auto"/>
                <w:kern w:val="0"/>
                <w:sz w:val="24"/>
                <w:lang w:val="en-US" w:eastAsia="zh-CN"/>
              </w:rPr>
              <w:t>下表</w:t>
            </w:r>
            <w:r>
              <w:rPr>
                <w:color w:val="auto"/>
                <w:kern w:val="0"/>
                <w:sz w:val="24"/>
              </w:rPr>
              <w:t>。</w:t>
            </w:r>
          </w:p>
          <w:p w14:paraId="2134D7C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color w:val="000000"/>
                <w:sz w:val="24"/>
                <w:highlight w:val="none"/>
              </w:rPr>
            </w:pPr>
            <w:r>
              <w:rPr>
                <w:rFonts w:hint="default" w:ascii="Times New Roman" w:hAnsi="Times New Roman" w:eastAsia="宋体" w:cs="Times New Roman"/>
                <w:b/>
                <w:color w:val="000000"/>
                <w:sz w:val="24"/>
                <w:highlight w:val="none"/>
                <w:lang w:val="en-US" w:eastAsia="zh-CN"/>
              </w:rPr>
              <w:t>表3-</w:t>
            </w:r>
            <w:r>
              <w:rPr>
                <w:rFonts w:hint="eastAsia" w:ascii="Times New Roman" w:hAnsi="Times New Roman" w:eastAsia="宋体" w:cs="Times New Roman"/>
                <w:b/>
                <w:color w:val="000000"/>
                <w:sz w:val="24"/>
                <w:highlight w:val="none"/>
                <w:lang w:val="en-US" w:eastAsia="zh-CN"/>
              </w:rPr>
              <w:t xml:space="preserve">4  </w:t>
            </w:r>
            <w:r>
              <w:rPr>
                <w:rFonts w:hint="eastAsia" w:ascii="Times New Roman" w:hAnsi="Times New Roman" w:eastAsia="宋体" w:cs="Times New Roman"/>
                <w:b/>
                <w:color w:val="000000"/>
                <w:sz w:val="24"/>
                <w:highlight w:val="none"/>
              </w:rPr>
              <w:t>施工场地颗粒物排放标准</w:t>
            </w:r>
          </w:p>
          <w:tbl>
            <w:tblPr>
              <w:tblStyle w:val="5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617"/>
              <w:gridCol w:w="1986"/>
              <w:gridCol w:w="2904"/>
            </w:tblGrid>
            <w:tr w14:paraId="1F05CD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3" w:type="pct"/>
                  <w:tcBorders>
                    <w:tl2br w:val="nil"/>
                    <w:tr2bl w:val="nil"/>
                  </w:tcBorders>
                  <w:noWrap w:val="0"/>
                  <w:vAlign w:val="center"/>
                </w:tcPr>
                <w:p w14:paraId="031B1A72">
                  <w:pPr>
                    <w:jc w:val="center"/>
                    <w:rPr>
                      <w:b/>
                      <w:color w:val="auto"/>
                      <w:szCs w:val="21"/>
                    </w:rPr>
                  </w:pPr>
                  <w:r>
                    <w:rPr>
                      <w:rFonts w:hint="eastAsia"/>
                      <w:b/>
                      <w:color w:val="auto"/>
                      <w:szCs w:val="21"/>
                    </w:rPr>
                    <w:t>控制项目</w:t>
                  </w:r>
                </w:p>
              </w:tc>
              <w:tc>
                <w:tcPr>
                  <w:tcW w:w="973" w:type="pct"/>
                  <w:tcBorders>
                    <w:tl2br w:val="nil"/>
                    <w:tr2bl w:val="nil"/>
                  </w:tcBorders>
                  <w:noWrap w:val="0"/>
                  <w:vAlign w:val="center"/>
                </w:tcPr>
                <w:p w14:paraId="75EF5ACF">
                  <w:pPr>
                    <w:ind w:left="-105" w:leftChars="-50" w:right="-105" w:rightChars="-50"/>
                    <w:jc w:val="center"/>
                    <w:rPr>
                      <w:b/>
                      <w:color w:val="auto"/>
                      <w:szCs w:val="21"/>
                    </w:rPr>
                  </w:pPr>
                  <w:r>
                    <w:rPr>
                      <w:rFonts w:hint="eastAsia"/>
                      <w:b/>
                      <w:color w:val="auto"/>
                      <w:szCs w:val="21"/>
                    </w:rPr>
                    <w:t>单位</w:t>
                  </w:r>
                </w:p>
              </w:tc>
              <w:tc>
                <w:tcPr>
                  <w:tcW w:w="1195" w:type="pct"/>
                  <w:tcBorders>
                    <w:tl2br w:val="nil"/>
                    <w:tr2bl w:val="nil"/>
                  </w:tcBorders>
                  <w:noWrap w:val="0"/>
                  <w:vAlign w:val="center"/>
                </w:tcPr>
                <w:p w14:paraId="6337FC51">
                  <w:pPr>
                    <w:ind w:left="-105" w:leftChars="-50" w:right="-105" w:rightChars="-50"/>
                    <w:jc w:val="center"/>
                    <w:rPr>
                      <w:b/>
                      <w:color w:val="auto"/>
                      <w:szCs w:val="21"/>
                    </w:rPr>
                  </w:pPr>
                  <w:r>
                    <w:rPr>
                      <w:rFonts w:hint="eastAsia"/>
                      <w:b/>
                      <w:color w:val="auto"/>
                      <w:szCs w:val="21"/>
                    </w:rPr>
                    <w:t>监测点浓度限值</w:t>
                  </w:r>
                </w:p>
              </w:tc>
              <w:tc>
                <w:tcPr>
                  <w:tcW w:w="1747" w:type="pct"/>
                  <w:tcBorders>
                    <w:tl2br w:val="nil"/>
                    <w:tr2bl w:val="nil"/>
                  </w:tcBorders>
                  <w:noWrap w:val="0"/>
                  <w:vAlign w:val="center"/>
                </w:tcPr>
                <w:p w14:paraId="64B295B1">
                  <w:pPr>
                    <w:ind w:left="-105" w:leftChars="-50" w:right="-105" w:rightChars="-50"/>
                    <w:jc w:val="center"/>
                    <w:rPr>
                      <w:b/>
                      <w:color w:val="auto"/>
                      <w:szCs w:val="21"/>
                    </w:rPr>
                  </w:pPr>
                  <w:r>
                    <w:rPr>
                      <w:rFonts w:hint="eastAsia"/>
                      <w:b/>
                      <w:color w:val="auto"/>
                      <w:szCs w:val="21"/>
                    </w:rPr>
                    <w:t>达标判定依据</w:t>
                  </w:r>
                </w:p>
              </w:tc>
            </w:tr>
            <w:tr w14:paraId="5D2F44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3" w:type="pct"/>
                  <w:vMerge w:val="restart"/>
                  <w:tcBorders>
                    <w:tl2br w:val="nil"/>
                    <w:tr2bl w:val="nil"/>
                  </w:tcBorders>
                  <w:noWrap w:val="0"/>
                  <w:vAlign w:val="center"/>
                </w:tcPr>
                <w:p w14:paraId="23481844">
                  <w:pPr>
                    <w:jc w:val="center"/>
                    <w:rPr>
                      <w:color w:val="auto"/>
                      <w:szCs w:val="21"/>
                    </w:rPr>
                  </w:pPr>
                  <w:r>
                    <w:rPr>
                      <w:rFonts w:hint="eastAsia"/>
                      <w:color w:val="auto"/>
                      <w:szCs w:val="21"/>
                    </w:rPr>
                    <w:t>T</w:t>
                  </w:r>
                  <w:r>
                    <w:rPr>
                      <w:color w:val="auto"/>
                      <w:szCs w:val="21"/>
                    </w:rPr>
                    <w:t>SP</w:t>
                  </w:r>
                </w:p>
              </w:tc>
              <w:tc>
                <w:tcPr>
                  <w:tcW w:w="973" w:type="pct"/>
                  <w:vMerge w:val="restart"/>
                  <w:tcBorders>
                    <w:tl2br w:val="nil"/>
                    <w:tr2bl w:val="nil"/>
                  </w:tcBorders>
                  <w:noWrap w:val="0"/>
                  <w:vAlign w:val="center"/>
                </w:tcPr>
                <w:p w14:paraId="720A358F">
                  <w:pPr>
                    <w:ind w:left="-105" w:leftChars="-50" w:right="-105" w:rightChars="-50"/>
                    <w:jc w:val="center"/>
                    <w:rPr>
                      <w:color w:val="auto"/>
                      <w:szCs w:val="21"/>
                    </w:rPr>
                  </w:pPr>
                  <w:r>
                    <w:rPr>
                      <w:rFonts w:hint="default" w:ascii="Times New Roman" w:hAnsi="Times New Roman" w:cs="Times New Roman"/>
                      <w:b w:val="0"/>
                      <w:bCs w:val="0"/>
                      <w:color w:val="auto"/>
                      <w:szCs w:val="21"/>
                    </w:rPr>
                    <w:t>µ</w:t>
                  </w:r>
                  <w:r>
                    <w:rPr>
                      <w:b w:val="0"/>
                      <w:bCs w:val="0"/>
                      <w:color w:val="auto"/>
                      <w:szCs w:val="21"/>
                    </w:rPr>
                    <w:t>g/m</w:t>
                  </w:r>
                  <w:r>
                    <w:rPr>
                      <w:b w:val="0"/>
                      <w:bCs w:val="0"/>
                      <w:color w:val="auto"/>
                      <w:szCs w:val="21"/>
                      <w:vertAlign w:val="superscript"/>
                    </w:rPr>
                    <w:t>3</w:t>
                  </w:r>
                </w:p>
              </w:tc>
              <w:tc>
                <w:tcPr>
                  <w:tcW w:w="1195" w:type="pct"/>
                  <w:tcBorders>
                    <w:tl2br w:val="nil"/>
                    <w:tr2bl w:val="nil"/>
                  </w:tcBorders>
                  <w:noWrap w:val="0"/>
                  <w:vAlign w:val="center"/>
                </w:tcPr>
                <w:p w14:paraId="157569FE">
                  <w:pPr>
                    <w:ind w:left="-105" w:leftChars="-50" w:right="-105" w:rightChars="-50"/>
                    <w:jc w:val="center"/>
                    <w:rPr>
                      <w:color w:val="auto"/>
                      <w:szCs w:val="21"/>
                    </w:rPr>
                  </w:pPr>
                  <w:r>
                    <w:rPr>
                      <w:rFonts w:hint="eastAsia"/>
                      <w:color w:val="auto"/>
                      <w:szCs w:val="21"/>
                    </w:rPr>
                    <w:t>1</w:t>
                  </w:r>
                  <w:r>
                    <w:rPr>
                      <w:color w:val="auto"/>
                      <w:szCs w:val="21"/>
                    </w:rPr>
                    <w:t>000</w:t>
                  </w:r>
                </w:p>
              </w:tc>
              <w:tc>
                <w:tcPr>
                  <w:tcW w:w="1747" w:type="pct"/>
                  <w:tcBorders>
                    <w:tl2br w:val="nil"/>
                    <w:tr2bl w:val="nil"/>
                  </w:tcBorders>
                  <w:noWrap w:val="0"/>
                  <w:vAlign w:val="center"/>
                </w:tcPr>
                <w:p w14:paraId="1D9FCAF3">
                  <w:pPr>
                    <w:ind w:left="-105" w:leftChars="-50" w:right="-105" w:rightChars="-50"/>
                    <w:jc w:val="center"/>
                    <w:rPr>
                      <w:color w:val="auto"/>
                      <w:szCs w:val="21"/>
                    </w:rPr>
                  </w:pPr>
                  <w:r>
                    <w:rPr>
                      <w:rFonts w:hint="eastAsia"/>
                      <w:color w:val="auto"/>
                      <w:szCs w:val="21"/>
                    </w:rPr>
                    <w:t>超标次数≤</w:t>
                  </w:r>
                  <w:r>
                    <w:rPr>
                      <w:color w:val="auto"/>
                      <w:szCs w:val="21"/>
                    </w:rPr>
                    <w:t>1</w:t>
                  </w:r>
                  <w:r>
                    <w:rPr>
                      <w:rFonts w:hint="eastAsia"/>
                      <w:color w:val="auto"/>
                      <w:szCs w:val="21"/>
                    </w:rPr>
                    <w:t>次/日</w:t>
                  </w:r>
                </w:p>
              </w:tc>
            </w:tr>
            <w:tr w14:paraId="569654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pct"/>
                  <w:vMerge w:val="continue"/>
                  <w:tcBorders>
                    <w:tl2br w:val="nil"/>
                    <w:tr2bl w:val="nil"/>
                  </w:tcBorders>
                  <w:noWrap w:val="0"/>
                  <w:vAlign w:val="center"/>
                </w:tcPr>
                <w:p w14:paraId="3358B9C2">
                  <w:pPr>
                    <w:jc w:val="center"/>
                    <w:rPr>
                      <w:color w:val="auto"/>
                      <w:szCs w:val="21"/>
                    </w:rPr>
                  </w:pPr>
                </w:p>
              </w:tc>
              <w:tc>
                <w:tcPr>
                  <w:tcW w:w="973" w:type="pct"/>
                  <w:vMerge w:val="continue"/>
                  <w:tcBorders>
                    <w:tl2br w:val="nil"/>
                    <w:tr2bl w:val="nil"/>
                  </w:tcBorders>
                  <w:noWrap w:val="0"/>
                  <w:vAlign w:val="center"/>
                </w:tcPr>
                <w:p w14:paraId="6D53E67D">
                  <w:pPr>
                    <w:ind w:left="-105" w:leftChars="-50" w:right="-105" w:rightChars="-50"/>
                    <w:jc w:val="center"/>
                    <w:rPr>
                      <w:color w:val="auto"/>
                      <w:szCs w:val="21"/>
                    </w:rPr>
                  </w:pPr>
                </w:p>
              </w:tc>
              <w:tc>
                <w:tcPr>
                  <w:tcW w:w="1195" w:type="pct"/>
                  <w:tcBorders>
                    <w:tl2br w:val="nil"/>
                    <w:tr2bl w:val="nil"/>
                  </w:tcBorders>
                  <w:noWrap w:val="0"/>
                  <w:vAlign w:val="center"/>
                </w:tcPr>
                <w:p w14:paraId="0839231B">
                  <w:pPr>
                    <w:ind w:left="-105" w:leftChars="-50" w:right="-105" w:rightChars="-50"/>
                    <w:jc w:val="center"/>
                    <w:rPr>
                      <w:color w:val="auto"/>
                      <w:szCs w:val="21"/>
                    </w:rPr>
                  </w:pPr>
                  <w:r>
                    <w:rPr>
                      <w:rFonts w:hint="eastAsia"/>
                      <w:color w:val="auto"/>
                      <w:szCs w:val="21"/>
                    </w:rPr>
                    <w:t>5</w:t>
                  </w:r>
                  <w:r>
                    <w:rPr>
                      <w:color w:val="auto"/>
                      <w:szCs w:val="21"/>
                    </w:rPr>
                    <w:t>00</w:t>
                  </w:r>
                </w:p>
              </w:tc>
              <w:tc>
                <w:tcPr>
                  <w:tcW w:w="1747" w:type="pct"/>
                  <w:tcBorders>
                    <w:tl2br w:val="nil"/>
                    <w:tr2bl w:val="nil"/>
                  </w:tcBorders>
                  <w:noWrap w:val="0"/>
                  <w:vAlign w:val="center"/>
                </w:tcPr>
                <w:p w14:paraId="2F05D43A">
                  <w:pPr>
                    <w:ind w:left="-105" w:leftChars="-50" w:right="-105" w:rightChars="-50"/>
                    <w:jc w:val="center"/>
                    <w:rPr>
                      <w:color w:val="auto"/>
                      <w:szCs w:val="21"/>
                    </w:rPr>
                  </w:pPr>
                  <w:r>
                    <w:rPr>
                      <w:rFonts w:hint="eastAsia"/>
                      <w:color w:val="auto"/>
                      <w:szCs w:val="21"/>
                    </w:rPr>
                    <w:t>超标次数≤</w:t>
                  </w:r>
                  <w:r>
                    <w:rPr>
                      <w:color w:val="auto"/>
                      <w:szCs w:val="21"/>
                    </w:rPr>
                    <w:t>6</w:t>
                  </w:r>
                  <w:r>
                    <w:rPr>
                      <w:rFonts w:hint="eastAsia"/>
                      <w:color w:val="auto"/>
                      <w:szCs w:val="21"/>
                    </w:rPr>
                    <w:t>次/日</w:t>
                  </w:r>
                </w:p>
              </w:tc>
            </w:tr>
          </w:tbl>
          <w:p w14:paraId="0805C913">
            <w:pPr>
              <w:autoSpaceDE w:val="0"/>
              <w:autoSpaceDN w:val="0"/>
              <w:adjustRightInd w:val="0"/>
              <w:spacing w:line="360" w:lineRule="auto"/>
              <w:ind w:firstLine="480" w:firstLineChars="200"/>
              <w:jc w:val="left"/>
              <w:rPr>
                <w:color w:val="auto"/>
                <w:kern w:val="0"/>
                <w:sz w:val="24"/>
              </w:rPr>
            </w:pPr>
            <w:r>
              <w:rPr>
                <w:rFonts w:hint="eastAsia"/>
                <w:color w:val="auto"/>
                <w:kern w:val="0"/>
                <w:sz w:val="24"/>
              </w:rPr>
              <w:t>（2）营运期</w:t>
            </w:r>
          </w:p>
          <w:p w14:paraId="130F2D21">
            <w:pPr>
              <w:spacing w:line="360" w:lineRule="auto"/>
              <w:ind w:firstLine="480" w:firstLineChars="200"/>
              <w:rPr>
                <w:rFonts w:ascii="Times New Roman" w:hAnsi="Times New Roman" w:eastAsia="宋体"/>
                <w:color w:val="000000"/>
                <w:sz w:val="24"/>
                <w:highlight w:val="none"/>
              </w:rPr>
            </w:pPr>
            <w:r>
              <w:rPr>
                <w:rFonts w:hint="eastAsia" w:ascii="Times New Roman" w:hAnsi="Times New Roman" w:eastAsia="宋体"/>
                <w:color w:val="000000"/>
                <w:sz w:val="24"/>
                <w:highlight w:val="none"/>
                <w:lang w:val="en-US" w:eastAsia="zh-CN"/>
              </w:rPr>
              <w:t>运营期焊接</w:t>
            </w:r>
            <w:r>
              <w:rPr>
                <w:rFonts w:hint="eastAsia" w:ascii="Times New Roman" w:hAnsi="Times New Roman" w:eastAsia="宋体"/>
                <w:color w:val="000000"/>
                <w:sz w:val="24"/>
                <w:highlight w:val="none"/>
              </w:rPr>
              <w:t>工序产生的</w:t>
            </w:r>
            <w:r>
              <w:rPr>
                <w:rFonts w:hint="eastAsia" w:ascii="Times New Roman" w:hAnsi="Times New Roman" w:eastAsia="宋体"/>
                <w:color w:val="000000"/>
                <w:sz w:val="24"/>
                <w:highlight w:val="none"/>
                <w:lang w:val="en-US" w:eastAsia="zh-CN"/>
              </w:rPr>
              <w:t>颗粒物</w:t>
            </w:r>
            <w:r>
              <w:rPr>
                <w:rFonts w:hint="eastAsia" w:ascii="Times New Roman" w:hAnsi="Times New Roman" w:eastAsia="宋体"/>
                <w:color w:val="000000"/>
                <w:sz w:val="24"/>
                <w:highlight w:val="none"/>
              </w:rPr>
              <w:t>执行</w:t>
            </w:r>
            <w:r>
              <w:rPr>
                <w:rFonts w:hint="eastAsia"/>
                <w:color w:val="auto"/>
                <w:sz w:val="24"/>
                <w:szCs w:val="20"/>
              </w:rPr>
              <w:t>《大气污染物综合排放标准》（GB16297-1996）表2中的二级排放限值和无组织排放监控浓</w:t>
            </w:r>
            <w:r>
              <w:rPr>
                <w:rFonts w:hint="eastAsia"/>
                <w:sz w:val="24"/>
                <w:szCs w:val="20"/>
              </w:rPr>
              <w:t>度限值</w:t>
            </w:r>
            <w:r>
              <w:rPr>
                <w:rFonts w:hint="eastAsia" w:ascii="Times New Roman" w:hAnsi="Times New Roman" w:eastAsia="宋体"/>
                <w:color w:val="000000"/>
                <w:sz w:val="24"/>
                <w:szCs w:val="20"/>
                <w:highlight w:val="none"/>
                <w:lang w:val="en-US" w:eastAsia="zh-CN"/>
              </w:rPr>
              <w:t>，</w:t>
            </w:r>
            <w:r>
              <w:rPr>
                <w:rFonts w:hint="eastAsia" w:ascii="Times New Roman" w:hAnsi="Times New Roman" w:eastAsia="宋体"/>
                <w:color w:val="000000"/>
                <w:sz w:val="24"/>
                <w:highlight w:val="none"/>
              </w:rPr>
              <w:t>具体标准</w:t>
            </w:r>
            <w:r>
              <w:rPr>
                <w:rFonts w:ascii="Times New Roman" w:hAnsi="Times New Roman" w:eastAsia="宋体"/>
                <w:color w:val="000000"/>
                <w:sz w:val="24"/>
                <w:highlight w:val="none"/>
              </w:rPr>
              <w:t>限值见</w:t>
            </w:r>
            <w:r>
              <w:rPr>
                <w:rFonts w:hint="eastAsia" w:ascii="Times New Roman" w:hAnsi="Times New Roman" w:eastAsia="宋体"/>
                <w:color w:val="000000"/>
                <w:sz w:val="24"/>
                <w:highlight w:val="none"/>
              </w:rPr>
              <w:t>下</w:t>
            </w:r>
            <w:r>
              <w:rPr>
                <w:rFonts w:ascii="Times New Roman" w:hAnsi="Times New Roman" w:eastAsia="宋体"/>
                <w:color w:val="000000"/>
                <w:sz w:val="24"/>
                <w:highlight w:val="none"/>
              </w:rPr>
              <w:t>表</w:t>
            </w:r>
            <w:r>
              <w:rPr>
                <w:rFonts w:hint="eastAsia" w:ascii="Times New Roman" w:hAnsi="Times New Roman" w:eastAsia="宋体"/>
                <w:color w:val="000000"/>
                <w:sz w:val="24"/>
                <w:highlight w:val="none"/>
              </w:rPr>
              <w:t>。</w:t>
            </w:r>
          </w:p>
          <w:p w14:paraId="7991E9D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ascii="Times New Roman" w:hAnsi="Times New Roman" w:eastAsia="宋体"/>
                <w:b/>
                <w:color w:val="000000"/>
                <w:sz w:val="24"/>
              </w:rPr>
            </w:pPr>
            <w:r>
              <w:rPr>
                <w:rFonts w:ascii="Times New Roman" w:hAnsi="Times New Roman" w:eastAsia="宋体"/>
                <w:b/>
                <w:color w:val="000000"/>
                <w:sz w:val="24"/>
                <w:highlight w:val="none"/>
              </w:rPr>
              <w:t>表3-</w:t>
            </w:r>
            <w:r>
              <w:rPr>
                <w:rFonts w:hint="eastAsia" w:ascii="Times New Roman" w:hAnsi="Times New Roman" w:eastAsia="宋体"/>
                <w:b/>
                <w:color w:val="000000"/>
                <w:sz w:val="24"/>
                <w:highlight w:val="none"/>
                <w:lang w:val="en-US" w:eastAsia="zh-CN"/>
              </w:rPr>
              <w:t>5</w:t>
            </w:r>
            <w:r>
              <w:rPr>
                <w:rFonts w:hint="eastAsia" w:ascii="Times New Roman" w:hAnsi="Times New Roman" w:eastAsia="宋体"/>
                <w:b/>
                <w:color w:val="000000"/>
                <w:sz w:val="24"/>
                <w:highlight w:val="none"/>
              </w:rPr>
              <w:t xml:space="preserve"> 《大气污染物综合排放标准》（GB16297-1996）</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535"/>
              <w:gridCol w:w="1613"/>
              <w:gridCol w:w="939"/>
              <w:gridCol w:w="2399"/>
              <w:gridCol w:w="888"/>
            </w:tblGrid>
            <w:tr w14:paraId="2159C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37" w:hRule="atLeast"/>
                <w:jc w:val="center"/>
              </w:trPr>
              <w:tc>
                <w:tcPr>
                  <w:tcW w:w="563" w:type="pct"/>
                  <w:vMerge w:val="restart"/>
                  <w:tcBorders>
                    <w:tl2br w:val="nil"/>
                    <w:tr2bl w:val="nil"/>
                  </w:tcBorders>
                  <w:noWrap w:val="0"/>
                  <w:vAlign w:val="center"/>
                </w:tcPr>
                <w:p w14:paraId="7A369C44">
                  <w:pPr>
                    <w:tabs>
                      <w:tab w:val="left" w:pos="327"/>
                      <w:tab w:val="left" w:pos="590"/>
                      <w:tab w:val="left" w:pos="828"/>
                      <w:tab w:val="left" w:pos="3255"/>
                    </w:tabs>
                    <w:spacing w:line="340" w:lineRule="exact"/>
                    <w:jc w:val="center"/>
                    <w:rPr>
                      <w:b/>
                      <w:szCs w:val="21"/>
                    </w:rPr>
                  </w:pPr>
                  <w:r>
                    <w:rPr>
                      <w:rFonts w:hint="eastAsia"/>
                      <w:b/>
                      <w:szCs w:val="21"/>
                    </w:rPr>
                    <w:t>污染物</w:t>
                  </w:r>
                </w:p>
              </w:tc>
              <w:tc>
                <w:tcPr>
                  <w:tcW w:w="923" w:type="pct"/>
                  <w:vMerge w:val="restart"/>
                  <w:tcBorders>
                    <w:tl2br w:val="nil"/>
                    <w:tr2bl w:val="nil"/>
                  </w:tcBorders>
                  <w:noWrap w:val="0"/>
                  <w:vAlign w:val="center"/>
                </w:tcPr>
                <w:p w14:paraId="247FF47F">
                  <w:pPr>
                    <w:tabs>
                      <w:tab w:val="left" w:pos="327"/>
                      <w:tab w:val="left" w:pos="590"/>
                      <w:tab w:val="left" w:pos="828"/>
                      <w:tab w:val="left" w:pos="3255"/>
                    </w:tabs>
                    <w:spacing w:line="340" w:lineRule="exact"/>
                    <w:jc w:val="center"/>
                    <w:rPr>
                      <w:b/>
                      <w:szCs w:val="21"/>
                    </w:rPr>
                  </w:pPr>
                  <w:r>
                    <w:rPr>
                      <w:rFonts w:hint="eastAsia"/>
                      <w:b/>
                      <w:szCs w:val="21"/>
                    </w:rPr>
                    <w:t>最高允许排放浓度</w:t>
                  </w:r>
                  <w:r>
                    <w:rPr>
                      <w:b/>
                      <w:szCs w:val="21"/>
                    </w:rPr>
                    <w:t>mg/m</w:t>
                  </w:r>
                  <w:r>
                    <w:rPr>
                      <w:b/>
                      <w:szCs w:val="21"/>
                      <w:vertAlign w:val="superscript"/>
                    </w:rPr>
                    <w:t>3</w:t>
                  </w:r>
                </w:p>
              </w:tc>
              <w:tc>
                <w:tcPr>
                  <w:tcW w:w="1535" w:type="pct"/>
                  <w:gridSpan w:val="2"/>
                  <w:tcBorders>
                    <w:tl2br w:val="nil"/>
                    <w:tr2bl w:val="nil"/>
                  </w:tcBorders>
                  <w:noWrap w:val="0"/>
                  <w:vAlign w:val="center"/>
                </w:tcPr>
                <w:p w14:paraId="5017D112">
                  <w:pPr>
                    <w:tabs>
                      <w:tab w:val="left" w:pos="3255"/>
                    </w:tabs>
                    <w:spacing w:line="340" w:lineRule="exact"/>
                    <w:jc w:val="center"/>
                    <w:rPr>
                      <w:b/>
                      <w:szCs w:val="21"/>
                    </w:rPr>
                  </w:pPr>
                  <w:r>
                    <w:rPr>
                      <w:rFonts w:hint="eastAsia"/>
                      <w:b/>
                      <w:szCs w:val="21"/>
                    </w:rPr>
                    <w:t>最高允许排放速率</w:t>
                  </w:r>
                  <w:r>
                    <w:rPr>
                      <w:b/>
                      <w:szCs w:val="21"/>
                    </w:rPr>
                    <w:t>kg/h</w:t>
                  </w:r>
                </w:p>
              </w:tc>
              <w:tc>
                <w:tcPr>
                  <w:tcW w:w="1977" w:type="pct"/>
                  <w:gridSpan w:val="2"/>
                  <w:tcBorders>
                    <w:tl2br w:val="nil"/>
                    <w:tr2bl w:val="nil"/>
                  </w:tcBorders>
                  <w:noWrap w:val="0"/>
                  <w:vAlign w:val="center"/>
                </w:tcPr>
                <w:p w14:paraId="1A2DD5D4">
                  <w:pPr>
                    <w:tabs>
                      <w:tab w:val="left" w:pos="3255"/>
                    </w:tabs>
                    <w:spacing w:line="340" w:lineRule="exact"/>
                    <w:jc w:val="center"/>
                    <w:rPr>
                      <w:b/>
                      <w:szCs w:val="21"/>
                    </w:rPr>
                  </w:pPr>
                  <w:r>
                    <w:rPr>
                      <w:rFonts w:hint="eastAsia"/>
                      <w:b/>
                      <w:szCs w:val="21"/>
                    </w:rPr>
                    <w:t>无组织排放监控浓度限值mg/m</w:t>
                  </w:r>
                  <w:r>
                    <w:rPr>
                      <w:rFonts w:hint="eastAsia"/>
                      <w:b/>
                      <w:szCs w:val="21"/>
                      <w:vertAlign w:val="superscript"/>
                    </w:rPr>
                    <w:t>3</w:t>
                  </w:r>
                </w:p>
              </w:tc>
            </w:tr>
            <w:tr w14:paraId="79704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63" w:type="pct"/>
                  <w:vMerge w:val="continue"/>
                  <w:tcBorders>
                    <w:tl2br w:val="nil"/>
                    <w:tr2bl w:val="nil"/>
                  </w:tcBorders>
                  <w:noWrap w:val="0"/>
                  <w:vAlign w:val="center"/>
                </w:tcPr>
                <w:p w14:paraId="43A3BFF1">
                  <w:pPr>
                    <w:widowControl/>
                    <w:jc w:val="center"/>
                    <w:rPr>
                      <w:b/>
                      <w:szCs w:val="21"/>
                    </w:rPr>
                  </w:pPr>
                </w:p>
              </w:tc>
              <w:tc>
                <w:tcPr>
                  <w:tcW w:w="923" w:type="pct"/>
                  <w:vMerge w:val="continue"/>
                  <w:tcBorders>
                    <w:tl2br w:val="nil"/>
                    <w:tr2bl w:val="nil"/>
                  </w:tcBorders>
                  <w:noWrap w:val="0"/>
                  <w:vAlign w:val="center"/>
                </w:tcPr>
                <w:p w14:paraId="4D3382E9">
                  <w:pPr>
                    <w:widowControl/>
                    <w:jc w:val="center"/>
                    <w:rPr>
                      <w:b/>
                      <w:szCs w:val="21"/>
                    </w:rPr>
                  </w:pPr>
                </w:p>
              </w:tc>
              <w:tc>
                <w:tcPr>
                  <w:tcW w:w="970" w:type="pct"/>
                  <w:tcBorders>
                    <w:tl2br w:val="nil"/>
                    <w:tr2bl w:val="nil"/>
                  </w:tcBorders>
                  <w:noWrap w:val="0"/>
                  <w:vAlign w:val="center"/>
                </w:tcPr>
                <w:p w14:paraId="31455944">
                  <w:pPr>
                    <w:autoSpaceDE w:val="0"/>
                    <w:autoSpaceDN w:val="0"/>
                    <w:adjustRightInd w:val="0"/>
                    <w:snapToGrid w:val="0"/>
                    <w:jc w:val="center"/>
                    <w:rPr>
                      <w:b/>
                      <w:szCs w:val="21"/>
                      <w:lang w:val="zh-CN"/>
                    </w:rPr>
                  </w:pPr>
                  <w:r>
                    <w:rPr>
                      <w:rFonts w:hint="eastAsia"/>
                      <w:b/>
                      <w:szCs w:val="21"/>
                      <w:lang w:val="zh-CN"/>
                    </w:rPr>
                    <w:t>排气筒高度</w:t>
                  </w:r>
                  <w:r>
                    <w:rPr>
                      <w:b/>
                      <w:szCs w:val="21"/>
                      <w:lang w:val="zh-CN"/>
                    </w:rPr>
                    <w:t>m</w:t>
                  </w:r>
                </w:p>
              </w:tc>
              <w:tc>
                <w:tcPr>
                  <w:tcW w:w="565" w:type="pct"/>
                  <w:tcBorders>
                    <w:tl2br w:val="nil"/>
                    <w:tr2bl w:val="nil"/>
                  </w:tcBorders>
                  <w:noWrap w:val="0"/>
                  <w:vAlign w:val="center"/>
                </w:tcPr>
                <w:p w14:paraId="496C009A">
                  <w:pPr>
                    <w:autoSpaceDE w:val="0"/>
                    <w:autoSpaceDN w:val="0"/>
                    <w:adjustRightInd w:val="0"/>
                    <w:snapToGrid w:val="0"/>
                    <w:jc w:val="center"/>
                    <w:rPr>
                      <w:b/>
                      <w:szCs w:val="21"/>
                      <w:lang w:val="zh-CN"/>
                    </w:rPr>
                  </w:pPr>
                  <w:r>
                    <w:rPr>
                      <w:rFonts w:hint="eastAsia"/>
                      <w:b/>
                      <w:szCs w:val="21"/>
                      <w:lang w:val="zh-CN"/>
                    </w:rPr>
                    <w:t>二级</w:t>
                  </w:r>
                </w:p>
              </w:tc>
              <w:tc>
                <w:tcPr>
                  <w:tcW w:w="1443" w:type="pct"/>
                  <w:tcBorders>
                    <w:tl2br w:val="nil"/>
                    <w:tr2bl w:val="nil"/>
                  </w:tcBorders>
                  <w:noWrap w:val="0"/>
                  <w:vAlign w:val="center"/>
                </w:tcPr>
                <w:p w14:paraId="0373453E">
                  <w:pPr>
                    <w:autoSpaceDE w:val="0"/>
                    <w:autoSpaceDN w:val="0"/>
                    <w:adjustRightInd w:val="0"/>
                    <w:snapToGrid w:val="0"/>
                    <w:jc w:val="center"/>
                    <w:rPr>
                      <w:b/>
                      <w:szCs w:val="21"/>
                      <w:lang w:val="zh-CN"/>
                    </w:rPr>
                  </w:pPr>
                  <w:r>
                    <w:rPr>
                      <w:rFonts w:hint="eastAsia"/>
                      <w:b/>
                      <w:szCs w:val="21"/>
                      <w:lang w:val="zh-CN"/>
                    </w:rPr>
                    <w:t>监控点</w:t>
                  </w:r>
                </w:p>
              </w:tc>
              <w:tc>
                <w:tcPr>
                  <w:tcW w:w="534" w:type="pct"/>
                  <w:tcBorders>
                    <w:tl2br w:val="nil"/>
                    <w:tr2bl w:val="nil"/>
                  </w:tcBorders>
                  <w:noWrap w:val="0"/>
                  <w:vAlign w:val="center"/>
                </w:tcPr>
                <w:p w14:paraId="20501736">
                  <w:pPr>
                    <w:autoSpaceDE w:val="0"/>
                    <w:autoSpaceDN w:val="0"/>
                    <w:adjustRightInd w:val="0"/>
                    <w:snapToGrid w:val="0"/>
                    <w:jc w:val="center"/>
                    <w:rPr>
                      <w:b/>
                      <w:szCs w:val="21"/>
                      <w:lang w:val="zh-CN"/>
                    </w:rPr>
                  </w:pPr>
                  <w:r>
                    <w:rPr>
                      <w:rFonts w:hint="eastAsia"/>
                      <w:b/>
                      <w:szCs w:val="21"/>
                      <w:lang w:val="zh-CN"/>
                    </w:rPr>
                    <w:t>浓度</w:t>
                  </w:r>
                </w:p>
              </w:tc>
            </w:tr>
            <w:tr w14:paraId="5E31E9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63" w:type="pct"/>
                  <w:tcBorders>
                    <w:tl2br w:val="nil"/>
                    <w:tr2bl w:val="nil"/>
                  </w:tcBorders>
                  <w:noWrap w:val="0"/>
                  <w:vAlign w:val="center"/>
                </w:tcPr>
                <w:p w14:paraId="61BE605E">
                  <w:pPr>
                    <w:tabs>
                      <w:tab w:val="left" w:pos="3255"/>
                    </w:tabs>
                    <w:spacing w:line="340" w:lineRule="exact"/>
                    <w:jc w:val="center"/>
                    <w:rPr>
                      <w:bCs/>
                      <w:szCs w:val="21"/>
                    </w:rPr>
                  </w:pPr>
                  <w:r>
                    <w:rPr>
                      <w:rFonts w:hint="eastAsia"/>
                      <w:bCs/>
                      <w:szCs w:val="21"/>
                    </w:rPr>
                    <w:t>颗粒物</w:t>
                  </w:r>
                </w:p>
              </w:tc>
              <w:tc>
                <w:tcPr>
                  <w:tcW w:w="923" w:type="pct"/>
                  <w:tcBorders>
                    <w:tl2br w:val="nil"/>
                    <w:tr2bl w:val="nil"/>
                  </w:tcBorders>
                  <w:noWrap w:val="0"/>
                  <w:vAlign w:val="center"/>
                </w:tcPr>
                <w:p w14:paraId="30535951">
                  <w:pPr>
                    <w:tabs>
                      <w:tab w:val="left" w:pos="3255"/>
                    </w:tabs>
                    <w:spacing w:line="340" w:lineRule="exact"/>
                    <w:jc w:val="center"/>
                    <w:rPr>
                      <w:bCs/>
                      <w:szCs w:val="21"/>
                    </w:rPr>
                  </w:pPr>
                  <w:r>
                    <w:rPr>
                      <w:bCs/>
                      <w:szCs w:val="21"/>
                    </w:rPr>
                    <w:t>120</w:t>
                  </w:r>
                </w:p>
              </w:tc>
              <w:tc>
                <w:tcPr>
                  <w:tcW w:w="970" w:type="pct"/>
                  <w:tcBorders>
                    <w:tl2br w:val="nil"/>
                    <w:tr2bl w:val="nil"/>
                  </w:tcBorders>
                  <w:noWrap w:val="0"/>
                  <w:vAlign w:val="center"/>
                </w:tcPr>
                <w:p w14:paraId="27310EB4">
                  <w:pPr>
                    <w:tabs>
                      <w:tab w:val="left" w:pos="3255"/>
                    </w:tabs>
                    <w:spacing w:line="340" w:lineRule="exact"/>
                    <w:jc w:val="center"/>
                    <w:rPr>
                      <w:rFonts w:hint="default" w:eastAsia="宋体"/>
                      <w:bCs/>
                      <w:szCs w:val="21"/>
                      <w:lang w:val="en-US" w:eastAsia="zh-CN"/>
                    </w:rPr>
                  </w:pPr>
                  <w:r>
                    <w:rPr>
                      <w:rFonts w:hint="eastAsia"/>
                      <w:bCs/>
                      <w:szCs w:val="21"/>
                      <w:lang w:val="en-US" w:eastAsia="zh-CN"/>
                    </w:rPr>
                    <w:t>20</w:t>
                  </w:r>
                </w:p>
              </w:tc>
              <w:tc>
                <w:tcPr>
                  <w:tcW w:w="565" w:type="pct"/>
                  <w:tcBorders>
                    <w:tl2br w:val="nil"/>
                    <w:tr2bl w:val="nil"/>
                  </w:tcBorders>
                  <w:noWrap w:val="0"/>
                  <w:vAlign w:val="center"/>
                </w:tcPr>
                <w:p w14:paraId="02007CD6">
                  <w:pPr>
                    <w:tabs>
                      <w:tab w:val="left" w:pos="3255"/>
                    </w:tabs>
                    <w:spacing w:line="340" w:lineRule="exact"/>
                    <w:jc w:val="center"/>
                    <w:rPr>
                      <w:rFonts w:hint="default" w:eastAsia="宋体"/>
                      <w:bCs/>
                      <w:szCs w:val="21"/>
                      <w:lang w:val="en-US" w:eastAsia="zh-CN"/>
                    </w:rPr>
                  </w:pPr>
                  <w:r>
                    <w:rPr>
                      <w:rFonts w:hint="eastAsia"/>
                      <w:bCs/>
                      <w:szCs w:val="21"/>
                      <w:lang w:val="en-US" w:eastAsia="zh-CN"/>
                    </w:rPr>
                    <w:t>5.9</w:t>
                  </w:r>
                </w:p>
              </w:tc>
              <w:tc>
                <w:tcPr>
                  <w:tcW w:w="1443" w:type="pct"/>
                  <w:tcBorders>
                    <w:tl2br w:val="nil"/>
                    <w:tr2bl w:val="nil"/>
                  </w:tcBorders>
                  <w:noWrap w:val="0"/>
                  <w:vAlign w:val="center"/>
                </w:tcPr>
                <w:p w14:paraId="36322A26">
                  <w:pPr>
                    <w:tabs>
                      <w:tab w:val="left" w:pos="3255"/>
                    </w:tabs>
                    <w:spacing w:line="340" w:lineRule="exact"/>
                    <w:jc w:val="center"/>
                    <w:rPr>
                      <w:bCs/>
                      <w:szCs w:val="21"/>
                    </w:rPr>
                  </w:pPr>
                  <w:r>
                    <w:rPr>
                      <w:rFonts w:hint="eastAsia"/>
                      <w:bCs/>
                      <w:szCs w:val="21"/>
                    </w:rPr>
                    <w:t>周界外浓度最高点</w:t>
                  </w:r>
                </w:p>
              </w:tc>
              <w:tc>
                <w:tcPr>
                  <w:tcW w:w="534" w:type="pct"/>
                  <w:tcBorders>
                    <w:tl2br w:val="nil"/>
                    <w:tr2bl w:val="nil"/>
                  </w:tcBorders>
                  <w:noWrap w:val="0"/>
                  <w:vAlign w:val="center"/>
                </w:tcPr>
                <w:p w14:paraId="5FD8D795">
                  <w:pPr>
                    <w:autoSpaceDE w:val="0"/>
                    <w:autoSpaceDN w:val="0"/>
                    <w:adjustRightInd w:val="0"/>
                    <w:snapToGrid w:val="0"/>
                    <w:jc w:val="center"/>
                    <w:rPr>
                      <w:bCs/>
                      <w:szCs w:val="21"/>
                    </w:rPr>
                  </w:pPr>
                  <w:r>
                    <w:rPr>
                      <w:bCs/>
                      <w:szCs w:val="21"/>
                    </w:rPr>
                    <w:t>1.0</w:t>
                  </w:r>
                </w:p>
              </w:tc>
            </w:tr>
          </w:tbl>
          <w:p w14:paraId="16C521B2">
            <w:pPr>
              <w:keepNext w:val="0"/>
              <w:keepLines w:val="0"/>
              <w:pageBreakBefore w:val="0"/>
              <w:widowControl w:val="0"/>
              <w:numPr>
                <w:ilvl w:val="0"/>
                <w:numId w:val="4"/>
              </w:numPr>
              <w:kinsoku/>
              <w:wordWrap/>
              <w:overflowPunct/>
              <w:topLinePunct w:val="0"/>
              <w:autoSpaceDE/>
              <w:autoSpaceDN/>
              <w:bidi w:val="0"/>
              <w:adjustRightInd w:val="0"/>
              <w:snapToGrid/>
              <w:spacing w:beforeAutospacing="0" w:line="360" w:lineRule="auto"/>
              <w:ind w:left="0" w:leftChars="0" w:firstLine="482" w:firstLineChars="200"/>
              <w:textAlignment w:val="auto"/>
              <w:rPr>
                <w:b/>
                <w:sz w:val="24"/>
              </w:rPr>
            </w:pPr>
            <w:r>
              <w:rPr>
                <w:b/>
                <w:sz w:val="24"/>
              </w:rPr>
              <w:t>废水</w:t>
            </w:r>
          </w:p>
          <w:p w14:paraId="5234B1D4">
            <w:pPr>
              <w:keepNext w:val="0"/>
              <w:keepLines w:val="0"/>
              <w:pageBreakBefore w:val="0"/>
              <w:widowControl w:val="0"/>
              <w:kinsoku/>
              <w:wordWrap w:val="0"/>
              <w:overflowPunct/>
              <w:topLinePunct/>
              <w:autoSpaceDE/>
              <w:autoSpaceDN/>
              <w:bidi w:val="0"/>
              <w:adjustRightInd w:val="0"/>
              <w:snapToGrid w:val="0"/>
              <w:spacing w:line="360" w:lineRule="auto"/>
              <w:ind w:firstLine="480" w:firstLineChars="200"/>
              <w:jc w:val="left"/>
              <w:textAlignment w:val="auto"/>
              <w:rPr>
                <w:color w:val="000000" w:themeColor="text1"/>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本项目生活污水经</w:t>
            </w:r>
            <w:r>
              <w:rPr>
                <w:rFonts w:hint="eastAsia"/>
                <w:color w:val="000000" w:themeColor="text1"/>
                <w:kern w:val="0"/>
                <w:sz w:val="24"/>
                <w:highlight w:val="none"/>
                <w:lang w:val="en-US" w:eastAsia="zh-CN"/>
                <w14:textFill>
                  <w14:solidFill>
                    <w14:schemeClr w14:val="tx1"/>
                  </w14:solidFill>
                </w14:textFill>
              </w:rPr>
              <w:t>化粪池</w:t>
            </w:r>
            <w:r>
              <w:rPr>
                <w:rFonts w:hint="eastAsia"/>
                <w:color w:val="000000" w:themeColor="text1"/>
                <w:kern w:val="0"/>
                <w:sz w:val="24"/>
                <w:highlight w:val="none"/>
                <w14:textFill>
                  <w14:solidFill>
                    <w14:schemeClr w14:val="tx1"/>
                  </w14:solidFill>
                </w14:textFill>
              </w:rPr>
              <w:t>预</w:t>
            </w:r>
            <w:r>
              <w:rPr>
                <w:color w:val="000000" w:themeColor="text1"/>
                <w:kern w:val="0"/>
                <w:sz w:val="24"/>
                <w:highlight w:val="none"/>
                <w14:textFill>
                  <w14:solidFill>
                    <w14:schemeClr w14:val="tx1"/>
                  </w14:solidFill>
                </w14:textFill>
              </w:rPr>
              <w:t>处理</w:t>
            </w:r>
            <w:r>
              <w:rPr>
                <w:rFonts w:hint="eastAsia"/>
                <w:color w:val="000000" w:themeColor="text1"/>
                <w:kern w:val="0"/>
                <w:sz w:val="24"/>
                <w:highlight w:val="none"/>
                <w:lang w:val="en-US" w:eastAsia="zh-CN"/>
                <w14:textFill>
                  <w14:solidFill>
                    <w14:schemeClr w14:val="tx1"/>
                  </w14:solidFill>
                </w14:textFill>
              </w:rPr>
              <w:t>达到《污水综合排放标准》（GB8978-1996）表4三级排放标准</w:t>
            </w:r>
            <w:r>
              <w:rPr>
                <w:rFonts w:hint="eastAsia" w:ascii="Times New Roman" w:hAnsi="Times New Roman" w:cs="Times New Roman"/>
                <w:color w:val="000000" w:themeColor="text1"/>
                <w:kern w:val="0"/>
                <w:sz w:val="24"/>
                <w:highlight w:val="none"/>
                <w14:textFill>
                  <w14:solidFill>
                    <w14:schemeClr w14:val="tx1"/>
                  </w14:solidFill>
                </w14:textFill>
              </w:rPr>
              <w:t>后排入</w:t>
            </w:r>
            <w:r>
              <w:rPr>
                <w:rFonts w:hint="eastAsia"/>
                <w:color w:val="000000" w:themeColor="text1"/>
                <w:sz w:val="24"/>
                <w:highlight w:val="none"/>
                <w14:textFill>
                  <w14:solidFill>
                    <w14:schemeClr w14:val="tx1"/>
                  </w14:solidFill>
                </w14:textFill>
              </w:rPr>
              <w:t>市政污水管网，接入</w:t>
            </w:r>
            <w:r>
              <w:rPr>
                <w:rFonts w:hint="eastAsia"/>
                <w:color w:val="000000" w:themeColor="text1"/>
                <w:sz w:val="24"/>
                <w:highlight w:val="none"/>
                <w:lang w:val="en-US" w:eastAsia="zh-CN"/>
                <w14:textFill>
                  <w14:solidFill>
                    <w14:schemeClr w14:val="tx1"/>
                  </w14:solidFill>
                </w14:textFill>
              </w:rPr>
              <w:t>芜湖市滨江污水处理厂</w:t>
            </w:r>
            <w:r>
              <w:rPr>
                <w:color w:val="000000" w:themeColor="text1"/>
                <w:kern w:val="0"/>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芜湖市滨江污水处理厂</w:t>
            </w:r>
            <w:r>
              <w:rPr>
                <w:rFonts w:hint="eastAsia"/>
                <w:color w:val="000000" w:themeColor="text1"/>
                <w:kern w:val="0"/>
                <w:sz w:val="24"/>
                <w:highlight w:val="none"/>
                <w14:textFill>
                  <w14:solidFill>
                    <w14:schemeClr w14:val="tx1"/>
                  </w14:solidFill>
                </w14:textFill>
              </w:rPr>
              <w:t>出水水质执行</w:t>
            </w:r>
            <w:r>
              <w:rPr>
                <w:color w:val="000000" w:themeColor="text1"/>
                <w:kern w:val="0"/>
                <w:sz w:val="24"/>
                <w:highlight w:val="none"/>
                <w14:textFill>
                  <w14:solidFill>
                    <w14:schemeClr w14:val="tx1"/>
                  </w14:solidFill>
                </w14:textFill>
              </w:rPr>
              <w:t>《城镇污水处理厂污染物排放标准》（GB18918</w:t>
            </w:r>
            <w:r>
              <w:rPr>
                <w:rFonts w:hint="eastAsia"/>
                <w:color w:val="000000" w:themeColor="text1"/>
                <w:kern w:val="0"/>
                <w:sz w:val="24"/>
                <w:highlight w:val="none"/>
                <w:lang w:val="en-US" w:eastAsia="zh-CN"/>
                <w14:textFill>
                  <w14:solidFill>
                    <w14:schemeClr w14:val="tx1"/>
                  </w14:solidFill>
                </w14:textFill>
              </w:rPr>
              <w:t>-</w:t>
            </w:r>
            <w:r>
              <w:rPr>
                <w:color w:val="000000" w:themeColor="text1"/>
                <w:kern w:val="0"/>
                <w:sz w:val="24"/>
                <w:highlight w:val="none"/>
                <w14:textFill>
                  <w14:solidFill>
                    <w14:schemeClr w14:val="tx1"/>
                  </w14:solidFill>
                </w14:textFill>
              </w:rPr>
              <w:t>2002）中的一级A标准</w:t>
            </w:r>
            <w:r>
              <w:rPr>
                <w:rFonts w:hint="eastAsia"/>
                <w:color w:val="000000" w:themeColor="text1"/>
                <w:kern w:val="0"/>
                <w:sz w:val="24"/>
                <w:highlight w:val="none"/>
                <w14:textFill>
                  <w14:solidFill>
                    <w14:schemeClr w14:val="tx1"/>
                  </w14:solidFill>
                </w14:textFill>
              </w:rPr>
              <w:t>，尾水</w:t>
            </w:r>
            <w:r>
              <w:rPr>
                <w:color w:val="000000" w:themeColor="text1"/>
                <w:kern w:val="0"/>
                <w:sz w:val="24"/>
                <w:highlight w:val="none"/>
                <w14:textFill>
                  <w14:solidFill>
                    <w14:schemeClr w14:val="tx1"/>
                  </w14:solidFill>
                </w14:textFill>
              </w:rPr>
              <w:t>排入</w:t>
            </w:r>
            <w:r>
              <w:rPr>
                <w:rFonts w:hint="eastAsia"/>
                <w:color w:val="000000" w:themeColor="text1"/>
                <w:kern w:val="0"/>
                <w:sz w:val="24"/>
                <w:highlight w:val="none"/>
                <w:lang w:val="en-US" w:eastAsia="zh-CN"/>
                <w14:textFill>
                  <w14:solidFill>
                    <w14:schemeClr w14:val="tx1"/>
                  </w14:solidFill>
                </w14:textFill>
              </w:rPr>
              <w:t>长江（芜湖段）</w:t>
            </w:r>
            <w:r>
              <w:rPr>
                <w:color w:val="000000" w:themeColor="text1"/>
                <w:kern w:val="0"/>
                <w:sz w:val="24"/>
                <w:highlight w:val="none"/>
                <w14:textFill>
                  <w14:solidFill>
                    <w14:schemeClr w14:val="tx1"/>
                  </w14:solidFill>
                </w14:textFill>
              </w:rPr>
              <w:t>。具体见下表。</w:t>
            </w:r>
          </w:p>
          <w:p w14:paraId="578DF55E">
            <w:pPr>
              <w:numPr>
                <w:ilvl w:val="0"/>
                <w:numId w:val="0"/>
              </w:numPr>
              <w:adjustRightInd w:val="0"/>
              <w:snapToGrid w:val="0"/>
              <w:spacing w:line="440" w:lineRule="exact"/>
              <w:ind w:leftChars="0"/>
              <w:jc w:val="center"/>
              <w:rPr>
                <w:b/>
                <w:bCs/>
                <w:color w:val="000000" w:themeColor="text1"/>
                <w:sz w:val="24"/>
                <w:highlight w:val="none"/>
                <w14:textFill>
                  <w14:solidFill>
                    <w14:schemeClr w14:val="tx1"/>
                  </w14:solidFill>
                </w14:textFill>
              </w:rPr>
            </w:pPr>
            <w:r>
              <w:rPr>
                <w:rFonts w:hint="eastAsia"/>
                <w:b/>
                <w:color w:val="000000" w:themeColor="text1"/>
                <w:kern w:val="0"/>
                <w:sz w:val="24"/>
                <w:highlight w:val="none"/>
                <w:lang w:val="en-US" w:eastAsia="zh-CN"/>
                <w14:textFill>
                  <w14:solidFill>
                    <w14:schemeClr w14:val="tx1"/>
                  </w14:solidFill>
                </w14:textFill>
              </w:rPr>
              <w:t>表3-6</w:t>
            </w:r>
            <w:r>
              <w:rPr>
                <w:b/>
                <w:color w:val="000000" w:themeColor="text1"/>
                <w:kern w:val="0"/>
                <w:sz w:val="24"/>
                <w:highlight w:val="none"/>
                <w14:textFill>
                  <w14:solidFill>
                    <w14:schemeClr w14:val="tx1"/>
                  </w14:solidFill>
                </w14:textFill>
              </w:rPr>
              <w:t>污水排放标准执行标准值  单位：mg/L，pH除外</w:t>
            </w:r>
          </w:p>
          <w:tbl>
            <w:tblPr>
              <w:tblStyle w:val="5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40"/>
              <w:gridCol w:w="721"/>
              <w:gridCol w:w="743"/>
              <w:gridCol w:w="805"/>
              <w:gridCol w:w="705"/>
              <w:gridCol w:w="894"/>
            </w:tblGrid>
            <w:tr w14:paraId="469549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blHeader/>
                <w:jc w:val="center"/>
              </w:trPr>
              <w:tc>
                <w:tcPr>
                  <w:tcW w:w="2671" w:type="pct"/>
                  <w:tcBorders>
                    <w:tl2br w:val="nil"/>
                    <w:tr2bl w:val="nil"/>
                  </w:tcBorders>
                  <w:vAlign w:val="center"/>
                </w:tcPr>
                <w:p w14:paraId="74FD7E09">
                  <w:pPr>
                    <w:pStyle w:val="88"/>
                    <w:spacing w:before="24" w:after="24"/>
                    <w:ind w:firstLine="1"/>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污染物</w:t>
                  </w:r>
                </w:p>
              </w:tc>
              <w:tc>
                <w:tcPr>
                  <w:tcW w:w="434" w:type="pct"/>
                  <w:tcBorders>
                    <w:tl2br w:val="nil"/>
                    <w:tr2bl w:val="nil"/>
                  </w:tcBorders>
                  <w:vAlign w:val="center"/>
                </w:tcPr>
                <w:p w14:paraId="58F17F4A">
                  <w:pPr>
                    <w:pStyle w:val="88"/>
                    <w:spacing w:before="24" w:after="24"/>
                    <w:ind w:firstLine="1"/>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pH</w:t>
                  </w:r>
                </w:p>
              </w:tc>
              <w:tc>
                <w:tcPr>
                  <w:tcW w:w="447" w:type="pct"/>
                  <w:tcBorders>
                    <w:tl2br w:val="nil"/>
                    <w:tr2bl w:val="nil"/>
                  </w:tcBorders>
                  <w:vAlign w:val="center"/>
                </w:tcPr>
                <w:p w14:paraId="2AAACF93">
                  <w:pPr>
                    <w:pStyle w:val="88"/>
                    <w:spacing w:before="24" w:after="24"/>
                    <w:ind w:firstLine="1"/>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COD</w:t>
                  </w:r>
                </w:p>
              </w:tc>
              <w:tc>
                <w:tcPr>
                  <w:tcW w:w="484" w:type="pct"/>
                  <w:tcBorders>
                    <w:tl2br w:val="nil"/>
                    <w:tr2bl w:val="nil"/>
                  </w:tcBorders>
                  <w:vAlign w:val="center"/>
                </w:tcPr>
                <w:p w14:paraId="385DB51D">
                  <w:pPr>
                    <w:pStyle w:val="88"/>
                    <w:spacing w:before="24" w:after="24"/>
                    <w:ind w:firstLine="1"/>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BOD</w:t>
                  </w:r>
                  <w:r>
                    <w:rPr>
                      <w:rFonts w:ascii="Times New Roman"/>
                      <w:b/>
                      <w:bCs/>
                      <w:color w:val="000000" w:themeColor="text1"/>
                      <w:szCs w:val="21"/>
                      <w:highlight w:val="none"/>
                      <w:vertAlign w:val="subscript"/>
                      <w14:textFill>
                        <w14:solidFill>
                          <w14:schemeClr w14:val="tx1"/>
                        </w14:solidFill>
                      </w14:textFill>
                    </w:rPr>
                    <w:t>5</w:t>
                  </w:r>
                </w:p>
              </w:tc>
              <w:tc>
                <w:tcPr>
                  <w:tcW w:w="424" w:type="pct"/>
                  <w:tcBorders>
                    <w:tl2br w:val="nil"/>
                    <w:tr2bl w:val="nil"/>
                  </w:tcBorders>
                  <w:vAlign w:val="center"/>
                </w:tcPr>
                <w:p w14:paraId="331B4C1A">
                  <w:pPr>
                    <w:pStyle w:val="88"/>
                    <w:spacing w:before="24" w:after="24"/>
                    <w:ind w:firstLine="1"/>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SS</w:t>
                  </w:r>
                </w:p>
              </w:tc>
              <w:tc>
                <w:tcPr>
                  <w:tcW w:w="538" w:type="pct"/>
                  <w:tcBorders>
                    <w:tl2br w:val="nil"/>
                    <w:tr2bl w:val="nil"/>
                  </w:tcBorders>
                  <w:vAlign w:val="center"/>
                </w:tcPr>
                <w:p w14:paraId="6602C614">
                  <w:pPr>
                    <w:pStyle w:val="88"/>
                    <w:spacing w:before="24" w:after="24"/>
                    <w:ind w:firstLine="1"/>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NH</w:t>
                  </w:r>
                  <w:r>
                    <w:rPr>
                      <w:rFonts w:ascii="Times New Roman"/>
                      <w:b/>
                      <w:bCs/>
                      <w:color w:val="000000" w:themeColor="text1"/>
                      <w:szCs w:val="21"/>
                      <w:highlight w:val="none"/>
                      <w:vertAlign w:val="subscript"/>
                      <w14:textFill>
                        <w14:solidFill>
                          <w14:schemeClr w14:val="tx1"/>
                        </w14:solidFill>
                      </w14:textFill>
                    </w:rPr>
                    <w:t>3</w:t>
                  </w:r>
                  <w:r>
                    <w:rPr>
                      <w:rFonts w:ascii="Times New Roman"/>
                      <w:b/>
                      <w:bCs/>
                      <w:color w:val="000000" w:themeColor="text1"/>
                      <w:szCs w:val="21"/>
                      <w:highlight w:val="none"/>
                      <w14:textFill>
                        <w14:solidFill>
                          <w14:schemeClr w14:val="tx1"/>
                        </w14:solidFill>
                      </w14:textFill>
                    </w:rPr>
                    <w:t>-N</w:t>
                  </w:r>
                </w:p>
              </w:tc>
            </w:tr>
            <w:tr w14:paraId="05DB2A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tblHeader/>
                <w:jc w:val="center"/>
              </w:trPr>
              <w:tc>
                <w:tcPr>
                  <w:tcW w:w="2671" w:type="pct"/>
                  <w:tcBorders>
                    <w:tl2br w:val="nil"/>
                    <w:tr2bl w:val="nil"/>
                  </w:tcBorders>
                  <w:vAlign w:val="center"/>
                </w:tcPr>
                <w:p w14:paraId="133F9E28">
                  <w:pPr>
                    <w:pStyle w:val="88"/>
                    <w:spacing w:before="24" w:after="24"/>
                    <w:ind w:firstLine="1"/>
                    <w:rPr>
                      <w:rFonts w:ascii="Times New Roman"/>
                      <w:color w:val="000000" w:themeColor="text1"/>
                      <w:szCs w:val="21"/>
                      <w:highlight w:val="none"/>
                      <w14:textFill>
                        <w14:solidFill>
                          <w14:schemeClr w14:val="tx1"/>
                        </w14:solidFill>
                      </w14:textFill>
                    </w:rPr>
                  </w:pPr>
                  <w:r>
                    <w:rPr>
                      <w:rFonts w:hint="eastAsia" w:ascii="Times New Roman"/>
                      <w:color w:val="000000" w:themeColor="text1"/>
                      <w:szCs w:val="21"/>
                      <w:highlight w:val="none"/>
                      <w:lang w:val="en-US" w:eastAsia="zh-CN"/>
                      <w14:textFill>
                        <w14:solidFill>
                          <w14:schemeClr w14:val="tx1"/>
                        </w14:solidFill>
                      </w14:textFill>
                    </w:rPr>
                    <w:t>《污水综合排放标准》（GB8978-1996）表4三级排放标准</w:t>
                  </w:r>
                </w:p>
              </w:tc>
              <w:tc>
                <w:tcPr>
                  <w:tcW w:w="434" w:type="pct"/>
                  <w:tcBorders>
                    <w:tl2br w:val="nil"/>
                    <w:tr2bl w:val="nil"/>
                  </w:tcBorders>
                  <w:vAlign w:val="center"/>
                </w:tcPr>
                <w:p w14:paraId="38AD7F75">
                  <w:pPr>
                    <w:pStyle w:val="88"/>
                    <w:spacing w:before="24" w:after="24"/>
                    <w:ind w:firstLine="1"/>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6~9</w:t>
                  </w:r>
                </w:p>
              </w:tc>
              <w:tc>
                <w:tcPr>
                  <w:tcW w:w="447" w:type="pct"/>
                  <w:tcBorders>
                    <w:tl2br w:val="nil"/>
                    <w:tr2bl w:val="nil"/>
                  </w:tcBorders>
                  <w:vAlign w:val="center"/>
                </w:tcPr>
                <w:p w14:paraId="4EB7A61B">
                  <w:pPr>
                    <w:pStyle w:val="88"/>
                    <w:spacing w:before="24" w:after="24"/>
                    <w:ind w:firstLine="1"/>
                    <w:rPr>
                      <w:rFonts w:hint="default" w:ascii="Times New Roman" w:eastAsia="宋体"/>
                      <w:color w:val="000000" w:themeColor="text1"/>
                      <w:szCs w:val="21"/>
                      <w:highlight w:val="none"/>
                      <w:lang w:val="en-US" w:eastAsia="zh-CN"/>
                      <w14:textFill>
                        <w14:solidFill>
                          <w14:schemeClr w14:val="tx1"/>
                        </w14:solidFill>
                      </w14:textFill>
                    </w:rPr>
                  </w:pPr>
                  <w:r>
                    <w:rPr>
                      <w:rFonts w:hint="eastAsia" w:ascii="Times New Roman"/>
                      <w:color w:val="000000" w:themeColor="text1"/>
                      <w:szCs w:val="21"/>
                      <w:highlight w:val="none"/>
                      <w:lang w:val="en-US" w:eastAsia="zh-CN"/>
                      <w14:textFill>
                        <w14:solidFill>
                          <w14:schemeClr w14:val="tx1"/>
                        </w14:solidFill>
                      </w14:textFill>
                    </w:rPr>
                    <w:t>500</w:t>
                  </w:r>
                </w:p>
              </w:tc>
              <w:tc>
                <w:tcPr>
                  <w:tcW w:w="484" w:type="pct"/>
                  <w:tcBorders>
                    <w:tl2br w:val="nil"/>
                    <w:tr2bl w:val="nil"/>
                  </w:tcBorders>
                  <w:vAlign w:val="center"/>
                </w:tcPr>
                <w:p w14:paraId="2F999BE9">
                  <w:pPr>
                    <w:pStyle w:val="88"/>
                    <w:spacing w:before="24" w:after="24"/>
                    <w:ind w:firstLine="1"/>
                    <w:rPr>
                      <w:rFonts w:hint="default" w:ascii="Times New Roman" w:eastAsia="宋体"/>
                      <w:color w:val="000000" w:themeColor="text1"/>
                      <w:szCs w:val="21"/>
                      <w:highlight w:val="none"/>
                      <w:lang w:val="en-US" w:eastAsia="zh-CN"/>
                      <w14:textFill>
                        <w14:solidFill>
                          <w14:schemeClr w14:val="tx1"/>
                        </w14:solidFill>
                      </w14:textFill>
                    </w:rPr>
                  </w:pPr>
                  <w:r>
                    <w:rPr>
                      <w:rFonts w:hint="eastAsia" w:ascii="Times New Roman"/>
                      <w:color w:val="000000" w:themeColor="text1"/>
                      <w:szCs w:val="21"/>
                      <w:highlight w:val="none"/>
                      <w:lang w:val="en-US" w:eastAsia="zh-CN"/>
                      <w14:textFill>
                        <w14:solidFill>
                          <w14:schemeClr w14:val="tx1"/>
                        </w14:solidFill>
                      </w14:textFill>
                    </w:rPr>
                    <w:t>300</w:t>
                  </w:r>
                </w:p>
              </w:tc>
              <w:tc>
                <w:tcPr>
                  <w:tcW w:w="424" w:type="pct"/>
                  <w:tcBorders>
                    <w:tl2br w:val="nil"/>
                    <w:tr2bl w:val="nil"/>
                  </w:tcBorders>
                  <w:vAlign w:val="center"/>
                </w:tcPr>
                <w:p w14:paraId="4249F983">
                  <w:pPr>
                    <w:pStyle w:val="88"/>
                    <w:spacing w:before="24" w:after="24"/>
                    <w:ind w:firstLine="1"/>
                    <w:rPr>
                      <w:rFonts w:hint="default" w:ascii="Times New Roman"/>
                      <w:color w:val="000000" w:themeColor="text1"/>
                      <w:szCs w:val="21"/>
                      <w:highlight w:val="none"/>
                      <w:lang w:val="en-US"/>
                      <w14:textFill>
                        <w14:solidFill>
                          <w14:schemeClr w14:val="tx1"/>
                        </w14:solidFill>
                      </w14:textFill>
                    </w:rPr>
                  </w:pPr>
                  <w:r>
                    <w:rPr>
                      <w:rFonts w:hint="eastAsia" w:ascii="Times New Roman"/>
                      <w:color w:val="000000" w:themeColor="text1"/>
                      <w:szCs w:val="21"/>
                      <w:highlight w:val="none"/>
                      <w:lang w:val="en-US" w:eastAsia="zh-CN"/>
                      <w14:textFill>
                        <w14:solidFill>
                          <w14:schemeClr w14:val="tx1"/>
                        </w14:solidFill>
                      </w14:textFill>
                    </w:rPr>
                    <w:t>400</w:t>
                  </w:r>
                </w:p>
              </w:tc>
              <w:tc>
                <w:tcPr>
                  <w:tcW w:w="538" w:type="pct"/>
                  <w:tcBorders>
                    <w:tl2br w:val="nil"/>
                    <w:tr2bl w:val="nil"/>
                  </w:tcBorders>
                  <w:vAlign w:val="center"/>
                </w:tcPr>
                <w:p w14:paraId="4E7BBE23">
                  <w:pPr>
                    <w:pStyle w:val="88"/>
                    <w:spacing w:before="24" w:after="24"/>
                    <w:ind w:firstLine="1"/>
                    <w:rPr>
                      <w:rFonts w:hint="eastAsia" w:ascii="Times New Roman" w:eastAsia="宋体"/>
                      <w:color w:val="000000" w:themeColor="text1"/>
                      <w:szCs w:val="21"/>
                      <w:highlight w:val="none"/>
                      <w:lang w:eastAsia="zh-CN"/>
                      <w14:textFill>
                        <w14:solidFill>
                          <w14:schemeClr w14:val="tx1"/>
                        </w14:solidFill>
                      </w14:textFill>
                    </w:rPr>
                  </w:pPr>
                  <w:r>
                    <w:rPr>
                      <w:rFonts w:hint="eastAsia" w:ascii="Times New Roman"/>
                      <w:color w:val="000000" w:themeColor="text1"/>
                      <w:szCs w:val="21"/>
                      <w:highlight w:val="none"/>
                      <w:lang w:val="en-US" w:eastAsia="zh-CN"/>
                      <w14:textFill>
                        <w14:solidFill>
                          <w14:schemeClr w14:val="tx1"/>
                        </w14:solidFill>
                      </w14:textFill>
                    </w:rPr>
                    <w:t>-</w:t>
                  </w:r>
                </w:p>
              </w:tc>
            </w:tr>
            <w:tr w14:paraId="21B16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 w:hRule="atLeast"/>
                <w:tblHeader/>
                <w:jc w:val="center"/>
              </w:trPr>
              <w:tc>
                <w:tcPr>
                  <w:tcW w:w="2671" w:type="pct"/>
                  <w:tcBorders>
                    <w:tl2br w:val="nil"/>
                    <w:tr2bl w:val="nil"/>
                  </w:tcBorders>
                  <w:vAlign w:val="center"/>
                </w:tcPr>
                <w:p w14:paraId="53E3D18B">
                  <w:pPr>
                    <w:pStyle w:val="88"/>
                    <w:spacing w:before="24" w:after="24"/>
                    <w:ind w:firstLine="1"/>
                    <w:rPr>
                      <w:rFonts w:ascii="Times New Roman"/>
                      <w:color w:val="000000" w:themeColor="text1"/>
                      <w:szCs w:val="21"/>
                      <w:highlight w:val="none"/>
                      <w14:textFill>
                        <w14:solidFill>
                          <w14:schemeClr w14:val="tx1"/>
                        </w14:solidFill>
                      </w14:textFill>
                    </w:rPr>
                  </w:pPr>
                  <w:r>
                    <w:rPr>
                      <w:rFonts w:hint="eastAsia" w:ascii="Times New Roman"/>
                      <w:color w:val="000000" w:themeColor="text1"/>
                      <w:szCs w:val="21"/>
                      <w:highlight w:val="none"/>
                      <w:lang w:val="en-US" w:eastAsia="zh-CN"/>
                      <w14:textFill>
                        <w14:solidFill>
                          <w14:schemeClr w14:val="tx1"/>
                        </w14:solidFill>
                      </w14:textFill>
                    </w:rPr>
                    <w:t>《</w:t>
                  </w:r>
                  <w:r>
                    <w:rPr>
                      <w:rFonts w:ascii="Times New Roman"/>
                      <w:color w:val="000000" w:themeColor="text1"/>
                      <w:szCs w:val="21"/>
                      <w:highlight w:val="none"/>
                      <w14:textFill>
                        <w14:solidFill>
                          <w14:schemeClr w14:val="tx1"/>
                        </w14:solidFill>
                      </w14:textFill>
                    </w:rPr>
                    <w:t>城镇污水处理厂污染物排放标准》（GB18918—2002）一级A标准</w:t>
                  </w:r>
                </w:p>
              </w:tc>
              <w:tc>
                <w:tcPr>
                  <w:tcW w:w="434" w:type="pct"/>
                  <w:tcBorders>
                    <w:tl2br w:val="nil"/>
                    <w:tr2bl w:val="nil"/>
                  </w:tcBorders>
                  <w:vAlign w:val="center"/>
                </w:tcPr>
                <w:p w14:paraId="3D79CF1D">
                  <w:pPr>
                    <w:pStyle w:val="88"/>
                    <w:spacing w:before="24" w:after="24"/>
                    <w:ind w:firstLine="1"/>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6~9</w:t>
                  </w:r>
                </w:p>
              </w:tc>
              <w:tc>
                <w:tcPr>
                  <w:tcW w:w="447" w:type="pct"/>
                  <w:tcBorders>
                    <w:tl2br w:val="nil"/>
                    <w:tr2bl w:val="nil"/>
                  </w:tcBorders>
                  <w:vAlign w:val="center"/>
                </w:tcPr>
                <w:p w14:paraId="4483EBDB">
                  <w:pPr>
                    <w:pStyle w:val="88"/>
                    <w:spacing w:before="24" w:after="24"/>
                    <w:ind w:firstLine="1"/>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48C61D29">
                  <w:pPr>
                    <w:pStyle w:val="88"/>
                    <w:spacing w:before="24" w:after="24"/>
                    <w:ind w:firstLine="1"/>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10</w:t>
                  </w:r>
                </w:p>
              </w:tc>
              <w:tc>
                <w:tcPr>
                  <w:tcW w:w="424" w:type="pct"/>
                  <w:tcBorders>
                    <w:tl2br w:val="nil"/>
                    <w:tr2bl w:val="nil"/>
                  </w:tcBorders>
                  <w:vAlign w:val="center"/>
                </w:tcPr>
                <w:p w14:paraId="0E5B9BC8">
                  <w:pPr>
                    <w:pStyle w:val="88"/>
                    <w:spacing w:before="24" w:after="24"/>
                    <w:ind w:firstLine="1"/>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10</w:t>
                  </w:r>
                </w:p>
              </w:tc>
              <w:tc>
                <w:tcPr>
                  <w:tcW w:w="538" w:type="pct"/>
                  <w:tcBorders>
                    <w:tl2br w:val="nil"/>
                    <w:tr2bl w:val="nil"/>
                  </w:tcBorders>
                  <w:vAlign w:val="center"/>
                </w:tcPr>
                <w:p w14:paraId="1A504995">
                  <w:pPr>
                    <w:pStyle w:val="88"/>
                    <w:spacing w:before="24" w:after="24"/>
                    <w:ind w:firstLine="1"/>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5</w:t>
                  </w:r>
                  <w:r>
                    <w:rPr>
                      <w:color w:val="000000" w:themeColor="text1"/>
                      <w:kern w:val="0"/>
                      <w:sz w:val="18"/>
                      <w:szCs w:val="21"/>
                      <w:highlight w:val="none"/>
                      <w:vertAlign w:val="superscript"/>
                      <w14:textFill>
                        <w14:solidFill>
                          <w14:schemeClr w14:val="tx1"/>
                        </w14:solidFill>
                      </w14:textFill>
                    </w:rPr>
                    <w:t>*</w:t>
                  </w:r>
                  <w:r>
                    <w:rPr>
                      <w:rFonts w:ascii="Times New Roman"/>
                      <w:color w:val="000000" w:themeColor="text1"/>
                      <w:szCs w:val="21"/>
                      <w:highlight w:val="none"/>
                      <w14:textFill>
                        <w14:solidFill>
                          <w14:schemeClr w14:val="tx1"/>
                        </w14:solidFill>
                      </w14:textFill>
                    </w:rPr>
                    <w:t>（8）</w:t>
                  </w:r>
                </w:p>
              </w:tc>
            </w:tr>
          </w:tbl>
          <w:p w14:paraId="0611338D">
            <w:pPr>
              <w:ind w:firstLine="360" w:firstLineChars="200"/>
              <w:rPr>
                <w:sz w:val="24"/>
                <w:szCs w:val="22"/>
              </w:rPr>
            </w:pPr>
            <w:r>
              <w:rPr>
                <w:rFonts w:hint="eastAsia"/>
                <w:color w:val="000000" w:themeColor="text1"/>
                <w:kern w:val="0"/>
                <w:sz w:val="18"/>
                <w:szCs w:val="21"/>
                <w:highlight w:val="none"/>
                <w14:textFill>
                  <w14:solidFill>
                    <w14:schemeClr w14:val="tx1"/>
                  </w14:solidFill>
                </w14:textFill>
              </w:rPr>
              <w:t>注：①</w:t>
            </w:r>
            <w:r>
              <w:rPr>
                <w:color w:val="000000" w:themeColor="text1"/>
                <w:kern w:val="0"/>
                <w:sz w:val="18"/>
                <w:szCs w:val="21"/>
                <w:highlight w:val="none"/>
                <w14:textFill>
                  <w14:solidFill>
                    <w14:schemeClr w14:val="tx1"/>
                  </w14:solidFill>
                </w14:textFill>
              </w:rPr>
              <w:t>*：括号外数值为水温＞12℃时的控制指标，括号内数值为水温≤12℃时的控制指标。</w:t>
            </w:r>
          </w:p>
          <w:p w14:paraId="5CF34D89">
            <w:pPr>
              <w:keepNext w:val="0"/>
              <w:keepLines w:val="0"/>
              <w:pageBreakBefore w:val="0"/>
              <w:widowControl w:val="0"/>
              <w:kinsoku/>
              <w:wordWrap/>
              <w:overflowPunct/>
              <w:topLinePunct w:val="0"/>
              <w:autoSpaceDE/>
              <w:autoSpaceDN/>
              <w:bidi w:val="0"/>
              <w:adjustRightInd/>
              <w:snapToGrid/>
              <w:spacing w:beforeAutospacing="0" w:line="360" w:lineRule="auto"/>
              <w:ind w:firstLine="482" w:firstLineChars="200"/>
              <w:textAlignment w:val="auto"/>
              <w:rPr>
                <w:kern w:val="0"/>
                <w:sz w:val="24"/>
                <w:szCs w:val="20"/>
              </w:rPr>
            </w:pPr>
            <w:r>
              <w:rPr>
                <w:b/>
                <w:kern w:val="0"/>
                <w:sz w:val="24"/>
                <w:szCs w:val="20"/>
              </w:rPr>
              <w:t>3、噪声</w:t>
            </w:r>
          </w:p>
          <w:p w14:paraId="7CF26C23">
            <w:pPr>
              <w:keepNext w:val="0"/>
              <w:keepLines w:val="0"/>
              <w:pageBreakBefore w:val="0"/>
              <w:widowControl/>
              <w:kinsoku/>
              <w:wordWrap/>
              <w:overflowPunct/>
              <w:topLinePunct w:val="0"/>
              <w:autoSpaceDE/>
              <w:autoSpaceDN/>
              <w:bidi w:val="0"/>
              <w:adjustRightInd/>
              <w:snapToGrid/>
              <w:spacing w:beforeAutospacing="0" w:line="360" w:lineRule="auto"/>
              <w:ind w:left="0" w:leftChars="0" w:firstLine="480" w:firstLineChars="200"/>
              <w:jc w:val="left"/>
              <w:textAlignment w:val="auto"/>
              <w:rPr>
                <w:kern w:val="0"/>
                <w:sz w:val="24"/>
                <w:szCs w:val="20"/>
              </w:rPr>
            </w:pPr>
            <w:r>
              <w:rPr>
                <w:rFonts w:hint="eastAsia"/>
                <w:kern w:val="0"/>
                <w:sz w:val="24"/>
                <w:szCs w:val="20"/>
              </w:rPr>
              <w:t>项目</w:t>
            </w:r>
            <w:r>
              <w:rPr>
                <w:kern w:val="0"/>
                <w:sz w:val="24"/>
                <w:szCs w:val="20"/>
              </w:rPr>
              <w:t>运营期</w:t>
            </w:r>
            <w:r>
              <w:rPr>
                <w:rFonts w:hint="eastAsia"/>
                <w:kern w:val="0"/>
                <w:sz w:val="24"/>
                <w:szCs w:val="20"/>
              </w:rPr>
              <w:t>厂界</w:t>
            </w:r>
            <w:r>
              <w:rPr>
                <w:kern w:val="0"/>
                <w:sz w:val="24"/>
                <w:szCs w:val="20"/>
              </w:rPr>
              <w:t>噪声执行《工业企业厂界环境噪声排放标准》（</w:t>
            </w:r>
            <w:r>
              <w:rPr>
                <w:bCs/>
                <w:kern w:val="0"/>
                <w:sz w:val="24"/>
                <w:szCs w:val="20"/>
              </w:rPr>
              <w:t>GB12348-2008）</w:t>
            </w:r>
            <w:r>
              <w:rPr>
                <w:kern w:val="0"/>
                <w:sz w:val="24"/>
                <w:szCs w:val="20"/>
              </w:rPr>
              <w:t>中的3类标准，具体见下表。</w:t>
            </w:r>
          </w:p>
          <w:p w14:paraId="7B2B8614">
            <w:pPr>
              <w:keepNext w:val="0"/>
              <w:keepLines w:val="0"/>
              <w:pageBreakBefore w:val="0"/>
              <w:widowControl/>
              <w:kinsoku/>
              <w:wordWrap/>
              <w:overflowPunct/>
              <w:topLinePunct w:val="0"/>
              <w:autoSpaceDE/>
              <w:autoSpaceDN/>
              <w:bidi w:val="0"/>
              <w:adjustRightInd/>
              <w:snapToGrid/>
              <w:spacing w:beforeAutospacing="0" w:line="240" w:lineRule="auto"/>
              <w:ind w:left="0" w:leftChars="0"/>
              <w:jc w:val="center"/>
              <w:textAlignment w:val="auto"/>
              <w:rPr>
                <w:b/>
                <w:kern w:val="0"/>
                <w:sz w:val="24"/>
                <w:szCs w:val="20"/>
              </w:rPr>
            </w:pPr>
            <w:r>
              <w:rPr>
                <w:b/>
                <w:kern w:val="0"/>
                <w:sz w:val="24"/>
                <w:szCs w:val="20"/>
              </w:rPr>
              <w:t>表3-</w:t>
            </w:r>
            <w:r>
              <w:rPr>
                <w:rFonts w:hint="eastAsia"/>
                <w:b/>
                <w:kern w:val="0"/>
                <w:sz w:val="24"/>
                <w:szCs w:val="20"/>
                <w:lang w:val="en-US" w:eastAsia="zh-CN"/>
              </w:rPr>
              <w:t>7</w:t>
            </w:r>
            <w:r>
              <w:rPr>
                <w:b/>
                <w:kern w:val="0"/>
                <w:sz w:val="24"/>
                <w:szCs w:val="20"/>
              </w:rPr>
              <w:t xml:space="preserve">  项目环境噪声排放标准  单位：dB(A)</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1717"/>
              <w:gridCol w:w="1985"/>
              <w:gridCol w:w="2859"/>
            </w:tblGrid>
            <w:tr w14:paraId="520BF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052" w:type="pct"/>
                  <w:vMerge w:val="restart"/>
                  <w:tcBorders>
                    <w:tl2br w:val="nil"/>
                    <w:tr2bl w:val="nil"/>
                  </w:tcBorders>
                  <w:vAlign w:val="center"/>
                </w:tcPr>
                <w:p w14:paraId="4FC3A7C6">
                  <w:pPr>
                    <w:widowControl/>
                    <w:jc w:val="center"/>
                    <w:rPr>
                      <w:b/>
                      <w:kern w:val="0"/>
                      <w:szCs w:val="21"/>
                    </w:rPr>
                  </w:pPr>
                  <w:r>
                    <w:rPr>
                      <w:b/>
                      <w:kern w:val="0"/>
                      <w:szCs w:val="21"/>
                    </w:rPr>
                    <w:t>类别</w:t>
                  </w:r>
                </w:p>
              </w:tc>
              <w:tc>
                <w:tcPr>
                  <w:tcW w:w="2227" w:type="pct"/>
                  <w:gridSpan w:val="2"/>
                  <w:tcBorders>
                    <w:tl2br w:val="nil"/>
                    <w:tr2bl w:val="nil"/>
                  </w:tcBorders>
                  <w:vAlign w:val="center"/>
                </w:tcPr>
                <w:p w14:paraId="2008302C">
                  <w:pPr>
                    <w:widowControl/>
                    <w:jc w:val="center"/>
                    <w:rPr>
                      <w:b/>
                      <w:kern w:val="0"/>
                      <w:szCs w:val="21"/>
                    </w:rPr>
                  </w:pPr>
                  <w:r>
                    <w:rPr>
                      <w:b/>
                      <w:kern w:val="0"/>
                      <w:szCs w:val="21"/>
                    </w:rPr>
                    <w:t>标准值dB(A)</w:t>
                  </w:r>
                </w:p>
              </w:tc>
              <w:tc>
                <w:tcPr>
                  <w:tcW w:w="1720" w:type="pct"/>
                  <w:vMerge w:val="restart"/>
                  <w:tcBorders>
                    <w:tl2br w:val="nil"/>
                    <w:tr2bl w:val="nil"/>
                  </w:tcBorders>
                  <w:vAlign w:val="center"/>
                </w:tcPr>
                <w:p w14:paraId="752CC845">
                  <w:pPr>
                    <w:widowControl/>
                    <w:jc w:val="center"/>
                    <w:rPr>
                      <w:b/>
                      <w:kern w:val="0"/>
                      <w:szCs w:val="21"/>
                    </w:rPr>
                  </w:pPr>
                  <w:r>
                    <w:rPr>
                      <w:b/>
                      <w:kern w:val="0"/>
                      <w:szCs w:val="21"/>
                    </w:rPr>
                    <w:t>标准来源</w:t>
                  </w:r>
                </w:p>
              </w:tc>
            </w:tr>
            <w:tr w14:paraId="1F4C68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052" w:type="pct"/>
                  <w:vMerge w:val="continue"/>
                  <w:tcBorders>
                    <w:tl2br w:val="nil"/>
                    <w:tr2bl w:val="nil"/>
                  </w:tcBorders>
                  <w:vAlign w:val="center"/>
                </w:tcPr>
                <w:p w14:paraId="306C95E7">
                  <w:pPr>
                    <w:widowControl/>
                    <w:jc w:val="center"/>
                    <w:rPr>
                      <w:b/>
                      <w:kern w:val="0"/>
                      <w:szCs w:val="21"/>
                    </w:rPr>
                  </w:pPr>
                </w:p>
              </w:tc>
              <w:tc>
                <w:tcPr>
                  <w:tcW w:w="1032" w:type="pct"/>
                  <w:tcBorders>
                    <w:tl2br w:val="nil"/>
                    <w:tr2bl w:val="nil"/>
                  </w:tcBorders>
                  <w:vAlign w:val="center"/>
                </w:tcPr>
                <w:p w14:paraId="50BF8773">
                  <w:pPr>
                    <w:widowControl/>
                    <w:jc w:val="center"/>
                    <w:rPr>
                      <w:b/>
                      <w:kern w:val="0"/>
                      <w:szCs w:val="21"/>
                    </w:rPr>
                  </w:pPr>
                  <w:r>
                    <w:rPr>
                      <w:b/>
                      <w:kern w:val="0"/>
                      <w:szCs w:val="21"/>
                    </w:rPr>
                    <w:t>昼间</w:t>
                  </w:r>
                </w:p>
              </w:tc>
              <w:tc>
                <w:tcPr>
                  <w:tcW w:w="1194" w:type="pct"/>
                  <w:tcBorders>
                    <w:tl2br w:val="nil"/>
                    <w:tr2bl w:val="nil"/>
                  </w:tcBorders>
                  <w:vAlign w:val="center"/>
                </w:tcPr>
                <w:p w14:paraId="5EBC1A05">
                  <w:pPr>
                    <w:widowControl/>
                    <w:jc w:val="center"/>
                    <w:rPr>
                      <w:b/>
                      <w:kern w:val="0"/>
                      <w:szCs w:val="21"/>
                    </w:rPr>
                  </w:pPr>
                  <w:r>
                    <w:rPr>
                      <w:b/>
                      <w:kern w:val="0"/>
                      <w:szCs w:val="21"/>
                    </w:rPr>
                    <w:t>夜间</w:t>
                  </w:r>
                </w:p>
              </w:tc>
              <w:tc>
                <w:tcPr>
                  <w:tcW w:w="1720" w:type="pct"/>
                  <w:vMerge w:val="continue"/>
                  <w:tcBorders>
                    <w:tl2br w:val="nil"/>
                    <w:tr2bl w:val="nil"/>
                  </w:tcBorders>
                  <w:vAlign w:val="center"/>
                </w:tcPr>
                <w:p w14:paraId="713F2A73">
                  <w:pPr>
                    <w:widowControl/>
                    <w:jc w:val="center"/>
                    <w:rPr>
                      <w:b/>
                      <w:kern w:val="0"/>
                      <w:szCs w:val="21"/>
                    </w:rPr>
                  </w:pPr>
                </w:p>
              </w:tc>
            </w:tr>
            <w:tr w14:paraId="03AD0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52" w:type="pct"/>
                  <w:tcBorders>
                    <w:tl2br w:val="nil"/>
                    <w:tr2bl w:val="nil"/>
                  </w:tcBorders>
                  <w:vAlign w:val="center"/>
                </w:tcPr>
                <w:p w14:paraId="5153BCEB">
                  <w:pPr>
                    <w:widowControl/>
                    <w:jc w:val="center"/>
                    <w:rPr>
                      <w:kern w:val="0"/>
                      <w:szCs w:val="21"/>
                    </w:rPr>
                  </w:pPr>
                  <w:r>
                    <w:rPr>
                      <w:kern w:val="0"/>
                      <w:szCs w:val="21"/>
                    </w:rPr>
                    <w:t>3类</w:t>
                  </w:r>
                </w:p>
              </w:tc>
              <w:tc>
                <w:tcPr>
                  <w:tcW w:w="1032" w:type="pct"/>
                  <w:tcBorders>
                    <w:tl2br w:val="nil"/>
                    <w:tr2bl w:val="nil"/>
                  </w:tcBorders>
                  <w:vAlign w:val="center"/>
                </w:tcPr>
                <w:p w14:paraId="14835918">
                  <w:pPr>
                    <w:widowControl/>
                    <w:jc w:val="center"/>
                    <w:rPr>
                      <w:kern w:val="0"/>
                      <w:szCs w:val="21"/>
                    </w:rPr>
                  </w:pPr>
                  <w:r>
                    <w:rPr>
                      <w:kern w:val="0"/>
                      <w:szCs w:val="21"/>
                    </w:rPr>
                    <w:t>65</w:t>
                  </w:r>
                </w:p>
              </w:tc>
              <w:tc>
                <w:tcPr>
                  <w:tcW w:w="1194" w:type="pct"/>
                  <w:tcBorders>
                    <w:tl2br w:val="nil"/>
                    <w:tr2bl w:val="nil"/>
                  </w:tcBorders>
                  <w:vAlign w:val="center"/>
                </w:tcPr>
                <w:p w14:paraId="0DFD9968">
                  <w:pPr>
                    <w:widowControl/>
                    <w:jc w:val="center"/>
                    <w:rPr>
                      <w:kern w:val="0"/>
                      <w:szCs w:val="21"/>
                    </w:rPr>
                  </w:pPr>
                  <w:r>
                    <w:rPr>
                      <w:kern w:val="0"/>
                      <w:szCs w:val="21"/>
                    </w:rPr>
                    <w:t>55</w:t>
                  </w:r>
                </w:p>
              </w:tc>
              <w:tc>
                <w:tcPr>
                  <w:tcW w:w="1720" w:type="pct"/>
                  <w:tcBorders>
                    <w:tl2br w:val="nil"/>
                    <w:tr2bl w:val="nil"/>
                  </w:tcBorders>
                  <w:vAlign w:val="center"/>
                </w:tcPr>
                <w:p w14:paraId="54F2DA49">
                  <w:pPr>
                    <w:widowControl/>
                    <w:jc w:val="center"/>
                    <w:rPr>
                      <w:kern w:val="0"/>
                      <w:szCs w:val="21"/>
                    </w:rPr>
                  </w:pPr>
                  <w:r>
                    <w:rPr>
                      <w:kern w:val="0"/>
                      <w:szCs w:val="21"/>
                    </w:rPr>
                    <w:t>《工业企业厂界环境噪声排放标准》（</w:t>
                  </w:r>
                  <w:r>
                    <w:rPr>
                      <w:bCs/>
                      <w:kern w:val="0"/>
                      <w:szCs w:val="21"/>
                    </w:rPr>
                    <w:t>GB12348-2008）</w:t>
                  </w:r>
                </w:p>
              </w:tc>
            </w:tr>
          </w:tbl>
          <w:p w14:paraId="1F45DC7E">
            <w:pPr>
              <w:keepNext w:val="0"/>
              <w:keepLines w:val="0"/>
              <w:pageBreakBefore w:val="0"/>
              <w:widowControl/>
              <w:kinsoku/>
              <w:wordWrap/>
              <w:overflowPunct/>
              <w:topLinePunct w:val="0"/>
              <w:autoSpaceDE/>
              <w:autoSpaceDN/>
              <w:bidi w:val="0"/>
              <w:adjustRightInd/>
              <w:snapToGrid/>
              <w:spacing w:beforeAutospacing="0" w:line="360" w:lineRule="auto"/>
              <w:ind w:firstLine="482" w:firstLineChars="200"/>
              <w:jc w:val="left"/>
              <w:textAlignment w:val="auto"/>
              <w:rPr>
                <w:b/>
                <w:kern w:val="0"/>
                <w:sz w:val="24"/>
                <w:szCs w:val="20"/>
              </w:rPr>
            </w:pPr>
            <w:r>
              <w:rPr>
                <w:b/>
                <w:kern w:val="0"/>
                <w:sz w:val="24"/>
                <w:szCs w:val="20"/>
              </w:rPr>
              <w:t>4、</w:t>
            </w:r>
            <w:r>
              <w:rPr>
                <w:rFonts w:hint="eastAsia"/>
                <w:b/>
                <w:kern w:val="0"/>
                <w:sz w:val="24"/>
                <w:szCs w:val="20"/>
              </w:rPr>
              <w:t>固废</w:t>
            </w:r>
          </w:p>
          <w:p w14:paraId="56288824">
            <w:pPr>
              <w:widowControl/>
              <w:spacing w:line="360" w:lineRule="auto"/>
              <w:ind w:firstLine="480" w:firstLineChars="200"/>
              <w:jc w:val="left"/>
              <w:rPr>
                <w:kern w:val="0"/>
                <w:sz w:val="24"/>
                <w:szCs w:val="20"/>
              </w:rPr>
            </w:pPr>
            <w:r>
              <w:rPr>
                <w:kern w:val="0"/>
                <w:sz w:val="24"/>
                <w:szCs w:val="20"/>
              </w:rPr>
              <w:t>本项目</w:t>
            </w:r>
            <w:r>
              <w:rPr>
                <w:sz w:val="24"/>
              </w:rPr>
              <w:t>一般固废处理处置执行《一般工业固体废物贮存和填埋污染控制标准》（GB18599-2020）的规定；本项目涉及到的危险固体废弃物的贮存应执行《危险废物贮存污染控制标准》（GB18597-2023）中有关规定</w:t>
            </w:r>
            <w:r>
              <w:rPr>
                <w:rFonts w:hint="eastAsia"/>
                <w:sz w:val="24"/>
                <w:lang w:eastAsia="zh-CN"/>
              </w:rPr>
              <w:t>。</w:t>
            </w:r>
          </w:p>
        </w:tc>
      </w:tr>
      <w:tr w14:paraId="1585A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639" w:hRule="atLeast"/>
          <w:jc w:val="center"/>
        </w:trPr>
        <w:tc>
          <w:tcPr>
            <w:tcW w:w="534" w:type="dxa"/>
            <w:vAlign w:val="center"/>
          </w:tcPr>
          <w:p w14:paraId="331C5611">
            <w:pPr>
              <w:autoSpaceDE w:val="0"/>
              <w:autoSpaceDN w:val="0"/>
              <w:adjustRightInd w:val="0"/>
              <w:snapToGrid w:val="0"/>
              <w:jc w:val="center"/>
              <w:rPr>
                <w:rFonts w:cs="宋体"/>
                <w:kern w:val="0"/>
                <w:sz w:val="24"/>
              </w:rPr>
            </w:pPr>
            <w:r>
              <w:rPr>
                <w:rFonts w:hint="eastAsia" w:cs="宋体"/>
                <w:kern w:val="0"/>
                <w:sz w:val="24"/>
              </w:rPr>
              <w:t>总量</w:t>
            </w:r>
          </w:p>
          <w:p w14:paraId="611E9494">
            <w:pPr>
              <w:autoSpaceDE w:val="0"/>
              <w:autoSpaceDN w:val="0"/>
              <w:adjustRightInd w:val="0"/>
              <w:snapToGrid w:val="0"/>
              <w:jc w:val="center"/>
              <w:rPr>
                <w:rFonts w:cs="宋体"/>
                <w:kern w:val="0"/>
                <w:sz w:val="24"/>
              </w:rPr>
            </w:pPr>
            <w:r>
              <w:rPr>
                <w:rFonts w:hint="eastAsia" w:cs="宋体"/>
                <w:kern w:val="0"/>
                <w:sz w:val="24"/>
              </w:rPr>
              <w:t>控制</w:t>
            </w:r>
          </w:p>
          <w:p w14:paraId="6D36D9C3">
            <w:pPr>
              <w:autoSpaceDE w:val="0"/>
              <w:autoSpaceDN w:val="0"/>
              <w:adjustRightInd w:val="0"/>
              <w:snapToGrid w:val="0"/>
              <w:jc w:val="center"/>
              <w:rPr>
                <w:rFonts w:cs="宋体"/>
                <w:kern w:val="0"/>
                <w:sz w:val="24"/>
              </w:rPr>
            </w:pPr>
            <w:r>
              <w:rPr>
                <w:rFonts w:hint="eastAsia" w:cs="宋体"/>
                <w:kern w:val="0"/>
                <w:sz w:val="24"/>
              </w:rPr>
              <w:t>指标</w:t>
            </w:r>
          </w:p>
        </w:tc>
        <w:tc>
          <w:tcPr>
            <w:tcW w:w="8527" w:type="dxa"/>
            <w:vAlign w:val="center"/>
          </w:tcPr>
          <w:p w14:paraId="5A353EDD">
            <w:pPr>
              <w:spacing w:line="360" w:lineRule="auto"/>
              <w:ind w:firstLine="480" w:firstLineChars="200"/>
              <w:rPr>
                <w:rFonts w:hint="eastAsia"/>
                <w:sz w:val="24"/>
              </w:rPr>
            </w:pPr>
            <w:r>
              <w:rPr>
                <w:rFonts w:hint="eastAsia"/>
                <w:sz w:val="24"/>
              </w:rPr>
              <w:t>根据《国务院关于印发&lt;“十四五”节能减排综合工作方案&gt;的通知》（国发[2021]33号），目前国家对化学需氧量 COD、氨氮 NH</w:t>
            </w:r>
            <w:r>
              <w:rPr>
                <w:rFonts w:hint="eastAsia"/>
                <w:sz w:val="24"/>
                <w:vertAlign w:val="subscript"/>
              </w:rPr>
              <w:t>3</w:t>
            </w:r>
            <w:r>
              <w:rPr>
                <w:rFonts w:hint="eastAsia"/>
                <w:sz w:val="24"/>
              </w:rPr>
              <w:t>-N、氮氧化物 NOx、VOCs（以非甲烷总烃计）等四种主要污染物纳入排放总量控制计划管理。</w:t>
            </w:r>
          </w:p>
          <w:p w14:paraId="5EF544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highlight w:val="none"/>
              </w:rPr>
            </w:pPr>
            <w:r>
              <w:rPr>
                <w:rFonts w:ascii="Times New Roman" w:hAnsi="Times New Roman" w:eastAsia="宋体"/>
                <w:color w:val="auto"/>
                <w:kern w:val="0"/>
                <w:sz w:val="24"/>
                <w:highlight w:val="none"/>
              </w:rPr>
              <w:t>本项目</w:t>
            </w:r>
            <w:r>
              <w:rPr>
                <w:rFonts w:hint="eastAsia" w:ascii="Times New Roman" w:hAnsi="Times New Roman" w:eastAsia="宋体"/>
                <w:color w:val="auto"/>
                <w:kern w:val="0"/>
                <w:sz w:val="24"/>
                <w:highlight w:val="none"/>
                <w:lang w:val="en-US" w:eastAsia="zh-CN"/>
              </w:rPr>
              <w:t>无废气总量控制指标，废水</w:t>
            </w:r>
            <w:r>
              <w:rPr>
                <w:rFonts w:ascii="Times New Roman" w:hAnsi="Times New Roman" w:eastAsia="宋体"/>
                <w:color w:val="auto"/>
                <w:kern w:val="0"/>
                <w:sz w:val="24"/>
                <w:highlight w:val="none"/>
              </w:rPr>
              <w:t>总量控制指标见下表。</w:t>
            </w:r>
          </w:p>
          <w:p w14:paraId="387C386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ascii="Times New Roman" w:hAnsi="Times New Roman" w:eastAsia="宋体"/>
                <w:b/>
                <w:color w:val="auto"/>
                <w:sz w:val="24"/>
                <w:highlight w:val="none"/>
              </w:rPr>
            </w:pPr>
            <w:r>
              <w:rPr>
                <w:rFonts w:ascii="Times New Roman" w:hAnsi="Times New Roman" w:eastAsia="宋体"/>
                <w:b/>
                <w:color w:val="auto"/>
                <w:sz w:val="24"/>
                <w:highlight w:val="none"/>
              </w:rPr>
              <w:t>表3-</w:t>
            </w:r>
            <w:r>
              <w:rPr>
                <w:rFonts w:hint="eastAsia" w:ascii="Times New Roman" w:hAnsi="Times New Roman" w:eastAsia="宋体"/>
                <w:b/>
                <w:color w:val="auto"/>
                <w:sz w:val="24"/>
                <w:highlight w:val="none"/>
                <w:lang w:val="en-US" w:eastAsia="zh-CN"/>
              </w:rPr>
              <w:t>8</w:t>
            </w:r>
            <w:r>
              <w:rPr>
                <w:rFonts w:hint="eastAsia" w:ascii="Times New Roman" w:hAnsi="Times New Roman" w:eastAsia="宋体"/>
                <w:b/>
                <w:color w:val="auto"/>
                <w:sz w:val="24"/>
                <w:highlight w:val="none"/>
              </w:rPr>
              <w:t xml:space="preserve">  </w:t>
            </w:r>
            <w:r>
              <w:rPr>
                <w:rFonts w:ascii="Times New Roman" w:hAnsi="Times New Roman" w:eastAsia="宋体"/>
                <w:b/>
                <w:color w:val="auto"/>
                <w:sz w:val="24"/>
                <w:highlight w:val="none"/>
              </w:rPr>
              <w:t>项目总量控制指标</w:t>
            </w:r>
            <w:r>
              <w:rPr>
                <w:rFonts w:hint="eastAsia" w:ascii="Times New Roman" w:hAnsi="Times New Roman" w:eastAsia="宋体"/>
                <w:b/>
                <w:color w:val="auto"/>
                <w:sz w:val="24"/>
                <w:highlight w:val="none"/>
              </w:rPr>
              <w:t xml:space="preserve"> </w:t>
            </w:r>
            <w:r>
              <w:rPr>
                <w:rFonts w:ascii="Times New Roman" w:hAnsi="Times New Roman" w:eastAsia="宋体"/>
                <w:b/>
                <w:color w:val="auto"/>
                <w:sz w:val="24"/>
                <w:highlight w:val="none"/>
              </w:rPr>
              <w:t>单位：t/a</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6"/>
              <w:gridCol w:w="1835"/>
              <w:gridCol w:w="2039"/>
              <w:gridCol w:w="3001"/>
            </w:tblGrid>
            <w:tr w14:paraId="0EDB01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864" w:type="pct"/>
                  <w:noWrap w:val="0"/>
                  <w:vAlign w:val="center"/>
                </w:tcPr>
                <w:p w14:paraId="314A3730">
                  <w:pPr>
                    <w:adjustRightInd w:val="0"/>
                    <w:snapToGrid w:val="0"/>
                    <w:jc w:val="center"/>
                    <w:rPr>
                      <w:rFonts w:ascii="Times New Roman" w:hAnsi="Times New Roman" w:eastAsia="宋体"/>
                      <w:b/>
                      <w:color w:val="auto"/>
                      <w:szCs w:val="21"/>
                      <w:highlight w:val="none"/>
                    </w:rPr>
                  </w:pPr>
                  <w:r>
                    <w:rPr>
                      <w:rFonts w:ascii="Times New Roman" w:hAnsi="Times New Roman" w:eastAsia="宋体"/>
                      <w:b/>
                      <w:color w:val="auto"/>
                      <w:szCs w:val="21"/>
                      <w:highlight w:val="none"/>
                    </w:rPr>
                    <w:t>项目</w:t>
                  </w:r>
                </w:p>
              </w:tc>
              <w:tc>
                <w:tcPr>
                  <w:tcW w:w="2330" w:type="pct"/>
                  <w:gridSpan w:val="2"/>
                  <w:noWrap w:val="0"/>
                  <w:vAlign w:val="center"/>
                </w:tcPr>
                <w:p w14:paraId="71FA08E9">
                  <w:pPr>
                    <w:adjustRightInd w:val="0"/>
                    <w:snapToGrid w:val="0"/>
                    <w:jc w:val="center"/>
                    <w:rPr>
                      <w:rFonts w:ascii="Times New Roman" w:hAnsi="Times New Roman" w:eastAsia="宋体"/>
                      <w:b/>
                      <w:color w:val="auto"/>
                      <w:szCs w:val="21"/>
                      <w:highlight w:val="none"/>
                    </w:rPr>
                  </w:pPr>
                  <w:r>
                    <w:rPr>
                      <w:rFonts w:ascii="Times New Roman" w:hAnsi="Times New Roman" w:eastAsia="宋体"/>
                      <w:b/>
                      <w:color w:val="auto"/>
                      <w:szCs w:val="21"/>
                      <w:highlight w:val="none"/>
                    </w:rPr>
                    <w:t>总量控制因子</w:t>
                  </w:r>
                </w:p>
              </w:tc>
              <w:tc>
                <w:tcPr>
                  <w:tcW w:w="1805" w:type="pct"/>
                  <w:noWrap w:val="0"/>
                  <w:vAlign w:val="center"/>
                </w:tcPr>
                <w:p w14:paraId="1D770F8A">
                  <w:pPr>
                    <w:adjustRightInd w:val="0"/>
                    <w:snapToGrid w:val="0"/>
                    <w:jc w:val="center"/>
                    <w:rPr>
                      <w:rFonts w:ascii="Times New Roman" w:hAnsi="Times New Roman" w:eastAsia="宋体"/>
                      <w:b/>
                      <w:color w:val="auto"/>
                      <w:szCs w:val="21"/>
                      <w:highlight w:val="none"/>
                    </w:rPr>
                  </w:pPr>
                  <w:r>
                    <w:rPr>
                      <w:rFonts w:ascii="Times New Roman" w:hAnsi="Times New Roman" w:eastAsia="宋体"/>
                      <w:b/>
                      <w:color w:val="auto"/>
                      <w:szCs w:val="21"/>
                      <w:highlight w:val="none"/>
                    </w:rPr>
                    <w:t>项目排放量</w:t>
                  </w:r>
                </w:p>
              </w:tc>
            </w:tr>
            <w:tr w14:paraId="3573A7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64" w:type="pct"/>
                  <w:vMerge w:val="restart"/>
                  <w:noWrap w:val="0"/>
                  <w:vAlign w:val="center"/>
                </w:tcPr>
                <w:p w14:paraId="57D861CD">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废水</w:t>
                  </w:r>
                </w:p>
              </w:tc>
              <w:tc>
                <w:tcPr>
                  <w:tcW w:w="2330" w:type="pct"/>
                  <w:gridSpan w:val="2"/>
                  <w:noWrap w:val="0"/>
                  <w:vAlign w:val="center"/>
                </w:tcPr>
                <w:p w14:paraId="20A7285A">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废水量</w:t>
                  </w:r>
                </w:p>
              </w:tc>
              <w:tc>
                <w:tcPr>
                  <w:tcW w:w="1805" w:type="pct"/>
                  <w:noWrap w:val="0"/>
                  <w:vAlign w:val="center"/>
                </w:tcPr>
                <w:p w14:paraId="4B2642B9">
                  <w:pPr>
                    <w:pStyle w:val="1104"/>
                    <w:rPr>
                      <w:rFonts w:hint="default" w:ascii="Times New Roman" w:hAnsi="Times New Roman" w:eastAsia="宋体"/>
                      <w:color w:val="auto"/>
                      <w:kern w:val="2"/>
                      <w:highlight w:val="none"/>
                      <w:lang w:val="en-US" w:eastAsia="zh-CN"/>
                    </w:rPr>
                  </w:pPr>
                  <w:r>
                    <w:rPr>
                      <w:rFonts w:hint="eastAsia"/>
                      <w:color w:val="auto"/>
                      <w:kern w:val="2"/>
                      <w:highlight w:val="none"/>
                      <w:lang w:val="en-US" w:eastAsia="zh-CN"/>
                    </w:rPr>
                    <w:t>3600</w:t>
                  </w:r>
                </w:p>
              </w:tc>
            </w:tr>
            <w:tr w14:paraId="647FF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64" w:type="pct"/>
                  <w:vMerge w:val="continue"/>
                  <w:noWrap w:val="0"/>
                  <w:vAlign w:val="center"/>
                </w:tcPr>
                <w:p w14:paraId="732B8DE4">
                  <w:pPr>
                    <w:adjustRightInd w:val="0"/>
                    <w:snapToGrid w:val="0"/>
                    <w:jc w:val="center"/>
                    <w:rPr>
                      <w:rFonts w:ascii="Times New Roman" w:hAnsi="Times New Roman" w:eastAsia="宋体"/>
                      <w:color w:val="auto"/>
                      <w:szCs w:val="21"/>
                      <w:highlight w:val="none"/>
                    </w:rPr>
                  </w:pPr>
                </w:p>
              </w:tc>
              <w:tc>
                <w:tcPr>
                  <w:tcW w:w="1104" w:type="pct"/>
                  <w:vMerge w:val="restart"/>
                  <w:noWrap w:val="0"/>
                  <w:vAlign w:val="center"/>
                </w:tcPr>
                <w:p w14:paraId="40966303">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接管量</w:t>
                  </w:r>
                </w:p>
              </w:tc>
              <w:tc>
                <w:tcPr>
                  <w:tcW w:w="1226" w:type="pct"/>
                  <w:noWrap w:val="0"/>
                  <w:vAlign w:val="center"/>
                </w:tcPr>
                <w:p w14:paraId="71BAC427">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COD</w:t>
                  </w:r>
                </w:p>
              </w:tc>
              <w:tc>
                <w:tcPr>
                  <w:tcW w:w="1805" w:type="pct"/>
                  <w:noWrap w:val="0"/>
                  <w:vAlign w:val="center"/>
                </w:tcPr>
                <w:p w14:paraId="0962C4DC">
                  <w:pPr>
                    <w:pStyle w:val="1104"/>
                    <w:rPr>
                      <w:rFonts w:hint="default" w:ascii="Times New Roman" w:hAnsi="Times New Roman" w:eastAsia="宋体"/>
                      <w:color w:val="auto"/>
                      <w:kern w:val="2"/>
                      <w:highlight w:val="none"/>
                      <w:lang w:val="en-US" w:eastAsia="zh-CN"/>
                    </w:rPr>
                  </w:pPr>
                  <w:r>
                    <w:rPr>
                      <w:rFonts w:hint="eastAsia"/>
                      <w:color w:val="auto"/>
                      <w:kern w:val="2"/>
                      <w:highlight w:val="none"/>
                      <w:lang w:val="en-US" w:eastAsia="zh-CN"/>
                    </w:rPr>
                    <w:t>1.08</w:t>
                  </w:r>
                </w:p>
              </w:tc>
            </w:tr>
            <w:tr w14:paraId="3E2930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64" w:type="pct"/>
                  <w:vMerge w:val="continue"/>
                  <w:noWrap w:val="0"/>
                  <w:vAlign w:val="center"/>
                </w:tcPr>
                <w:p w14:paraId="1F0F0217">
                  <w:pPr>
                    <w:adjustRightInd w:val="0"/>
                    <w:snapToGrid w:val="0"/>
                    <w:jc w:val="center"/>
                    <w:rPr>
                      <w:rFonts w:ascii="Times New Roman" w:hAnsi="Times New Roman" w:eastAsia="宋体"/>
                      <w:color w:val="auto"/>
                      <w:szCs w:val="21"/>
                      <w:highlight w:val="none"/>
                    </w:rPr>
                  </w:pPr>
                </w:p>
              </w:tc>
              <w:tc>
                <w:tcPr>
                  <w:tcW w:w="1104" w:type="pct"/>
                  <w:vMerge w:val="continue"/>
                  <w:noWrap w:val="0"/>
                  <w:vAlign w:val="center"/>
                </w:tcPr>
                <w:p w14:paraId="5C67CE01">
                  <w:pPr>
                    <w:adjustRightInd w:val="0"/>
                    <w:snapToGrid w:val="0"/>
                    <w:jc w:val="center"/>
                    <w:rPr>
                      <w:rFonts w:ascii="Times New Roman" w:hAnsi="Times New Roman" w:eastAsia="宋体"/>
                      <w:color w:val="auto"/>
                      <w:szCs w:val="21"/>
                      <w:highlight w:val="none"/>
                    </w:rPr>
                  </w:pPr>
                </w:p>
              </w:tc>
              <w:tc>
                <w:tcPr>
                  <w:tcW w:w="1226" w:type="pct"/>
                  <w:noWrap w:val="0"/>
                  <w:vAlign w:val="center"/>
                </w:tcPr>
                <w:p w14:paraId="2EC7B6E9">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氨氮</w:t>
                  </w:r>
                </w:p>
              </w:tc>
              <w:tc>
                <w:tcPr>
                  <w:tcW w:w="1805" w:type="pct"/>
                  <w:noWrap w:val="0"/>
                  <w:vAlign w:val="center"/>
                </w:tcPr>
                <w:p w14:paraId="196AF0B2">
                  <w:pPr>
                    <w:pStyle w:val="1104"/>
                    <w:rPr>
                      <w:rFonts w:hint="default"/>
                      <w:color w:val="auto"/>
                      <w:kern w:val="2"/>
                      <w:highlight w:val="none"/>
                      <w:lang w:val="en-US" w:eastAsia="zh-CN"/>
                    </w:rPr>
                  </w:pPr>
                  <w:r>
                    <w:rPr>
                      <w:rFonts w:hint="eastAsia"/>
                      <w:color w:val="auto"/>
                      <w:kern w:val="2"/>
                      <w:highlight w:val="none"/>
                      <w:lang w:val="en-US" w:eastAsia="zh-CN"/>
                    </w:rPr>
                    <w:t>0.126</w:t>
                  </w:r>
                </w:p>
              </w:tc>
            </w:tr>
            <w:tr w14:paraId="15DF25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64" w:type="pct"/>
                  <w:vMerge w:val="continue"/>
                  <w:noWrap w:val="0"/>
                  <w:vAlign w:val="center"/>
                </w:tcPr>
                <w:p w14:paraId="32E0D3C9">
                  <w:pPr>
                    <w:adjustRightInd w:val="0"/>
                    <w:snapToGrid w:val="0"/>
                    <w:jc w:val="center"/>
                    <w:rPr>
                      <w:rFonts w:ascii="Times New Roman" w:hAnsi="Times New Roman" w:eastAsia="宋体"/>
                      <w:color w:val="auto"/>
                      <w:szCs w:val="21"/>
                      <w:highlight w:val="none"/>
                    </w:rPr>
                  </w:pPr>
                </w:p>
              </w:tc>
              <w:tc>
                <w:tcPr>
                  <w:tcW w:w="1104" w:type="pct"/>
                  <w:vMerge w:val="restart"/>
                  <w:noWrap w:val="0"/>
                  <w:vAlign w:val="center"/>
                </w:tcPr>
                <w:p w14:paraId="12CD2AAB">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外排量</w:t>
                  </w:r>
                </w:p>
              </w:tc>
              <w:tc>
                <w:tcPr>
                  <w:tcW w:w="1226" w:type="pct"/>
                  <w:noWrap w:val="0"/>
                  <w:vAlign w:val="center"/>
                </w:tcPr>
                <w:p w14:paraId="6035C28D">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COD</w:t>
                  </w:r>
                </w:p>
              </w:tc>
              <w:tc>
                <w:tcPr>
                  <w:tcW w:w="1805" w:type="pct"/>
                  <w:noWrap w:val="0"/>
                  <w:vAlign w:val="center"/>
                </w:tcPr>
                <w:p w14:paraId="1ACFEF70">
                  <w:pPr>
                    <w:pStyle w:val="1104"/>
                    <w:rPr>
                      <w:rFonts w:hint="default" w:ascii="Times New Roman" w:hAnsi="Times New Roman" w:eastAsia="宋体"/>
                      <w:color w:val="auto"/>
                      <w:kern w:val="2"/>
                      <w:highlight w:val="none"/>
                      <w:lang w:val="en-US" w:eastAsia="zh-CN"/>
                    </w:rPr>
                  </w:pPr>
                  <w:r>
                    <w:rPr>
                      <w:rFonts w:hint="eastAsia"/>
                      <w:color w:val="auto"/>
                      <w:kern w:val="2"/>
                      <w:highlight w:val="none"/>
                      <w:lang w:val="en-US" w:eastAsia="zh-CN"/>
                    </w:rPr>
                    <w:t>0.18</w:t>
                  </w:r>
                </w:p>
              </w:tc>
            </w:tr>
            <w:tr w14:paraId="5B0A3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64" w:type="pct"/>
                  <w:vMerge w:val="continue"/>
                  <w:noWrap w:val="0"/>
                  <w:vAlign w:val="center"/>
                </w:tcPr>
                <w:p w14:paraId="2E4144DA">
                  <w:pPr>
                    <w:adjustRightInd w:val="0"/>
                    <w:snapToGrid w:val="0"/>
                    <w:jc w:val="center"/>
                    <w:rPr>
                      <w:rFonts w:ascii="Times New Roman" w:hAnsi="Times New Roman" w:eastAsia="宋体"/>
                      <w:color w:val="auto"/>
                      <w:szCs w:val="21"/>
                      <w:highlight w:val="none"/>
                    </w:rPr>
                  </w:pPr>
                </w:p>
              </w:tc>
              <w:tc>
                <w:tcPr>
                  <w:tcW w:w="1104" w:type="pct"/>
                  <w:vMerge w:val="continue"/>
                  <w:noWrap w:val="0"/>
                  <w:vAlign w:val="center"/>
                </w:tcPr>
                <w:p w14:paraId="2DD86A46">
                  <w:pPr>
                    <w:adjustRightInd w:val="0"/>
                    <w:snapToGrid w:val="0"/>
                    <w:jc w:val="center"/>
                    <w:rPr>
                      <w:rFonts w:ascii="Times New Roman" w:hAnsi="Times New Roman" w:eastAsia="宋体"/>
                      <w:color w:val="auto"/>
                      <w:szCs w:val="21"/>
                      <w:highlight w:val="none"/>
                    </w:rPr>
                  </w:pPr>
                </w:p>
              </w:tc>
              <w:tc>
                <w:tcPr>
                  <w:tcW w:w="1226" w:type="pct"/>
                  <w:noWrap w:val="0"/>
                  <w:vAlign w:val="center"/>
                </w:tcPr>
                <w:p w14:paraId="07CC0AA1">
                  <w:pPr>
                    <w:adjustRightInd w:val="0"/>
                    <w:snapToGrid w:val="0"/>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氨氮</w:t>
                  </w:r>
                </w:p>
              </w:tc>
              <w:tc>
                <w:tcPr>
                  <w:tcW w:w="1805" w:type="pct"/>
                  <w:noWrap w:val="0"/>
                  <w:vAlign w:val="center"/>
                </w:tcPr>
                <w:p w14:paraId="059BFC58">
                  <w:pPr>
                    <w:pStyle w:val="1104"/>
                    <w:rPr>
                      <w:rFonts w:hint="default" w:ascii="Times New Roman" w:hAnsi="Times New Roman" w:eastAsia="宋体"/>
                      <w:color w:val="auto"/>
                      <w:kern w:val="2"/>
                      <w:highlight w:val="none"/>
                      <w:lang w:val="en-US" w:eastAsia="zh-CN"/>
                    </w:rPr>
                  </w:pPr>
                  <w:r>
                    <w:rPr>
                      <w:rFonts w:hint="eastAsia"/>
                      <w:color w:val="auto"/>
                      <w:kern w:val="2"/>
                      <w:highlight w:val="none"/>
                      <w:lang w:val="en-US" w:eastAsia="zh-CN"/>
                    </w:rPr>
                    <w:t>0.018</w:t>
                  </w:r>
                </w:p>
              </w:tc>
            </w:tr>
          </w:tbl>
          <w:p w14:paraId="3F25AF89">
            <w:pPr>
              <w:spacing w:line="360" w:lineRule="auto"/>
              <w:ind w:firstLine="474" w:firstLineChars="200"/>
              <w:rPr>
                <w:rFonts w:ascii="Times New Roman" w:hAnsi="Times New Roman" w:eastAsia="宋体" w:cs="宋体"/>
                <w:b/>
                <w:bCs/>
                <w:color w:val="auto"/>
                <w:sz w:val="24"/>
                <w:highlight w:val="none"/>
              </w:rPr>
            </w:pPr>
            <w:r>
              <w:rPr>
                <w:rFonts w:ascii="Times New Roman" w:hAnsi="Times New Roman" w:eastAsia="宋体"/>
                <w:b/>
                <w:bCs/>
                <w:color w:val="auto"/>
                <w:spacing w:val="-2"/>
                <w:sz w:val="24"/>
                <w:highlight w:val="none"/>
              </w:rPr>
              <w:t>1</w:t>
            </w:r>
            <w:r>
              <w:rPr>
                <w:rFonts w:ascii="Times New Roman" w:hAnsi="Times New Roman" w:eastAsia="宋体" w:cs="宋体"/>
                <w:b/>
                <w:bCs/>
                <w:color w:val="auto"/>
                <w:spacing w:val="-2"/>
                <w:sz w:val="24"/>
                <w:highlight w:val="none"/>
              </w:rPr>
              <w:t>、</w:t>
            </w:r>
            <w:r>
              <w:rPr>
                <w:rFonts w:ascii="Times New Roman" w:hAnsi="Times New Roman" w:eastAsia="宋体" w:cs="宋体"/>
                <w:b/>
                <w:bCs/>
                <w:color w:val="auto"/>
                <w:spacing w:val="-1"/>
                <w:sz w:val="24"/>
                <w:highlight w:val="none"/>
              </w:rPr>
              <w:t>总量控制指标</w:t>
            </w:r>
          </w:p>
          <w:p w14:paraId="666AE4ED">
            <w:pPr>
              <w:spacing w:line="360" w:lineRule="auto"/>
              <w:ind w:firstLine="480" w:firstLineChars="200"/>
              <w:rPr>
                <w:rFonts w:ascii="Times New Roman" w:hAnsi="Times New Roman" w:eastAsia="宋体"/>
                <w:color w:val="auto"/>
                <w:sz w:val="24"/>
                <w:highlight w:val="none"/>
              </w:rPr>
            </w:pPr>
            <w:r>
              <w:rPr>
                <w:rFonts w:ascii="Times New Roman" w:hAnsi="Times New Roman" w:eastAsia="宋体"/>
                <w:color w:val="auto"/>
                <w:sz w:val="24"/>
                <w:highlight w:val="none"/>
              </w:rPr>
              <w:t>（</w:t>
            </w:r>
            <w:r>
              <w:rPr>
                <w:rFonts w:hint="eastAsia" w:ascii="Times New Roman" w:hAnsi="Times New Roman" w:eastAsia="宋体"/>
                <w:color w:val="auto"/>
                <w:sz w:val="24"/>
                <w:highlight w:val="none"/>
                <w:lang w:val="en-US" w:eastAsia="zh-CN"/>
              </w:rPr>
              <w:t>1</w:t>
            </w:r>
            <w:r>
              <w:rPr>
                <w:rFonts w:ascii="Times New Roman" w:hAnsi="Times New Roman" w:eastAsia="宋体"/>
                <w:color w:val="auto"/>
                <w:sz w:val="24"/>
                <w:highlight w:val="none"/>
              </w:rPr>
              <w:t>）水污染物建议总量控制指标如下：</w:t>
            </w:r>
          </w:p>
          <w:p w14:paraId="7B3D34DE">
            <w:pPr>
              <w:spacing w:line="360" w:lineRule="auto"/>
              <w:ind w:firstLine="480" w:firstLineChars="200"/>
              <w:rPr>
                <w:rFonts w:ascii="Times New Roman" w:hAnsi="Times New Roman" w:eastAsia="宋体"/>
                <w:bCs/>
                <w:color w:val="auto"/>
                <w:sz w:val="24"/>
                <w:highlight w:val="none"/>
              </w:rPr>
            </w:pPr>
            <w:r>
              <w:rPr>
                <w:rFonts w:hint="eastAsia" w:ascii="Times New Roman" w:hAnsi="Times New Roman" w:eastAsia="宋体"/>
                <w:bCs/>
                <w:color w:val="auto"/>
                <w:sz w:val="24"/>
                <w:highlight w:val="none"/>
              </w:rPr>
              <w:t>废水接管量：水量：</w:t>
            </w:r>
            <w:r>
              <w:rPr>
                <w:rFonts w:hint="eastAsia" w:ascii="Times New Roman" w:hAnsi="Times New Roman" w:eastAsia="宋体"/>
                <w:bCs/>
                <w:color w:val="auto"/>
                <w:sz w:val="24"/>
                <w:highlight w:val="none"/>
                <w:lang w:val="en-US" w:eastAsia="zh-CN"/>
              </w:rPr>
              <w:t>3600</w:t>
            </w:r>
            <w:r>
              <w:rPr>
                <w:rFonts w:hint="eastAsia" w:ascii="Times New Roman" w:hAnsi="Times New Roman" w:eastAsia="宋体"/>
                <w:bCs/>
                <w:color w:val="auto"/>
                <w:sz w:val="24"/>
                <w:highlight w:val="none"/>
              </w:rPr>
              <w:t>t/a，</w:t>
            </w:r>
            <w:r>
              <w:rPr>
                <w:rFonts w:ascii="Times New Roman" w:hAnsi="Times New Roman" w:eastAsia="宋体"/>
                <w:bCs/>
                <w:color w:val="auto"/>
                <w:sz w:val="24"/>
                <w:highlight w:val="none"/>
              </w:rPr>
              <w:t>COD</w:t>
            </w:r>
            <w:r>
              <w:rPr>
                <w:rFonts w:hint="eastAsia" w:ascii="Times New Roman" w:hAnsi="Times New Roman" w:eastAsia="宋体"/>
                <w:bCs/>
                <w:color w:val="auto"/>
                <w:sz w:val="24"/>
                <w:highlight w:val="none"/>
              </w:rPr>
              <w:t>：</w:t>
            </w:r>
            <w:r>
              <w:rPr>
                <w:rFonts w:hint="eastAsia" w:ascii="Times New Roman" w:hAnsi="Times New Roman" w:eastAsia="宋体"/>
                <w:bCs/>
                <w:color w:val="auto"/>
                <w:sz w:val="24"/>
                <w:highlight w:val="none"/>
                <w:lang w:val="en-US" w:eastAsia="zh-CN"/>
              </w:rPr>
              <w:t>1.08t</w:t>
            </w:r>
            <w:r>
              <w:rPr>
                <w:rFonts w:ascii="Times New Roman" w:hAnsi="Times New Roman" w:eastAsia="宋体"/>
                <w:bCs/>
                <w:color w:val="auto"/>
                <w:sz w:val="24"/>
                <w:highlight w:val="none"/>
              </w:rPr>
              <w:t>/a，NH</w:t>
            </w:r>
            <w:r>
              <w:rPr>
                <w:rFonts w:ascii="Times New Roman" w:hAnsi="Times New Roman" w:eastAsia="宋体"/>
                <w:bCs/>
                <w:color w:val="auto"/>
                <w:sz w:val="24"/>
                <w:highlight w:val="none"/>
                <w:vertAlign w:val="subscript"/>
              </w:rPr>
              <w:t>3</w:t>
            </w:r>
            <w:r>
              <w:rPr>
                <w:rFonts w:ascii="Times New Roman" w:hAnsi="Times New Roman" w:eastAsia="宋体"/>
                <w:bCs/>
                <w:color w:val="auto"/>
                <w:sz w:val="24"/>
                <w:highlight w:val="none"/>
              </w:rPr>
              <w:t>-N</w:t>
            </w:r>
            <w:r>
              <w:rPr>
                <w:rFonts w:hint="eastAsia" w:ascii="Times New Roman" w:hAnsi="Times New Roman" w:eastAsia="宋体"/>
                <w:bCs/>
                <w:color w:val="auto"/>
                <w:sz w:val="24"/>
                <w:highlight w:val="none"/>
              </w:rPr>
              <w:t>：</w:t>
            </w:r>
            <w:r>
              <w:rPr>
                <w:rFonts w:hint="eastAsia" w:ascii="Times New Roman" w:hAnsi="Times New Roman" w:eastAsia="宋体"/>
                <w:bCs/>
                <w:color w:val="auto"/>
                <w:sz w:val="24"/>
                <w:highlight w:val="none"/>
                <w:lang w:val="en-US" w:eastAsia="zh-CN"/>
              </w:rPr>
              <w:t>0.126</w:t>
            </w:r>
            <w:r>
              <w:rPr>
                <w:rFonts w:hint="eastAsia" w:ascii="Times New Roman" w:hAnsi="Times New Roman" w:eastAsia="宋体"/>
                <w:bCs/>
                <w:color w:val="auto"/>
                <w:sz w:val="24"/>
                <w:highlight w:val="none"/>
              </w:rPr>
              <w:t>t/a；</w:t>
            </w:r>
          </w:p>
          <w:p w14:paraId="4634BD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bCs/>
                <w:color w:val="auto"/>
                <w:sz w:val="24"/>
                <w:highlight w:val="none"/>
              </w:rPr>
            </w:pPr>
            <w:r>
              <w:rPr>
                <w:rFonts w:hint="eastAsia" w:ascii="Times New Roman" w:hAnsi="Times New Roman" w:eastAsia="宋体"/>
                <w:bCs/>
                <w:color w:val="auto"/>
                <w:sz w:val="24"/>
                <w:highlight w:val="none"/>
              </w:rPr>
              <w:t>最终排放量：水量：</w:t>
            </w:r>
            <w:r>
              <w:rPr>
                <w:rFonts w:hint="eastAsia" w:ascii="Times New Roman" w:hAnsi="Times New Roman" w:eastAsia="宋体"/>
                <w:bCs/>
                <w:color w:val="auto"/>
                <w:sz w:val="24"/>
                <w:highlight w:val="none"/>
                <w:lang w:val="en-US" w:eastAsia="zh-CN"/>
              </w:rPr>
              <w:t>3600</w:t>
            </w:r>
            <w:r>
              <w:rPr>
                <w:rFonts w:hint="eastAsia" w:ascii="Times New Roman" w:hAnsi="Times New Roman" w:eastAsia="宋体"/>
                <w:bCs/>
                <w:color w:val="auto"/>
                <w:sz w:val="24"/>
                <w:highlight w:val="none"/>
              </w:rPr>
              <w:t>t/a</w:t>
            </w:r>
            <w:r>
              <w:rPr>
                <w:rFonts w:ascii="Times New Roman" w:hAnsi="Times New Roman" w:eastAsia="宋体"/>
                <w:bCs/>
                <w:color w:val="auto"/>
                <w:sz w:val="24"/>
                <w:highlight w:val="none"/>
              </w:rPr>
              <w:t>，COD</w:t>
            </w:r>
            <w:r>
              <w:rPr>
                <w:rFonts w:hint="eastAsia" w:ascii="Times New Roman" w:hAnsi="Times New Roman" w:eastAsia="宋体"/>
                <w:bCs/>
                <w:color w:val="auto"/>
                <w:sz w:val="24"/>
                <w:highlight w:val="none"/>
              </w:rPr>
              <w:t>：</w:t>
            </w:r>
            <w:r>
              <w:rPr>
                <w:rFonts w:hint="eastAsia" w:ascii="Times New Roman" w:hAnsi="Times New Roman" w:eastAsia="宋体"/>
                <w:bCs/>
                <w:color w:val="auto"/>
                <w:sz w:val="24"/>
                <w:highlight w:val="none"/>
                <w:lang w:val="en-US" w:eastAsia="zh-CN"/>
              </w:rPr>
              <w:t>0.18</w:t>
            </w:r>
            <w:r>
              <w:rPr>
                <w:rFonts w:ascii="Times New Roman" w:hAnsi="Times New Roman" w:eastAsia="宋体"/>
                <w:bCs/>
                <w:color w:val="auto"/>
                <w:sz w:val="24"/>
                <w:highlight w:val="none"/>
              </w:rPr>
              <w:t>t/a，NH</w:t>
            </w:r>
            <w:r>
              <w:rPr>
                <w:rFonts w:ascii="Times New Roman" w:hAnsi="Times New Roman" w:eastAsia="宋体"/>
                <w:bCs/>
                <w:color w:val="auto"/>
                <w:sz w:val="24"/>
                <w:highlight w:val="none"/>
                <w:vertAlign w:val="subscript"/>
              </w:rPr>
              <w:t>3</w:t>
            </w:r>
            <w:r>
              <w:rPr>
                <w:rFonts w:ascii="Times New Roman" w:hAnsi="Times New Roman" w:eastAsia="宋体"/>
                <w:bCs/>
                <w:color w:val="auto"/>
                <w:sz w:val="24"/>
                <w:highlight w:val="none"/>
              </w:rPr>
              <w:t>-N</w:t>
            </w:r>
            <w:r>
              <w:rPr>
                <w:rFonts w:hint="eastAsia" w:ascii="Times New Roman" w:hAnsi="Times New Roman" w:eastAsia="宋体"/>
                <w:bCs/>
                <w:color w:val="auto"/>
                <w:sz w:val="24"/>
                <w:highlight w:val="none"/>
              </w:rPr>
              <w:t>：</w:t>
            </w:r>
            <w:r>
              <w:rPr>
                <w:rFonts w:hint="eastAsia" w:ascii="Times New Roman" w:hAnsi="Times New Roman" w:eastAsia="宋体"/>
                <w:bCs/>
                <w:color w:val="auto"/>
                <w:sz w:val="24"/>
                <w:highlight w:val="none"/>
                <w:lang w:val="en-US" w:eastAsia="zh-CN"/>
              </w:rPr>
              <w:t>0.018</w:t>
            </w:r>
            <w:r>
              <w:rPr>
                <w:rFonts w:hint="eastAsia" w:ascii="Times New Roman" w:hAnsi="Times New Roman" w:eastAsia="宋体"/>
                <w:bCs/>
                <w:color w:val="auto"/>
                <w:sz w:val="24"/>
                <w:highlight w:val="none"/>
              </w:rPr>
              <w:t>t</w:t>
            </w:r>
            <w:r>
              <w:rPr>
                <w:rFonts w:ascii="Times New Roman" w:hAnsi="Times New Roman" w:eastAsia="宋体"/>
                <w:bCs/>
                <w:color w:val="auto"/>
                <w:sz w:val="24"/>
                <w:highlight w:val="none"/>
              </w:rPr>
              <w:t>/a</w:t>
            </w:r>
            <w:r>
              <w:rPr>
                <w:rFonts w:hint="eastAsia" w:ascii="Times New Roman" w:hAnsi="Times New Roman" w:eastAsia="宋体"/>
                <w:bCs/>
                <w:color w:val="auto"/>
                <w:sz w:val="24"/>
                <w:highlight w:val="none"/>
              </w:rPr>
              <w:t>。</w:t>
            </w:r>
          </w:p>
          <w:p w14:paraId="6C9786F8">
            <w:pPr>
              <w:spacing w:line="360" w:lineRule="auto"/>
              <w:ind w:firstLine="480" w:firstLineChars="200"/>
              <w:rPr>
                <w:rFonts w:hint="eastAsia" w:ascii="Times New Roman" w:hAnsi="Times New Roman" w:eastAsia="宋体" w:cs="Times New Roman"/>
                <w:bCs/>
                <w:color w:val="000000"/>
                <w:kern w:val="0"/>
                <w:sz w:val="24"/>
                <w:szCs w:val="24"/>
                <w:highlight w:val="none"/>
                <w:lang w:val="en-US" w:eastAsia="zh-CN" w:bidi="ar-SA"/>
              </w:rPr>
            </w:pPr>
            <w:r>
              <w:rPr>
                <w:rFonts w:hint="eastAsia" w:ascii="Times New Roman" w:hAnsi="Times New Roman" w:eastAsia="宋体" w:cs="Times New Roman"/>
                <w:bCs/>
                <w:color w:val="auto"/>
                <w:kern w:val="0"/>
                <w:sz w:val="24"/>
                <w:szCs w:val="24"/>
                <w:highlight w:val="none"/>
                <w:lang w:val="en-US" w:eastAsia="zh-CN" w:bidi="ar-SA"/>
              </w:rPr>
              <w:t>该部分COD、NH</w:t>
            </w:r>
            <w:r>
              <w:rPr>
                <w:rFonts w:hint="eastAsia" w:ascii="Times New Roman" w:hAnsi="Times New Roman" w:eastAsia="宋体" w:cs="Times New Roman"/>
                <w:bCs/>
                <w:color w:val="auto"/>
                <w:kern w:val="0"/>
                <w:sz w:val="24"/>
                <w:szCs w:val="24"/>
                <w:highlight w:val="none"/>
                <w:vertAlign w:val="subscript"/>
                <w:lang w:val="en-US" w:eastAsia="zh-CN" w:bidi="ar-SA"/>
              </w:rPr>
              <w:t>3</w:t>
            </w:r>
            <w:r>
              <w:rPr>
                <w:rFonts w:hint="eastAsia" w:ascii="Times New Roman" w:hAnsi="Times New Roman" w:eastAsia="宋体" w:cs="Times New Roman"/>
                <w:bCs/>
                <w:color w:val="auto"/>
                <w:kern w:val="0"/>
                <w:sz w:val="24"/>
                <w:szCs w:val="24"/>
                <w:highlight w:val="none"/>
                <w:lang w:val="en-US" w:eastAsia="zh-CN" w:bidi="ar-SA"/>
              </w:rPr>
              <w:t>-N排放量纳入滨江污水处理厂总量控制指标中，本项目污染物排放总量由当地环保主管部门通过区域平衡予以核准分配。</w:t>
            </w:r>
          </w:p>
          <w:p w14:paraId="775E1FA4">
            <w:pPr>
              <w:numPr>
                <w:ilvl w:val="0"/>
                <w:numId w:val="0"/>
              </w:numPr>
              <w:spacing w:line="360" w:lineRule="auto"/>
              <w:ind w:leftChars="200"/>
              <w:rPr>
                <w:rFonts w:hint="eastAsia" w:ascii="Times New Roman" w:hAnsi="Times New Roman" w:eastAsia="宋体" w:cs="Times New Roman"/>
                <w:b/>
                <w:bCs w:val="0"/>
                <w:color w:val="000000"/>
                <w:kern w:val="0"/>
                <w:sz w:val="24"/>
                <w:szCs w:val="24"/>
                <w:highlight w:val="none"/>
                <w:lang w:val="en-US" w:eastAsia="zh-CN" w:bidi="ar-SA"/>
              </w:rPr>
            </w:pPr>
            <w:r>
              <w:rPr>
                <w:rFonts w:hint="eastAsia" w:ascii="Times New Roman" w:hAnsi="Times New Roman" w:eastAsia="宋体" w:cs="Times New Roman"/>
                <w:b/>
                <w:bCs w:val="0"/>
                <w:color w:val="000000"/>
                <w:kern w:val="0"/>
                <w:sz w:val="24"/>
                <w:szCs w:val="24"/>
                <w:highlight w:val="none"/>
                <w:lang w:val="en-US" w:eastAsia="zh-CN" w:bidi="ar-SA"/>
              </w:rPr>
              <w:t>2、排污权核算</w:t>
            </w:r>
          </w:p>
          <w:p w14:paraId="71B8C3CA">
            <w:pPr>
              <w:numPr>
                <w:ilvl w:val="0"/>
                <w:numId w:val="0"/>
              </w:numPr>
              <w:spacing w:line="360" w:lineRule="auto"/>
              <w:ind w:firstLine="480" w:firstLineChars="200"/>
              <w:rPr>
                <w:rFonts w:hint="eastAsia"/>
                <w:sz w:val="24"/>
              </w:rPr>
            </w:pPr>
            <w:r>
              <w:rPr>
                <w:rFonts w:hint="eastAsia"/>
                <w:sz w:val="24"/>
              </w:rPr>
              <w:t>根据安徽省生态环境厅安徽省发展和改革委员会、安徽省财政厅安徽省地方金融监督管理局关于印发《安徽省排污权有偿使用和交易管理办法(试行)》、《安徽省排污权交易规则(试行)》、《安徽省排污权储备和出让管理办法(试行)》、《安徽省排污权租赁管理办法</w:t>
            </w:r>
            <w:r>
              <w:rPr>
                <w:rFonts w:hint="eastAsia"/>
                <w:sz w:val="24"/>
                <w:lang w:eastAsia="zh-CN"/>
              </w:rPr>
              <w:t>（</w:t>
            </w:r>
            <w:r>
              <w:rPr>
                <w:rFonts w:hint="eastAsia"/>
                <w:sz w:val="24"/>
              </w:rPr>
              <w:t>试行</w:t>
            </w:r>
            <w:r>
              <w:rPr>
                <w:rFonts w:hint="eastAsia"/>
                <w:sz w:val="24"/>
                <w:lang w:eastAsia="zh-CN"/>
              </w:rPr>
              <w:t>）</w:t>
            </w:r>
            <w:r>
              <w:rPr>
                <w:rFonts w:hint="eastAsia"/>
                <w:sz w:val="24"/>
              </w:rPr>
              <w:t>》的通知，皖环发[2023]72 号，第五条现阶段实施排污权交易的排污单位为全省列入排污许可重点和简化管理范围内有污染物许可排放量要求的排污单位。</w:t>
            </w:r>
          </w:p>
          <w:p w14:paraId="51372F6F">
            <w:pPr>
              <w:spacing w:line="360" w:lineRule="auto"/>
              <w:ind w:firstLine="480" w:firstLineChars="200"/>
              <w:rPr>
                <w:rFonts w:hint="eastAsia"/>
                <w:sz w:val="24"/>
              </w:rPr>
            </w:pPr>
            <w:r>
              <w:rPr>
                <w:rFonts w:hint="eastAsia"/>
                <w:sz w:val="24"/>
              </w:rPr>
              <w:t>本项目属于</w:t>
            </w:r>
            <w:r>
              <w:rPr>
                <w:rFonts w:hint="eastAsia" w:ascii="Times New Roman" w:hAnsi="Times New Roman" w:eastAsia="宋体"/>
                <w:caps w:val="0"/>
                <w:color w:val="auto"/>
                <w:sz w:val="24"/>
                <w:highlight w:val="none"/>
              </w:rPr>
              <w:t>C3670汽车零部件及配件制造</w:t>
            </w:r>
            <w:r>
              <w:rPr>
                <w:rFonts w:hint="eastAsia"/>
                <w:sz w:val="24"/>
              </w:rPr>
              <w:t>，对照《固定污染源排污许可分类管理名录》（2019年版），本项目属于排污许可中“登记管理”。因此，本项目暂不需进行排污权交易。</w:t>
            </w:r>
          </w:p>
        </w:tc>
      </w:tr>
    </w:tbl>
    <w:p w14:paraId="44637A7E">
      <w:pPr>
        <w:pStyle w:val="54"/>
        <w:spacing w:before="0" w:beforeAutospacing="0" w:after="0" w:afterAutospacing="0"/>
        <w:jc w:val="center"/>
        <w:outlineLvl w:val="0"/>
        <w:rPr>
          <w:rFonts w:ascii="Times New Roman" w:hAnsi="Times New Roman"/>
          <w:b/>
          <w:snapToGrid w:val="0"/>
          <w:sz w:val="30"/>
          <w:szCs w:val="30"/>
        </w:rPr>
      </w:pPr>
      <w:r>
        <w:rPr>
          <w:rFonts w:ascii="Times New Roman" w:hAnsi="Times New Roman"/>
          <w:snapToGrid w:val="0"/>
          <w:sz w:val="36"/>
          <w:szCs w:val="36"/>
        </w:rPr>
        <w:br w:type="page"/>
      </w:r>
      <w:r>
        <w:rPr>
          <w:rFonts w:hint="eastAsia" w:ascii="Times New Roman" w:hAnsi="Times New Roman"/>
          <w:b/>
          <w:snapToGrid w:val="0"/>
          <w:sz w:val="30"/>
          <w:szCs w:val="30"/>
        </w:rPr>
        <w:t>四、主要环境影响和保护措施</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8309"/>
      </w:tblGrid>
      <w:tr w14:paraId="38E14E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78" w:hRule="atLeast"/>
          <w:jc w:val="center"/>
        </w:trPr>
        <w:tc>
          <w:tcPr>
            <w:tcW w:w="599" w:type="dxa"/>
            <w:tcMar>
              <w:left w:w="28" w:type="dxa"/>
              <w:right w:w="28" w:type="dxa"/>
            </w:tcMar>
            <w:vAlign w:val="center"/>
          </w:tcPr>
          <w:p w14:paraId="375F0EAA">
            <w:pPr>
              <w:autoSpaceDE w:val="0"/>
              <w:autoSpaceDN w:val="0"/>
              <w:adjustRightInd w:val="0"/>
              <w:snapToGrid w:val="0"/>
              <w:jc w:val="center"/>
              <w:rPr>
                <w:rFonts w:cs="宋体"/>
                <w:kern w:val="0"/>
                <w:sz w:val="24"/>
              </w:rPr>
            </w:pPr>
            <w:r>
              <w:rPr>
                <w:rFonts w:hint="eastAsia" w:cs="宋体"/>
                <w:kern w:val="0"/>
                <w:sz w:val="24"/>
              </w:rPr>
              <w:t>施工</w:t>
            </w:r>
          </w:p>
          <w:p w14:paraId="54C24FE5">
            <w:pPr>
              <w:autoSpaceDE w:val="0"/>
              <w:autoSpaceDN w:val="0"/>
              <w:adjustRightInd w:val="0"/>
              <w:snapToGrid w:val="0"/>
              <w:jc w:val="center"/>
              <w:rPr>
                <w:rFonts w:cs="宋体"/>
                <w:kern w:val="0"/>
                <w:sz w:val="24"/>
              </w:rPr>
            </w:pPr>
            <w:r>
              <w:rPr>
                <w:rFonts w:hint="eastAsia" w:cs="宋体"/>
                <w:kern w:val="0"/>
                <w:sz w:val="24"/>
              </w:rPr>
              <w:t>期环</w:t>
            </w:r>
          </w:p>
          <w:p w14:paraId="3D7FF09D">
            <w:pPr>
              <w:autoSpaceDE w:val="0"/>
              <w:autoSpaceDN w:val="0"/>
              <w:adjustRightInd w:val="0"/>
              <w:snapToGrid w:val="0"/>
              <w:jc w:val="center"/>
              <w:rPr>
                <w:rFonts w:cs="宋体"/>
                <w:kern w:val="0"/>
                <w:sz w:val="24"/>
              </w:rPr>
            </w:pPr>
            <w:r>
              <w:rPr>
                <w:rFonts w:hint="eastAsia" w:cs="宋体"/>
                <w:kern w:val="0"/>
                <w:sz w:val="24"/>
              </w:rPr>
              <w:t>境保</w:t>
            </w:r>
          </w:p>
          <w:p w14:paraId="703E8A81">
            <w:pPr>
              <w:autoSpaceDE w:val="0"/>
              <w:autoSpaceDN w:val="0"/>
              <w:adjustRightInd w:val="0"/>
              <w:snapToGrid w:val="0"/>
              <w:jc w:val="center"/>
              <w:rPr>
                <w:rFonts w:cs="宋体"/>
                <w:kern w:val="0"/>
                <w:sz w:val="24"/>
              </w:rPr>
            </w:pPr>
            <w:r>
              <w:rPr>
                <w:rFonts w:hint="eastAsia" w:cs="宋体"/>
                <w:kern w:val="0"/>
                <w:sz w:val="24"/>
              </w:rPr>
              <w:t>护措</w:t>
            </w:r>
          </w:p>
          <w:p w14:paraId="2A545E0B">
            <w:pPr>
              <w:autoSpaceDE w:val="0"/>
              <w:autoSpaceDN w:val="0"/>
              <w:adjustRightInd w:val="0"/>
              <w:snapToGrid w:val="0"/>
              <w:jc w:val="center"/>
              <w:rPr>
                <w:rFonts w:cs="宋体"/>
                <w:kern w:val="0"/>
                <w:sz w:val="24"/>
              </w:rPr>
            </w:pPr>
            <w:r>
              <w:rPr>
                <w:rFonts w:hint="eastAsia" w:cs="宋体"/>
                <w:kern w:val="0"/>
                <w:sz w:val="24"/>
              </w:rPr>
              <w:t>施</w:t>
            </w:r>
          </w:p>
        </w:tc>
        <w:tc>
          <w:tcPr>
            <w:tcW w:w="8309" w:type="dxa"/>
            <w:vAlign w:val="center"/>
          </w:tcPr>
          <w:p w14:paraId="168656CF">
            <w:pPr>
              <w:spacing w:line="360" w:lineRule="auto"/>
              <w:ind w:firstLine="482" w:firstLineChars="200"/>
              <w:outlineLvl w:val="2"/>
              <w:rPr>
                <w:rFonts w:hint="eastAsia" w:eastAsia="宋体"/>
                <w:b/>
                <w:bCs/>
                <w:color w:val="auto"/>
                <w:sz w:val="24"/>
                <w:lang w:val="en-US" w:eastAsia="zh-CN"/>
              </w:rPr>
            </w:pPr>
            <w:bookmarkStart w:id="2" w:name="_Toc122002033"/>
            <w:r>
              <w:rPr>
                <w:rFonts w:hint="eastAsia"/>
                <w:b/>
                <w:bCs/>
                <w:color w:val="auto"/>
                <w:sz w:val="24"/>
              </w:rPr>
              <w:t>1、</w:t>
            </w:r>
            <w:r>
              <w:rPr>
                <w:b/>
                <w:bCs/>
                <w:color w:val="auto"/>
                <w:sz w:val="24"/>
              </w:rPr>
              <w:t>废气</w:t>
            </w:r>
            <w:bookmarkEnd w:id="2"/>
          </w:p>
          <w:p w14:paraId="6AE4E5D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bookmarkStart w:id="3" w:name="_Toc122002034"/>
            <w:r>
              <w:rPr>
                <w:rFonts w:ascii="Times New Roman" w:hAnsi="Times New Roman" w:cs="Times New Roman"/>
                <w:color w:val="auto"/>
                <w:kern w:val="0"/>
                <w:sz w:val="24"/>
              </w:rPr>
              <w:t>项目施工期间，基础开挖、物料运输等工序会产生的大气扬尘，对附近大气环境产生影响，为此，施工单位必须采取抑尘措施对施工过程产生的粉尘进行治理，根据《大气污染防治法》、《安徽省大气污染防治条例》、《安徽省建筑工程施工扬尘污染防治规定》、《2022年芜湖市住建系统扬尘污染治理专项行动方案》等法律规范的要求，建筑工地扬尘治理严格全过程管控，落实</w:t>
            </w:r>
            <w:r>
              <w:rPr>
                <w:rFonts w:hint="eastAsia" w:ascii="宋体" w:hAnsi="宋体" w:eastAsia="宋体" w:cs="宋体"/>
                <w:color w:val="auto"/>
                <w:kern w:val="0"/>
                <w:sz w:val="24"/>
              </w:rPr>
              <w:t>“六个百分百”措</w:t>
            </w:r>
            <w:r>
              <w:rPr>
                <w:rFonts w:ascii="Times New Roman" w:hAnsi="Times New Roman" w:cs="Times New Roman"/>
                <w:color w:val="auto"/>
                <w:kern w:val="0"/>
                <w:sz w:val="24"/>
              </w:rPr>
              <w:t>施（施工工地周边100%围挡、易扬尘物料堆放100%覆盖、出入口车辆100%冲洗、施工现场主要道路100%硬化、拆迁工地100%湿法作业、渣土车辆100%密闭运输），现场无明显扬尘、积尘。具体实施措施如下：</w:t>
            </w:r>
          </w:p>
          <w:p w14:paraId="3A77E1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1</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施工单位要在开工前制定建筑施工现场扬尘控制措施；</w:t>
            </w:r>
          </w:p>
          <w:p w14:paraId="29C93A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2</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施工现场实行100%围挡封闭，围档底边应当封闭并设置防溢沉淀井，不得有泥浆外漏；</w:t>
            </w:r>
          </w:p>
          <w:p w14:paraId="79FB59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3</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施工现场出入口配备车辆100%冲洗设施。对驶出施工现场的机动车辆冲洗干净，方可上路；</w:t>
            </w:r>
          </w:p>
          <w:p w14:paraId="0CE9668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4</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施工现场内裸露场地应当采取100%覆盖或绿化措施；施工道路实行100%硬化</w:t>
            </w:r>
            <w:r>
              <w:rPr>
                <w:rFonts w:hint="eastAsia" w:ascii="Times New Roman" w:hAnsi="Times New Roman" w:cs="Times New Roman"/>
                <w:color w:val="auto"/>
                <w:kern w:val="0"/>
                <w:sz w:val="24"/>
              </w:rPr>
              <w:t>；</w:t>
            </w:r>
          </w:p>
          <w:p w14:paraId="1397EA5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5</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现场设置洒水降尘设施，对作业面和土堆适当喷水，使其保持一定的湿度，且开挖的泥土和建筑垃圾要及时运走；对施工场地内松散、干涸的表土，也应经常洒水防止扬尘；回填土方时，在表层土质干燥时应适当洒水；安排专人定时洒水降尘；</w:t>
            </w:r>
          </w:p>
          <w:p w14:paraId="28205C1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6</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施工现场要制定土方表面压实、定期喷水、覆盖等措施；砂石等散体材料集中堆放并覆盖；在对弃土和废渣外运方面，采用密闭化运输车辆运输，杜绝施工废渣沿途抛洒；</w:t>
            </w:r>
          </w:p>
          <w:p w14:paraId="3D6D4ED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7</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运土卡车及建筑材料运输车应采用加盖专用车辆或配置防洒落装置，渣土车辆100%密闭运输，不应装载过满，应采取遮盖、密闭措施，并规划好运输车辆的运行路线与时间，昼间应避免在交通集中区和居民住宅区等敏感区行驶并减少沿途抛洒，并及时清扫，冲洗轮胎，定时洒水压尘，以减少运输过程中的扬尘；渣土等建筑垃圾集中、分类堆放，严密遮盖，采用封闭式管道或装袋清运，严禁高处抛洒；</w:t>
            </w:r>
          </w:p>
          <w:p w14:paraId="003B4B9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8</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施工现场禁止焚烧沥青、油毡、橡胶、塑料、皮革、垃圾以及其他产生有毒有害烟尘和恶臭气体的物质；</w:t>
            </w:r>
          </w:p>
          <w:p w14:paraId="0A6707A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kern w:val="0"/>
                <w:sz w:val="24"/>
              </w:rPr>
            </w:pP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9</w:t>
            </w:r>
            <w:r>
              <w:rPr>
                <w:rFonts w:hint="eastAsia" w:ascii="Times New Roman" w:hAnsi="Times New Roman" w:cs="Times New Roman"/>
                <w:color w:val="auto"/>
                <w:kern w:val="0"/>
                <w:sz w:val="24"/>
                <w:lang w:eastAsia="zh-CN"/>
              </w:rPr>
              <w:t>）</w:t>
            </w:r>
            <w:r>
              <w:rPr>
                <w:rFonts w:ascii="Times New Roman" w:hAnsi="Times New Roman" w:cs="Times New Roman"/>
                <w:color w:val="auto"/>
                <w:kern w:val="0"/>
                <w:sz w:val="24"/>
              </w:rPr>
              <w:t>运进或运出工地的土方、砂石、建筑垃圾等易产生扬尘的材料，应采取封闭运输。风速过大时停止施工作业，并对堆放的砂石等建筑材料进行遮盖处理，根据《安徽省重污染天气应急预案》启动Ⅲ级（黄色）预警以上或气象预报风速达到五级以上时，不得进行土方挖填和转运、拆除、道路路面鼓风机吹灰等易产生扬尘的作业。</w:t>
            </w:r>
          </w:p>
          <w:p w14:paraId="0186D8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color w:val="auto"/>
                <w:sz w:val="24"/>
              </w:rPr>
            </w:pPr>
            <w:r>
              <w:rPr>
                <w:rFonts w:ascii="Times New Roman" w:hAnsi="Times New Roman" w:cs="Times New Roman"/>
                <w:color w:val="auto"/>
                <w:kern w:val="0"/>
                <w:sz w:val="24"/>
              </w:rPr>
              <w:t>综上所述，拟建项目施工期产生的扬尘只要采取以上措施处理后，对周边环境影响较小。</w:t>
            </w:r>
          </w:p>
          <w:p w14:paraId="07AF1C09">
            <w:pPr>
              <w:spacing w:line="360" w:lineRule="auto"/>
              <w:ind w:firstLine="482" w:firstLineChars="200"/>
              <w:outlineLvl w:val="2"/>
              <w:rPr>
                <w:b/>
                <w:bCs/>
                <w:color w:val="auto"/>
                <w:sz w:val="24"/>
              </w:rPr>
            </w:pPr>
            <w:r>
              <w:rPr>
                <w:rFonts w:hint="eastAsia"/>
                <w:b/>
                <w:bCs/>
                <w:color w:val="auto"/>
                <w:sz w:val="24"/>
              </w:rPr>
              <w:t>2、</w:t>
            </w:r>
            <w:r>
              <w:rPr>
                <w:b/>
                <w:bCs/>
                <w:color w:val="auto"/>
                <w:sz w:val="24"/>
              </w:rPr>
              <w:t>废水</w:t>
            </w:r>
            <w:bookmarkEnd w:id="3"/>
          </w:p>
          <w:p w14:paraId="4835B0B4">
            <w:pPr>
              <w:spacing w:line="360" w:lineRule="auto"/>
              <w:ind w:firstLine="480" w:firstLineChars="200"/>
              <w:rPr>
                <w:color w:val="auto"/>
                <w:sz w:val="24"/>
              </w:rPr>
            </w:pPr>
            <w:r>
              <w:rPr>
                <w:rFonts w:hint="eastAsia"/>
                <w:color w:val="auto"/>
                <w:sz w:val="24"/>
              </w:rPr>
              <w:t>本项目施工期</w:t>
            </w:r>
            <w:r>
              <w:rPr>
                <w:color w:val="auto"/>
                <w:sz w:val="24"/>
              </w:rPr>
              <w:t>的废水排放主要来自于施工人员的生活污水和施工废水。项目</w:t>
            </w:r>
            <w:r>
              <w:rPr>
                <w:rFonts w:hint="eastAsia"/>
                <w:color w:val="auto"/>
                <w:sz w:val="24"/>
              </w:rPr>
              <w:t>施工期</w:t>
            </w:r>
            <w:r>
              <w:rPr>
                <w:color w:val="auto"/>
                <w:sz w:val="24"/>
              </w:rPr>
              <w:t>污水处理措施具体如下：</w:t>
            </w:r>
          </w:p>
          <w:p w14:paraId="52425C76">
            <w:pPr>
              <w:autoSpaceDE w:val="0"/>
              <w:autoSpaceDN w:val="0"/>
              <w:adjustRightInd w:val="0"/>
              <w:spacing w:line="360" w:lineRule="auto"/>
              <w:ind w:firstLine="480" w:firstLineChars="200"/>
              <w:rPr>
                <w:color w:val="auto"/>
                <w:kern w:val="0"/>
                <w:sz w:val="24"/>
              </w:rPr>
            </w:pPr>
            <w:r>
              <w:rPr>
                <w:color w:val="auto"/>
                <w:kern w:val="0"/>
                <w:sz w:val="24"/>
              </w:rPr>
              <w:t>（1）施工现场建造沉淀池、隔油池等污水临时处理设施，将施工废水处理后回用。利用现状地势高差，在施工场地建造污水收集边沟，将施工污水导流入施工废水处理设施。同时加强施工期管理，针对施工期污水产生过程不连续、废水种类较单一等特点，可采取相应措施有效控制污水及其中污染物的产生量。具体如下：</w:t>
            </w:r>
          </w:p>
          <w:p w14:paraId="41702C30">
            <w:pPr>
              <w:autoSpaceDE w:val="0"/>
              <w:autoSpaceDN w:val="0"/>
              <w:adjustRightInd w:val="0"/>
              <w:spacing w:line="360" w:lineRule="auto"/>
              <w:ind w:firstLine="480" w:firstLineChars="200"/>
              <w:rPr>
                <w:color w:val="auto"/>
                <w:kern w:val="0"/>
                <w:sz w:val="24"/>
              </w:rPr>
            </w:pPr>
            <w:r>
              <w:rPr>
                <w:rFonts w:hint="eastAsia" w:ascii="宋体" w:hAnsi="宋体" w:cs="宋体"/>
                <w:color w:val="auto"/>
                <w:kern w:val="0"/>
                <w:sz w:val="24"/>
              </w:rPr>
              <w:t>①</w:t>
            </w:r>
            <w:r>
              <w:rPr>
                <w:color w:val="auto"/>
                <w:kern w:val="0"/>
                <w:sz w:val="24"/>
              </w:rPr>
              <w:t>水泥、黄沙、石灰类的建筑材料需集中堆放，并采取一定的防雨淋措施，及时清扫施工运输过程中抛洒的建筑材料。</w:t>
            </w:r>
          </w:p>
          <w:p w14:paraId="61D6802F">
            <w:pPr>
              <w:autoSpaceDE w:val="0"/>
              <w:autoSpaceDN w:val="0"/>
              <w:adjustRightInd w:val="0"/>
              <w:spacing w:line="360" w:lineRule="auto"/>
              <w:ind w:firstLine="480" w:firstLineChars="200"/>
              <w:rPr>
                <w:color w:val="auto"/>
                <w:kern w:val="0"/>
                <w:sz w:val="24"/>
              </w:rPr>
            </w:pPr>
            <w:r>
              <w:rPr>
                <w:rFonts w:hint="eastAsia" w:ascii="宋体" w:hAnsi="宋体" w:cs="宋体"/>
                <w:color w:val="auto"/>
                <w:kern w:val="0"/>
                <w:sz w:val="24"/>
              </w:rPr>
              <w:t>②</w:t>
            </w:r>
            <w:r>
              <w:rPr>
                <w:color w:val="auto"/>
                <w:kern w:val="0"/>
                <w:sz w:val="24"/>
              </w:rPr>
              <w:t>砂浆和石灰浆等废液宜集中处理，干燥后与固废一起处置。</w:t>
            </w:r>
          </w:p>
          <w:p w14:paraId="5CACB012">
            <w:pPr>
              <w:autoSpaceDE w:val="0"/>
              <w:autoSpaceDN w:val="0"/>
              <w:adjustRightInd w:val="0"/>
              <w:spacing w:line="360" w:lineRule="auto"/>
              <w:ind w:firstLine="480" w:firstLineChars="200"/>
              <w:rPr>
                <w:color w:val="auto"/>
                <w:kern w:val="0"/>
                <w:sz w:val="24"/>
              </w:rPr>
            </w:pPr>
            <w:r>
              <w:rPr>
                <w:rFonts w:hint="eastAsia" w:ascii="宋体" w:hAnsi="宋体" w:cs="宋体"/>
                <w:color w:val="auto"/>
                <w:kern w:val="0"/>
                <w:sz w:val="24"/>
              </w:rPr>
              <w:t>③</w:t>
            </w:r>
            <w:r>
              <w:rPr>
                <w:color w:val="auto"/>
                <w:kern w:val="0"/>
                <w:sz w:val="24"/>
              </w:rPr>
              <w:t>在施工现场建造沉淀池、隔油池等污水临时处理设施，收集工地内洼地中积存的雨水和施工废水，处理后回用于施工。</w:t>
            </w:r>
          </w:p>
          <w:p w14:paraId="1BC9108B">
            <w:pPr>
              <w:autoSpaceDE w:val="0"/>
              <w:autoSpaceDN w:val="0"/>
              <w:adjustRightInd w:val="0"/>
              <w:spacing w:line="360" w:lineRule="auto"/>
              <w:ind w:firstLine="480" w:firstLineChars="200"/>
              <w:rPr>
                <w:color w:val="auto"/>
                <w:kern w:val="0"/>
                <w:sz w:val="24"/>
              </w:rPr>
            </w:pPr>
            <w:r>
              <w:rPr>
                <w:color w:val="auto"/>
                <w:kern w:val="0"/>
                <w:sz w:val="24"/>
              </w:rPr>
              <w:t>（2）对施工人员产生的生活污水经化粪池进行处理，经预处理后排放。</w:t>
            </w:r>
          </w:p>
          <w:p w14:paraId="57158E15">
            <w:pPr>
              <w:spacing w:line="360" w:lineRule="auto"/>
              <w:ind w:firstLine="482" w:firstLineChars="200"/>
              <w:outlineLvl w:val="2"/>
              <w:rPr>
                <w:b/>
                <w:bCs/>
                <w:color w:val="auto"/>
                <w:sz w:val="24"/>
              </w:rPr>
            </w:pPr>
            <w:bookmarkStart w:id="4" w:name="_Toc122002035"/>
            <w:r>
              <w:rPr>
                <w:rFonts w:hint="eastAsia"/>
                <w:b/>
                <w:bCs/>
                <w:color w:val="auto"/>
                <w:sz w:val="24"/>
              </w:rPr>
              <w:t>3、</w:t>
            </w:r>
            <w:r>
              <w:rPr>
                <w:b/>
                <w:bCs/>
                <w:color w:val="auto"/>
                <w:sz w:val="24"/>
              </w:rPr>
              <w:t>噪声</w:t>
            </w:r>
            <w:bookmarkEnd w:id="4"/>
          </w:p>
          <w:p w14:paraId="3B0B97D1">
            <w:pPr>
              <w:autoSpaceDE w:val="0"/>
              <w:autoSpaceDN w:val="0"/>
              <w:adjustRightInd w:val="0"/>
              <w:spacing w:line="360" w:lineRule="auto"/>
              <w:ind w:firstLine="480" w:firstLineChars="200"/>
              <w:rPr>
                <w:color w:val="auto"/>
                <w:kern w:val="0"/>
                <w:sz w:val="24"/>
              </w:rPr>
            </w:pPr>
            <w:r>
              <w:rPr>
                <w:color w:val="auto"/>
                <w:kern w:val="0"/>
                <w:sz w:val="24"/>
              </w:rPr>
              <w:t>（1）为减轻施工噪声对周围居民的影响，施工期应严格执行《建筑施工场界环境噪声排放标准》（GB12523-2011）有关规定，加强管理，控制同时作业的高噪声设备的数量。夜间禁止进行打桩作业。</w:t>
            </w:r>
          </w:p>
          <w:p w14:paraId="09DF2FE4">
            <w:pPr>
              <w:autoSpaceDE w:val="0"/>
              <w:autoSpaceDN w:val="0"/>
              <w:adjustRightInd w:val="0"/>
              <w:spacing w:line="360" w:lineRule="auto"/>
              <w:ind w:firstLine="480" w:firstLineChars="200"/>
              <w:rPr>
                <w:color w:val="auto"/>
                <w:kern w:val="0"/>
                <w:sz w:val="24"/>
              </w:rPr>
            </w:pPr>
            <w:r>
              <w:rPr>
                <w:color w:val="auto"/>
                <w:kern w:val="0"/>
                <w:sz w:val="24"/>
              </w:rPr>
              <w:t>（2）施工机械噪声往往具有突发、无规则、不连续和高强度等特点，对于此类情况，一般可采取合理安排施工机械操作时间的方法加以缓解。如噪声源强大的作业可放在昼间</w:t>
            </w:r>
            <w:r>
              <w:rPr>
                <w:rFonts w:hint="eastAsia"/>
                <w:color w:val="auto"/>
                <w:kern w:val="0"/>
                <w:sz w:val="24"/>
              </w:rPr>
              <w:t>（</w:t>
            </w:r>
            <w:r>
              <w:rPr>
                <w:color w:val="auto"/>
                <w:kern w:val="0"/>
                <w:sz w:val="24"/>
              </w:rPr>
              <w:t>06:00~22:00</w:t>
            </w:r>
            <w:r>
              <w:rPr>
                <w:rFonts w:hint="eastAsia"/>
                <w:color w:val="auto"/>
                <w:kern w:val="0"/>
                <w:sz w:val="24"/>
              </w:rPr>
              <w:t>）</w:t>
            </w:r>
            <w:r>
              <w:rPr>
                <w:color w:val="auto"/>
                <w:kern w:val="0"/>
                <w:sz w:val="24"/>
              </w:rPr>
              <w:t>或对各种施工机械作业时间加以适当调整。</w:t>
            </w:r>
          </w:p>
          <w:p w14:paraId="63D2B8BB">
            <w:pPr>
              <w:autoSpaceDE w:val="0"/>
              <w:autoSpaceDN w:val="0"/>
              <w:adjustRightInd w:val="0"/>
              <w:spacing w:line="360" w:lineRule="auto"/>
              <w:ind w:firstLine="480" w:firstLineChars="200"/>
              <w:rPr>
                <w:color w:val="auto"/>
                <w:kern w:val="0"/>
                <w:sz w:val="24"/>
              </w:rPr>
            </w:pPr>
            <w:r>
              <w:rPr>
                <w:color w:val="auto"/>
                <w:kern w:val="0"/>
                <w:sz w:val="24"/>
              </w:rPr>
              <w:t>（3）对于施工期间的材料运输、敲击、人的喊叫等施工声源，要求施工队通过文明施工、加强有效管理加以缓解。</w:t>
            </w:r>
          </w:p>
          <w:p w14:paraId="5748EA39">
            <w:pPr>
              <w:autoSpaceDE w:val="0"/>
              <w:autoSpaceDN w:val="0"/>
              <w:adjustRightInd w:val="0"/>
              <w:spacing w:line="360" w:lineRule="auto"/>
              <w:ind w:firstLine="480" w:firstLineChars="200"/>
              <w:rPr>
                <w:color w:val="auto"/>
                <w:kern w:val="0"/>
                <w:sz w:val="24"/>
              </w:rPr>
            </w:pPr>
            <w:r>
              <w:rPr>
                <w:color w:val="auto"/>
                <w:kern w:val="0"/>
                <w:sz w:val="24"/>
              </w:rPr>
              <w:t>（4）考虑到项目施工期间工地来往车辆行驶可能会对沿途声环境造成一定的影响，本次评价建议工程施工材料运输应安排在白天进行，禁止夜间扰民。</w:t>
            </w:r>
          </w:p>
          <w:p w14:paraId="5EDC5C52">
            <w:pPr>
              <w:autoSpaceDE w:val="0"/>
              <w:autoSpaceDN w:val="0"/>
              <w:adjustRightInd w:val="0"/>
              <w:spacing w:line="360" w:lineRule="auto"/>
              <w:ind w:firstLine="480" w:firstLineChars="200"/>
              <w:rPr>
                <w:color w:val="auto"/>
                <w:kern w:val="0"/>
                <w:sz w:val="24"/>
              </w:rPr>
            </w:pPr>
            <w:r>
              <w:rPr>
                <w:color w:val="auto"/>
                <w:kern w:val="0"/>
                <w:sz w:val="24"/>
              </w:rPr>
              <w:t>（5）运输车辆进入现场应减速，并减少鸣笛；同时应合理安排施工工期，尽量避免夜间高噪声源施工，如需进行夜间施工作业，需征得当地环保部门的同意，并告知周围居民，取得当地居民的谅解和支持。</w:t>
            </w:r>
          </w:p>
          <w:p w14:paraId="64359339">
            <w:pPr>
              <w:spacing w:line="360" w:lineRule="auto"/>
              <w:ind w:firstLine="482" w:firstLineChars="200"/>
              <w:outlineLvl w:val="2"/>
              <w:rPr>
                <w:rFonts w:hint="default" w:eastAsia="宋体"/>
                <w:b/>
                <w:bCs/>
                <w:color w:val="auto"/>
                <w:sz w:val="24"/>
                <w:lang w:val="en-US" w:eastAsia="zh-CN"/>
              </w:rPr>
            </w:pPr>
            <w:bookmarkStart w:id="5" w:name="_Toc122002036"/>
            <w:r>
              <w:rPr>
                <w:rFonts w:hint="eastAsia"/>
                <w:b/>
                <w:bCs/>
                <w:color w:val="auto"/>
                <w:sz w:val="24"/>
              </w:rPr>
              <w:t>4、</w:t>
            </w:r>
            <w:bookmarkEnd w:id="5"/>
            <w:r>
              <w:rPr>
                <w:rFonts w:hint="eastAsia"/>
                <w:b/>
                <w:bCs/>
                <w:color w:val="auto"/>
                <w:sz w:val="24"/>
                <w:lang w:val="en-US" w:eastAsia="zh-CN"/>
              </w:rPr>
              <w:t>固体废物</w:t>
            </w:r>
          </w:p>
          <w:p w14:paraId="75185A67">
            <w:pPr>
              <w:autoSpaceDE w:val="0"/>
              <w:autoSpaceDN w:val="0"/>
              <w:adjustRightInd w:val="0"/>
              <w:spacing w:line="360" w:lineRule="auto"/>
              <w:ind w:firstLine="480" w:firstLineChars="200"/>
              <w:rPr>
                <w:color w:val="auto"/>
                <w:kern w:val="0"/>
                <w:sz w:val="24"/>
              </w:rPr>
            </w:pPr>
            <w:r>
              <w:rPr>
                <w:color w:val="auto"/>
                <w:kern w:val="0"/>
                <w:sz w:val="24"/>
              </w:rPr>
              <w:t>施工期间会产生弃土和弃渣，在运输各种建筑材料（如砂石、水泥、砖、木材等）过程中以及在工程完成后，会残留不少废建筑材料。对于建筑垃圾，其中的钢筋可以回收利用，其它的混凝土块连同弃渣等均为无机物，可送至专用垃圾场所或用于回填低洼地带。</w:t>
            </w:r>
          </w:p>
          <w:p w14:paraId="1850DCAD">
            <w:pPr>
              <w:autoSpaceDE w:val="0"/>
              <w:autoSpaceDN w:val="0"/>
              <w:adjustRightInd w:val="0"/>
              <w:spacing w:line="360" w:lineRule="auto"/>
              <w:ind w:firstLine="480" w:firstLineChars="200"/>
              <w:rPr>
                <w:color w:val="auto"/>
                <w:kern w:val="0"/>
                <w:sz w:val="24"/>
              </w:rPr>
            </w:pPr>
            <w:r>
              <w:rPr>
                <w:color w:val="auto"/>
                <w:kern w:val="0"/>
                <w:sz w:val="24"/>
              </w:rPr>
              <w:t>在建设过程中，建设单位应要求施工单位规范运输，不能随意倾倒建筑垃圾，制造新</w:t>
            </w:r>
            <w:r>
              <w:rPr>
                <w:rFonts w:hint="eastAsia" w:ascii="宋体" w:hAnsi="宋体" w:eastAsia="宋体" w:cs="宋体"/>
                <w:color w:val="auto"/>
                <w:kern w:val="0"/>
                <w:sz w:val="24"/>
              </w:rPr>
              <w:t>的“垃圾堆场”</w:t>
            </w:r>
            <w:r>
              <w:rPr>
                <w:color w:val="auto"/>
                <w:kern w:val="0"/>
                <w:sz w:val="24"/>
              </w:rPr>
              <w:t>，不然会对周围环境造成影响。装修阶段产生的装修垃圾，必须及时外运，在固定垃圾堆场处置。</w:t>
            </w:r>
          </w:p>
          <w:p w14:paraId="229783E8">
            <w:pPr>
              <w:snapToGrid w:val="0"/>
              <w:spacing w:line="360" w:lineRule="auto"/>
              <w:ind w:firstLine="480" w:firstLineChars="200"/>
              <w:rPr>
                <w:color w:val="auto"/>
                <w:kern w:val="0"/>
                <w:sz w:val="24"/>
              </w:rPr>
            </w:pPr>
            <w:r>
              <w:rPr>
                <w:color w:val="auto"/>
                <w:kern w:val="0"/>
                <w:sz w:val="24"/>
              </w:rPr>
              <w:t>另外施工期间施工人员还将产生一定量的生活垃圾，应收集到指定的垃圾箱内，由环卫部门统一处理。</w:t>
            </w:r>
          </w:p>
          <w:p w14:paraId="00D4FC5D">
            <w:pPr>
              <w:snapToGrid w:val="0"/>
              <w:spacing w:line="360" w:lineRule="auto"/>
              <w:ind w:firstLine="482" w:firstLineChars="200"/>
              <w:rPr>
                <w:b/>
                <w:bCs/>
                <w:color w:val="auto"/>
                <w:sz w:val="24"/>
              </w:rPr>
            </w:pPr>
            <w:r>
              <w:rPr>
                <w:b/>
                <w:bCs/>
                <w:color w:val="auto"/>
                <w:sz w:val="24"/>
              </w:rPr>
              <w:t>5、生态环境</w:t>
            </w:r>
          </w:p>
          <w:p w14:paraId="7484B17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本</w:t>
            </w:r>
            <w:r>
              <w:rPr>
                <w:color w:val="auto"/>
                <w:sz w:val="24"/>
              </w:rPr>
              <w:t>项目建设用地为</w:t>
            </w:r>
            <w:r>
              <w:rPr>
                <w:rFonts w:hint="eastAsia"/>
                <w:color w:val="auto"/>
                <w:sz w:val="24"/>
              </w:rPr>
              <w:t>工业用地</w:t>
            </w:r>
            <w:r>
              <w:rPr>
                <w:color w:val="auto"/>
                <w:sz w:val="24"/>
              </w:rPr>
              <w:t>，项目的建设对区域生态环境的影响较小。</w:t>
            </w:r>
          </w:p>
          <w:p w14:paraId="54EB6E0B">
            <w:pPr>
              <w:widowControl/>
              <w:spacing w:line="360" w:lineRule="auto"/>
              <w:ind w:firstLine="480" w:firstLineChars="200"/>
              <w:jc w:val="left"/>
              <w:rPr>
                <w:sz w:val="24"/>
              </w:rPr>
            </w:pPr>
            <w:r>
              <w:rPr>
                <w:color w:val="auto"/>
                <w:sz w:val="24"/>
                <w:szCs w:val="24"/>
              </w:rPr>
              <w:t>综上所述，施工期的废气、废水、噪声、固体废物等将会对环境产生一定影响，但只要施工单位认真搞好施工组织，文明施工，切实落实上述各项污染防治措施，则在施工期对环境的影响将会减小到最低限量，而且随着施工的结束影响也将会消除。</w:t>
            </w:r>
          </w:p>
        </w:tc>
      </w:tr>
      <w:tr w14:paraId="1265AA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99" w:type="dxa"/>
            <w:tcMar>
              <w:left w:w="28" w:type="dxa"/>
              <w:right w:w="28" w:type="dxa"/>
            </w:tcMar>
            <w:vAlign w:val="center"/>
          </w:tcPr>
          <w:p w14:paraId="36919D1A">
            <w:pPr>
              <w:autoSpaceDE w:val="0"/>
              <w:autoSpaceDN w:val="0"/>
              <w:adjustRightInd w:val="0"/>
              <w:snapToGrid w:val="0"/>
              <w:jc w:val="center"/>
              <w:rPr>
                <w:rFonts w:cs="宋体"/>
                <w:kern w:val="0"/>
                <w:sz w:val="24"/>
              </w:rPr>
            </w:pPr>
            <w:r>
              <w:rPr>
                <w:rFonts w:hint="eastAsia" w:cs="宋体"/>
                <w:kern w:val="0"/>
                <w:sz w:val="24"/>
              </w:rPr>
              <w:t>运营</w:t>
            </w:r>
          </w:p>
          <w:p w14:paraId="0B44B901">
            <w:pPr>
              <w:autoSpaceDE w:val="0"/>
              <w:autoSpaceDN w:val="0"/>
              <w:adjustRightInd w:val="0"/>
              <w:snapToGrid w:val="0"/>
              <w:jc w:val="center"/>
              <w:rPr>
                <w:rFonts w:cs="宋体"/>
                <w:kern w:val="0"/>
                <w:sz w:val="24"/>
              </w:rPr>
            </w:pPr>
            <w:r>
              <w:rPr>
                <w:rFonts w:hint="eastAsia" w:cs="宋体"/>
                <w:kern w:val="0"/>
                <w:sz w:val="24"/>
              </w:rPr>
              <w:t>期环</w:t>
            </w:r>
          </w:p>
          <w:p w14:paraId="667A0492">
            <w:pPr>
              <w:autoSpaceDE w:val="0"/>
              <w:autoSpaceDN w:val="0"/>
              <w:adjustRightInd w:val="0"/>
              <w:snapToGrid w:val="0"/>
              <w:jc w:val="center"/>
              <w:rPr>
                <w:rFonts w:cs="宋体"/>
                <w:kern w:val="0"/>
                <w:sz w:val="24"/>
              </w:rPr>
            </w:pPr>
            <w:r>
              <w:rPr>
                <w:rFonts w:hint="eastAsia" w:cs="宋体"/>
                <w:kern w:val="0"/>
                <w:sz w:val="24"/>
              </w:rPr>
              <w:t>境影</w:t>
            </w:r>
          </w:p>
          <w:p w14:paraId="720E517E">
            <w:pPr>
              <w:autoSpaceDE w:val="0"/>
              <w:autoSpaceDN w:val="0"/>
              <w:adjustRightInd w:val="0"/>
              <w:snapToGrid w:val="0"/>
              <w:jc w:val="center"/>
              <w:rPr>
                <w:rFonts w:cs="宋体"/>
                <w:kern w:val="0"/>
                <w:sz w:val="24"/>
              </w:rPr>
            </w:pPr>
            <w:r>
              <w:rPr>
                <w:rFonts w:hint="eastAsia" w:cs="宋体"/>
                <w:kern w:val="0"/>
                <w:sz w:val="24"/>
              </w:rPr>
              <w:t>响和</w:t>
            </w:r>
          </w:p>
          <w:p w14:paraId="2A5943AA">
            <w:pPr>
              <w:autoSpaceDE w:val="0"/>
              <w:autoSpaceDN w:val="0"/>
              <w:adjustRightInd w:val="0"/>
              <w:snapToGrid w:val="0"/>
              <w:jc w:val="center"/>
              <w:rPr>
                <w:rFonts w:cs="宋体"/>
                <w:kern w:val="0"/>
                <w:sz w:val="24"/>
              </w:rPr>
            </w:pPr>
            <w:r>
              <w:rPr>
                <w:rFonts w:hint="eastAsia" w:cs="宋体"/>
                <w:kern w:val="0"/>
                <w:sz w:val="24"/>
              </w:rPr>
              <w:t>保护</w:t>
            </w:r>
          </w:p>
          <w:p w14:paraId="3D859205">
            <w:pPr>
              <w:autoSpaceDE w:val="0"/>
              <w:autoSpaceDN w:val="0"/>
              <w:adjustRightInd w:val="0"/>
              <w:snapToGrid w:val="0"/>
              <w:jc w:val="center"/>
              <w:rPr>
                <w:rFonts w:cs="宋体"/>
                <w:kern w:val="0"/>
                <w:sz w:val="24"/>
              </w:rPr>
            </w:pPr>
            <w:r>
              <w:rPr>
                <w:rFonts w:hint="eastAsia" w:cs="宋体"/>
                <w:kern w:val="0"/>
                <w:sz w:val="24"/>
              </w:rPr>
              <w:t>措施</w:t>
            </w:r>
          </w:p>
        </w:tc>
        <w:tc>
          <w:tcPr>
            <w:tcW w:w="8309" w:type="dxa"/>
            <w:vAlign w:val="center"/>
          </w:tcPr>
          <w:p w14:paraId="483FABAC">
            <w:pPr>
              <w:keepNext/>
              <w:keepLines/>
              <w:spacing w:line="360" w:lineRule="auto"/>
              <w:ind w:firstLine="354" w:firstLineChars="147"/>
              <w:outlineLvl w:val="2"/>
              <w:rPr>
                <w:b/>
                <w:bCs/>
                <w:sz w:val="24"/>
                <w:szCs w:val="32"/>
              </w:rPr>
            </w:pPr>
            <w:r>
              <w:rPr>
                <w:rFonts w:hint="eastAsia"/>
                <w:b/>
                <w:bCs/>
                <w:sz w:val="24"/>
                <w:szCs w:val="32"/>
              </w:rPr>
              <w:t>一、废气环境影响和保护措施</w:t>
            </w:r>
          </w:p>
          <w:p w14:paraId="34AAF711">
            <w:pPr>
              <w:keepNext/>
              <w:keepLines/>
              <w:spacing w:line="360" w:lineRule="auto"/>
              <w:ind w:firstLine="472" w:firstLineChars="196"/>
              <w:outlineLvl w:val="2"/>
              <w:rPr>
                <w:rFonts w:ascii="Times New Roman" w:hAnsi="Times New Roman" w:eastAsia="宋体"/>
                <w:b/>
                <w:bCs/>
                <w:color w:val="000000"/>
                <w:sz w:val="24"/>
                <w:szCs w:val="32"/>
                <w:highlight w:val="none"/>
              </w:rPr>
            </w:pPr>
            <w:r>
              <w:rPr>
                <w:rFonts w:ascii="Times New Roman" w:hAnsi="Times New Roman" w:eastAsia="宋体"/>
                <w:b/>
                <w:bCs/>
                <w:color w:val="000000"/>
                <w:sz w:val="24"/>
                <w:szCs w:val="32"/>
                <w:highlight w:val="none"/>
              </w:rPr>
              <w:t>1、废气污染源分析</w:t>
            </w:r>
          </w:p>
          <w:p w14:paraId="2343ED0E">
            <w:pPr>
              <w:spacing w:line="360" w:lineRule="auto"/>
              <w:ind w:firstLine="480" w:firstLineChars="200"/>
              <w:rPr>
                <w:rFonts w:hint="eastAsia" w:ascii="Times New Roman" w:hAnsi="Times New Roman" w:eastAsia="宋体"/>
                <w:color w:val="000000"/>
                <w:sz w:val="24"/>
                <w:highlight w:val="none"/>
              </w:rPr>
            </w:pPr>
            <w:r>
              <w:rPr>
                <w:rFonts w:ascii="Times New Roman" w:hAnsi="Times New Roman" w:eastAsia="宋体"/>
                <w:color w:val="000000"/>
                <w:sz w:val="24"/>
                <w:highlight w:val="none"/>
              </w:rPr>
              <w:t>项目产生的废气主要</w:t>
            </w:r>
            <w:r>
              <w:rPr>
                <w:rFonts w:hint="eastAsia" w:ascii="Times New Roman" w:hAnsi="Times New Roman" w:eastAsia="宋体"/>
                <w:color w:val="000000"/>
                <w:sz w:val="24"/>
                <w:highlight w:val="none"/>
                <w:lang w:val="en-US" w:eastAsia="zh-CN"/>
              </w:rPr>
              <w:t>为焊接废气</w:t>
            </w:r>
            <w:r>
              <w:rPr>
                <w:rFonts w:hint="eastAsia" w:ascii="Times New Roman" w:hAnsi="Times New Roman" w:eastAsia="宋体"/>
                <w:color w:val="000000"/>
                <w:sz w:val="24"/>
                <w:highlight w:val="none"/>
              </w:rPr>
              <w:t>。</w:t>
            </w:r>
          </w:p>
          <w:p w14:paraId="0FC49D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olor w:val="000000"/>
                <w:kern w:val="0"/>
                <w:sz w:val="24"/>
                <w:lang w:val="en-US" w:eastAsia="zh-CN" w:bidi="ar"/>
              </w:rPr>
            </w:pPr>
            <w:r>
              <w:rPr>
                <w:rFonts w:hint="eastAsia" w:ascii="Times New Roman" w:hAnsi="Times New Roman" w:eastAsia="宋体"/>
                <w:color w:val="000000"/>
                <w:sz w:val="24"/>
                <w:highlight w:val="none"/>
                <w:lang w:eastAsia="zh-CN"/>
              </w:rPr>
              <w:t>《污染源源强核算技术指南 准则》（HJ 884-2018）</w:t>
            </w:r>
            <w:r>
              <w:rPr>
                <w:rFonts w:hint="eastAsia" w:ascii="Times New Roman" w:hAnsi="Times New Roman" w:eastAsia="宋体"/>
                <w:color w:val="000000"/>
                <w:sz w:val="24"/>
                <w:highlight w:val="none"/>
                <w:lang w:val="en-US" w:eastAsia="zh-CN"/>
              </w:rPr>
              <w:t>中规定污染源源强核算可采用实测法、物料衡算法、产污系数法、排污系数法、类比法，实验法等。由于实测法均需自动/手工监测的平均浓度核算产生量，本项目暂未投产，无此类数据，</w:t>
            </w:r>
            <w:r>
              <w:rPr>
                <w:rFonts w:hint="eastAsia" w:ascii="Times New Roman" w:hAnsi="Times New Roman" w:eastAsia="宋体"/>
                <w:caps w:val="0"/>
                <w:color w:val="000000"/>
                <w:sz w:val="24"/>
                <w:highlight w:val="none"/>
              </w:rPr>
              <w:t>本项目产生的</w:t>
            </w:r>
            <w:r>
              <w:rPr>
                <w:rFonts w:hint="eastAsia"/>
                <w:caps w:val="0"/>
                <w:color w:val="000000"/>
                <w:sz w:val="24"/>
                <w:highlight w:val="none"/>
                <w:lang w:val="en-US" w:eastAsia="zh-CN"/>
              </w:rPr>
              <w:t>焊接</w:t>
            </w:r>
            <w:r>
              <w:rPr>
                <w:rFonts w:hint="eastAsia" w:ascii="Times New Roman" w:hAnsi="Times New Roman" w:eastAsia="宋体"/>
                <w:caps w:val="0"/>
                <w:color w:val="000000"/>
                <w:sz w:val="24"/>
                <w:highlight w:val="none"/>
                <w:lang w:val="en-US" w:eastAsia="zh-CN"/>
              </w:rPr>
              <w:t>废气</w:t>
            </w:r>
            <w:r>
              <w:rPr>
                <w:rFonts w:hint="eastAsia" w:ascii="Times New Roman" w:hAnsi="Times New Roman" w:eastAsia="宋体"/>
                <w:caps w:val="0"/>
                <w:color w:val="000000"/>
                <w:sz w:val="24"/>
                <w:highlight w:val="none"/>
              </w:rPr>
              <w:t>依据《关于发布&lt;排放源统计调查产排污核算方法和系数手册&gt;的公告》（生态环境部公告2021年第24号）给定的产污系数进行核算</w:t>
            </w:r>
            <w:r>
              <w:rPr>
                <w:rFonts w:hint="eastAsia" w:ascii="Times New Roman" w:hAnsi="Times New Roman" w:eastAsia="宋体"/>
                <w:color w:val="000000"/>
                <w:sz w:val="24"/>
                <w:highlight w:val="none"/>
                <w:lang w:val="en-US" w:eastAsia="zh-CN"/>
              </w:rPr>
              <w:t>。</w:t>
            </w:r>
          </w:p>
          <w:p w14:paraId="0330D7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olor w:val="000000"/>
                <w:sz w:val="24"/>
                <w:highlight w:val="none"/>
                <w:lang w:val="en-US" w:eastAsia="zh-CN"/>
              </w:rPr>
            </w:pPr>
            <w:r>
              <w:rPr>
                <w:rFonts w:hint="eastAsia" w:ascii="Times New Roman" w:hAnsi="Times New Roman" w:eastAsia="宋体"/>
                <w:color w:val="000000"/>
                <w:sz w:val="24"/>
                <w:highlight w:val="none"/>
                <w:lang w:eastAsia="zh-CN"/>
              </w:rPr>
              <w:t>（</w:t>
            </w:r>
            <w:r>
              <w:rPr>
                <w:rFonts w:hint="eastAsia" w:ascii="Times New Roman" w:hAnsi="Times New Roman" w:eastAsia="宋体"/>
                <w:color w:val="000000"/>
                <w:sz w:val="24"/>
                <w:highlight w:val="none"/>
                <w:lang w:val="en-US" w:eastAsia="zh-CN"/>
              </w:rPr>
              <w:t>一</w:t>
            </w:r>
            <w:r>
              <w:rPr>
                <w:rFonts w:hint="eastAsia" w:ascii="Times New Roman" w:hAnsi="Times New Roman" w:eastAsia="宋体"/>
                <w:color w:val="000000"/>
                <w:sz w:val="24"/>
                <w:highlight w:val="none"/>
                <w:lang w:eastAsia="zh-CN"/>
              </w:rPr>
              <w:t>）</w:t>
            </w:r>
            <w:r>
              <w:rPr>
                <w:rFonts w:hint="eastAsia" w:ascii="Times New Roman" w:hAnsi="Times New Roman" w:eastAsia="宋体"/>
                <w:color w:val="000000"/>
                <w:sz w:val="24"/>
                <w:highlight w:val="none"/>
                <w:lang w:val="en-US" w:eastAsia="zh-CN"/>
              </w:rPr>
              <w:t>焊接废气</w:t>
            </w:r>
          </w:p>
          <w:p w14:paraId="29D8DA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olor w:val="000000"/>
                <w:sz w:val="24"/>
                <w:highlight w:val="none"/>
                <w:lang w:val="en-US" w:eastAsia="zh-CN"/>
              </w:rPr>
            </w:pPr>
            <w:r>
              <w:rPr>
                <w:rFonts w:hint="eastAsia" w:ascii="Times New Roman" w:hAnsi="Times New Roman" w:eastAsia="宋体"/>
                <w:color w:val="000000"/>
                <w:sz w:val="24"/>
                <w:highlight w:val="none"/>
                <w:lang w:val="en-US" w:eastAsia="zh-CN"/>
              </w:rPr>
              <w:t>点焊、凸焊：项目部分产品采用点焊</w:t>
            </w:r>
            <w:r>
              <w:rPr>
                <w:rFonts w:hint="eastAsia"/>
                <w:color w:val="000000"/>
                <w:sz w:val="24"/>
                <w:highlight w:val="none"/>
                <w:lang w:val="en-US" w:eastAsia="zh-CN"/>
              </w:rPr>
              <w:t>、凸焊</w:t>
            </w:r>
            <w:r>
              <w:rPr>
                <w:rFonts w:hint="eastAsia" w:ascii="Times New Roman" w:hAnsi="Times New Roman" w:eastAsia="宋体"/>
                <w:color w:val="000000"/>
                <w:sz w:val="24"/>
                <w:highlight w:val="none"/>
                <w:lang w:val="en-US" w:eastAsia="zh-CN"/>
              </w:rPr>
              <w:t>，</w:t>
            </w:r>
            <w:r>
              <w:rPr>
                <w:rFonts w:hint="eastAsia"/>
                <w:color w:val="000000"/>
                <w:sz w:val="24"/>
                <w:highlight w:val="none"/>
                <w:lang w:val="en-US" w:eastAsia="zh-CN"/>
              </w:rPr>
              <w:t>点焊是</w:t>
            </w:r>
            <w:r>
              <w:rPr>
                <w:rFonts w:hint="eastAsia" w:ascii="Times New Roman" w:hAnsi="Times New Roman" w:eastAsia="宋体"/>
                <w:color w:val="000000"/>
                <w:sz w:val="24"/>
                <w:highlight w:val="none"/>
                <w:lang w:val="en-US" w:eastAsia="zh-CN"/>
              </w:rPr>
              <w:t>通过‌电阻热‌和‌电极压力‌实现金属连接的焊接，</w:t>
            </w:r>
            <w:r>
              <w:rPr>
                <w:rFonts w:hint="eastAsia"/>
                <w:color w:val="000000"/>
                <w:sz w:val="24"/>
                <w:highlight w:val="none"/>
                <w:lang w:val="en-US" w:eastAsia="zh-CN"/>
              </w:rPr>
              <w:t>凸焊是基于‌预置凸点结构集中电流和压力‌，实现高效多焊点连接，</w:t>
            </w:r>
            <w:r>
              <w:rPr>
                <w:rFonts w:hint="eastAsia" w:ascii="Times New Roman" w:hAnsi="Times New Roman" w:eastAsia="宋体"/>
                <w:color w:val="000000"/>
                <w:sz w:val="24"/>
                <w:highlight w:val="none"/>
                <w:lang w:val="en-US" w:eastAsia="zh-CN"/>
              </w:rPr>
              <w:t>经移动式烟尘净化器处理后，无组织排放，因产生量较小，本次环评不定量分析。</w:t>
            </w:r>
          </w:p>
          <w:p w14:paraId="4816ED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lang w:eastAsia="zh-CN"/>
              </w:rPr>
            </w:pPr>
            <w:r>
              <w:rPr>
                <w:rFonts w:hint="eastAsia" w:ascii="Times New Roman" w:hAnsi="Times New Roman" w:eastAsia="宋体"/>
                <w:color w:val="000000"/>
                <w:sz w:val="24"/>
                <w:highlight w:val="none"/>
                <w:lang w:val="en-US" w:eastAsia="zh-CN"/>
              </w:rPr>
              <w:t>手工弧焊：项目采用手工弧焊进行焊接过程，会产生焊接烟尘，</w:t>
            </w:r>
            <w:r>
              <w:rPr>
                <w:rFonts w:hint="eastAsia" w:ascii="Times New Roman" w:hAnsi="Times New Roman" w:eastAsia="宋体"/>
                <w:color w:val="000000"/>
                <w:sz w:val="24"/>
                <w:highlight w:val="none"/>
                <w:lang w:eastAsia="zh-CN"/>
              </w:rPr>
              <w:t>根据《排放源统计调查产排污核算方法和系数手册（公告2021年 第24号）》中33-37，431-434机械行业系数手册，</w:t>
            </w:r>
            <w:r>
              <w:rPr>
                <w:rFonts w:hint="eastAsia" w:ascii="Times New Roman" w:hAnsi="Times New Roman" w:eastAsia="宋体"/>
                <w:color w:val="000000"/>
                <w:sz w:val="24"/>
                <w:highlight w:val="none"/>
                <w:lang w:val="en-US" w:eastAsia="zh-CN"/>
              </w:rPr>
              <w:t>手工电弧焊</w:t>
            </w:r>
            <w:r>
              <w:rPr>
                <w:rFonts w:hint="eastAsia" w:ascii="Times New Roman" w:hAnsi="Times New Roman" w:eastAsia="宋体"/>
                <w:color w:val="000000"/>
                <w:sz w:val="24"/>
                <w:highlight w:val="none"/>
                <w:lang w:eastAsia="zh-CN"/>
              </w:rPr>
              <w:t>，颗粒物的产污系数为</w:t>
            </w:r>
            <w:r>
              <w:rPr>
                <w:rFonts w:hint="eastAsia" w:ascii="Times New Roman" w:hAnsi="Times New Roman" w:eastAsia="宋体"/>
                <w:color w:val="000000"/>
                <w:sz w:val="24"/>
                <w:highlight w:val="none"/>
                <w:lang w:val="en-US" w:eastAsia="zh-CN"/>
              </w:rPr>
              <w:t>20.2</w:t>
            </w:r>
            <w:r>
              <w:rPr>
                <w:rFonts w:hint="eastAsia" w:ascii="Times New Roman" w:hAnsi="Times New Roman" w:eastAsia="宋体"/>
                <w:color w:val="000000"/>
                <w:sz w:val="24"/>
                <w:highlight w:val="none"/>
                <w:lang w:eastAsia="zh-CN"/>
              </w:rPr>
              <w:t>千克/吨原料，</w:t>
            </w:r>
            <w:r>
              <w:rPr>
                <w:rFonts w:hint="eastAsia" w:ascii="Times New Roman" w:hAnsi="Times New Roman" w:eastAsia="宋体"/>
                <w:color w:val="000000"/>
                <w:sz w:val="24"/>
                <w:highlight w:val="none"/>
                <w:lang w:val="en-US" w:eastAsia="zh-CN"/>
              </w:rPr>
              <w:t>手工弧焊使用的焊丝约10t/a，</w:t>
            </w:r>
            <w:r>
              <w:rPr>
                <w:rFonts w:hint="eastAsia" w:ascii="Times New Roman" w:hAnsi="Times New Roman" w:eastAsia="宋体"/>
                <w:color w:val="000000"/>
                <w:sz w:val="24"/>
                <w:highlight w:val="none"/>
                <w:lang w:eastAsia="zh-CN"/>
              </w:rPr>
              <w:t>则焊接烟尘的产生量为</w:t>
            </w:r>
            <w:r>
              <w:rPr>
                <w:rFonts w:hint="eastAsia" w:ascii="Times New Roman" w:hAnsi="Times New Roman" w:eastAsia="宋体"/>
                <w:color w:val="000000"/>
                <w:sz w:val="24"/>
                <w:highlight w:val="none"/>
                <w:lang w:val="en-US" w:eastAsia="zh-CN"/>
              </w:rPr>
              <w:t>0.202</w:t>
            </w:r>
            <w:r>
              <w:rPr>
                <w:rFonts w:hint="eastAsia" w:ascii="Times New Roman" w:hAnsi="Times New Roman" w:eastAsia="宋体"/>
                <w:color w:val="000000"/>
                <w:sz w:val="24"/>
                <w:highlight w:val="none"/>
                <w:lang w:eastAsia="zh-CN"/>
              </w:rPr>
              <w:t>t/a。</w:t>
            </w:r>
          </w:p>
          <w:p w14:paraId="4E031B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lang w:eastAsia="zh-CN"/>
              </w:rPr>
            </w:pPr>
            <w:r>
              <w:rPr>
                <w:rFonts w:hint="eastAsia" w:ascii="Times New Roman" w:hAnsi="Times New Roman" w:eastAsia="宋体"/>
                <w:color w:val="000000"/>
                <w:sz w:val="24"/>
                <w:highlight w:val="none"/>
                <w:lang w:val="en-US" w:eastAsia="zh-CN"/>
              </w:rPr>
              <w:t>自动弧焊：自动弧焊过程会</w:t>
            </w:r>
            <w:r>
              <w:rPr>
                <w:rFonts w:hint="eastAsia" w:ascii="Times New Roman" w:hAnsi="Times New Roman" w:eastAsia="宋体"/>
                <w:color w:val="000000"/>
                <w:sz w:val="24"/>
                <w:highlight w:val="none"/>
                <w:lang w:eastAsia="zh-CN"/>
              </w:rPr>
              <w:t>产生焊接烟尘，根据《排放源统计调查产排污核算方法和系数手册（公告2021年 第24号）》中33-37，431-434机械行业系数手册，焊接工序使用</w:t>
            </w:r>
            <w:r>
              <w:rPr>
                <w:rFonts w:hint="eastAsia" w:ascii="Times New Roman" w:hAnsi="Times New Roman" w:eastAsia="宋体"/>
                <w:color w:val="000000"/>
                <w:sz w:val="24"/>
                <w:highlight w:val="none"/>
                <w:lang w:val="en-US" w:eastAsia="zh-CN"/>
              </w:rPr>
              <w:t>实芯</w:t>
            </w:r>
            <w:r>
              <w:rPr>
                <w:rFonts w:hint="eastAsia" w:ascii="Times New Roman" w:hAnsi="Times New Roman" w:eastAsia="宋体"/>
                <w:color w:val="000000"/>
                <w:sz w:val="24"/>
                <w:highlight w:val="none"/>
                <w:lang w:eastAsia="zh-CN"/>
              </w:rPr>
              <w:t>焊丝，颗粒物的产污系数为</w:t>
            </w:r>
            <w:r>
              <w:rPr>
                <w:rFonts w:hint="eastAsia" w:ascii="Times New Roman" w:hAnsi="Times New Roman" w:eastAsia="宋体"/>
                <w:color w:val="000000"/>
                <w:sz w:val="24"/>
                <w:highlight w:val="none"/>
                <w:lang w:val="en-US" w:eastAsia="zh-CN"/>
              </w:rPr>
              <w:t>9.19</w:t>
            </w:r>
            <w:r>
              <w:rPr>
                <w:rFonts w:hint="eastAsia" w:ascii="Times New Roman" w:hAnsi="Times New Roman" w:eastAsia="宋体"/>
                <w:color w:val="000000"/>
                <w:sz w:val="24"/>
                <w:highlight w:val="none"/>
                <w:lang w:eastAsia="zh-CN"/>
              </w:rPr>
              <w:t>千克/吨原料，</w:t>
            </w:r>
            <w:r>
              <w:rPr>
                <w:rFonts w:hint="eastAsia" w:ascii="Times New Roman" w:hAnsi="Times New Roman" w:eastAsia="宋体"/>
                <w:color w:val="000000"/>
                <w:sz w:val="24"/>
                <w:highlight w:val="none"/>
                <w:lang w:val="en-US" w:eastAsia="zh-CN"/>
              </w:rPr>
              <w:t>自动弧焊过程使用焊丝约40t/a，</w:t>
            </w:r>
            <w:r>
              <w:rPr>
                <w:rFonts w:hint="eastAsia" w:ascii="Times New Roman" w:hAnsi="Times New Roman" w:eastAsia="宋体"/>
                <w:color w:val="000000"/>
                <w:sz w:val="24"/>
                <w:highlight w:val="none"/>
                <w:lang w:eastAsia="zh-CN"/>
              </w:rPr>
              <w:t>则焊接烟尘的产生量为</w:t>
            </w:r>
            <w:r>
              <w:rPr>
                <w:rFonts w:hint="eastAsia" w:ascii="Times New Roman" w:hAnsi="Times New Roman" w:eastAsia="宋体"/>
                <w:color w:val="000000"/>
                <w:sz w:val="24"/>
                <w:highlight w:val="none"/>
                <w:lang w:val="en-US" w:eastAsia="zh-CN"/>
              </w:rPr>
              <w:t>0.37</w:t>
            </w:r>
            <w:r>
              <w:rPr>
                <w:rFonts w:hint="eastAsia" w:ascii="Times New Roman" w:hAnsi="Times New Roman" w:eastAsia="宋体"/>
                <w:color w:val="000000"/>
                <w:sz w:val="24"/>
                <w:highlight w:val="none"/>
                <w:lang w:eastAsia="zh-CN"/>
              </w:rPr>
              <w:t>t/a。</w:t>
            </w:r>
          </w:p>
          <w:p w14:paraId="540D6F81">
            <w:pPr>
              <w:spacing w:line="360" w:lineRule="auto"/>
              <w:ind w:firstLine="480" w:firstLineChars="200"/>
              <w:rPr>
                <w:rFonts w:hint="eastAsia" w:ascii="Times New Roman" w:hAnsi="Times New Roman" w:eastAsia="宋体"/>
                <w:color w:val="000000"/>
                <w:kern w:val="0"/>
                <w:sz w:val="24"/>
                <w:lang w:bidi="ar"/>
              </w:rPr>
            </w:pPr>
            <w:r>
              <w:rPr>
                <w:rFonts w:hint="eastAsia"/>
                <w:color w:val="auto"/>
                <w:sz w:val="24"/>
              </w:rPr>
              <w:t>项目共有</w:t>
            </w:r>
            <w:r>
              <w:rPr>
                <w:rFonts w:hint="eastAsia"/>
                <w:color w:val="auto"/>
                <w:sz w:val="24"/>
                <w:lang w:val="en-US" w:eastAsia="zh-CN"/>
              </w:rPr>
              <w:t>26台弧焊机器人</w:t>
            </w:r>
            <w:r>
              <w:rPr>
                <w:rFonts w:hint="eastAsia"/>
                <w:color w:val="auto"/>
                <w:sz w:val="24"/>
              </w:rPr>
              <w:t>、</w:t>
            </w:r>
            <w:r>
              <w:rPr>
                <w:rFonts w:hint="eastAsia"/>
                <w:color w:val="auto"/>
                <w:sz w:val="24"/>
                <w:lang w:val="en-US" w:eastAsia="zh-CN"/>
              </w:rPr>
              <w:t>30</w:t>
            </w:r>
            <w:r>
              <w:rPr>
                <w:rFonts w:hint="eastAsia"/>
                <w:color w:val="auto"/>
                <w:sz w:val="24"/>
              </w:rPr>
              <w:t>台手工弧焊机，建设单位分别在</w:t>
            </w:r>
            <w:r>
              <w:rPr>
                <w:rFonts w:hint="eastAsia"/>
                <w:color w:val="auto"/>
                <w:sz w:val="24"/>
                <w:lang w:val="en-US" w:eastAsia="zh-CN"/>
              </w:rPr>
              <w:t>其</w:t>
            </w:r>
            <w:r>
              <w:rPr>
                <w:rFonts w:hint="eastAsia"/>
                <w:color w:val="auto"/>
                <w:sz w:val="24"/>
              </w:rPr>
              <w:t>工位上方设置集气罩对焊接烟尘进行收集，</w:t>
            </w:r>
            <w:r>
              <w:rPr>
                <w:rFonts w:hint="eastAsia" w:ascii="Times New Roman" w:hAnsi="Times New Roman" w:eastAsia="宋体"/>
                <w:color w:val="auto"/>
                <w:sz w:val="24"/>
                <w:lang w:val="en-US" w:eastAsia="zh-CN"/>
              </w:rPr>
              <w:t>项目拟在焊接工位上方</w:t>
            </w:r>
            <w:r>
              <w:rPr>
                <w:rFonts w:hint="eastAsia" w:ascii="Times New Roman" w:hAnsi="Times New Roman" w:eastAsia="宋体"/>
                <w:color w:val="auto"/>
                <w:sz w:val="24"/>
              </w:rPr>
              <w:t>采用</w:t>
            </w:r>
            <w:r>
              <w:rPr>
                <w:rFonts w:hint="eastAsia" w:ascii="Times New Roman" w:hAnsi="Times New Roman" w:eastAsia="宋体"/>
                <w:color w:val="auto"/>
                <w:sz w:val="24"/>
                <w:lang w:val="en-US" w:eastAsia="zh-CN"/>
              </w:rPr>
              <w:t>集气罩收集</w:t>
            </w:r>
            <w:r>
              <w:rPr>
                <w:rFonts w:hint="eastAsia" w:ascii="Times New Roman" w:hAnsi="Times New Roman" w:eastAsia="宋体"/>
                <w:color w:val="auto"/>
                <w:sz w:val="24"/>
              </w:rPr>
              <w:t>（收集效率</w:t>
            </w:r>
            <w:r>
              <w:rPr>
                <w:rFonts w:hint="eastAsia" w:ascii="Times New Roman" w:hAnsi="Times New Roman" w:eastAsia="宋体"/>
                <w:color w:val="auto"/>
                <w:sz w:val="24"/>
                <w:lang w:val="en-US" w:eastAsia="zh-CN"/>
              </w:rPr>
              <w:t>90</w:t>
            </w:r>
            <w:r>
              <w:rPr>
                <w:rFonts w:hint="eastAsia" w:ascii="Times New Roman" w:hAnsi="Times New Roman" w:eastAsia="宋体"/>
                <w:color w:val="auto"/>
                <w:sz w:val="24"/>
              </w:rPr>
              <w:t>%）</w:t>
            </w:r>
            <w:r>
              <w:rPr>
                <w:rFonts w:hint="eastAsia" w:ascii="Times New Roman" w:hAnsi="Times New Roman" w:eastAsia="宋体"/>
                <w:color w:val="auto"/>
                <w:sz w:val="24"/>
                <w:lang w:eastAsia="zh-CN"/>
              </w:rPr>
              <w:t>，</w:t>
            </w:r>
            <w:r>
              <w:rPr>
                <w:rFonts w:hint="eastAsia" w:ascii="Times New Roman" w:hAnsi="Times New Roman" w:eastAsia="宋体"/>
                <w:color w:val="auto"/>
                <w:sz w:val="24"/>
                <w:lang w:val="en-US" w:eastAsia="zh-CN"/>
              </w:rPr>
              <w:t>在</w:t>
            </w:r>
            <w:r>
              <w:rPr>
                <w:rFonts w:hint="eastAsia" w:ascii="Times New Roman" w:hAnsi="Times New Roman" w:eastAsia="宋体"/>
                <w:color w:val="auto"/>
                <w:sz w:val="24"/>
              </w:rPr>
              <w:t>收集后的</w:t>
            </w:r>
            <w:r>
              <w:rPr>
                <w:rFonts w:hint="eastAsia"/>
                <w:color w:val="auto"/>
                <w:sz w:val="24"/>
                <w:lang w:val="en-US" w:eastAsia="zh-CN"/>
              </w:rPr>
              <w:t>焊接</w:t>
            </w:r>
            <w:r>
              <w:rPr>
                <w:rFonts w:hint="eastAsia" w:ascii="Times New Roman" w:hAnsi="Times New Roman" w:eastAsia="宋体"/>
                <w:color w:val="auto"/>
                <w:sz w:val="24"/>
                <w:lang w:val="en-US" w:eastAsia="zh-CN"/>
              </w:rPr>
              <w:t>废气</w:t>
            </w:r>
            <w:r>
              <w:rPr>
                <w:rFonts w:hint="eastAsia" w:ascii="Times New Roman" w:hAnsi="Times New Roman" w:eastAsia="宋体"/>
                <w:color w:val="auto"/>
                <w:sz w:val="24"/>
              </w:rPr>
              <w:t>经</w:t>
            </w:r>
            <w:r>
              <w:rPr>
                <w:rFonts w:hint="eastAsia" w:ascii="Times New Roman" w:hAnsi="Times New Roman" w:eastAsia="宋体"/>
                <w:color w:val="auto"/>
                <w:sz w:val="24"/>
                <w:lang w:val="en-US" w:eastAsia="zh-CN"/>
              </w:rPr>
              <w:t>布袋除尘器进行处理</w:t>
            </w:r>
            <w:r>
              <w:rPr>
                <w:rFonts w:hint="eastAsia" w:ascii="Times New Roman" w:hAnsi="Times New Roman" w:eastAsia="宋体"/>
                <w:color w:val="auto"/>
                <w:sz w:val="24"/>
              </w:rPr>
              <w:t>（处理效率</w:t>
            </w:r>
            <w:r>
              <w:rPr>
                <w:rFonts w:hint="eastAsia" w:ascii="Times New Roman" w:hAnsi="Times New Roman" w:eastAsia="宋体"/>
                <w:color w:val="000000"/>
                <w:sz w:val="24"/>
                <w:lang w:val="en-US" w:eastAsia="zh-CN"/>
              </w:rPr>
              <w:t>95</w:t>
            </w:r>
            <w:r>
              <w:rPr>
                <w:rFonts w:hint="eastAsia" w:ascii="Times New Roman" w:hAnsi="Times New Roman" w:eastAsia="宋体"/>
                <w:color w:val="000000"/>
                <w:sz w:val="24"/>
              </w:rPr>
              <w:t>%）处理后经</w:t>
            </w:r>
            <w:r>
              <w:rPr>
                <w:rFonts w:hint="eastAsia" w:ascii="Times New Roman" w:hAnsi="Times New Roman" w:eastAsia="宋体"/>
                <w:color w:val="000000"/>
                <w:sz w:val="24"/>
                <w:lang w:val="en-US" w:eastAsia="zh-CN"/>
              </w:rPr>
              <w:t>20</w:t>
            </w:r>
            <w:r>
              <w:rPr>
                <w:rFonts w:ascii="Times New Roman" w:hAnsi="Times New Roman" w:eastAsia="宋体"/>
                <w:color w:val="000000"/>
                <w:sz w:val="24"/>
              </w:rPr>
              <w:t>m</w:t>
            </w:r>
            <w:r>
              <w:rPr>
                <w:rFonts w:hint="eastAsia" w:ascii="Times New Roman" w:hAnsi="Times New Roman" w:eastAsia="宋体"/>
                <w:color w:val="000000"/>
                <w:sz w:val="24"/>
              </w:rPr>
              <w:t>高排气筒（D</w:t>
            </w:r>
            <w:r>
              <w:rPr>
                <w:rFonts w:ascii="Times New Roman" w:hAnsi="Times New Roman" w:eastAsia="宋体"/>
                <w:color w:val="000000"/>
                <w:sz w:val="24"/>
              </w:rPr>
              <w:t>A00</w:t>
            </w:r>
            <w:r>
              <w:rPr>
                <w:rFonts w:hint="eastAsia" w:ascii="Times New Roman" w:hAnsi="Times New Roman" w:eastAsia="宋体"/>
                <w:color w:val="000000"/>
                <w:sz w:val="24"/>
                <w:lang w:val="en-US" w:eastAsia="zh-CN"/>
              </w:rPr>
              <w:t>1</w:t>
            </w:r>
            <w:r>
              <w:rPr>
                <w:rFonts w:hint="eastAsia" w:ascii="Times New Roman" w:hAnsi="Times New Roman" w:eastAsia="宋体"/>
                <w:color w:val="000000"/>
                <w:sz w:val="24"/>
              </w:rPr>
              <w:t>）排放，年运行时间</w:t>
            </w:r>
            <w:r>
              <w:rPr>
                <w:rFonts w:hint="eastAsia" w:ascii="Times New Roman" w:hAnsi="Times New Roman" w:eastAsia="宋体"/>
                <w:color w:val="000000"/>
                <w:sz w:val="24"/>
                <w:lang w:val="en-US" w:eastAsia="zh-CN"/>
              </w:rPr>
              <w:t>72</w:t>
            </w:r>
            <w:r>
              <w:rPr>
                <w:rFonts w:hint="eastAsia" w:ascii="Times New Roman" w:hAnsi="Times New Roman" w:eastAsia="宋体"/>
                <w:color w:val="000000"/>
                <w:sz w:val="24"/>
              </w:rPr>
              <w:t>00h</w:t>
            </w:r>
            <w:r>
              <w:rPr>
                <w:rFonts w:hint="eastAsia" w:ascii="Times New Roman" w:hAnsi="Times New Roman" w:eastAsia="宋体"/>
                <w:color w:val="000000"/>
                <w:sz w:val="24"/>
                <w:lang w:eastAsia="zh-CN"/>
              </w:rPr>
              <w:t>。</w:t>
            </w:r>
          </w:p>
          <w:p w14:paraId="3AA1BBB1">
            <w:pPr>
              <w:spacing w:line="360" w:lineRule="auto"/>
              <w:ind w:firstLine="480" w:firstLineChars="200"/>
              <w:rPr>
                <w:rFonts w:ascii="Times New Roman" w:hAnsi="Times New Roman" w:eastAsia="宋体"/>
                <w:color w:val="000000"/>
                <w:sz w:val="24"/>
              </w:rPr>
            </w:pPr>
            <w:r>
              <w:rPr>
                <w:rFonts w:hint="eastAsia" w:ascii="Times New Roman" w:hAnsi="Times New Roman" w:eastAsia="宋体"/>
                <w:caps w:val="0"/>
                <w:color w:val="000000"/>
                <w:sz w:val="24"/>
                <w:highlight w:val="none"/>
                <w:lang w:val="en-US" w:eastAsia="zh-CN"/>
              </w:rPr>
              <w:t>在</w:t>
            </w:r>
            <w:r>
              <w:rPr>
                <w:rFonts w:hint="eastAsia" w:eastAsia="宋体"/>
                <w:color w:val="000000"/>
                <w:sz w:val="24"/>
                <w:lang w:val="en-US" w:eastAsia="zh-CN"/>
              </w:rPr>
              <w:t>焊接</w:t>
            </w:r>
            <w:r>
              <w:rPr>
                <w:rFonts w:hint="eastAsia"/>
                <w:color w:val="000000"/>
                <w:sz w:val="24"/>
              </w:rPr>
              <w:t>工位上方</w:t>
            </w:r>
            <w:r>
              <w:rPr>
                <w:rFonts w:hint="eastAsia" w:ascii="Times New Roman" w:hAnsi="Times New Roman" w:eastAsia="宋体"/>
                <w:caps w:val="0"/>
                <w:color w:val="000000"/>
                <w:sz w:val="24"/>
                <w:highlight w:val="none"/>
                <w:lang w:val="en-US" w:eastAsia="zh-CN"/>
              </w:rPr>
              <w:t>设置集气罩</w:t>
            </w:r>
            <w:r>
              <w:rPr>
                <w:rFonts w:hint="eastAsia" w:ascii="Times New Roman" w:hAnsi="Times New Roman" w:eastAsia="宋体"/>
                <w:caps w:val="0"/>
                <w:color w:val="000000"/>
                <w:sz w:val="24"/>
                <w:highlight w:val="none"/>
                <w:lang w:val="en-GB"/>
              </w:rPr>
              <w:t>，</w:t>
            </w:r>
            <w:r>
              <w:rPr>
                <w:rFonts w:hint="eastAsia" w:ascii="Times New Roman" w:hAnsi="Times New Roman" w:eastAsia="宋体"/>
                <w:caps w:val="0"/>
                <w:color w:val="000000"/>
                <w:sz w:val="24"/>
                <w:highlight w:val="none"/>
              </w:rPr>
              <w:t>尺寸为</w:t>
            </w:r>
            <w:r>
              <w:rPr>
                <w:rFonts w:hint="eastAsia" w:ascii="Times New Roman" w:hAnsi="Times New Roman" w:eastAsia="宋体"/>
                <w:caps w:val="0"/>
                <w:color w:val="000000"/>
                <w:sz w:val="24"/>
                <w:highlight w:val="none"/>
                <w:lang w:val="en-US" w:eastAsia="zh-CN"/>
              </w:rPr>
              <w:t>10</w:t>
            </w:r>
            <w:r>
              <w:rPr>
                <w:rFonts w:hint="default" w:ascii="Times New Roman" w:hAnsi="Times New Roman" w:eastAsia="宋体"/>
                <w:caps w:val="0"/>
                <w:color w:val="000000"/>
                <w:sz w:val="24"/>
                <w:highlight w:val="none"/>
              </w:rPr>
              <w:t>cm*</w:t>
            </w:r>
            <w:r>
              <w:rPr>
                <w:rFonts w:hint="eastAsia" w:ascii="Times New Roman" w:hAnsi="Times New Roman" w:eastAsia="宋体"/>
                <w:caps w:val="0"/>
                <w:color w:val="000000"/>
                <w:sz w:val="24"/>
                <w:highlight w:val="none"/>
                <w:lang w:val="en-US" w:eastAsia="zh-CN"/>
              </w:rPr>
              <w:t>8</w:t>
            </w:r>
            <w:r>
              <w:rPr>
                <w:rFonts w:hint="eastAsia" w:ascii="Times New Roman" w:hAnsi="Times New Roman" w:eastAsia="宋体"/>
                <w:caps w:val="0"/>
                <w:color w:val="000000"/>
                <w:sz w:val="24"/>
                <w:highlight w:val="none"/>
              </w:rPr>
              <w:t>cm</w:t>
            </w:r>
            <w:r>
              <w:rPr>
                <w:rFonts w:hint="eastAsia" w:ascii="Times New Roman" w:hAnsi="Times New Roman" w:eastAsia="宋体"/>
                <w:caps w:val="0"/>
                <w:color w:val="000000"/>
                <w:sz w:val="24"/>
                <w:highlight w:val="none"/>
                <w:lang w:eastAsia="zh-CN"/>
              </w:rPr>
              <w:t>，</w:t>
            </w:r>
            <w:r>
              <w:rPr>
                <w:rFonts w:hint="eastAsia" w:ascii="Times New Roman" w:hAnsi="Times New Roman" w:eastAsia="宋体"/>
                <w:caps w:val="0"/>
                <w:color w:val="000000"/>
                <w:sz w:val="24"/>
                <w:highlight w:val="none"/>
                <w:lang w:val="en-US" w:eastAsia="zh-CN"/>
              </w:rPr>
              <w:t>共设置56个集气罩</w:t>
            </w:r>
          </w:p>
          <w:p w14:paraId="0B8B8A6F">
            <w:pPr>
              <w:pStyle w:val="54"/>
              <w:spacing w:before="0" w:beforeAutospacing="0" w:after="0" w:afterAutospacing="0" w:line="360" w:lineRule="auto"/>
              <w:ind w:firstLine="480" w:firstLineChars="200"/>
              <w:rPr>
                <w:rFonts w:ascii="Times New Roman" w:hAnsi="Times New Roman" w:eastAsia="宋体"/>
                <w:color w:val="000000"/>
                <w:kern w:val="2"/>
              </w:rPr>
            </w:pPr>
            <w:r>
              <w:rPr>
                <w:rFonts w:ascii="Times New Roman" w:hAnsi="Times New Roman" w:eastAsia="宋体"/>
                <w:color w:val="000000"/>
                <w:kern w:val="2"/>
              </w:rPr>
              <w:t>根据《</w:t>
            </w:r>
            <w:r>
              <w:rPr>
                <w:rFonts w:hint="eastAsia" w:ascii="Times New Roman" w:hAnsi="Times New Roman" w:eastAsia="宋体"/>
                <w:color w:val="000000"/>
                <w:kern w:val="2"/>
              </w:rPr>
              <w:t>大气污染控制工程</w:t>
            </w:r>
            <w:r>
              <w:rPr>
                <w:rFonts w:ascii="Times New Roman" w:hAnsi="Times New Roman" w:eastAsia="宋体"/>
                <w:color w:val="000000"/>
                <w:kern w:val="2"/>
              </w:rPr>
              <w:t>》中集气罩收集风量计算公式</w:t>
            </w:r>
          </w:p>
          <w:p w14:paraId="566B3EF4">
            <w:pPr>
              <w:snapToGrid w:val="0"/>
              <w:spacing w:line="360" w:lineRule="auto"/>
              <w:ind w:firstLine="480" w:firstLineChars="200"/>
              <w:rPr>
                <w:rFonts w:ascii="Times New Roman" w:hAnsi="Times New Roman" w:eastAsia="宋体"/>
                <w:bCs/>
                <w:color w:val="000000"/>
                <w:kern w:val="0"/>
                <w:sz w:val="24"/>
                <w:lang w:bidi="en-US"/>
              </w:rPr>
            </w:pPr>
            <w:r>
              <w:rPr>
                <w:rFonts w:ascii="Times New Roman" w:hAnsi="Times New Roman" w:eastAsia="宋体"/>
                <w:bCs/>
                <w:color w:val="000000"/>
                <w:kern w:val="0"/>
                <w:sz w:val="24"/>
                <w:lang w:bidi="en-US"/>
              </w:rPr>
              <w:t>Q=KPHV</w:t>
            </w:r>
          </w:p>
          <w:p w14:paraId="36EC7673">
            <w:pPr>
              <w:snapToGrid w:val="0"/>
              <w:spacing w:line="360" w:lineRule="auto"/>
              <w:ind w:firstLine="480" w:firstLineChars="200"/>
              <w:rPr>
                <w:rFonts w:ascii="Times New Roman" w:hAnsi="Times New Roman" w:eastAsia="宋体"/>
                <w:bCs/>
                <w:color w:val="000000"/>
                <w:kern w:val="0"/>
                <w:sz w:val="24"/>
                <w:lang w:bidi="en-US"/>
              </w:rPr>
            </w:pPr>
            <w:r>
              <w:rPr>
                <w:rFonts w:ascii="Times New Roman" w:hAnsi="Times New Roman" w:eastAsia="宋体"/>
                <w:bCs/>
                <w:color w:val="000000"/>
                <w:kern w:val="0"/>
                <w:sz w:val="24"/>
                <w:lang w:bidi="en-US"/>
              </w:rPr>
              <w:t>Q——风量，m</w:t>
            </w:r>
            <w:r>
              <w:rPr>
                <w:rFonts w:ascii="Times New Roman" w:hAnsi="Times New Roman" w:eastAsia="宋体"/>
                <w:bCs/>
                <w:color w:val="000000"/>
                <w:kern w:val="0"/>
                <w:sz w:val="24"/>
                <w:vertAlign w:val="superscript"/>
                <w:lang w:bidi="en-US"/>
              </w:rPr>
              <w:t>3</w:t>
            </w:r>
            <w:r>
              <w:rPr>
                <w:rFonts w:ascii="Times New Roman" w:hAnsi="Times New Roman" w:eastAsia="宋体"/>
                <w:bCs/>
                <w:color w:val="000000"/>
                <w:kern w:val="0"/>
                <w:sz w:val="24"/>
                <w:lang w:bidi="en-US"/>
              </w:rPr>
              <w:t>/s；</w:t>
            </w:r>
          </w:p>
          <w:p w14:paraId="2D311455">
            <w:pPr>
              <w:snapToGrid w:val="0"/>
              <w:spacing w:line="360" w:lineRule="auto"/>
              <w:ind w:firstLine="480" w:firstLineChars="200"/>
              <w:rPr>
                <w:rFonts w:ascii="Times New Roman" w:hAnsi="Times New Roman" w:eastAsia="宋体"/>
                <w:bCs/>
                <w:color w:val="000000"/>
                <w:kern w:val="0"/>
                <w:sz w:val="24"/>
                <w:lang w:bidi="en-US"/>
              </w:rPr>
            </w:pPr>
            <w:r>
              <w:rPr>
                <w:rFonts w:ascii="Times New Roman" w:hAnsi="Times New Roman" w:eastAsia="宋体"/>
                <w:bCs/>
                <w:color w:val="000000"/>
                <w:kern w:val="0"/>
                <w:sz w:val="24"/>
                <w:lang w:bidi="en-US"/>
              </w:rPr>
              <w:t>K——考虑沿高度速度分布不均匀的安全系数，通常取</w:t>
            </w:r>
            <w:r>
              <w:rPr>
                <w:rFonts w:hint="eastAsia" w:ascii="Times New Roman" w:hAnsi="Times New Roman" w:eastAsia="宋体"/>
                <w:bCs/>
                <w:color w:val="000000"/>
                <w:kern w:val="0"/>
                <w:sz w:val="24"/>
                <w:lang w:bidi="en-US"/>
              </w:rPr>
              <w:t>1.</w:t>
            </w:r>
            <w:r>
              <w:rPr>
                <w:rFonts w:hint="eastAsia" w:ascii="Times New Roman" w:hAnsi="Times New Roman" w:eastAsia="宋体"/>
                <w:bCs/>
                <w:color w:val="000000"/>
                <w:kern w:val="0"/>
                <w:sz w:val="24"/>
                <w:lang w:val="en-US" w:eastAsia="zh-CN" w:bidi="en-US"/>
              </w:rPr>
              <w:t>3</w:t>
            </w:r>
            <w:r>
              <w:rPr>
                <w:rFonts w:ascii="Times New Roman" w:hAnsi="Times New Roman" w:eastAsia="宋体"/>
                <w:bCs/>
                <w:color w:val="000000"/>
                <w:kern w:val="0"/>
                <w:sz w:val="24"/>
                <w:lang w:bidi="en-US"/>
              </w:rPr>
              <w:t>；</w:t>
            </w:r>
          </w:p>
          <w:p w14:paraId="56CF19D1">
            <w:pPr>
              <w:snapToGrid w:val="0"/>
              <w:spacing w:line="360" w:lineRule="auto"/>
              <w:ind w:firstLine="480" w:firstLineChars="200"/>
              <w:rPr>
                <w:rFonts w:ascii="Times New Roman" w:hAnsi="Times New Roman" w:eastAsia="宋体"/>
                <w:bCs/>
                <w:color w:val="000000"/>
                <w:kern w:val="0"/>
                <w:sz w:val="24"/>
                <w:lang w:bidi="en-US"/>
              </w:rPr>
            </w:pPr>
            <w:r>
              <w:rPr>
                <w:rFonts w:ascii="Times New Roman" w:hAnsi="Times New Roman" w:eastAsia="宋体"/>
                <w:bCs/>
                <w:color w:val="000000"/>
                <w:kern w:val="0"/>
                <w:sz w:val="24"/>
                <w:lang w:bidi="en-US"/>
              </w:rPr>
              <w:t>P——集气罩敞开面周长，m；</w:t>
            </w:r>
            <w:r>
              <w:rPr>
                <w:rFonts w:hint="eastAsia" w:ascii="Times New Roman" w:hAnsi="Times New Roman" w:eastAsia="宋体"/>
                <w:bCs/>
                <w:color w:val="000000"/>
                <w:kern w:val="0"/>
                <w:sz w:val="24"/>
                <w:lang w:bidi="en-US"/>
              </w:rPr>
              <w:t>集气罩尺寸为</w:t>
            </w:r>
            <w:r>
              <w:rPr>
                <w:rFonts w:hint="eastAsia" w:ascii="Times New Roman" w:hAnsi="Times New Roman" w:eastAsia="宋体"/>
                <w:bCs/>
                <w:color w:val="000000"/>
                <w:kern w:val="0"/>
                <w:sz w:val="24"/>
                <w:lang w:val="en-US" w:eastAsia="zh-CN" w:bidi="en-US"/>
              </w:rPr>
              <w:t>10</w:t>
            </w:r>
            <w:r>
              <w:rPr>
                <w:rFonts w:hint="eastAsia" w:ascii="Times New Roman" w:hAnsi="Times New Roman" w:eastAsia="宋体"/>
                <w:bCs/>
                <w:color w:val="000000"/>
                <w:kern w:val="0"/>
                <w:sz w:val="24"/>
                <w:lang w:bidi="en-US"/>
              </w:rPr>
              <w:t>cm*</w:t>
            </w:r>
            <w:r>
              <w:rPr>
                <w:rFonts w:hint="eastAsia" w:ascii="Times New Roman" w:hAnsi="Times New Roman" w:eastAsia="宋体"/>
                <w:bCs/>
                <w:color w:val="000000"/>
                <w:kern w:val="0"/>
                <w:sz w:val="24"/>
                <w:lang w:val="en-US" w:eastAsia="zh-CN" w:bidi="en-US"/>
              </w:rPr>
              <w:t>8</w:t>
            </w:r>
            <w:r>
              <w:rPr>
                <w:rFonts w:hint="eastAsia" w:ascii="Times New Roman" w:hAnsi="Times New Roman" w:eastAsia="宋体"/>
                <w:bCs/>
                <w:color w:val="000000"/>
                <w:kern w:val="0"/>
                <w:sz w:val="24"/>
                <w:lang w:bidi="en-US"/>
              </w:rPr>
              <w:t>cm</w:t>
            </w:r>
          </w:p>
          <w:p w14:paraId="4611B6B6">
            <w:pPr>
              <w:snapToGrid w:val="0"/>
              <w:spacing w:line="360" w:lineRule="auto"/>
              <w:ind w:firstLine="480" w:firstLineChars="200"/>
              <w:rPr>
                <w:rFonts w:ascii="Times New Roman" w:hAnsi="Times New Roman" w:eastAsia="宋体"/>
                <w:bCs/>
                <w:color w:val="000000"/>
                <w:kern w:val="0"/>
                <w:sz w:val="24"/>
                <w:lang w:bidi="en-US"/>
              </w:rPr>
            </w:pPr>
            <w:r>
              <w:rPr>
                <w:rFonts w:ascii="Times New Roman" w:hAnsi="Times New Roman" w:eastAsia="宋体"/>
                <w:bCs/>
                <w:color w:val="000000"/>
                <w:kern w:val="0"/>
                <w:sz w:val="24"/>
                <w:lang w:bidi="en-US"/>
              </w:rPr>
              <w:t>H——集气罩开口面至污染源距离，m，H取值0.</w:t>
            </w:r>
            <w:r>
              <w:rPr>
                <w:rFonts w:hint="eastAsia" w:ascii="Times New Roman" w:hAnsi="Times New Roman" w:eastAsia="宋体"/>
                <w:bCs/>
                <w:color w:val="000000"/>
                <w:kern w:val="0"/>
                <w:sz w:val="24"/>
                <w:lang w:val="en-US" w:eastAsia="zh-CN" w:bidi="en-US"/>
              </w:rPr>
              <w:t>3</w:t>
            </w:r>
            <w:r>
              <w:rPr>
                <w:rFonts w:ascii="Times New Roman" w:hAnsi="Times New Roman" w:eastAsia="宋体"/>
                <w:bCs/>
                <w:color w:val="000000"/>
                <w:kern w:val="0"/>
                <w:sz w:val="24"/>
                <w:lang w:bidi="en-US"/>
              </w:rPr>
              <w:t>m；</w:t>
            </w:r>
          </w:p>
          <w:p w14:paraId="385ACA66">
            <w:pPr>
              <w:spacing w:line="360" w:lineRule="auto"/>
              <w:ind w:firstLine="480" w:firstLineChars="200"/>
              <w:jc w:val="left"/>
              <w:rPr>
                <w:rFonts w:ascii="Times New Roman" w:hAnsi="Times New Roman" w:eastAsia="宋体"/>
                <w:bCs/>
                <w:color w:val="000000"/>
                <w:kern w:val="0"/>
                <w:sz w:val="24"/>
                <w:lang w:bidi="en-US"/>
              </w:rPr>
            </w:pPr>
            <w:r>
              <w:rPr>
                <w:rFonts w:ascii="Times New Roman" w:hAnsi="Times New Roman" w:eastAsia="宋体"/>
                <w:bCs/>
                <w:color w:val="000000"/>
                <w:kern w:val="0"/>
                <w:sz w:val="24"/>
                <w:lang w:bidi="en-US"/>
              </w:rPr>
              <w:t>V——集气罩开口面最远处风速，m/s，V取</w:t>
            </w:r>
            <w:r>
              <w:rPr>
                <w:rFonts w:hint="eastAsia" w:ascii="Times New Roman" w:hAnsi="Times New Roman" w:eastAsia="宋体"/>
                <w:bCs/>
                <w:color w:val="000000"/>
                <w:kern w:val="0"/>
                <w:sz w:val="24"/>
                <w:lang w:bidi="en-US"/>
              </w:rPr>
              <w:t>0.5m</w:t>
            </w:r>
            <w:r>
              <w:rPr>
                <w:rFonts w:ascii="Times New Roman" w:hAnsi="Times New Roman" w:eastAsia="宋体"/>
                <w:bCs/>
                <w:color w:val="000000"/>
                <w:kern w:val="0"/>
                <w:sz w:val="24"/>
                <w:lang w:bidi="en-US"/>
              </w:rPr>
              <w:t>/s；</w:t>
            </w:r>
          </w:p>
          <w:p w14:paraId="4E1EDEBE">
            <w:pPr>
              <w:spacing w:line="360" w:lineRule="auto"/>
              <w:ind w:firstLine="480" w:firstLineChars="200"/>
              <w:rPr>
                <w:rFonts w:hint="eastAsia" w:ascii="Times New Roman" w:hAnsi="Times New Roman" w:eastAsia="宋体"/>
                <w:color w:val="000000"/>
                <w:sz w:val="24"/>
              </w:rPr>
            </w:pPr>
            <w:r>
              <w:rPr>
                <w:rFonts w:ascii="Times New Roman" w:hAnsi="Times New Roman" w:eastAsia="宋体"/>
                <w:bCs/>
                <w:color w:val="000000"/>
                <w:kern w:val="0"/>
                <w:sz w:val="24"/>
                <w:lang w:bidi="en-US"/>
              </w:rPr>
              <w:t>经计算，Q=</w:t>
            </w:r>
            <w:r>
              <w:rPr>
                <w:rFonts w:hint="eastAsia" w:ascii="Times New Roman" w:hAnsi="Times New Roman" w:eastAsia="宋体"/>
                <w:bCs/>
                <w:color w:val="000000"/>
                <w:kern w:val="0"/>
                <w:sz w:val="24"/>
                <w:lang w:val="en-US" w:eastAsia="zh-CN" w:bidi="en-US"/>
              </w:rPr>
              <w:t>0.07</w:t>
            </w:r>
            <w:r>
              <w:rPr>
                <w:rFonts w:ascii="Times New Roman" w:hAnsi="Times New Roman" w:eastAsia="宋体"/>
                <w:bCs/>
                <w:color w:val="000000"/>
                <w:kern w:val="0"/>
                <w:sz w:val="24"/>
                <w:lang w:bidi="en-US"/>
              </w:rPr>
              <w:t>m</w:t>
            </w:r>
            <w:r>
              <w:rPr>
                <w:rFonts w:ascii="Times New Roman" w:hAnsi="Times New Roman" w:eastAsia="宋体"/>
                <w:bCs/>
                <w:color w:val="000000"/>
                <w:kern w:val="0"/>
                <w:sz w:val="24"/>
                <w:vertAlign w:val="superscript"/>
                <w:lang w:bidi="en-US"/>
              </w:rPr>
              <w:t>3</w:t>
            </w:r>
            <w:r>
              <w:rPr>
                <w:rFonts w:ascii="Times New Roman" w:hAnsi="Times New Roman" w:eastAsia="宋体"/>
                <w:bCs/>
                <w:color w:val="000000"/>
                <w:kern w:val="0"/>
                <w:sz w:val="24"/>
                <w:lang w:bidi="en-US"/>
              </w:rPr>
              <w:t>/s，即</w:t>
            </w:r>
            <w:r>
              <w:rPr>
                <w:rFonts w:hint="eastAsia" w:ascii="Times New Roman" w:hAnsi="Times New Roman" w:eastAsia="宋体"/>
                <w:bCs/>
                <w:color w:val="000000"/>
                <w:kern w:val="0"/>
                <w:sz w:val="24"/>
                <w:lang w:val="en-US" w:eastAsia="zh-CN" w:bidi="en-US"/>
              </w:rPr>
              <w:t>252</w:t>
            </w:r>
            <w:r>
              <w:rPr>
                <w:rFonts w:ascii="Times New Roman" w:hAnsi="Times New Roman" w:eastAsia="宋体"/>
                <w:bCs/>
                <w:color w:val="000000"/>
                <w:kern w:val="0"/>
                <w:sz w:val="24"/>
                <w:lang w:bidi="en-US"/>
              </w:rPr>
              <w:t>m</w:t>
            </w:r>
            <w:r>
              <w:rPr>
                <w:rFonts w:ascii="Times New Roman" w:hAnsi="Times New Roman" w:eastAsia="宋体"/>
                <w:bCs/>
                <w:color w:val="000000"/>
                <w:kern w:val="0"/>
                <w:sz w:val="24"/>
                <w:vertAlign w:val="superscript"/>
                <w:lang w:bidi="en-US"/>
              </w:rPr>
              <w:t>3</w:t>
            </w:r>
            <w:r>
              <w:rPr>
                <w:rFonts w:ascii="Times New Roman" w:hAnsi="Times New Roman" w:eastAsia="宋体"/>
                <w:bCs/>
                <w:color w:val="000000"/>
                <w:kern w:val="0"/>
                <w:sz w:val="24"/>
                <w:lang w:bidi="en-US"/>
              </w:rPr>
              <w:t>/h；</w:t>
            </w:r>
            <w:r>
              <w:rPr>
                <w:rFonts w:hint="eastAsia" w:ascii="Times New Roman" w:hAnsi="Times New Roman" w:eastAsia="宋体"/>
                <w:caps w:val="0"/>
                <w:color w:val="000000"/>
                <w:sz w:val="24"/>
                <w:highlight w:val="none"/>
                <w:lang w:val="en-US" w:eastAsia="zh-CN"/>
              </w:rPr>
              <w:t>共设置56个集气罩，总风量为</w:t>
            </w:r>
            <w:r>
              <w:rPr>
                <w:rFonts w:hint="eastAsia" w:ascii="Times New Roman" w:hAnsi="Times New Roman" w:eastAsia="宋体"/>
                <w:bCs/>
                <w:color w:val="000000"/>
                <w:kern w:val="0"/>
                <w:sz w:val="24"/>
                <w:lang w:val="en-US" w:eastAsia="zh-CN" w:bidi="en-US"/>
              </w:rPr>
              <w:t>14112</w:t>
            </w:r>
            <w:r>
              <w:rPr>
                <w:rFonts w:ascii="Times New Roman" w:hAnsi="Times New Roman" w:eastAsia="宋体"/>
                <w:bCs/>
                <w:color w:val="000000"/>
                <w:kern w:val="0"/>
                <w:sz w:val="24"/>
                <w:lang w:bidi="en-US"/>
              </w:rPr>
              <w:t>m</w:t>
            </w:r>
            <w:r>
              <w:rPr>
                <w:rFonts w:ascii="Times New Roman" w:hAnsi="Times New Roman" w:eastAsia="宋体"/>
                <w:bCs/>
                <w:color w:val="000000"/>
                <w:kern w:val="0"/>
                <w:sz w:val="24"/>
                <w:vertAlign w:val="superscript"/>
                <w:lang w:bidi="en-US"/>
              </w:rPr>
              <w:t>3</w:t>
            </w:r>
            <w:r>
              <w:rPr>
                <w:rFonts w:ascii="Times New Roman" w:hAnsi="Times New Roman" w:eastAsia="宋体"/>
                <w:bCs/>
                <w:color w:val="000000"/>
                <w:kern w:val="0"/>
                <w:sz w:val="24"/>
                <w:lang w:bidi="en-US"/>
              </w:rPr>
              <w:t>/h</w:t>
            </w:r>
            <w:r>
              <w:rPr>
                <w:rFonts w:hint="eastAsia" w:ascii="Times New Roman" w:hAnsi="Times New Roman" w:eastAsia="宋体"/>
                <w:bCs/>
                <w:color w:val="000000"/>
                <w:kern w:val="0"/>
                <w:sz w:val="24"/>
                <w:lang w:val="en-US" w:eastAsia="zh-CN" w:bidi="en-US"/>
              </w:rPr>
              <w:t>。</w:t>
            </w:r>
            <w:r>
              <w:rPr>
                <w:rFonts w:ascii="Times New Roman" w:hAnsi="Times New Roman" w:eastAsia="宋体"/>
                <w:bCs/>
                <w:color w:val="000000"/>
                <w:kern w:val="0"/>
                <w:sz w:val="24"/>
                <w:lang w:bidi="en-US"/>
              </w:rPr>
              <w:t>考虑管道的阻力等因素，最终风量确定为</w:t>
            </w:r>
            <w:r>
              <w:rPr>
                <w:rFonts w:hint="eastAsia" w:ascii="Times New Roman" w:hAnsi="Times New Roman" w:eastAsia="宋体"/>
                <w:bCs/>
                <w:color w:val="000000"/>
                <w:kern w:val="0"/>
                <w:sz w:val="24"/>
                <w:lang w:val="en-US" w:eastAsia="zh-CN" w:bidi="en-US"/>
              </w:rPr>
              <w:t>15</w:t>
            </w:r>
            <w:r>
              <w:rPr>
                <w:rFonts w:ascii="Times New Roman" w:hAnsi="Times New Roman" w:eastAsia="宋体"/>
                <w:bCs/>
                <w:color w:val="000000"/>
                <w:kern w:val="0"/>
                <w:sz w:val="24"/>
                <w:lang w:bidi="en-US"/>
              </w:rPr>
              <w:t>000m</w:t>
            </w:r>
            <w:r>
              <w:rPr>
                <w:rFonts w:ascii="Times New Roman" w:hAnsi="Times New Roman" w:eastAsia="宋体"/>
                <w:bCs/>
                <w:color w:val="000000"/>
                <w:kern w:val="0"/>
                <w:sz w:val="24"/>
                <w:vertAlign w:val="superscript"/>
                <w:lang w:bidi="en-US"/>
              </w:rPr>
              <w:t>3</w:t>
            </w:r>
            <w:r>
              <w:rPr>
                <w:rFonts w:ascii="Times New Roman" w:hAnsi="Times New Roman" w:eastAsia="宋体"/>
                <w:bCs/>
                <w:color w:val="000000"/>
                <w:kern w:val="0"/>
                <w:sz w:val="24"/>
                <w:lang w:bidi="en-US"/>
              </w:rPr>
              <w:t>/h。</w:t>
            </w:r>
          </w:p>
          <w:p w14:paraId="29E3EFDC">
            <w:pPr>
              <w:spacing w:line="360" w:lineRule="auto"/>
              <w:ind w:firstLine="480" w:firstLineChars="200"/>
              <w:rPr>
                <w:rFonts w:hint="default" w:ascii="Times New Roman" w:hAnsi="Times New Roman" w:eastAsia="宋体"/>
                <w:bCs/>
                <w:color w:val="FF0000"/>
                <w:kern w:val="0"/>
                <w:sz w:val="24"/>
                <w:lang w:val="en-US" w:eastAsia="zh-CN" w:bidi="en-US"/>
              </w:rPr>
            </w:pPr>
            <w:r>
              <w:rPr>
                <w:rFonts w:hint="eastAsia" w:ascii="Times New Roman" w:hAnsi="Times New Roman" w:eastAsia="宋体"/>
                <w:bCs/>
                <w:color w:val="auto"/>
                <w:kern w:val="0"/>
                <w:sz w:val="24"/>
                <w:lang w:val="en-US" w:eastAsia="zh-CN" w:bidi="en-US"/>
              </w:rPr>
              <w:t>项目焊接过程</w:t>
            </w:r>
            <w:r>
              <w:rPr>
                <w:rFonts w:hint="eastAsia" w:ascii="Times New Roman" w:hAnsi="Times New Roman" w:eastAsia="宋体"/>
                <w:color w:val="000000"/>
                <w:sz w:val="24"/>
                <w:lang w:val="en-US" w:eastAsia="zh-CN"/>
              </w:rPr>
              <w:t>产生的颗粒物为0.572t/a，</w:t>
            </w:r>
            <w:r>
              <w:rPr>
                <w:rFonts w:hint="eastAsia" w:ascii="Times New Roman" w:hAnsi="Times New Roman" w:eastAsia="宋体"/>
                <w:bCs/>
                <w:color w:val="auto"/>
                <w:kern w:val="0"/>
                <w:sz w:val="24"/>
                <w:lang w:val="en-US" w:eastAsia="zh-CN" w:bidi="en-US"/>
              </w:rPr>
              <w:t>经收集后，有组织产生量为0.515t/a，产生速率为0.072kg/h，产生浓度为4.8mg/m</w:t>
            </w:r>
            <w:r>
              <w:rPr>
                <w:rFonts w:hint="eastAsia" w:ascii="Times New Roman" w:hAnsi="Times New Roman" w:eastAsia="宋体"/>
                <w:bCs/>
                <w:color w:val="auto"/>
                <w:kern w:val="0"/>
                <w:sz w:val="24"/>
                <w:vertAlign w:val="superscript"/>
                <w:lang w:val="en-US" w:eastAsia="zh-CN" w:bidi="en-US"/>
              </w:rPr>
              <w:t>3</w:t>
            </w:r>
            <w:r>
              <w:rPr>
                <w:rFonts w:hint="eastAsia" w:ascii="Times New Roman" w:hAnsi="Times New Roman" w:eastAsia="宋体"/>
                <w:bCs/>
                <w:color w:val="auto"/>
                <w:kern w:val="0"/>
                <w:sz w:val="24"/>
                <w:lang w:val="en-US" w:eastAsia="zh-CN" w:bidi="en-US"/>
              </w:rPr>
              <w:t>，经布袋除尘器处理后，排放量为0.026t/a，有组织排放速率为0.0036kg/h，排放浓度为0.24mg/m</w:t>
            </w:r>
            <w:r>
              <w:rPr>
                <w:rFonts w:hint="eastAsia" w:ascii="Times New Roman" w:hAnsi="Times New Roman" w:eastAsia="宋体"/>
                <w:bCs/>
                <w:color w:val="auto"/>
                <w:kern w:val="0"/>
                <w:sz w:val="24"/>
                <w:vertAlign w:val="superscript"/>
                <w:lang w:val="en-US" w:eastAsia="zh-CN" w:bidi="en-US"/>
              </w:rPr>
              <w:t>3</w:t>
            </w:r>
            <w:r>
              <w:rPr>
                <w:rFonts w:hint="eastAsia" w:ascii="Times New Roman" w:hAnsi="Times New Roman" w:eastAsia="宋体"/>
                <w:bCs/>
                <w:color w:val="auto"/>
                <w:kern w:val="0"/>
                <w:sz w:val="24"/>
                <w:lang w:val="en-US" w:eastAsia="zh-CN" w:bidi="en-US"/>
              </w:rPr>
              <w:t>，未收集部分无组织排放，排放量为0.057t/a，排放速率为0.008kg/h。</w:t>
            </w:r>
          </w:p>
          <w:p w14:paraId="14035724">
            <w:pPr>
              <w:keepNext w:val="0"/>
              <w:keepLines w:val="0"/>
              <w:pageBreakBefore w:val="0"/>
              <w:widowControl/>
              <w:kinsoku/>
              <w:wordWrap/>
              <w:overflowPunct/>
              <w:topLinePunct w:val="0"/>
              <w:autoSpaceDE/>
              <w:autoSpaceDN/>
              <w:bidi w:val="0"/>
              <w:snapToGrid/>
              <w:spacing w:beforeAutospacing="0" w:line="360" w:lineRule="auto"/>
              <w:jc w:val="center"/>
              <w:textAlignment w:val="auto"/>
              <w:rPr>
                <w:b/>
                <w:sz w:val="24"/>
              </w:rPr>
            </w:pPr>
          </w:p>
          <w:p w14:paraId="63303147">
            <w:pPr>
              <w:keepNext w:val="0"/>
              <w:keepLines w:val="0"/>
              <w:pageBreakBefore w:val="0"/>
              <w:widowControl/>
              <w:kinsoku/>
              <w:wordWrap/>
              <w:overflowPunct/>
              <w:topLinePunct w:val="0"/>
              <w:autoSpaceDE/>
              <w:autoSpaceDN/>
              <w:bidi w:val="0"/>
              <w:snapToGrid/>
              <w:spacing w:beforeAutospacing="0" w:line="360" w:lineRule="auto"/>
              <w:jc w:val="center"/>
              <w:textAlignment w:val="auto"/>
              <w:rPr>
                <w:b/>
                <w:sz w:val="24"/>
              </w:rPr>
            </w:pPr>
          </w:p>
          <w:p w14:paraId="701446E6">
            <w:pPr>
              <w:keepNext w:val="0"/>
              <w:keepLines w:val="0"/>
              <w:pageBreakBefore w:val="0"/>
              <w:widowControl/>
              <w:kinsoku/>
              <w:wordWrap/>
              <w:overflowPunct/>
              <w:topLinePunct w:val="0"/>
              <w:autoSpaceDE/>
              <w:autoSpaceDN/>
              <w:bidi w:val="0"/>
              <w:snapToGrid/>
              <w:spacing w:beforeAutospacing="0" w:line="360" w:lineRule="auto"/>
              <w:jc w:val="center"/>
              <w:textAlignment w:val="auto"/>
              <w:rPr>
                <w:b/>
                <w:sz w:val="24"/>
              </w:rPr>
            </w:pPr>
          </w:p>
          <w:p w14:paraId="67C7BAE7">
            <w:pPr>
              <w:keepNext w:val="0"/>
              <w:keepLines w:val="0"/>
              <w:pageBreakBefore w:val="0"/>
              <w:widowControl/>
              <w:kinsoku/>
              <w:wordWrap/>
              <w:overflowPunct/>
              <w:topLinePunct w:val="0"/>
              <w:autoSpaceDE/>
              <w:autoSpaceDN/>
              <w:bidi w:val="0"/>
              <w:snapToGrid/>
              <w:spacing w:beforeAutospacing="0" w:line="360" w:lineRule="auto"/>
              <w:jc w:val="center"/>
              <w:textAlignment w:val="auto"/>
              <w:rPr>
                <w:b/>
                <w:sz w:val="24"/>
              </w:rPr>
            </w:pPr>
          </w:p>
          <w:p w14:paraId="46DA1765">
            <w:pPr>
              <w:keepNext w:val="0"/>
              <w:keepLines w:val="0"/>
              <w:pageBreakBefore w:val="0"/>
              <w:widowControl/>
              <w:kinsoku/>
              <w:wordWrap/>
              <w:overflowPunct/>
              <w:topLinePunct w:val="0"/>
              <w:autoSpaceDE/>
              <w:autoSpaceDN/>
              <w:bidi w:val="0"/>
              <w:snapToGrid/>
              <w:spacing w:beforeAutospacing="0" w:line="360" w:lineRule="auto"/>
              <w:jc w:val="center"/>
              <w:textAlignment w:val="auto"/>
              <w:rPr>
                <w:b/>
                <w:sz w:val="24"/>
              </w:rPr>
            </w:pPr>
          </w:p>
          <w:p w14:paraId="47C602C9">
            <w:pPr>
              <w:adjustRightInd w:val="0"/>
              <w:snapToGrid w:val="0"/>
              <w:spacing w:line="360" w:lineRule="auto"/>
              <w:rPr>
                <w:rFonts w:cs="宋体"/>
                <w:sz w:val="24"/>
                <w:lang w:val="en-GB"/>
              </w:rPr>
            </w:pPr>
          </w:p>
        </w:tc>
      </w:tr>
    </w:tbl>
    <w:p w14:paraId="7A39E3E3">
      <w:pPr>
        <w:rPr>
          <w:rFonts w:cs="宋体"/>
          <w:sz w:val="24"/>
        </w:rPr>
        <w:sectPr>
          <w:pgSz w:w="11907" w:h="16840"/>
          <w:pgMar w:top="2127"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5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72"/>
      </w:tblGrid>
      <w:tr w14:paraId="53F28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17" w:hRule="atLeast"/>
        </w:trPr>
        <w:tc>
          <w:tcPr>
            <w:tcW w:w="456" w:type="dxa"/>
            <w:tcBorders>
              <w:top w:val="single" w:color="auto" w:sz="12" w:space="0"/>
              <w:bottom w:val="single" w:color="auto" w:sz="12" w:space="0"/>
            </w:tcBorders>
            <w:shd w:val="clear" w:color="auto" w:fill="auto"/>
            <w:vAlign w:val="center"/>
          </w:tcPr>
          <w:p w14:paraId="03702550">
            <w:pPr>
              <w:autoSpaceDE w:val="0"/>
              <w:autoSpaceDN w:val="0"/>
              <w:adjustRightInd w:val="0"/>
              <w:snapToGrid w:val="0"/>
              <w:jc w:val="center"/>
              <w:rPr>
                <w:rFonts w:cs="宋体"/>
                <w:kern w:val="0"/>
                <w:sz w:val="24"/>
              </w:rPr>
            </w:pPr>
            <w:r>
              <w:rPr>
                <w:rFonts w:hint="eastAsia" w:cs="宋体"/>
                <w:kern w:val="0"/>
                <w:sz w:val="24"/>
              </w:rPr>
              <w:t>运营</w:t>
            </w:r>
          </w:p>
          <w:p w14:paraId="00541435">
            <w:pPr>
              <w:autoSpaceDE w:val="0"/>
              <w:autoSpaceDN w:val="0"/>
              <w:adjustRightInd w:val="0"/>
              <w:snapToGrid w:val="0"/>
              <w:jc w:val="center"/>
              <w:rPr>
                <w:rFonts w:cs="宋体"/>
                <w:kern w:val="0"/>
                <w:sz w:val="24"/>
              </w:rPr>
            </w:pPr>
            <w:r>
              <w:rPr>
                <w:rFonts w:hint="eastAsia" w:cs="宋体"/>
                <w:kern w:val="0"/>
                <w:sz w:val="24"/>
              </w:rPr>
              <w:t>期环</w:t>
            </w:r>
          </w:p>
          <w:p w14:paraId="3497D3D3">
            <w:pPr>
              <w:autoSpaceDE w:val="0"/>
              <w:autoSpaceDN w:val="0"/>
              <w:adjustRightInd w:val="0"/>
              <w:snapToGrid w:val="0"/>
              <w:jc w:val="center"/>
              <w:rPr>
                <w:rFonts w:cs="宋体"/>
                <w:kern w:val="0"/>
                <w:sz w:val="24"/>
              </w:rPr>
            </w:pPr>
            <w:r>
              <w:rPr>
                <w:rFonts w:hint="eastAsia" w:cs="宋体"/>
                <w:kern w:val="0"/>
                <w:sz w:val="24"/>
              </w:rPr>
              <w:t>境影</w:t>
            </w:r>
          </w:p>
          <w:p w14:paraId="3FA623B0">
            <w:pPr>
              <w:autoSpaceDE w:val="0"/>
              <w:autoSpaceDN w:val="0"/>
              <w:adjustRightInd w:val="0"/>
              <w:snapToGrid w:val="0"/>
              <w:jc w:val="center"/>
              <w:rPr>
                <w:rFonts w:cs="宋体"/>
                <w:kern w:val="0"/>
                <w:sz w:val="24"/>
              </w:rPr>
            </w:pPr>
            <w:r>
              <w:rPr>
                <w:rFonts w:hint="eastAsia" w:cs="宋体"/>
                <w:kern w:val="0"/>
                <w:sz w:val="24"/>
              </w:rPr>
              <w:t>响和</w:t>
            </w:r>
          </w:p>
          <w:p w14:paraId="63B3FD96">
            <w:pPr>
              <w:autoSpaceDE w:val="0"/>
              <w:autoSpaceDN w:val="0"/>
              <w:adjustRightInd w:val="0"/>
              <w:snapToGrid w:val="0"/>
              <w:jc w:val="center"/>
              <w:rPr>
                <w:rFonts w:cs="宋体"/>
                <w:kern w:val="0"/>
                <w:sz w:val="24"/>
              </w:rPr>
            </w:pPr>
            <w:r>
              <w:rPr>
                <w:rFonts w:hint="eastAsia" w:cs="宋体"/>
                <w:kern w:val="0"/>
                <w:sz w:val="24"/>
              </w:rPr>
              <w:t>保护</w:t>
            </w:r>
          </w:p>
          <w:p w14:paraId="0B145DDB">
            <w:pPr>
              <w:tabs>
                <w:tab w:val="left" w:pos="1077"/>
              </w:tabs>
              <w:jc w:val="center"/>
              <w:rPr>
                <w:rFonts w:cs="宋体"/>
                <w:sz w:val="24"/>
              </w:rPr>
            </w:pPr>
            <w:r>
              <w:rPr>
                <w:rFonts w:hint="eastAsia" w:cs="宋体"/>
                <w:kern w:val="0"/>
                <w:sz w:val="24"/>
              </w:rPr>
              <w:t>措施</w:t>
            </w:r>
          </w:p>
        </w:tc>
        <w:tc>
          <w:tcPr>
            <w:tcW w:w="12772" w:type="dxa"/>
            <w:tcBorders>
              <w:top w:val="single" w:color="auto" w:sz="12" w:space="0"/>
              <w:bottom w:val="single" w:color="auto" w:sz="12" w:space="0"/>
            </w:tcBorders>
            <w:shd w:val="clear" w:color="auto" w:fill="auto"/>
          </w:tcPr>
          <w:p w14:paraId="7DF31D04">
            <w:pPr>
              <w:widowControl/>
              <w:jc w:val="center"/>
              <w:rPr>
                <w:rFonts w:ascii="Times New Roman" w:hAnsi="Times New Roman" w:eastAsia="宋体"/>
                <w:b/>
                <w:caps w:val="0"/>
                <w:color w:val="000000" w:themeColor="text1"/>
                <w:kern w:val="0"/>
                <w:sz w:val="24"/>
                <w:szCs w:val="20"/>
                <w:highlight w:val="none"/>
                <w14:textFill>
                  <w14:solidFill>
                    <w14:schemeClr w14:val="tx1"/>
                  </w14:solidFill>
                </w14:textFill>
              </w:rPr>
            </w:pPr>
            <w:r>
              <w:rPr>
                <w:rFonts w:ascii="Times New Roman" w:hAnsi="Times New Roman" w:eastAsia="宋体"/>
                <w:b/>
                <w:caps w:val="0"/>
                <w:color w:val="000000" w:themeColor="text1"/>
                <w:kern w:val="0"/>
                <w:sz w:val="24"/>
                <w:szCs w:val="20"/>
                <w:highlight w:val="none"/>
                <w14:textFill>
                  <w14:solidFill>
                    <w14:schemeClr w14:val="tx1"/>
                  </w14:solidFill>
                </w14:textFill>
              </w:rPr>
              <w:t>表</w:t>
            </w:r>
            <w:r>
              <w:rPr>
                <w:rFonts w:hint="eastAsia" w:ascii="Times New Roman" w:hAnsi="Times New Roman" w:eastAsia="宋体"/>
                <w:b/>
                <w:caps w:val="0"/>
                <w:color w:val="000000" w:themeColor="text1"/>
                <w:kern w:val="0"/>
                <w:sz w:val="24"/>
                <w:szCs w:val="20"/>
                <w:highlight w:val="none"/>
                <w14:textFill>
                  <w14:solidFill>
                    <w14:schemeClr w14:val="tx1"/>
                  </w14:solidFill>
                </w14:textFill>
              </w:rPr>
              <w:t>4</w:t>
            </w:r>
            <w:r>
              <w:rPr>
                <w:rFonts w:ascii="Times New Roman" w:hAnsi="Times New Roman" w:eastAsia="宋体"/>
                <w:b/>
                <w:caps w:val="0"/>
                <w:color w:val="000000" w:themeColor="text1"/>
                <w:kern w:val="0"/>
                <w:sz w:val="24"/>
                <w:szCs w:val="20"/>
                <w:highlight w:val="none"/>
                <w14:textFill>
                  <w14:solidFill>
                    <w14:schemeClr w14:val="tx1"/>
                  </w14:solidFill>
                </w14:textFill>
              </w:rPr>
              <w:t>-</w:t>
            </w:r>
            <w:r>
              <w:rPr>
                <w:rFonts w:hint="eastAsia"/>
                <w:b/>
                <w:caps w:val="0"/>
                <w:color w:val="000000" w:themeColor="text1"/>
                <w:kern w:val="0"/>
                <w:sz w:val="24"/>
                <w:szCs w:val="20"/>
                <w:highlight w:val="none"/>
                <w:lang w:val="en-US" w:eastAsia="zh-CN"/>
                <w14:textFill>
                  <w14:solidFill>
                    <w14:schemeClr w14:val="tx1"/>
                  </w14:solidFill>
                </w14:textFill>
              </w:rPr>
              <w:t>1</w:t>
            </w:r>
            <w:r>
              <w:rPr>
                <w:rFonts w:ascii="Times New Roman" w:hAnsi="Times New Roman" w:eastAsia="宋体"/>
                <w:b/>
                <w:caps w:val="0"/>
                <w:color w:val="000000" w:themeColor="text1"/>
                <w:kern w:val="0"/>
                <w:sz w:val="24"/>
                <w:szCs w:val="20"/>
                <w:highlight w:val="none"/>
                <w14:textFill>
                  <w14:solidFill>
                    <w14:schemeClr w14:val="tx1"/>
                  </w14:solidFill>
                </w14:textFill>
              </w:rPr>
              <w:t xml:space="preserve">  </w:t>
            </w:r>
            <w:r>
              <w:rPr>
                <w:rFonts w:hint="eastAsia"/>
                <w:b/>
                <w:caps w:val="0"/>
                <w:color w:val="000000" w:themeColor="text1"/>
                <w:sz w:val="24"/>
                <w:highlight w:val="none"/>
                <w:lang w:val="en-US" w:eastAsia="zh-CN"/>
                <w14:textFill>
                  <w14:solidFill>
                    <w14:schemeClr w14:val="tx1"/>
                  </w14:solidFill>
                </w14:textFill>
              </w:rPr>
              <w:t>项目</w:t>
            </w:r>
            <w:r>
              <w:rPr>
                <w:rFonts w:hint="eastAsia" w:ascii="Times New Roman" w:hAnsi="Times New Roman" w:eastAsia="宋体"/>
                <w:b/>
                <w:caps w:val="0"/>
                <w:color w:val="000000" w:themeColor="text1"/>
                <w:kern w:val="0"/>
                <w:sz w:val="24"/>
                <w:szCs w:val="20"/>
                <w:highlight w:val="none"/>
                <w14:textFill>
                  <w14:solidFill>
                    <w14:schemeClr w14:val="tx1"/>
                  </w14:solidFill>
                </w14:textFill>
              </w:rPr>
              <w:t>大气污染物有组织排放基本情况表</w:t>
            </w:r>
          </w:p>
          <w:tbl>
            <w:tblPr>
              <w:tblStyle w:val="5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46"/>
              <w:gridCol w:w="1234"/>
              <w:gridCol w:w="1200"/>
              <w:gridCol w:w="1217"/>
              <w:gridCol w:w="1050"/>
              <w:gridCol w:w="1066"/>
              <w:gridCol w:w="1434"/>
              <w:gridCol w:w="1100"/>
              <w:gridCol w:w="966"/>
              <w:gridCol w:w="600"/>
              <w:gridCol w:w="1735"/>
            </w:tblGrid>
            <w:tr w14:paraId="758EF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76" w:type="pct"/>
                  <w:vMerge w:val="restart"/>
                  <w:tcBorders>
                    <w:tl2br w:val="nil"/>
                    <w:tr2bl w:val="nil"/>
                  </w:tcBorders>
                  <w:vAlign w:val="center"/>
                </w:tcPr>
                <w:p w14:paraId="6624E5CA">
                  <w:pPr>
                    <w:widowControl/>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排放口编号</w:t>
                  </w:r>
                </w:p>
              </w:tc>
              <w:tc>
                <w:tcPr>
                  <w:tcW w:w="491" w:type="pct"/>
                  <w:vMerge w:val="restart"/>
                  <w:tcBorders>
                    <w:tl2br w:val="nil"/>
                    <w:tr2bl w:val="nil"/>
                  </w:tcBorders>
                  <w:vAlign w:val="center"/>
                </w:tcPr>
                <w:p w14:paraId="46FF6E43">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hint="eastAsia" w:ascii="Times New Roman" w:hAnsi="Times New Roman" w:eastAsia="宋体"/>
                      <w:b/>
                      <w:caps w:val="0"/>
                      <w:color w:val="000000" w:themeColor="text1"/>
                      <w:kern w:val="0"/>
                      <w:szCs w:val="21"/>
                      <w:highlight w:val="none"/>
                      <w14:textFill>
                        <w14:solidFill>
                          <w14:schemeClr w14:val="tx1"/>
                        </w14:solidFill>
                      </w14:textFill>
                    </w:rPr>
                    <w:t>排放口名称</w:t>
                  </w:r>
                </w:p>
              </w:tc>
              <w:tc>
                <w:tcPr>
                  <w:tcW w:w="478" w:type="pct"/>
                  <w:vMerge w:val="restart"/>
                  <w:tcBorders>
                    <w:tl2br w:val="nil"/>
                    <w:tr2bl w:val="nil"/>
                  </w:tcBorders>
                  <w:vAlign w:val="center"/>
                </w:tcPr>
                <w:p w14:paraId="3033A5E4">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hint="eastAsia" w:ascii="Times New Roman" w:hAnsi="Times New Roman" w:eastAsia="宋体"/>
                      <w:b/>
                      <w:caps w:val="0"/>
                      <w:color w:val="000000" w:themeColor="text1"/>
                      <w:kern w:val="0"/>
                      <w:szCs w:val="21"/>
                      <w:highlight w:val="none"/>
                      <w14:textFill>
                        <w14:solidFill>
                          <w14:schemeClr w14:val="tx1"/>
                        </w14:solidFill>
                      </w14:textFill>
                    </w:rPr>
                    <w:t>排放口类型</w:t>
                  </w:r>
                </w:p>
              </w:tc>
              <w:tc>
                <w:tcPr>
                  <w:tcW w:w="903" w:type="pct"/>
                  <w:gridSpan w:val="2"/>
                  <w:tcBorders>
                    <w:tl2br w:val="nil"/>
                    <w:tr2bl w:val="nil"/>
                  </w:tcBorders>
                  <w:vAlign w:val="center"/>
                </w:tcPr>
                <w:p w14:paraId="0192FBFD">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hint="eastAsia" w:ascii="Times New Roman" w:hAnsi="Times New Roman" w:eastAsia="宋体"/>
                      <w:b/>
                      <w:caps w:val="0"/>
                      <w:color w:val="000000" w:themeColor="text1"/>
                      <w:kern w:val="0"/>
                      <w:szCs w:val="21"/>
                      <w:highlight w:val="none"/>
                      <w14:textFill>
                        <w14:solidFill>
                          <w14:schemeClr w14:val="tx1"/>
                        </w14:solidFill>
                      </w14:textFill>
                    </w:rPr>
                    <w:t>排放口地理坐标</w:t>
                  </w:r>
                </w:p>
              </w:tc>
              <w:tc>
                <w:tcPr>
                  <w:tcW w:w="2058" w:type="pct"/>
                  <w:gridSpan w:val="5"/>
                  <w:tcBorders>
                    <w:tl2br w:val="nil"/>
                    <w:tr2bl w:val="nil"/>
                  </w:tcBorders>
                  <w:vAlign w:val="center"/>
                </w:tcPr>
                <w:p w14:paraId="1BBE59B2">
                  <w:pPr>
                    <w:widowControl/>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排气筒参数</w:t>
                  </w:r>
                </w:p>
              </w:tc>
              <w:tc>
                <w:tcPr>
                  <w:tcW w:w="691" w:type="pct"/>
                  <w:vMerge w:val="restart"/>
                  <w:tcBorders>
                    <w:tl2br w:val="nil"/>
                    <w:tr2bl w:val="nil"/>
                  </w:tcBorders>
                  <w:vAlign w:val="center"/>
                </w:tcPr>
                <w:p w14:paraId="4112801B">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污染物</w:t>
                  </w:r>
                </w:p>
                <w:p w14:paraId="67CCF098">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名称</w:t>
                  </w:r>
                </w:p>
              </w:tc>
            </w:tr>
            <w:tr w14:paraId="03047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4" w:hRule="atLeast"/>
                <w:jc w:val="center"/>
              </w:trPr>
              <w:tc>
                <w:tcPr>
                  <w:tcW w:w="376" w:type="pct"/>
                  <w:vMerge w:val="continue"/>
                  <w:tcBorders>
                    <w:tl2br w:val="nil"/>
                    <w:tr2bl w:val="nil"/>
                  </w:tcBorders>
                  <w:vAlign w:val="center"/>
                </w:tcPr>
                <w:p w14:paraId="1851F48D">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c>
                <w:tcPr>
                  <w:tcW w:w="491" w:type="pct"/>
                  <w:vMerge w:val="continue"/>
                  <w:tcBorders>
                    <w:tl2br w:val="nil"/>
                    <w:tr2bl w:val="nil"/>
                  </w:tcBorders>
                  <w:vAlign w:val="center"/>
                </w:tcPr>
                <w:p w14:paraId="20050A06">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p>
              </w:tc>
              <w:tc>
                <w:tcPr>
                  <w:tcW w:w="478" w:type="pct"/>
                  <w:vMerge w:val="continue"/>
                  <w:tcBorders>
                    <w:tl2br w:val="nil"/>
                    <w:tr2bl w:val="nil"/>
                  </w:tcBorders>
                  <w:vAlign w:val="center"/>
                </w:tcPr>
                <w:p w14:paraId="0AD9CED0">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p>
              </w:tc>
              <w:tc>
                <w:tcPr>
                  <w:tcW w:w="484" w:type="pct"/>
                  <w:tcBorders>
                    <w:tl2br w:val="nil"/>
                    <w:tr2bl w:val="nil"/>
                  </w:tcBorders>
                  <w:vAlign w:val="center"/>
                </w:tcPr>
                <w:p w14:paraId="2785A462">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经度</w:t>
                  </w:r>
                </w:p>
              </w:tc>
              <w:tc>
                <w:tcPr>
                  <w:tcW w:w="418" w:type="pct"/>
                  <w:tcBorders>
                    <w:tl2br w:val="nil"/>
                    <w:tr2bl w:val="nil"/>
                  </w:tcBorders>
                  <w:vAlign w:val="center"/>
                </w:tcPr>
                <w:p w14:paraId="6A0A4DE6">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纬度</w:t>
                  </w:r>
                </w:p>
              </w:tc>
              <w:tc>
                <w:tcPr>
                  <w:tcW w:w="424" w:type="pct"/>
                  <w:tcBorders>
                    <w:tl2br w:val="nil"/>
                    <w:tr2bl w:val="nil"/>
                  </w:tcBorders>
                  <w:vAlign w:val="center"/>
                </w:tcPr>
                <w:p w14:paraId="18DE31BC">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高度（m）</w:t>
                  </w:r>
                </w:p>
              </w:tc>
              <w:tc>
                <w:tcPr>
                  <w:tcW w:w="571" w:type="pct"/>
                  <w:tcBorders>
                    <w:tl2br w:val="nil"/>
                    <w:tr2bl w:val="nil"/>
                  </w:tcBorders>
                  <w:vAlign w:val="center"/>
                </w:tcPr>
                <w:p w14:paraId="05C69EFB">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出口内径（m）</w:t>
                  </w:r>
                </w:p>
              </w:tc>
              <w:tc>
                <w:tcPr>
                  <w:tcW w:w="438" w:type="pct"/>
                  <w:tcBorders>
                    <w:tl2br w:val="nil"/>
                    <w:tr2bl w:val="nil"/>
                  </w:tcBorders>
                  <w:vAlign w:val="center"/>
                </w:tcPr>
                <w:p w14:paraId="32C21FAA">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排</w:t>
                  </w:r>
                  <w:r>
                    <w:rPr>
                      <w:rFonts w:hint="eastAsia" w:ascii="Times New Roman" w:hAnsi="Times New Roman" w:eastAsia="宋体"/>
                      <w:b/>
                      <w:bCs/>
                      <w:caps w:val="0"/>
                      <w:color w:val="000000" w:themeColor="text1"/>
                      <w:szCs w:val="21"/>
                      <w:highlight w:val="none"/>
                      <w14:textFill>
                        <w14:solidFill>
                          <w14:schemeClr w14:val="tx1"/>
                        </w14:solidFill>
                      </w14:textFill>
                    </w:rPr>
                    <w:t>放</w:t>
                  </w:r>
                  <w:r>
                    <w:rPr>
                      <w:rFonts w:ascii="Times New Roman" w:hAnsi="Times New Roman" w:eastAsia="宋体"/>
                      <w:b/>
                      <w:bCs/>
                      <w:caps w:val="0"/>
                      <w:color w:val="000000" w:themeColor="text1"/>
                      <w:szCs w:val="21"/>
                      <w:highlight w:val="none"/>
                      <w14:textFill>
                        <w14:solidFill>
                          <w14:schemeClr w14:val="tx1"/>
                        </w14:solidFill>
                      </w14:textFill>
                    </w:rPr>
                    <w:t>温度（℃）</w:t>
                  </w:r>
                </w:p>
              </w:tc>
              <w:tc>
                <w:tcPr>
                  <w:tcW w:w="384" w:type="pct"/>
                  <w:tcBorders>
                    <w:tl2br w:val="nil"/>
                    <w:tr2bl w:val="nil"/>
                  </w:tcBorders>
                  <w:vAlign w:val="center"/>
                </w:tcPr>
                <w:p w14:paraId="077836EE">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排气量（m</w:t>
                  </w:r>
                  <w:r>
                    <w:rPr>
                      <w:rFonts w:ascii="Times New Roman" w:hAnsi="Times New Roman" w:eastAsia="宋体"/>
                      <w:b/>
                      <w:bCs/>
                      <w:caps w:val="0"/>
                      <w:color w:val="000000" w:themeColor="text1"/>
                      <w:szCs w:val="21"/>
                      <w:highlight w:val="none"/>
                      <w:vertAlign w:val="superscript"/>
                      <w14:textFill>
                        <w14:solidFill>
                          <w14:schemeClr w14:val="tx1"/>
                        </w14:solidFill>
                      </w14:textFill>
                    </w:rPr>
                    <w:t>3</w:t>
                  </w:r>
                  <w:r>
                    <w:rPr>
                      <w:rFonts w:ascii="Times New Roman" w:hAnsi="Times New Roman" w:eastAsia="宋体"/>
                      <w:b/>
                      <w:bCs/>
                      <w:caps w:val="0"/>
                      <w:color w:val="000000" w:themeColor="text1"/>
                      <w:szCs w:val="21"/>
                      <w:highlight w:val="none"/>
                      <w14:textFill>
                        <w14:solidFill>
                          <w14:schemeClr w14:val="tx1"/>
                        </w14:solidFill>
                      </w14:textFill>
                    </w:rPr>
                    <w:t>/h）</w:t>
                  </w:r>
                </w:p>
              </w:tc>
              <w:tc>
                <w:tcPr>
                  <w:tcW w:w="239" w:type="pct"/>
                  <w:tcBorders>
                    <w:tl2br w:val="nil"/>
                    <w:tr2bl w:val="nil"/>
                  </w:tcBorders>
                  <w:vAlign w:val="center"/>
                </w:tcPr>
                <w:p w14:paraId="01833670">
                  <w:pPr>
                    <w:widowControl/>
                    <w:snapToGrid w:val="0"/>
                    <w:jc w:val="center"/>
                    <w:rPr>
                      <w:rFonts w:hint="default" w:ascii="Times New Roman" w:hAnsi="Times New Roman" w:eastAsia="宋体"/>
                      <w:b/>
                      <w:bCs/>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Cs w:val="21"/>
                      <w:highlight w:val="none"/>
                      <w:lang w:val="en-US" w:eastAsia="zh-CN"/>
                      <w14:textFill>
                        <w14:solidFill>
                          <w14:schemeClr w14:val="tx1"/>
                        </w14:solidFill>
                      </w14:textFill>
                    </w:rPr>
                    <w:t>风速m/s</w:t>
                  </w:r>
                </w:p>
              </w:tc>
              <w:tc>
                <w:tcPr>
                  <w:tcW w:w="691" w:type="pct"/>
                  <w:vMerge w:val="continue"/>
                  <w:tcBorders>
                    <w:tl2br w:val="nil"/>
                    <w:tr2bl w:val="nil"/>
                  </w:tcBorders>
                  <w:vAlign w:val="center"/>
                </w:tcPr>
                <w:p w14:paraId="7A545496">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r>
            <w:tr w14:paraId="15A09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5" w:hRule="atLeast"/>
                <w:jc w:val="center"/>
              </w:trPr>
              <w:tc>
                <w:tcPr>
                  <w:tcW w:w="376" w:type="pct"/>
                  <w:tcBorders>
                    <w:tl2br w:val="nil"/>
                    <w:tr2bl w:val="nil"/>
                  </w:tcBorders>
                  <w:vAlign w:val="center"/>
                </w:tcPr>
                <w:p w14:paraId="42C5CC00">
                  <w:pPr>
                    <w:adjustRightInd w:val="0"/>
                    <w:snapToGrid w:val="0"/>
                    <w:jc w:val="center"/>
                    <w:rPr>
                      <w:rFonts w:hint="default" w:ascii="Times New Roman" w:hAnsi="Times New Roman" w:eastAsia="宋体"/>
                      <w:caps w:val="0"/>
                      <w:color w:val="auto"/>
                      <w:szCs w:val="21"/>
                      <w:highlight w:val="none"/>
                      <w:lang w:val="en-US" w:eastAsia="zh-CN"/>
                    </w:rPr>
                  </w:pPr>
                  <w:r>
                    <w:rPr>
                      <w:rFonts w:ascii="Times New Roman" w:hAnsi="Times New Roman" w:eastAsia="宋体"/>
                      <w:caps w:val="0"/>
                      <w:color w:val="auto"/>
                      <w:szCs w:val="21"/>
                      <w:highlight w:val="none"/>
                    </w:rPr>
                    <w:t>DA0</w:t>
                  </w:r>
                  <w:r>
                    <w:rPr>
                      <w:rFonts w:hint="eastAsia"/>
                      <w:caps w:val="0"/>
                      <w:color w:val="auto"/>
                      <w:szCs w:val="21"/>
                      <w:highlight w:val="none"/>
                      <w:lang w:val="en-US" w:eastAsia="zh-CN"/>
                    </w:rPr>
                    <w:t>01</w:t>
                  </w:r>
                </w:p>
              </w:tc>
              <w:tc>
                <w:tcPr>
                  <w:tcW w:w="491" w:type="pct"/>
                  <w:tcBorders>
                    <w:tl2br w:val="nil"/>
                    <w:tr2bl w:val="nil"/>
                  </w:tcBorders>
                  <w:vAlign w:val="center"/>
                </w:tcPr>
                <w:p w14:paraId="503B133A">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废气排放口</w:t>
                  </w:r>
                </w:p>
              </w:tc>
              <w:tc>
                <w:tcPr>
                  <w:tcW w:w="478" w:type="pct"/>
                  <w:tcBorders>
                    <w:tl2br w:val="nil"/>
                    <w:tr2bl w:val="nil"/>
                  </w:tcBorders>
                  <w:vAlign w:val="center"/>
                </w:tcPr>
                <w:p w14:paraId="09BC87CB">
                  <w:pPr>
                    <w:widowControl/>
                    <w:snapToGrid w:val="0"/>
                    <w:jc w:val="center"/>
                    <w:rPr>
                      <w:rFonts w:ascii="Times New Roman" w:hAnsi="Times New Roman" w:eastAsia="宋体"/>
                      <w:caps w:val="0"/>
                      <w:color w:val="auto"/>
                      <w:kern w:val="0"/>
                      <w:szCs w:val="21"/>
                      <w:highlight w:val="none"/>
                    </w:rPr>
                  </w:pPr>
                  <w:r>
                    <w:rPr>
                      <w:rFonts w:hint="eastAsia" w:ascii="Times New Roman" w:hAnsi="Times New Roman" w:eastAsia="宋体"/>
                      <w:caps w:val="0"/>
                      <w:color w:val="auto"/>
                      <w:kern w:val="0"/>
                      <w:szCs w:val="21"/>
                      <w:highlight w:val="none"/>
                    </w:rPr>
                    <w:t>一般排放口</w:t>
                  </w:r>
                </w:p>
              </w:tc>
              <w:tc>
                <w:tcPr>
                  <w:tcW w:w="484" w:type="pct"/>
                  <w:tcBorders>
                    <w:tl2br w:val="nil"/>
                    <w:tr2bl w:val="nil"/>
                  </w:tcBorders>
                  <w:vAlign w:val="center"/>
                </w:tcPr>
                <w:p w14:paraId="40DCB4D8">
                  <w:pPr>
                    <w:widowControl/>
                    <w:snapToGrid w:val="0"/>
                    <w:jc w:val="center"/>
                    <w:rPr>
                      <w:rFonts w:ascii="Times New Roman" w:hAnsi="Times New Roman" w:eastAsia="宋体"/>
                      <w:caps w:val="0"/>
                      <w:color w:val="auto"/>
                      <w:kern w:val="0"/>
                      <w:szCs w:val="21"/>
                      <w:highlight w:val="none"/>
                    </w:rPr>
                  </w:pPr>
                  <w:r>
                    <w:rPr>
                      <w:rFonts w:hint="eastAsia" w:ascii="Times New Roman" w:hAnsi="Times New Roman" w:eastAsia="宋体"/>
                      <w:caps w:val="0"/>
                      <w:color w:val="auto"/>
                      <w:kern w:val="0"/>
                      <w:szCs w:val="21"/>
                      <w:highlight w:val="none"/>
                    </w:rPr>
                    <w:t>118.193410</w:t>
                  </w:r>
                </w:p>
              </w:tc>
              <w:tc>
                <w:tcPr>
                  <w:tcW w:w="418" w:type="pct"/>
                  <w:tcBorders>
                    <w:tl2br w:val="nil"/>
                    <w:tr2bl w:val="nil"/>
                  </w:tcBorders>
                  <w:vAlign w:val="center"/>
                </w:tcPr>
                <w:p w14:paraId="65F536E8">
                  <w:pPr>
                    <w:widowControl/>
                    <w:snapToGrid w:val="0"/>
                    <w:jc w:val="center"/>
                    <w:rPr>
                      <w:rFonts w:ascii="Times New Roman" w:hAnsi="Times New Roman" w:eastAsia="宋体"/>
                      <w:caps w:val="0"/>
                      <w:color w:val="auto"/>
                      <w:kern w:val="0"/>
                      <w:szCs w:val="21"/>
                      <w:highlight w:val="none"/>
                    </w:rPr>
                  </w:pPr>
                  <w:r>
                    <w:rPr>
                      <w:rFonts w:hint="eastAsia" w:ascii="Times New Roman" w:hAnsi="Times New Roman" w:eastAsia="宋体"/>
                      <w:caps w:val="0"/>
                      <w:color w:val="auto"/>
                      <w:kern w:val="0"/>
                      <w:szCs w:val="21"/>
                      <w:highlight w:val="none"/>
                    </w:rPr>
                    <w:t>31.209162</w:t>
                  </w:r>
                </w:p>
              </w:tc>
              <w:tc>
                <w:tcPr>
                  <w:tcW w:w="424" w:type="pct"/>
                  <w:tcBorders>
                    <w:tl2br w:val="nil"/>
                    <w:tr2bl w:val="nil"/>
                  </w:tcBorders>
                  <w:vAlign w:val="center"/>
                </w:tcPr>
                <w:p w14:paraId="0E4EE126">
                  <w:pPr>
                    <w:ind w:left="-105" w:leftChars="-50" w:right="-105" w:rightChars="-50"/>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w:t>
                  </w:r>
                </w:p>
              </w:tc>
              <w:tc>
                <w:tcPr>
                  <w:tcW w:w="571" w:type="pct"/>
                  <w:tcBorders>
                    <w:tl2br w:val="nil"/>
                    <w:tr2bl w:val="nil"/>
                  </w:tcBorders>
                  <w:vAlign w:val="center"/>
                </w:tcPr>
                <w:p w14:paraId="3860D35C">
                  <w:pPr>
                    <w:ind w:left="-105" w:leftChars="-50" w:right="-105" w:rightChars="-50"/>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0.6</w:t>
                  </w:r>
                </w:p>
              </w:tc>
              <w:tc>
                <w:tcPr>
                  <w:tcW w:w="438" w:type="pct"/>
                  <w:tcBorders>
                    <w:tl2br w:val="nil"/>
                    <w:tr2bl w:val="nil"/>
                  </w:tcBorders>
                  <w:vAlign w:val="center"/>
                </w:tcPr>
                <w:p w14:paraId="081FF0E6">
                  <w:pPr>
                    <w:ind w:left="-105" w:leftChars="-50" w:right="-105" w:rightChars="-50"/>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25</w:t>
                  </w:r>
                </w:p>
              </w:tc>
              <w:tc>
                <w:tcPr>
                  <w:tcW w:w="384" w:type="pct"/>
                  <w:tcBorders>
                    <w:tl2br w:val="nil"/>
                    <w:tr2bl w:val="nil"/>
                  </w:tcBorders>
                  <w:vAlign w:val="center"/>
                </w:tcPr>
                <w:p w14:paraId="1F0BE2F6">
                  <w:pPr>
                    <w:ind w:left="-105" w:leftChars="-50" w:right="-105" w:rightChars="-50"/>
                    <w:jc w:val="center"/>
                    <w:rPr>
                      <w:rFonts w:hint="default" w:ascii="Times New Roman" w:hAnsi="Times New Roman" w:eastAsia="宋体"/>
                      <w:caps w:val="0"/>
                      <w:color w:val="auto"/>
                      <w:szCs w:val="21"/>
                      <w:highlight w:val="none"/>
                      <w:lang w:val="en-US"/>
                    </w:rPr>
                  </w:pPr>
                  <w:r>
                    <w:rPr>
                      <w:rFonts w:hint="eastAsia"/>
                      <w:caps w:val="0"/>
                      <w:color w:val="auto"/>
                      <w:szCs w:val="21"/>
                      <w:highlight w:val="none"/>
                      <w:lang w:val="en-US" w:eastAsia="zh-CN"/>
                    </w:rPr>
                    <w:t>15</w:t>
                  </w:r>
                  <w:r>
                    <w:rPr>
                      <w:rFonts w:hint="eastAsia" w:ascii="Times New Roman" w:hAnsi="Times New Roman" w:eastAsia="宋体"/>
                      <w:caps w:val="0"/>
                      <w:color w:val="auto"/>
                      <w:szCs w:val="21"/>
                      <w:highlight w:val="none"/>
                      <w:lang w:val="en-US" w:eastAsia="zh-CN"/>
                    </w:rPr>
                    <w:t>000</w:t>
                  </w:r>
                </w:p>
              </w:tc>
              <w:tc>
                <w:tcPr>
                  <w:tcW w:w="239" w:type="pct"/>
                  <w:tcBorders>
                    <w:tl2br w:val="nil"/>
                    <w:tr2bl w:val="nil"/>
                  </w:tcBorders>
                  <w:vAlign w:val="center"/>
                </w:tcPr>
                <w:p w14:paraId="2E97C9B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14.0</w:t>
                  </w:r>
                </w:p>
              </w:tc>
              <w:tc>
                <w:tcPr>
                  <w:tcW w:w="691" w:type="pct"/>
                  <w:tcBorders>
                    <w:tl2br w:val="nil"/>
                    <w:tr2bl w:val="nil"/>
                  </w:tcBorders>
                  <w:vAlign w:val="center"/>
                </w:tcPr>
                <w:p w14:paraId="52AE0A9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颗粒物</w:t>
                  </w:r>
                </w:p>
              </w:tc>
            </w:tr>
          </w:tbl>
          <w:p w14:paraId="27613F6D">
            <w:pPr>
              <w:jc w:val="center"/>
              <w:rPr>
                <w:b/>
                <w:sz w:val="24"/>
              </w:rPr>
            </w:pPr>
            <w:r>
              <w:rPr>
                <w:b/>
                <w:sz w:val="24"/>
              </w:rPr>
              <w:t>表</w:t>
            </w:r>
            <w:r>
              <w:rPr>
                <w:rFonts w:hint="eastAsia"/>
                <w:b/>
                <w:sz w:val="24"/>
              </w:rPr>
              <w:t>4</w:t>
            </w:r>
            <w:r>
              <w:rPr>
                <w:b/>
                <w:sz w:val="24"/>
              </w:rPr>
              <w:t>-</w:t>
            </w:r>
            <w:r>
              <w:rPr>
                <w:rFonts w:hint="eastAsia"/>
                <w:b/>
                <w:sz w:val="24"/>
                <w:lang w:val="en-US" w:eastAsia="zh-CN"/>
              </w:rPr>
              <w:t>2</w:t>
            </w:r>
            <w:r>
              <w:rPr>
                <w:b/>
                <w:sz w:val="24"/>
              </w:rPr>
              <w:t xml:space="preserve">  </w:t>
            </w:r>
            <w:r>
              <w:rPr>
                <w:rFonts w:cs="宋体"/>
                <w:b/>
                <w:sz w:val="24"/>
                <w:szCs w:val="21"/>
              </w:rPr>
              <w:t>本</w:t>
            </w:r>
            <w:r>
              <w:rPr>
                <w:b/>
                <w:sz w:val="24"/>
              </w:rPr>
              <w:t>项目有组织废气产生及排放状况表</w:t>
            </w:r>
          </w:p>
          <w:tbl>
            <w:tblPr>
              <w:tblStyle w:val="59"/>
              <w:tblW w:w="498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658"/>
              <w:gridCol w:w="634"/>
              <w:gridCol w:w="800"/>
              <w:gridCol w:w="700"/>
              <w:gridCol w:w="798"/>
              <w:gridCol w:w="601"/>
              <w:gridCol w:w="1418"/>
              <w:gridCol w:w="752"/>
              <w:gridCol w:w="689"/>
              <w:gridCol w:w="661"/>
              <w:gridCol w:w="671"/>
              <w:gridCol w:w="631"/>
              <w:gridCol w:w="511"/>
              <w:gridCol w:w="508"/>
              <w:gridCol w:w="576"/>
              <w:gridCol w:w="576"/>
              <w:gridCol w:w="756"/>
              <w:gridCol w:w="566"/>
            </w:tblGrid>
            <w:tr w14:paraId="6373967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263" w:type="pct"/>
                  <w:vMerge w:val="restart"/>
                  <w:tcBorders>
                    <w:tl2br w:val="nil"/>
                    <w:tr2bl w:val="nil"/>
                  </w:tcBorders>
                  <w:vAlign w:val="center"/>
                </w:tcPr>
                <w:p w14:paraId="58CAFA29">
                  <w:pPr>
                    <w:overflowPunct w:val="0"/>
                    <w:adjustRightInd w:val="0"/>
                    <w:snapToGrid w:val="0"/>
                    <w:jc w:val="center"/>
                    <w:textAlignment w:val="baseline"/>
                    <w:rPr>
                      <w:b/>
                      <w:kern w:val="0"/>
                      <w:szCs w:val="21"/>
                    </w:rPr>
                  </w:pPr>
                  <w:r>
                    <w:rPr>
                      <w:b/>
                      <w:kern w:val="0"/>
                      <w:szCs w:val="21"/>
                    </w:rPr>
                    <w:t>排放源编号</w:t>
                  </w:r>
                </w:p>
              </w:tc>
              <w:tc>
                <w:tcPr>
                  <w:tcW w:w="253" w:type="pct"/>
                  <w:vMerge w:val="restart"/>
                  <w:tcBorders>
                    <w:tl2br w:val="nil"/>
                    <w:tr2bl w:val="nil"/>
                  </w:tcBorders>
                  <w:vAlign w:val="center"/>
                </w:tcPr>
                <w:p w14:paraId="7DEBCE42">
                  <w:pPr>
                    <w:overflowPunct w:val="0"/>
                    <w:adjustRightInd w:val="0"/>
                    <w:snapToGrid w:val="0"/>
                    <w:jc w:val="center"/>
                    <w:textAlignment w:val="baseline"/>
                    <w:rPr>
                      <w:b/>
                      <w:kern w:val="0"/>
                      <w:szCs w:val="21"/>
                    </w:rPr>
                  </w:pPr>
                  <w:r>
                    <w:rPr>
                      <w:b/>
                      <w:kern w:val="0"/>
                      <w:szCs w:val="21"/>
                    </w:rPr>
                    <w:t>污染源</w:t>
                  </w:r>
                </w:p>
              </w:tc>
              <w:tc>
                <w:tcPr>
                  <w:tcW w:w="319" w:type="pct"/>
                  <w:vMerge w:val="restart"/>
                  <w:tcBorders>
                    <w:tl2br w:val="nil"/>
                    <w:tr2bl w:val="nil"/>
                  </w:tcBorders>
                  <w:vAlign w:val="center"/>
                </w:tcPr>
                <w:p w14:paraId="5A54B23C">
                  <w:pPr>
                    <w:overflowPunct w:val="0"/>
                    <w:adjustRightInd w:val="0"/>
                    <w:snapToGrid w:val="0"/>
                    <w:jc w:val="center"/>
                    <w:textAlignment w:val="baseline"/>
                    <w:rPr>
                      <w:b/>
                      <w:kern w:val="0"/>
                      <w:szCs w:val="21"/>
                    </w:rPr>
                  </w:pPr>
                  <w:r>
                    <w:rPr>
                      <w:b/>
                      <w:kern w:val="0"/>
                      <w:szCs w:val="21"/>
                    </w:rPr>
                    <w:t>污染物</w:t>
                  </w:r>
                </w:p>
                <w:p w14:paraId="7E46962A">
                  <w:pPr>
                    <w:overflowPunct w:val="0"/>
                    <w:adjustRightInd w:val="0"/>
                    <w:snapToGrid w:val="0"/>
                    <w:jc w:val="center"/>
                    <w:textAlignment w:val="baseline"/>
                    <w:rPr>
                      <w:b/>
                      <w:kern w:val="0"/>
                      <w:szCs w:val="21"/>
                    </w:rPr>
                  </w:pPr>
                  <w:r>
                    <w:rPr>
                      <w:b/>
                      <w:kern w:val="0"/>
                      <w:szCs w:val="21"/>
                    </w:rPr>
                    <w:t>名称</w:t>
                  </w:r>
                </w:p>
              </w:tc>
              <w:tc>
                <w:tcPr>
                  <w:tcW w:w="839" w:type="pct"/>
                  <w:gridSpan w:val="3"/>
                  <w:tcBorders>
                    <w:tl2br w:val="nil"/>
                    <w:tr2bl w:val="nil"/>
                  </w:tcBorders>
                  <w:vAlign w:val="center"/>
                </w:tcPr>
                <w:p w14:paraId="74FBB873">
                  <w:pPr>
                    <w:overflowPunct w:val="0"/>
                    <w:adjustRightInd w:val="0"/>
                    <w:snapToGrid w:val="0"/>
                    <w:jc w:val="center"/>
                    <w:textAlignment w:val="baseline"/>
                    <w:rPr>
                      <w:b/>
                      <w:kern w:val="0"/>
                      <w:szCs w:val="21"/>
                    </w:rPr>
                  </w:pPr>
                  <w:r>
                    <w:rPr>
                      <w:b/>
                      <w:kern w:val="0"/>
                      <w:szCs w:val="21"/>
                    </w:rPr>
                    <w:t>产生状况</w:t>
                  </w:r>
                </w:p>
              </w:tc>
              <w:tc>
                <w:tcPr>
                  <w:tcW w:w="566" w:type="pct"/>
                  <w:vMerge w:val="restart"/>
                  <w:tcBorders>
                    <w:tl2br w:val="nil"/>
                    <w:tr2bl w:val="nil"/>
                  </w:tcBorders>
                  <w:vAlign w:val="center"/>
                </w:tcPr>
                <w:p w14:paraId="77E002E5">
                  <w:pPr>
                    <w:overflowPunct w:val="0"/>
                    <w:adjustRightInd w:val="0"/>
                    <w:snapToGrid w:val="0"/>
                    <w:jc w:val="center"/>
                    <w:textAlignment w:val="baseline"/>
                    <w:rPr>
                      <w:b/>
                      <w:kern w:val="0"/>
                      <w:szCs w:val="21"/>
                    </w:rPr>
                  </w:pPr>
                  <w:r>
                    <w:rPr>
                      <w:b/>
                      <w:kern w:val="0"/>
                      <w:szCs w:val="21"/>
                    </w:rPr>
                    <w:t>处</w:t>
                  </w:r>
                  <w:r>
                    <w:rPr>
                      <w:rFonts w:hint="eastAsia"/>
                      <w:b/>
                      <w:kern w:val="0"/>
                      <w:szCs w:val="21"/>
                    </w:rPr>
                    <w:t>理</w:t>
                  </w:r>
                  <w:r>
                    <w:rPr>
                      <w:b/>
                      <w:kern w:val="0"/>
                      <w:szCs w:val="21"/>
                    </w:rPr>
                    <w:t>措施</w:t>
                  </w:r>
                </w:p>
              </w:tc>
              <w:tc>
                <w:tcPr>
                  <w:tcW w:w="840" w:type="pct"/>
                  <w:gridSpan w:val="3"/>
                  <w:tcBorders>
                    <w:tl2br w:val="nil"/>
                    <w:tr2bl w:val="nil"/>
                  </w:tcBorders>
                  <w:vAlign w:val="center"/>
                </w:tcPr>
                <w:p w14:paraId="67DBF36A">
                  <w:pPr>
                    <w:overflowPunct w:val="0"/>
                    <w:adjustRightInd w:val="0"/>
                    <w:snapToGrid w:val="0"/>
                    <w:jc w:val="center"/>
                    <w:textAlignment w:val="baseline"/>
                    <w:rPr>
                      <w:b/>
                      <w:kern w:val="0"/>
                      <w:szCs w:val="21"/>
                    </w:rPr>
                  </w:pPr>
                  <w:r>
                    <w:rPr>
                      <w:b/>
                      <w:kern w:val="0"/>
                      <w:szCs w:val="21"/>
                    </w:rPr>
                    <w:t>排放状况</w:t>
                  </w:r>
                </w:p>
              </w:tc>
              <w:tc>
                <w:tcPr>
                  <w:tcW w:w="520" w:type="pct"/>
                  <w:gridSpan w:val="2"/>
                  <w:tcBorders>
                    <w:tl2br w:val="nil"/>
                    <w:tr2bl w:val="nil"/>
                  </w:tcBorders>
                  <w:vAlign w:val="center"/>
                </w:tcPr>
                <w:p w14:paraId="7C161CD2">
                  <w:pPr>
                    <w:overflowPunct w:val="0"/>
                    <w:adjustRightInd w:val="0"/>
                    <w:snapToGrid w:val="0"/>
                    <w:jc w:val="center"/>
                    <w:textAlignment w:val="baseline"/>
                    <w:rPr>
                      <w:b/>
                      <w:kern w:val="0"/>
                      <w:szCs w:val="21"/>
                    </w:rPr>
                  </w:pPr>
                  <w:r>
                    <w:rPr>
                      <w:b/>
                      <w:kern w:val="0"/>
                      <w:szCs w:val="21"/>
                    </w:rPr>
                    <w:t>执行标准</w:t>
                  </w:r>
                </w:p>
              </w:tc>
              <w:tc>
                <w:tcPr>
                  <w:tcW w:w="204" w:type="pct"/>
                  <w:vMerge w:val="restart"/>
                  <w:tcBorders>
                    <w:tl2br w:val="nil"/>
                    <w:tr2bl w:val="nil"/>
                  </w:tcBorders>
                  <w:vAlign w:val="center"/>
                </w:tcPr>
                <w:p w14:paraId="775C9308">
                  <w:pPr>
                    <w:overflowPunct w:val="0"/>
                    <w:adjustRightInd w:val="0"/>
                    <w:snapToGrid w:val="0"/>
                    <w:jc w:val="center"/>
                    <w:textAlignment w:val="baseline"/>
                    <w:rPr>
                      <w:b/>
                      <w:kern w:val="0"/>
                      <w:szCs w:val="21"/>
                    </w:rPr>
                  </w:pPr>
                  <w:r>
                    <w:rPr>
                      <w:b/>
                      <w:kern w:val="0"/>
                      <w:szCs w:val="21"/>
                    </w:rPr>
                    <w:t>达标情况</w:t>
                  </w:r>
                </w:p>
              </w:tc>
              <w:tc>
                <w:tcPr>
                  <w:tcW w:w="965" w:type="pct"/>
                  <w:gridSpan w:val="4"/>
                  <w:tcBorders>
                    <w:tl2br w:val="nil"/>
                    <w:tr2bl w:val="nil"/>
                  </w:tcBorders>
                  <w:vAlign w:val="center"/>
                </w:tcPr>
                <w:p w14:paraId="358185BB">
                  <w:pPr>
                    <w:overflowPunct w:val="0"/>
                    <w:adjustRightInd w:val="0"/>
                    <w:snapToGrid w:val="0"/>
                    <w:jc w:val="center"/>
                    <w:textAlignment w:val="baseline"/>
                    <w:rPr>
                      <w:b/>
                      <w:kern w:val="0"/>
                      <w:szCs w:val="21"/>
                    </w:rPr>
                  </w:pPr>
                  <w:r>
                    <w:rPr>
                      <w:b/>
                      <w:kern w:val="0"/>
                      <w:szCs w:val="21"/>
                    </w:rPr>
                    <w:t>排气筒参数</w:t>
                  </w:r>
                </w:p>
              </w:tc>
              <w:tc>
                <w:tcPr>
                  <w:tcW w:w="226" w:type="pct"/>
                  <w:vMerge w:val="restart"/>
                  <w:tcBorders>
                    <w:tl2br w:val="nil"/>
                    <w:tr2bl w:val="nil"/>
                  </w:tcBorders>
                  <w:vAlign w:val="center"/>
                </w:tcPr>
                <w:p w14:paraId="44F41918">
                  <w:pPr>
                    <w:overflowPunct w:val="0"/>
                    <w:adjustRightInd w:val="0"/>
                    <w:snapToGrid w:val="0"/>
                    <w:jc w:val="center"/>
                    <w:textAlignment w:val="baseline"/>
                    <w:rPr>
                      <w:b/>
                      <w:kern w:val="0"/>
                      <w:szCs w:val="21"/>
                    </w:rPr>
                  </w:pPr>
                  <w:r>
                    <w:rPr>
                      <w:b/>
                      <w:kern w:val="0"/>
                      <w:szCs w:val="21"/>
                    </w:rPr>
                    <w:t>年排放时间</w:t>
                  </w:r>
                  <w:r>
                    <w:rPr>
                      <w:rFonts w:hint="eastAsia"/>
                      <w:b/>
                      <w:kern w:val="0"/>
                      <w:szCs w:val="21"/>
                    </w:rPr>
                    <w:t>h</w:t>
                  </w:r>
                </w:p>
              </w:tc>
            </w:tr>
            <w:tr w14:paraId="775D13E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263" w:type="pct"/>
                  <w:vMerge w:val="continue"/>
                  <w:tcBorders>
                    <w:tl2br w:val="nil"/>
                    <w:tr2bl w:val="nil"/>
                  </w:tcBorders>
                  <w:vAlign w:val="center"/>
                </w:tcPr>
                <w:p w14:paraId="646050E2">
                  <w:pPr>
                    <w:overflowPunct w:val="0"/>
                    <w:adjustRightInd w:val="0"/>
                    <w:snapToGrid w:val="0"/>
                    <w:jc w:val="center"/>
                    <w:textAlignment w:val="baseline"/>
                    <w:rPr>
                      <w:b/>
                      <w:kern w:val="0"/>
                      <w:szCs w:val="21"/>
                    </w:rPr>
                  </w:pPr>
                </w:p>
              </w:tc>
              <w:tc>
                <w:tcPr>
                  <w:tcW w:w="253" w:type="pct"/>
                  <w:vMerge w:val="continue"/>
                  <w:tcBorders>
                    <w:tl2br w:val="nil"/>
                    <w:tr2bl w:val="nil"/>
                  </w:tcBorders>
                  <w:vAlign w:val="center"/>
                </w:tcPr>
                <w:p w14:paraId="5E0BDF64">
                  <w:pPr>
                    <w:overflowPunct w:val="0"/>
                    <w:adjustRightInd w:val="0"/>
                    <w:snapToGrid w:val="0"/>
                    <w:jc w:val="center"/>
                    <w:textAlignment w:val="baseline"/>
                    <w:rPr>
                      <w:b/>
                      <w:kern w:val="0"/>
                      <w:szCs w:val="21"/>
                    </w:rPr>
                  </w:pPr>
                </w:p>
              </w:tc>
              <w:tc>
                <w:tcPr>
                  <w:tcW w:w="319" w:type="pct"/>
                  <w:vMerge w:val="continue"/>
                  <w:tcBorders>
                    <w:tl2br w:val="nil"/>
                    <w:tr2bl w:val="nil"/>
                  </w:tcBorders>
                  <w:vAlign w:val="center"/>
                </w:tcPr>
                <w:p w14:paraId="0885F1BF">
                  <w:pPr>
                    <w:overflowPunct w:val="0"/>
                    <w:adjustRightInd w:val="0"/>
                    <w:snapToGrid w:val="0"/>
                    <w:jc w:val="center"/>
                    <w:textAlignment w:val="baseline"/>
                    <w:rPr>
                      <w:b/>
                      <w:kern w:val="0"/>
                      <w:szCs w:val="21"/>
                    </w:rPr>
                  </w:pPr>
                </w:p>
              </w:tc>
              <w:tc>
                <w:tcPr>
                  <w:tcW w:w="279" w:type="pct"/>
                  <w:tcBorders>
                    <w:tl2br w:val="nil"/>
                    <w:tr2bl w:val="nil"/>
                  </w:tcBorders>
                  <w:vAlign w:val="center"/>
                </w:tcPr>
                <w:p w14:paraId="1597EDE1">
                  <w:pPr>
                    <w:widowControl/>
                    <w:jc w:val="center"/>
                    <w:rPr>
                      <w:rFonts w:hint="default" w:eastAsia="宋体"/>
                      <w:b/>
                      <w:kern w:val="0"/>
                      <w:szCs w:val="21"/>
                      <w:lang w:val="en-US" w:eastAsia="zh-CN"/>
                    </w:rPr>
                  </w:pPr>
                  <w:r>
                    <w:rPr>
                      <w:rFonts w:hint="eastAsia"/>
                      <w:b/>
                      <w:kern w:val="0"/>
                      <w:szCs w:val="21"/>
                      <w:lang w:val="en-US" w:eastAsia="zh-CN"/>
                    </w:rPr>
                    <w:t>t/a</w:t>
                  </w:r>
                </w:p>
              </w:tc>
              <w:tc>
                <w:tcPr>
                  <w:tcW w:w="319" w:type="pct"/>
                  <w:tcBorders>
                    <w:tl2br w:val="nil"/>
                    <w:tr2bl w:val="nil"/>
                  </w:tcBorders>
                  <w:vAlign w:val="center"/>
                </w:tcPr>
                <w:p w14:paraId="1014A2EB">
                  <w:pPr>
                    <w:widowControl/>
                    <w:jc w:val="center"/>
                    <w:rPr>
                      <w:rFonts w:hint="eastAsia"/>
                      <w:lang w:eastAsia="zh-CN"/>
                    </w:rPr>
                  </w:pPr>
                  <w:r>
                    <w:rPr>
                      <w:rFonts w:hint="eastAsia"/>
                      <w:b/>
                      <w:kern w:val="0"/>
                      <w:szCs w:val="21"/>
                      <w:lang w:val="en-US" w:eastAsia="zh-CN"/>
                    </w:rPr>
                    <w:t>kg</w:t>
                  </w:r>
                  <w:r>
                    <w:rPr>
                      <w:b/>
                      <w:kern w:val="0"/>
                      <w:szCs w:val="21"/>
                    </w:rPr>
                    <w:t>/</w:t>
                  </w:r>
                  <w:r>
                    <w:rPr>
                      <w:rFonts w:hint="eastAsia"/>
                      <w:b/>
                      <w:kern w:val="0"/>
                      <w:szCs w:val="21"/>
                      <w:lang w:val="en-US" w:eastAsia="zh-CN"/>
                    </w:rPr>
                    <w:t>h</w:t>
                  </w:r>
                </w:p>
              </w:tc>
              <w:tc>
                <w:tcPr>
                  <w:tcW w:w="240" w:type="pct"/>
                  <w:tcBorders>
                    <w:tl2br w:val="nil"/>
                    <w:tr2bl w:val="nil"/>
                  </w:tcBorders>
                  <w:vAlign w:val="center"/>
                </w:tcPr>
                <w:p w14:paraId="4EABD3F2">
                  <w:pPr>
                    <w:widowControl/>
                    <w:jc w:val="center"/>
                    <w:rPr>
                      <w:b/>
                      <w:kern w:val="0"/>
                      <w:szCs w:val="21"/>
                    </w:rPr>
                  </w:pPr>
                  <w:r>
                    <w:rPr>
                      <w:rFonts w:hint="eastAsia"/>
                      <w:b/>
                      <w:kern w:val="0"/>
                      <w:szCs w:val="21"/>
                    </w:rPr>
                    <w:t>mg/m</w:t>
                  </w:r>
                  <w:r>
                    <w:rPr>
                      <w:rFonts w:hint="eastAsia"/>
                      <w:b/>
                      <w:kern w:val="0"/>
                      <w:szCs w:val="21"/>
                      <w:vertAlign w:val="superscript"/>
                    </w:rPr>
                    <w:t>3</w:t>
                  </w:r>
                </w:p>
              </w:tc>
              <w:tc>
                <w:tcPr>
                  <w:tcW w:w="566" w:type="pct"/>
                  <w:vMerge w:val="continue"/>
                  <w:tcBorders>
                    <w:tl2br w:val="nil"/>
                    <w:tr2bl w:val="nil"/>
                  </w:tcBorders>
                  <w:vAlign w:val="center"/>
                </w:tcPr>
                <w:p w14:paraId="30EED8D6">
                  <w:pPr>
                    <w:overflowPunct w:val="0"/>
                    <w:adjustRightInd w:val="0"/>
                    <w:snapToGrid w:val="0"/>
                    <w:jc w:val="center"/>
                    <w:textAlignment w:val="baseline"/>
                    <w:rPr>
                      <w:b/>
                      <w:kern w:val="0"/>
                      <w:szCs w:val="21"/>
                    </w:rPr>
                  </w:pPr>
                </w:p>
              </w:tc>
              <w:tc>
                <w:tcPr>
                  <w:tcW w:w="300" w:type="pct"/>
                  <w:tcBorders>
                    <w:tl2br w:val="nil"/>
                    <w:tr2bl w:val="nil"/>
                  </w:tcBorders>
                  <w:vAlign w:val="center"/>
                </w:tcPr>
                <w:p w14:paraId="56015A97">
                  <w:pPr>
                    <w:widowControl/>
                    <w:jc w:val="center"/>
                    <w:rPr>
                      <w:rFonts w:hint="eastAsia" w:eastAsia="宋体"/>
                      <w:b/>
                      <w:kern w:val="0"/>
                      <w:szCs w:val="21"/>
                      <w:lang w:eastAsia="zh-CN"/>
                    </w:rPr>
                  </w:pPr>
                  <w:r>
                    <w:rPr>
                      <w:rFonts w:hint="eastAsia"/>
                      <w:b/>
                      <w:kern w:val="0"/>
                      <w:szCs w:val="21"/>
                      <w:lang w:val="en-US" w:eastAsia="zh-CN"/>
                    </w:rPr>
                    <w:t>t/a</w:t>
                  </w:r>
                </w:p>
              </w:tc>
              <w:tc>
                <w:tcPr>
                  <w:tcW w:w="275" w:type="pct"/>
                  <w:tcBorders>
                    <w:tl2br w:val="nil"/>
                    <w:tr2bl w:val="nil"/>
                  </w:tcBorders>
                  <w:vAlign w:val="center"/>
                </w:tcPr>
                <w:p w14:paraId="0CFD2C53">
                  <w:pPr>
                    <w:widowControl/>
                    <w:jc w:val="center"/>
                    <w:rPr>
                      <w:rFonts w:hint="eastAsia" w:eastAsia="宋体"/>
                      <w:b/>
                      <w:kern w:val="0"/>
                      <w:szCs w:val="21"/>
                      <w:lang w:val="en-US" w:eastAsia="zh-CN"/>
                    </w:rPr>
                  </w:pPr>
                  <w:r>
                    <w:rPr>
                      <w:b/>
                      <w:kern w:val="0"/>
                      <w:szCs w:val="21"/>
                    </w:rPr>
                    <w:t>kg/</w:t>
                  </w:r>
                  <w:r>
                    <w:rPr>
                      <w:rFonts w:hint="eastAsia"/>
                      <w:b/>
                      <w:kern w:val="0"/>
                      <w:szCs w:val="21"/>
                      <w:lang w:val="en-US" w:eastAsia="zh-CN"/>
                    </w:rPr>
                    <w:t>h</w:t>
                  </w:r>
                </w:p>
              </w:tc>
              <w:tc>
                <w:tcPr>
                  <w:tcW w:w="264" w:type="pct"/>
                  <w:tcBorders>
                    <w:tl2br w:val="nil"/>
                    <w:tr2bl w:val="nil"/>
                  </w:tcBorders>
                  <w:vAlign w:val="center"/>
                </w:tcPr>
                <w:p w14:paraId="679A1AFB">
                  <w:pPr>
                    <w:widowControl/>
                    <w:jc w:val="center"/>
                    <w:rPr>
                      <w:b/>
                      <w:kern w:val="0"/>
                      <w:szCs w:val="21"/>
                    </w:rPr>
                  </w:pPr>
                  <w:r>
                    <w:rPr>
                      <w:rFonts w:hint="eastAsia"/>
                      <w:b/>
                      <w:kern w:val="0"/>
                      <w:szCs w:val="21"/>
                    </w:rPr>
                    <w:t>mg/m</w:t>
                  </w:r>
                  <w:r>
                    <w:rPr>
                      <w:rFonts w:hint="eastAsia"/>
                      <w:b/>
                      <w:kern w:val="0"/>
                      <w:szCs w:val="21"/>
                      <w:vertAlign w:val="superscript"/>
                    </w:rPr>
                    <w:t>3</w:t>
                  </w:r>
                </w:p>
              </w:tc>
              <w:tc>
                <w:tcPr>
                  <w:tcW w:w="268" w:type="pct"/>
                  <w:tcBorders>
                    <w:tl2br w:val="nil"/>
                    <w:tr2bl w:val="nil"/>
                  </w:tcBorders>
                  <w:vAlign w:val="center"/>
                </w:tcPr>
                <w:p w14:paraId="1E09FD2E">
                  <w:pPr>
                    <w:overflowPunct w:val="0"/>
                    <w:adjustRightInd w:val="0"/>
                    <w:snapToGrid w:val="0"/>
                    <w:jc w:val="center"/>
                    <w:textAlignment w:val="baseline"/>
                    <w:rPr>
                      <w:b/>
                      <w:kern w:val="0"/>
                      <w:szCs w:val="21"/>
                    </w:rPr>
                  </w:pPr>
                  <w:r>
                    <w:rPr>
                      <w:b/>
                      <w:kern w:val="0"/>
                      <w:szCs w:val="21"/>
                    </w:rPr>
                    <w:t>mg/m</w:t>
                  </w:r>
                  <w:r>
                    <w:rPr>
                      <w:b/>
                      <w:kern w:val="0"/>
                      <w:szCs w:val="21"/>
                      <w:vertAlign w:val="superscript"/>
                    </w:rPr>
                    <w:t>3</w:t>
                  </w:r>
                </w:p>
              </w:tc>
              <w:tc>
                <w:tcPr>
                  <w:tcW w:w="252" w:type="pct"/>
                  <w:tcBorders>
                    <w:tl2br w:val="nil"/>
                    <w:tr2bl w:val="nil"/>
                  </w:tcBorders>
                  <w:vAlign w:val="center"/>
                </w:tcPr>
                <w:p w14:paraId="00429A11">
                  <w:pPr>
                    <w:overflowPunct w:val="0"/>
                    <w:adjustRightInd w:val="0"/>
                    <w:snapToGrid w:val="0"/>
                    <w:jc w:val="center"/>
                    <w:textAlignment w:val="baseline"/>
                    <w:rPr>
                      <w:b/>
                      <w:kern w:val="0"/>
                      <w:szCs w:val="21"/>
                    </w:rPr>
                  </w:pPr>
                  <w:r>
                    <w:rPr>
                      <w:b/>
                      <w:kern w:val="0"/>
                      <w:szCs w:val="21"/>
                    </w:rPr>
                    <w:t>速率kg/h</w:t>
                  </w:r>
                </w:p>
              </w:tc>
              <w:tc>
                <w:tcPr>
                  <w:tcW w:w="204" w:type="pct"/>
                  <w:vMerge w:val="continue"/>
                  <w:tcBorders>
                    <w:tl2br w:val="nil"/>
                    <w:tr2bl w:val="nil"/>
                  </w:tcBorders>
                  <w:vAlign w:val="center"/>
                </w:tcPr>
                <w:p w14:paraId="161D352D">
                  <w:pPr>
                    <w:overflowPunct w:val="0"/>
                    <w:adjustRightInd w:val="0"/>
                    <w:snapToGrid w:val="0"/>
                    <w:jc w:val="center"/>
                    <w:textAlignment w:val="baseline"/>
                    <w:rPr>
                      <w:b/>
                      <w:kern w:val="0"/>
                      <w:szCs w:val="21"/>
                    </w:rPr>
                  </w:pPr>
                </w:p>
              </w:tc>
              <w:tc>
                <w:tcPr>
                  <w:tcW w:w="203" w:type="pct"/>
                  <w:tcBorders>
                    <w:tl2br w:val="nil"/>
                    <w:tr2bl w:val="nil"/>
                  </w:tcBorders>
                  <w:vAlign w:val="center"/>
                </w:tcPr>
                <w:p w14:paraId="798DBF43">
                  <w:pPr>
                    <w:overflowPunct w:val="0"/>
                    <w:adjustRightInd w:val="0"/>
                    <w:snapToGrid w:val="0"/>
                    <w:jc w:val="center"/>
                    <w:textAlignment w:val="baseline"/>
                    <w:rPr>
                      <w:b/>
                      <w:kern w:val="0"/>
                      <w:szCs w:val="21"/>
                    </w:rPr>
                  </w:pPr>
                  <w:r>
                    <w:rPr>
                      <w:b/>
                      <w:kern w:val="0"/>
                      <w:szCs w:val="21"/>
                    </w:rPr>
                    <w:t>高度</w:t>
                  </w:r>
                </w:p>
                <w:p w14:paraId="4DEF5339">
                  <w:pPr>
                    <w:overflowPunct w:val="0"/>
                    <w:adjustRightInd w:val="0"/>
                    <w:snapToGrid w:val="0"/>
                    <w:jc w:val="center"/>
                    <w:textAlignment w:val="baseline"/>
                    <w:rPr>
                      <w:b/>
                      <w:kern w:val="0"/>
                      <w:szCs w:val="21"/>
                    </w:rPr>
                  </w:pPr>
                  <w:r>
                    <w:rPr>
                      <w:b/>
                      <w:kern w:val="0"/>
                      <w:szCs w:val="21"/>
                    </w:rPr>
                    <w:t>m</w:t>
                  </w:r>
                </w:p>
              </w:tc>
              <w:tc>
                <w:tcPr>
                  <w:tcW w:w="230" w:type="pct"/>
                  <w:tcBorders>
                    <w:tl2br w:val="nil"/>
                    <w:tr2bl w:val="nil"/>
                  </w:tcBorders>
                  <w:vAlign w:val="center"/>
                </w:tcPr>
                <w:p w14:paraId="715894AF">
                  <w:pPr>
                    <w:overflowPunct w:val="0"/>
                    <w:adjustRightInd w:val="0"/>
                    <w:snapToGrid w:val="0"/>
                    <w:jc w:val="center"/>
                    <w:textAlignment w:val="baseline"/>
                    <w:rPr>
                      <w:b/>
                      <w:kern w:val="0"/>
                      <w:szCs w:val="21"/>
                    </w:rPr>
                  </w:pPr>
                  <w:r>
                    <w:rPr>
                      <w:b/>
                      <w:kern w:val="0"/>
                      <w:szCs w:val="21"/>
                    </w:rPr>
                    <w:t>直径</w:t>
                  </w:r>
                </w:p>
                <w:p w14:paraId="6E4CFBC0">
                  <w:pPr>
                    <w:overflowPunct w:val="0"/>
                    <w:adjustRightInd w:val="0"/>
                    <w:snapToGrid w:val="0"/>
                    <w:jc w:val="center"/>
                    <w:textAlignment w:val="baseline"/>
                    <w:rPr>
                      <w:b/>
                      <w:kern w:val="0"/>
                      <w:szCs w:val="21"/>
                    </w:rPr>
                  </w:pPr>
                  <w:r>
                    <w:rPr>
                      <w:b/>
                      <w:kern w:val="0"/>
                      <w:szCs w:val="21"/>
                    </w:rPr>
                    <w:t>m</w:t>
                  </w:r>
                </w:p>
              </w:tc>
              <w:tc>
                <w:tcPr>
                  <w:tcW w:w="230" w:type="pct"/>
                  <w:tcBorders>
                    <w:tl2br w:val="nil"/>
                    <w:tr2bl w:val="nil"/>
                  </w:tcBorders>
                  <w:vAlign w:val="center"/>
                </w:tcPr>
                <w:p w14:paraId="1A62F076">
                  <w:pPr>
                    <w:overflowPunct w:val="0"/>
                    <w:adjustRightInd w:val="0"/>
                    <w:snapToGrid w:val="0"/>
                    <w:jc w:val="center"/>
                    <w:textAlignment w:val="baseline"/>
                    <w:rPr>
                      <w:b/>
                      <w:kern w:val="0"/>
                      <w:szCs w:val="21"/>
                    </w:rPr>
                  </w:pPr>
                  <w:r>
                    <w:rPr>
                      <w:b/>
                      <w:kern w:val="0"/>
                      <w:szCs w:val="21"/>
                    </w:rPr>
                    <w:t>温度</w:t>
                  </w:r>
                </w:p>
                <w:p w14:paraId="60AF8E25">
                  <w:pPr>
                    <w:overflowPunct w:val="0"/>
                    <w:adjustRightInd w:val="0"/>
                    <w:snapToGrid w:val="0"/>
                    <w:jc w:val="center"/>
                    <w:textAlignment w:val="baseline"/>
                    <w:rPr>
                      <w:b/>
                      <w:kern w:val="0"/>
                      <w:szCs w:val="21"/>
                    </w:rPr>
                  </w:pPr>
                  <w:r>
                    <w:rPr>
                      <w:rFonts w:hint="eastAsia" w:cs="宋体"/>
                      <w:b/>
                      <w:kern w:val="0"/>
                      <w:szCs w:val="21"/>
                    </w:rPr>
                    <w:t>℃</w:t>
                  </w:r>
                </w:p>
              </w:tc>
              <w:tc>
                <w:tcPr>
                  <w:tcW w:w="302" w:type="pct"/>
                  <w:tcBorders>
                    <w:tl2br w:val="nil"/>
                    <w:tr2bl w:val="nil"/>
                  </w:tcBorders>
                  <w:vAlign w:val="center"/>
                </w:tcPr>
                <w:p w14:paraId="49ED12E2">
                  <w:pPr>
                    <w:overflowPunct w:val="0"/>
                    <w:adjustRightInd w:val="0"/>
                    <w:snapToGrid w:val="0"/>
                    <w:jc w:val="center"/>
                    <w:textAlignment w:val="baseline"/>
                    <w:rPr>
                      <w:b/>
                      <w:kern w:val="0"/>
                      <w:szCs w:val="21"/>
                    </w:rPr>
                  </w:pPr>
                  <w:r>
                    <w:rPr>
                      <w:b/>
                      <w:kern w:val="0"/>
                      <w:szCs w:val="21"/>
                    </w:rPr>
                    <w:t>排气量</w:t>
                  </w:r>
                </w:p>
                <w:p w14:paraId="26FA4218">
                  <w:pPr>
                    <w:overflowPunct w:val="0"/>
                    <w:adjustRightInd w:val="0"/>
                    <w:snapToGrid w:val="0"/>
                    <w:jc w:val="center"/>
                    <w:textAlignment w:val="baseline"/>
                    <w:rPr>
                      <w:b/>
                      <w:kern w:val="0"/>
                      <w:szCs w:val="21"/>
                    </w:rPr>
                  </w:pPr>
                  <w:r>
                    <w:rPr>
                      <w:b/>
                      <w:kern w:val="0"/>
                      <w:szCs w:val="21"/>
                    </w:rPr>
                    <w:t>Nm</w:t>
                  </w:r>
                  <w:r>
                    <w:rPr>
                      <w:b/>
                      <w:kern w:val="0"/>
                      <w:szCs w:val="21"/>
                      <w:vertAlign w:val="superscript"/>
                    </w:rPr>
                    <w:t>3</w:t>
                  </w:r>
                  <w:r>
                    <w:rPr>
                      <w:b/>
                      <w:kern w:val="0"/>
                      <w:szCs w:val="21"/>
                    </w:rPr>
                    <w:t>/h</w:t>
                  </w:r>
                </w:p>
              </w:tc>
              <w:tc>
                <w:tcPr>
                  <w:tcW w:w="226" w:type="pct"/>
                  <w:vMerge w:val="continue"/>
                  <w:tcBorders>
                    <w:tl2br w:val="nil"/>
                    <w:tr2bl w:val="nil"/>
                  </w:tcBorders>
                  <w:vAlign w:val="center"/>
                </w:tcPr>
                <w:p w14:paraId="69C64BF6">
                  <w:pPr>
                    <w:overflowPunct w:val="0"/>
                    <w:adjustRightInd w:val="0"/>
                    <w:snapToGrid w:val="0"/>
                    <w:jc w:val="center"/>
                    <w:textAlignment w:val="baseline"/>
                    <w:rPr>
                      <w:b/>
                      <w:kern w:val="0"/>
                      <w:szCs w:val="21"/>
                    </w:rPr>
                  </w:pPr>
                </w:p>
              </w:tc>
            </w:tr>
            <w:tr w14:paraId="5197A64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413" w:hRule="atLeast"/>
                <w:jc w:val="center"/>
              </w:trPr>
              <w:tc>
                <w:tcPr>
                  <w:tcW w:w="263" w:type="pct"/>
                  <w:tcBorders>
                    <w:tl2br w:val="nil"/>
                    <w:tr2bl w:val="nil"/>
                  </w:tcBorders>
                  <w:vAlign w:val="center"/>
                </w:tcPr>
                <w:p w14:paraId="0209BC58">
                  <w:pPr>
                    <w:overflowPunct w:val="0"/>
                    <w:adjustRightInd w:val="0"/>
                    <w:snapToGrid w:val="0"/>
                    <w:jc w:val="center"/>
                    <w:textAlignment w:val="baseline"/>
                    <w:rPr>
                      <w:szCs w:val="21"/>
                    </w:rPr>
                  </w:pPr>
                  <w:r>
                    <w:rPr>
                      <w:rFonts w:hint="eastAsia"/>
                      <w:kern w:val="0"/>
                      <w:szCs w:val="21"/>
                    </w:rPr>
                    <w:t>D</w:t>
                  </w:r>
                  <w:r>
                    <w:rPr>
                      <w:kern w:val="0"/>
                      <w:szCs w:val="21"/>
                    </w:rPr>
                    <w:t>A001</w:t>
                  </w:r>
                </w:p>
              </w:tc>
              <w:tc>
                <w:tcPr>
                  <w:tcW w:w="253" w:type="pct"/>
                  <w:tcBorders>
                    <w:tl2br w:val="nil"/>
                    <w:tr2bl w:val="nil"/>
                  </w:tcBorders>
                  <w:vAlign w:val="center"/>
                </w:tcPr>
                <w:p w14:paraId="7A92C083">
                  <w:pPr>
                    <w:jc w:val="center"/>
                    <w:rPr>
                      <w:rFonts w:hint="default" w:eastAsia="宋体"/>
                      <w:szCs w:val="21"/>
                      <w:lang w:val="en-US" w:eastAsia="zh-CN"/>
                    </w:rPr>
                  </w:pPr>
                  <w:r>
                    <w:rPr>
                      <w:rFonts w:hint="eastAsia"/>
                      <w:szCs w:val="21"/>
                      <w:lang w:val="en-US" w:eastAsia="zh-CN"/>
                    </w:rPr>
                    <w:t>焊接</w:t>
                  </w:r>
                </w:p>
              </w:tc>
              <w:tc>
                <w:tcPr>
                  <w:tcW w:w="319" w:type="pct"/>
                  <w:tcBorders>
                    <w:tl2br w:val="nil"/>
                    <w:tr2bl w:val="nil"/>
                  </w:tcBorders>
                  <w:vAlign w:val="center"/>
                </w:tcPr>
                <w:p w14:paraId="4F1842AC">
                  <w:pPr>
                    <w:jc w:val="center"/>
                    <w:rPr>
                      <w:rFonts w:hint="default" w:eastAsia="宋体"/>
                      <w:bCs/>
                      <w:szCs w:val="21"/>
                      <w:lang w:val="en-US" w:eastAsia="zh-CN"/>
                    </w:rPr>
                  </w:pPr>
                  <w:r>
                    <w:rPr>
                      <w:rFonts w:hint="eastAsia"/>
                      <w:bCs/>
                      <w:szCs w:val="21"/>
                      <w:lang w:val="en-US" w:eastAsia="zh-CN"/>
                    </w:rPr>
                    <w:t>颗粒物</w:t>
                  </w:r>
                </w:p>
              </w:tc>
              <w:tc>
                <w:tcPr>
                  <w:tcW w:w="279" w:type="pct"/>
                  <w:tcBorders>
                    <w:tl2br w:val="nil"/>
                    <w:tr2bl w:val="nil"/>
                  </w:tcBorders>
                  <w:vAlign w:val="center"/>
                </w:tcPr>
                <w:p w14:paraId="70C29D05">
                  <w:pPr>
                    <w:widowControl/>
                    <w:jc w:val="center"/>
                    <w:rPr>
                      <w:rFonts w:hint="default" w:eastAsia="宋体"/>
                      <w:kern w:val="0"/>
                      <w:szCs w:val="21"/>
                      <w:lang w:val="en-US" w:eastAsia="zh-CN"/>
                    </w:rPr>
                  </w:pPr>
                  <w:r>
                    <w:rPr>
                      <w:rFonts w:hint="eastAsia"/>
                      <w:kern w:val="0"/>
                      <w:szCs w:val="21"/>
                      <w:lang w:val="en-US" w:eastAsia="zh-CN"/>
                    </w:rPr>
                    <w:t>0.515t/a</w:t>
                  </w:r>
                </w:p>
              </w:tc>
              <w:tc>
                <w:tcPr>
                  <w:tcW w:w="319" w:type="pct"/>
                  <w:tcBorders>
                    <w:tl2br w:val="nil"/>
                    <w:tr2bl w:val="nil"/>
                  </w:tcBorders>
                  <w:vAlign w:val="center"/>
                </w:tcPr>
                <w:p w14:paraId="750EAF2A">
                  <w:pPr>
                    <w:widowControl/>
                    <w:jc w:val="center"/>
                    <w:rPr>
                      <w:rFonts w:hint="default" w:eastAsia="宋体"/>
                      <w:kern w:val="0"/>
                      <w:szCs w:val="21"/>
                      <w:lang w:val="en-US" w:eastAsia="zh-CN"/>
                    </w:rPr>
                  </w:pPr>
                  <w:r>
                    <w:rPr>
                      <w:rFonts w:hint="eastAsia"/>
                      <w:kern w:val="0"/>
                      <w:szCs w:val="21"/>
                      <w:lang w:val="en-US" w:eastAsia="zh-CN"/>
                    </w:rPr>
                    <w:t>0.072</w:t>
                  </w:r>
                </w:p>
              </w:tc>
              <w:tc>
                <w:tcPr>
                  <w:tcW w:w="240" w:type="pct"/>
                  <w:tcBorders>
                    <w:tl2br w:val="nil"/>
                    <w:tr2bl w:val="nil"/>
                  </w:tcBorders>
                  <w:vAlign w:val="center"/>
                </w:tcPr>
                <w:p w14:paraId="4F62E341">
                  <w:pPr>
                    <w:widowControl/>
                    <w:jc w:val="center"/>
                    <w:rPr>
                      <w:rFonts w:hint="default" w:eastAsia="宋体"/>
                      <w:kern w:val="0"/>
                      <w:szCs w:val="21"/>
                      <w:lang w:val="en-US" w:eastAsia="zh-CN"/>
                    </w:rPr>
                  </w:pPr>
                  <w:r>
                    <w:rPr>
                      <w:rFonts w:hint="eastAsia"/>
                      <w:kern w:val="0"/>
                      <w:szCs w:val="21"/>
                      <w:lang w:val="en-US" w:eastAsia="zh-CN"/>
                    </w:rPr>
                    <w:t>4.8</w:t>
                  </w:r>
                </w:p>
              </w:tc>
              <w:tc>
                <w:tcPr>
                  <w:tcW w:w="566" w:type="pct"/>
                  <w:tcBorders>
                    <w:tl2br w:val="nil"/>
                    <w:tr2bl w:val="nil"/>
                  </w:tcBorders>
                  <w:vAlign w:val="center"/>
                </w:tcPr>
                <w:p w14:paraId="69C33775">
                  <w:pPr>
                    <w:jc w:val="center"/>
                    <w:rPr>
                      <w:szCs w:val="21"/>
                    </w:rPr>
                  </w:pPr>
                  <w:r>
                    <w:rPr>
                      <w:rFonts w:hint="eastAsia"/>
                      <w:szCs w:val="21"/>
                      <w:lang w:val="en-US" w:eastAsia="zh-CN"/>
                    </w:rPr>
                    <w:t>布袋除尘</w:t>
                  </w:r>
                  <w:r>
                    <w:rPr>
                      <w:bCs/>
                      <w:szCs w:val="21"/>
                    </w:rPr>
                    <w:t>（</w:t>
                  </w:r>
                  <w:r>
                    <w:rPr>
                      <w:szCs w:val="21"/>
                      <w:lang w:val="en-GB"/>
                    </w:rPr>
                    <w:t>处理效率9</w:t>
                  </w:r>
                  <w:r>
                    <w:rPr>
                      <w:rFonts w:hint="eastAsia"/>
                      <w:szCs w:val="21"/>
                      <w:lang w:val="en-US" w:eastAsia="zh-CN"/>
                    </w:rPr>
                    <w:t>5</w:t>
                  </w:r>
                  <w:r>
                    <w:rPr>
                      <w:szCs w:val="21"/>
                      <w:lang w:val="en-GB"/>
                    </w:rPr>
                    <w:t>%</w:t>
                  </w:r>
                  <w:r>
                    <w:rPr>
                      <w:bCs/>
                      <w:szCs w:val="21"/>
                    </w:rPr>
                    <w:t>）</w:t>
                  </w:r>
                </w:p>
              </w:tc>
              <w:tc>
                <w:tcPr>
                  <w:tcW w:w="300" w:type="pct"/>
                  <w:tcBorders>
                    <w:tl2br w:val="nil"/>
                    <w:tr2bl w:val="nil"/>
                  </w:tcBorders>
                  <w:vAlign w:val="center"/>
                </w:tcPr>
                <w:p w14:paraId="0259AE66">
                  <w:pPr>
                    <w:widowControl/>
                    <w:jc w:val="center"/>
                    <w:rPr>
                      <w:rFonts w:hint="default" w:eastAsia="宋体"/>
                      <w:kern w:val="0"/>
                      <w:szCs w:val="21"/>
                      <w:lang w:val="en-US" w:eastAsia="zh-CN"/>
                    </w:rPr>
                  </w:pPr>
                  <w:r>
                    <w:rPr>
                      <w:rFonts w:hint="eastAsia"/>
                      <w:kern w:val="0"/>
                      <w:szCs w:val="21"/>
                      <w:lang w:val="en-US" w:eastAsia="zh-CN"/>
                    </w:rPr>
                    <w:t>0.026</w:t>
                  </w:r>
                </w:p>
              </w:tc>
              <w:tc>
                <w:tcPr>
                  <w:tcW w:w="275" w:type="pct"/>
                  <w:tcBorders>
                    <w:tl2br w:val="nil"/>
                    <w:tr2bl w:val="nil"/>
                  </w:tcBorders>
                  <w:vAlign w:val="center"/>
                </w:tcPr>
                <w:p w14:paraId="45843AC6">
                  <w:pPr>
                    <w:widowControl/>
                    <w:jc w:val="center"/>
                    <w:rPr>
                      <w:rFonts w:hint="default" w:eastAsia="宋体"/>
                      <w:kern w:val="0"/>
                      <w:szCs w:val="21"/>
                      <w:lang w:val="en-US" w:eastAsia="zh-CN"/>
                    </w:rPr>
                  </w:pPr>
                  <w:r>
                    <w:rPr>
                      <w:rFonts w:hint="eastAsia"/>
                      <w:kern w:val="0"/>
                      <w:szCs w:val="21"/>
                      <w:lang w:val="en-US" w:eastAsia="zh-CN"/>
                    </w:rPr>
                    <w:t>0.0036</w:t>
                  </w:r>
                </w:p>
              </w:tc>
              <w:tc>
                <w:tcPr>
                  <w:tcW w:w="264" w:type="pct"/>
                  <w:tcBorders>
                    <w:tl2br w:val="nil"/>
                    <w:tr2bl w:val="nil"/>
                  </w:tcBorders>
                  <w:vAlign w:val="center"/>
                </w:tcPr>
                <w:p w14:paraId="7CCF8EDA">
                  <w:pPr>
                    <w:widowControl/>
                    <w:jc w:val="center"/>
                    <w:rPr>
                      <w:rFonts w:hint="default" w:eastAsia="宋体"/>
                      <w:kern w:val="0"/>
                      <w:szCs w:val="21"/>
                      <w:lang w:val="en-US" w:eastAsia="zh-CN"/>
                    </w:rPr>
                  </w:pPr>
                  <w:r>
                    <w:rPr>
                      <w:rFonts w:hint="eastAsia"/>
                      <w:kern w:val="0"/>
                      <w:szCs w:val="21"/>
                      <w:lang w:val="en-US" w:eastAsia="zh-CN"/>
                    </w:rPr>
                    <w:t>0.24</w:t>
                  </w:r>
                </w:p>
              </w:tc>
              <w:tc>
                <w:tcPr>
                  <w:tcW w:w="268" w:type="pct"/>
                  <w:tcBorders>
                    <w:tl2br w:val="nil"/>
                    <w:tr2bl w:val="nil"/>
                  </w:tcBorders>
                  <w:vAlign w:val="center"/>
                </w:tcPr>
                <w:p w14:paraId="41A838A2">
                  <w:pPr>
                    <w:overflowPunct w:val="0"/>
                    <w:adjustRightInd w:val="0"/>
                    <w:snapToGrid w:val="0"/>
                    <w:jc w:val="center"/>
                    <w:textAlignment w:val="baseline"/>
                    <w:rPr>
                      <w:rFonts w:hint="default" w:eastAsia="宋体"/>
                      <w:kern w:val="0"/>
                      <w:szCs w:val="21"/>
                      <w:lang w:val="en-US" w:eastAsia="zh-CN"/>
                    </w:rPr>
                  </w:pPr>
                  <w:r>
                    <w:rPr>
                      <w:rFonts w:hint="eastAsia"/>
                      <w:kern w:val="0"/>
                      <w:szCs w:val="21"/>
                      <w:lang w:val="en-US" w:eastAsia="zh-CN"/>
                    </w:rPr>
                    <w:t>120</w:t>
                  </w:r>
                </w:p>
              </w:tc>
              <w:tc>
                <w:tcPr>
                  <w:tcW w:w="252" w:type="pct"/>
                  <w:tcBorders>
                    <w:tl2br w:val="nil"/>
                    <w:tr2bl w:val="nil"/>
                  </w:tcBorders>
                  <w:vAlign w:val="center"/>
                </w:tcPr>
                <w:p w14:paraId="6D916701">
                  <w:pPr>
                    <w:overflowPunct w:val="0"/>
                    <w:adjustRightInd w:val="0"/>
                    <w:snapToGrid w:val="0"/>
                    <w:jc w:val="center"/>
                    <w:textAlignment w:val="baseline"/>
                    <w:rPr>
                      <w:rFonts w:hint="default" w:eastAsia="宋体"/>
                      <w:kern w:val="0"/>
                      <w:szCs w:val="21"/>
                      <w:lang w:val="en-US" w:eastAsia="zh-CN"/>
                    </w:rPr>
                  </w:pPr>
                  <w:r>
                    <w:rPr>
                      <w:rFonts w:hint="eastAsia"/>
                      <w:kern w:val="0"/>
                      <w:szCs w:val="21"/>
                      <w:lang w:val="en-US" w:eastAsia="zh-CN"/>
                    </w:rPr>
                    <w:t>3.5</w:t>
                  </w:r>
                </w:p>
              </w:tc>
              <w:tc>
                <w:tcPr>
                  <w:tcW w:w="204" w:type="pct"/>
                  <w:tcBorders>
                    <w:tl2br w:val="nil"/>
                    <w:tr2bl w:val="nil"/>
                  </w:tcBorders>
                  <w:vAlign w:val="center"/>
                </w:tcPr>
                <w:p w14:paraId="7E298E7D">
                  <w:pPr>
                    <w:overflowPunct w:val="0"/>
                    <w:adjustRightInd w:val="0"/>
                    <w:snapToGrid w:val="0"/>
                    <w:jc w:val="center"/>
                    <w:textAlignment w:val="baseline"/>
                    <w:rPr>
                      <w:kern w:val="0"/>
                      <w:szCs w:val="21"/>
                    </w:rPr>
                  </w:pPr>
                  <w:r>
                    <w:rPr>
                      <w:szCs w:val="21"/>
                    </w:rPr>
                    <w:t>达标</w:t>
                  </w:r>
                </w:p>
              </w:tc>
              <w:tc>
                <w:tcPr>
                  <w:tcW w:w="203" w:type="pct"/>
                  <w:tcBorders>
                    <w:tl2br w:val="nil"/>
                    <w:tr2bl w:val="nil"/>
                  </w:tcBorders>
                  <w:vAlign w:val="center"/>
                </w:tcPr>
                <w:p w14:paraId="0918E022">
                  <w:pPr>
                    <w:keepNext w:val="0"/>
                    <w:keepLines w:val="0"/>
                    <w:pageBreakBefore w:val="0"/>
                    <w:kinsoku/>
                    <w:wordWrap/>
                    <w:overflowPunct w:val="0"/>
                    <w:topLinePunct w:val="0"/>
                    <w:autoSpaceDE/>
                    <w:autoSpaceDN/>
                    <w:bidi w:val="0"/>
                    <w:adjustRightInd w:val="0"/>
                    <w:snapToGrid w:val="0"/>
                    <w:ind w:left="0" w:leftChars="0" w:right="0" w:rightChars="0"/>
                    <w:jc w:val="center"/>
                    <w:textAlignment w:val="baseline"/>
                    <w:rPr>
                      <w:rFonts w:hint="default" w:eastAsia="宋体"/>
                      <w:szCs w:val="21"/>
                      <w:lang w:val="en-US" w:eastAsia="zh-CN"/>
                    </w:rPr>
                  </w:pPr>
                  <w:r>
                    <w:rPr>
                      <w:rFonts w:hint="eastAsia"/>
                      <w:kern w:val="0"/>
                      <w:szCs w:val="21"/>
                      <w:lang w:val="en-US" w:eastAsia="zh-CN"/>
                    </w:rPr>
                    <w:t>20</w:t>
                  </w:r>
                </w:p>
              </w:tc>
              <w:tc>
                <w:tcPr>
                  <w:tcW w:w="230" w:type="pct"/>
                  <w:tcBorders>
                    <w:tl2br w:val="nil"/>
                    <w:tr2bl w:val="nil"/>
                  </w:tcBorders>
                  <w:vAlign w:val="center"/>
                </w:tcPr>
                <w:p w14:paraId="03EBA363">
                  <w:pPr>
                    <w:keepNext w:val="0"/>
                    <w:keepLines w:val="0"/>
                    <w:pageBreakBefore w:val="0"/>
                    <w:kinsoku/>
                    <w:wordWrap/>
                    <w:overflowPunct w:val="0"/>
                    <w:topLinePunct w:val="0"/>
                    <w:autoSpaceDE/>
                    <w:autoSpaceDN/>
                    <w:bidi w:val="0"/>
                    <w:adjustRightInd w:val="0"/>
                    <w:snapToGrid w:val="0"/>
                    <w:ind w:left="0" w:leftChars="0" w:right="0" w:rightChars="0"/>
                    <w:jc w:val="center"/>
                    <w:textAlignment w:val="baseline"/>
                    <w:rPr>
                      <w:szCs w:val="21"/>
                    </w:rPr>
                  </w:pPr>
                  <w:r>
                    <w:rPr>
                      <w:kern w:val="0"/>
                      <w:szCs w:val="21"/>
                    </w:rPr>
                    <w:t>0.</w:t>
                  </w:r>
                  <w:r>
                    <w:rPr>
                      <w:rFonts w:hint="eastAsia"/>
                      <w:kern w:val="0"/>
                      <w:szCs w:val="21"/>
                      <w:lang w:val="en-US" w:eastAsia="zh-CN"/>
                    </w:rPr>
                    <w:t>6</w:t>
                  </w:r>
                </w:p>
              </w:tc>
              <w:tc>
                <w:tcPr>
                  <w:tcW w:w="230" w:type="pct"/>
                  <w:tcBorders>
                    <w:tl2br w:val="nil"/>
                    <w:tr2bl w:val="nil"/>
                  </w:tcBorders>
                  <w:vAlign w:val="center"/>
                </w:tcPr>
                <w:p w14:paraId="6D571B40">
                  <w:pPr>
                    <w:keepNext w:val="0"/>
                    <w:keepLines w:val="0"/>
                    <w:pageBreakBefore w:val="0"/>
                    <w:kinsoku/>
                    <w:wordWrap/>
                    <w:overflowPunct w:val="0"/>
                    <w:topLinePunct w:val="0"/>
                    <w:autoSpaceDE/>
                    <w:autoSpaceDN/>
                    <w:bidi w:val="0"/>
                    <w:adjustRightInd w:val="0"/>
                    <w:snapToGrid w:val="0"/>
                    <w:ind w:left="0" w:leftChars="0" w:right="0" w:rightChars="0"/>
                    <w:jc w:val="center"/>
                    <w:textAlignment w:val="baseline"/>
                    <w:rPr>
                      <w:szCs w:val="21"/>
                    </w:rPr>
                  </w:pPr>
                  <w:r>
                    <w:rPr>
                      <w:kern w:val="0"/>
                      <w:szCs w:val="21"/>
                    </w:rPr>
                    <w:t>25</w:t>
                  </w:r>
                </w:p>
              </w:tc>
              <w:tc>
                <w:tcPr>
                  <w:tcW w:w="302" w:type="pct"/>
                  <w:tcBorders>
                    <w:tl2br w:val="nil"/>
                    <w:tr2bl w:val="nil"/>
                  </w:tcBorders>
                  <w:vAlign w:val="center"/>
                </w:tcPr>
                <w:p w14:paraId="74FECAE2">
                  <w:pPr>
                    <w:keepNext w:val="0"/>
                    <w:keepLines w:val="0"/>
                    <w:pageBreakBefore w:val="0"/>
                    <w:widowControl/>
                    <w:tabs>
                      <w:tab w:val="left" w:pos="2200"/>
                      <w:tab w:val="left" w:pos="3960"/>
                      <w:tab w:val="left" w:pos="5280"/>
                    </w:tabs>
                    <w:kinsoku/>
                    <w:wordWrap/>
                    <w:topLinePunct w:val="0"/>
                    <w:autoSpaceDE/>
                    <w:autoSpaceDN/>
                    <w:bidi w:val="0"/>
                    <w:ind w:left="0" w:leftChars="0" w:right="0" w:rightChars="0"/>
                    <w:jc w:val="center"/>
                    <w:rPr>
                      <w:szCs w:val="21"/>
                    </w:rPr>
                  </w:pPr>
                  <w:r>
                    <w:rPr>
                      <w:bCs/>
                      <w:kern w:val="0"/>
                      <w:szCs w:val="21"/>
                    </w:rPr>
                    <w:t>15000</w:t>
                  </w:r>
                </w:p>
              </w:tc>
              <w:tc>
                <w:tcPr>
                  <w:tcW w:w="226" w:type="pct"/>
                  <w:tcBorders>
                    <w:tl2br w:val="nil"/>
                    <w:tr2bl w:val="nil"/>
                  </w:tcBorders>
                  <w:vAlign w:val="center"/>
                </w:tcPr>
                <w:p w14:paraId="1498FFB7">
                  <w:pPr>
                    <w:keepNext w:val="0"/>
                    <w:keepLines w:val="0"/>
                    <w:pageBreakBefore w:val="0"/>
                    <w:kinsoku/>
                    <w:wordWrap/>
                    <w:topLinePunct w:val="0"/>
                    <w:autoSpaceDE/>
                    <w:autoSpaceDN/>
                    <w:bidi w:val="0"/>
                    <w:ind w:left="0" w:leftChars="0" w:right="0" w:rightChars="0"/>
                    <w:jc w:val="center"/>
                    <w:rPr>
                      <w:rFonts w:hint="default" w:eastAsia="宋体"/>
                      <w:szCs w:val="21"/>
                      <w:lang w:val="en-US" w:eastAsia="zh-CN"/>
                    </w:rPr>
                  </w:pPr>
                  <w:r>
                    <w:rPr>
                      <w:rFonts w:hint="eastAsia"/>
                      <w:kern w:val="0"/>
                      <w:szCs w:val="21"/>
                      <w:lang w:val="en-US" w:eastAsia="zh-CN"/>
                    </w:rPr>
                    <w:t>7200</w:t>
                  </w:r>
                </w:p>
              </w:tc>
            </w:tr>
          </w:tbl>
          <w:p w14:paraId="7A8E51BB">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表4-</w:t>
            </w:r>
            <w:r>
              <w:rPr>
                <w:rFonts w:hint="eastAsia"/>
                <w:b/>
                <w:bCs/>
                <w:caps w:val="0"/>
                <w:color w:val="000000" w:themeColor="text1"/>
                <w:sz w:val="24"/>
                <w:szCs w:val="32"/>
                <w:highlight w:val="none"/>
                <w:lang w:val="en-US" w:eastAsia="zh-CN"/>
                <w14:textFill>
                  <w14:solidFill>
                    <w14:schemeClr w14:val="tx1"/>
                  </w14:solidFill>
                </w14:textFill>
              </w:rPr>
              <w:t>3</w:t>
            </w:r>
            <w:r>
              <w:rPr>
                <w:rFonts w:ascii="Times New Roman" w:hAnsi="Times New Roman" w:eastAsia="宋体"/>
                <w:b/>
                <w:bCs/>
                <w:caps w:val="0"/>
                <w:color w:val="000000" w:themeColor="text1"/>
                <w:sz w:val="24"/>
                <w:szCs w:val="32"/>
                <w:highlight w:val="none"/>
                <w14:textFill>
                  <w14:solidFill>
                    <w14:schemeClr w14:val="tx1"/>
                  </w14:solidFill>
                </w14:textFill>
              </w:rPr>
              <w:t xml:space="preserve"> </w:t>
            </w:r>
            <w:r>
              <w:rPr>
                <w:rFonts w:hint="eastAsia" w:ascii="Times New Roman" w:hAnsi="Times New Roman" w:eastAsia="宋体"/>
                <w:b/>
                <w:bCs/>
                <w:caps w:val="0"/>
                <w:color w:val="000000" w:themeColor="text1"/>
                <w:sz w:val="24"/>
                <w:szCs w:val="32"/>
                <w:highlight w:val="none"/>
                <w14:textFill>
                  <w14:solidFill>
                    <w14:schemeClr w14:val="tx1"/>
                  </w14:solidFill>
                </w14:textFill>
              </w:rPr>
              <w:t>主要大气污染源及污染物无组织排放情况</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12"/>
              <w:gridCol w:w="591"/>
              <w:gridCol w:w="709"/>
              <w:gridCol w:w="877"/>
              <w:gridCol w:w="703"/>
              <w:gridCol w:w="909"/>
              <w:gridCol w:w="877"/>
              <w:gridCol w:w="687"/>
              <w:gridCol w:w="892"/>
              <w:gridCol w:w="1016"/>
              <w:gridCol w:w="1117"/>
              <w:gridCol w:w="1083"/>
              <w:gridCol w:w="934"/>
              <w:gridCol w:w="900"/>
              <w:gridCol w:w="949"/>
            </w:tblGrid>
            <w:tr w14:paraId="2C1862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7" w:hRule="atLeast"/>
                <w:jc w:val="center"/>
              </w:trPr>
              <w:tc>
                <w:tcPr>
                  <w:tcW w:w="124" w:type="pct"/>
                  <w:vMerge w:val="restart"/>
                  <w:tcBorders>
                    <w:tl2br w:val="nil"/>
                    <w:tr2bl w:val="nil"/>
                  </w:tcBorders>
                  <w:noWrap w:val="0"/>
                  <w:tcMar>
                    <w:top w:w="15" w:type="dxa"/>
                    <w:left w:w="15" w:type="dxa"/>
                    <w:right w:w="15" w:type="dxa"/>
                  </w:tcMar>
                  <w:vAlign w:val="center"/>
                </w:tcPr>
                <w:p w14:paraId="23810F81">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序号</w:t>
                  </w:r>
                </w:p>
              </w:tc>
              <w:tc>
                <w:tcPr>
                  <w:tcW w:w="235" w:type="pct"/>
                  <w:vMerge w:val="restart"/>
                  <w:tcBorders>
                    <w:tl2br w:val="nil"/>
                    <w:tr2bl w:val="nil"/>
                  </w:tcBorders>
                  <w:noWrap w:val="0"/>
                  <w:tcMar>
                    <w:top w:w="15" w:type="dxa"/>
                    <w:left w:w="15" w:type="dxa"/>
                    <w:right w:w="15" w:type="dxa"/>
                  </w:tcMar>
                  <w:vAlign w:val="center"/>
                </w:tcPr>
                <w:p w14:paraId="17B0606F">
                  <w:pPr>
                    <w:pStyle w:val="1104"/>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无组织排放</w:t>
                  </w:r>
                  <w:r>
                    <w:rPr>
                      <w:rFonts w:hint="eastAsia" w:ascii="Times New Roman" w:hAnsi="Times New Roman" w:eastAsia="宋体"/>
                      <w:b/>
                      <w:bCs/>
                      <w:caps w:val="0"/>
                      <w:color w:val="000000" w:themeColor="text1"/>
                      <w:sz w:val="21"/>
                      <w:szCs w:val="21"/>
                      <w:highlight w:val="none"/>
                      <w14:textFill>
                        <w14:solidFill>
                          <w14:schemeClr w14:val="tx1"/>
                        </w14:solidFill>
                      </w14:textFill>
                    </w:rPr>
                    <w:t>源</w:t>
                  </w:r>
                </w:p>
              </w:tc>
              <w:tc>
                <w:tcPr>
                  <w:tcW w:w="282" w:type="pct"/>
                  <w:vMerge w:val="restart"/>
                  <w:tcBorders>
                    <w:tl2br w:val="nil"/>
                    <w:tr2bl w:val="nil"/>
                  </w:tcBorders>
                  <w:noWrap/>
                  <w:tcMar>
                    <w:top w:w="15" w:type="dxa"/>
                    <w:left w:w="15" w:type="dxa"/>
                    <w:right w:w="15" w:type="dxa"/>
                  </w:tcMar>
                  <w:vAlign w:val="center"/>
                </w:tcPr>
                <w:p w14:paraId="3FF2693B">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产污环节</w:t>
                  </w:r>
                </w:p>
              </w:tc>
              <w:tc>
                <w:tcPr>
                  <w:tcW w:w="349" w:type="pct"/>
                  <w:vMerge w:val="restart"/>
                  <w:tcBorders>
                    <w:tl2br w:val="nil"/>
                    <w:tr2bl w:val="nil"/>
                  </w:tcBorders>
                  <w:noWrap/>
                  <w:tcMar>
                    <w:top w:w="15" w:type="dxa"/>
                    <w:left w:w="15" w:type="dxa"/>
                    <w:right w:w="15" w:type="dxa"/>
                  </w:tcMar>
                  <w:vAlign w:val="center"/>
                </w:tcPr>
                <w:p w14:paraId="20ECC65B">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污染物种类</w:t>
                  </w:r>
                </w:p>
              </w:tc>
              <w:tc>
                <w:tcPr>
                  <w:tcW w:w="641" w:type="pct"/>
                  <w:gridSpan w:val="2"/>
                  <w:tcBorders>
                    <w:tl2br w:val="nil"/>
                    <w:tr2bl w:val="nil"/>
                  </w:tcBorders>
                  <w:noWrap/>
                  <w:tcMar>
                    <w:top w:w="15" w:type="dxa"/>
                    <w:left w:w="15" w:type="dxa"/>
                    <w:right w:w="15" w:type="dxa"/>
                  </w:tcMar>
                  <w:vAlign w:val="center"/>
                </w:tcPr>
                <w:p w14:paraId="2F3090CD">
                  <w:pPr>
                    <w:pStyle w:val="1104"/>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面源起点</w:t>
                  </w:r>
                  <w:r>
                    <w:rPr>
                      <w:rFonts w:ascii="Times New Roman" w:hAnsi="Times New Roman" w:eastAsia="宋体"/>
                      <w:b/>
                      <w:bCs/>
                      <w:caps w:val="0"/>
                      <w:color w:val="000000" w:themeColor="text1"/>
                      <w:sz w:val="21"/>
                      <w:szCs w:val="21"/>
                      <w:highlight w:val="none"/>
                      <w14:textFill>
                        <w14:solidFill>
                          <w14:schemeClr w14:val="tx1"/>
                        </w14:solidFill>
                      </w14:textFill>
                    </w:rPr>
                    <w:t>坐标</w:t>
                  </w:r>
                </w:p>
              </w:tc>
              <w:tc>
                <w:tcPr>
                  <w:tcW w:w="3366" w:type="pct"/>
                  <w:gridSpan w:val="9"/>
                  <w:tcBorders>
                    <w:tl2br w:val="nil"/>
                    <w:tr2bl w:val="nil"/>
                  </w:tcBorders>
                  <w:noWrap/>
                  <w:tcMar>
                    <w:top w:w="15" w:type="dxa"/>
                    <w:left w:w="15" w:type="dxa"/>
                    <w:right w:w="15" w:type="dxa"/>
                  </w:tcMar>
                  <w:vAlign w:val="center"/>
                </w:tcPr>
                <w:p w14:paraId="6A75C188">
                  <w:pPr>
                    <w:pStyle w:val="1104"/>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排放源参数</w:t>
                  </w:r>
                </w:p>
              </w:tc>
            </w:tr>
            <w:tr w14:paraId="16F16D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62" w:hRule="atLeast"/>
                <w:jc w:val="center"/>
              </w:trPr>
              <w:tc>
                <w:tcPr>
                  <w:tcW w:w="124" w:type="pct"/>
                  <w:vMerge w:val="continue"/>
                  <w:tcBorders>
                    <w:tl2br w:val="nil"/>
                    <w:tr2bl w:val="nil"/>
                  </w:tcBorders>
                  <w:noWrap w:val="0"/>
                  <w:tcMar>
                    <w:top w:w="15" w:type="dxa"/>
                    <w:left w:w="15" w:type="dxa"/>
                    <w:right w:w="15" w:type="dxa"/>
                  </w:tcMar>
                  <w:vAlign w:val="center"/>
                </w:tcPr>
                <w:p w14:paraId="52398F39">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235" w:type="pct"/>
                  <w:vMerge w:val="continue"/>
                  <w:tcBorders>
                    <w:tl2br w:val="nil"/>
                    <w:tr2bl w:val="nil"/>
                  </w:tcBorders>
                  <w:noWrap w:val="0"/>
                  <w:tcMar>
                    <w:top w:w="15" w:type="dxa"/>
                    <w:left w:w="15" w:type="dxa"/>
                    <w:right w:w="15" w:type="dxa"/>
                  </w:tcMar>
                  <w:vAlign w:val="center"/>
                </w:tcPr>
                <w:p w14:paraId="0D1B650C">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282" w:type="pct"/>
                  <w:vMerge w:val="continue"/>
                  <w:tcBorders>
                    <w:tl2br w:val="nil"/>
                    <w:tr2bl w:val="nil"/>
                  </w:tcBorders>
                  <w:noWrap/>
                  <w:tcMar>
                    <w:top w:w="15" w:type="dxa"/>
                    <w:left w:w="15" w:type="dxa"/>
                    <w:right w:w="15" w:type="dxa"/>
                  </w:tcMar>
                  <w:vAlign w:val="center"/>
                </w:tcPr>
                <w:p w14:paraId="4275976D">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349" w:type="pct"/>
                  <w:vMerge w:val="continue"/>
                  <w:tcBorders>
                    <w:tl2br w:val="nil"/>
                    <w:tr2bl w:val="nil"/>
                  </w:tcBorders>
                  <w:noWrap/>
                  <w:tcMar>
                    <w:top w:w="15" w:type="dxa"/>
                    <w:left w:w="15" w:type="dxa"/>
                    <w:right w:w="15" w:type="dxa"/>
                  </w:tcMar>
                  <w:vAlign w:val="center"/>
                </w:tcPr>
                <w:p w14:paraId="1CA78D19">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279" w:type="pct"/>
                  <w:tcBorders>
                    <w:tl2br w:val="nil"/>
                    <w:tr2bl w:val="nil"/>
                  </w:tcBorders>
                  <w:noWrap/>
                  <w:tcMar>
                    <w:top w:w="15" w:type="dxa"/>
                    <w:left w:w="15" w:type="dxa"/>
                    <w:right w:w="15" w:type="dxa"/>
                  </w:tcMar>
                  <w:vAlign w:val="center"/>
                </w:tcPr>
                <w:p w14:paraId="249F90AB">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X</w:t>
                  </w:r>
                </w:p>
              </w:tc>
              <w:tc>
                <w:tcPr>
                  <w:tcW w:w="361" w:type="pct"/>
                  <w:tcBorders>
                    <w:tl2br w:val="nil"/>
                    <w:tr2bl w:val="nil"/>
                  </w:tcBorders>
                  <w:noWrap/>
                  <w:tcMar>
                    <w:top w:w="15" w:type="dxa"/>
                    <w:left w:w="15" w:type="dxa"/>
                    <w:right w:w="15" w:type="dxa"/>
                  </w:tcMar>
                  <w:vAlign w:val="center"/>
                </w:tcPr>
                <w:p w14:paraId="37FB209C">
                  <w:pPr>
                    <w:pStyle w:val="1104"/>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Y</w:t>
                  </w:r>
                </w:p>
              </w:tc>
              <w:tc>
                <w:tcPr>
                  <w:tcW w:w="349" w:type="pct"/>
                  <w:tcBorders>
                    <w:tl2br w:val="nil"/>
                    <w:tr2bl w:val="nil"/>
                  </w:tcBorders>
                  <w:noWrap/>
                  <w:tcMar>
                    <w:top w:w="15" w:type="dxa"/>
                    <w:left w:w="15" w:type="dxa"/>
                    <w:right w:w="15" w:type="dxa"/>
                  </w:tcMar>
                  <w:vAlign w:val="center"/>
                </w:tcPr>
                <w:p w14:paraId="1639C225">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w:t>
                  </w:r>
                  <w:r>
                    <w:rPr>
                      <w:rFonts w:ascii="Times New Roman" w:hAnsi="Times New Roman" w:eastAsia="宋体"/>
                      <w:b/>
                      <w:bCs/>
                      <w:caps w:val="0"/>
                      <w:color w:val="000000" w:themeColor="text1"/>
                      <w:sz w:val="21"/>
                      <w:szCs w:val="21"/>
                      <w:highlight w:val="none"/>
                      <w14:textFill>
                        <w14:solidFill>
                          <w14:schemeClr w14:val="tx1"/>
                        </w14:solidFill>
                      </w14:textFill>
                    </w:rPr>
                    <w:t>海拔高度m</w:t>
                  </w:r>
                </w:p>
              </w:tc>
              <w:tc>
                <w:tcPr>
                  <w:tcW w:w="273" w:type="pct"/>
                  <w:tcBorders>
                    <w:tl2br w:val="nil"/>
                    <w:tr2bl w:val="nil"/>
                  </w:tcBorders>
                  <w:noWrap/>
                  <w:tcMar>
                    <w:top w:w="15" w:type="dxa"/>
                    <w:left w:w="15" w:type="dxa"/>
                    <w:right w:w="15" w:type="dxa"/>
                  </w:tcMar>
                  <w:vAlign w:val="center"/>
                </w:tcPr>
                <w:p w14:paraId="270CDFB5">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w:t>
                  </w:r>
                  <w:r>
                    <w:rPr>
                      <w:rFonts w:ascii="Times New Roman" w:hAnsi="Times New Roman" w:eastAsia="宋体"/>
                      <w:b/>
                      <w:bCs/>
                      <w:caps w:val="0"/>
                      <w:color w:val="000000" w:themeColor="text1"/>
                      <w:sz w:val="21"/>
                      <w:szCs w:val="21"/>
                      <w:highlight w:val="none"/>
                      <w14:textFill>
                        <w14:solidFill>
                          <w14:schemeClr w14:val="tx1"/>
                        </w14:solidFill>
                      </w14:textFill>
                    </w:rPr>
                    <w:t>长度m</w:t>
                  </w:r>
                </w:p>
              </w:tc>
              <w:tc>
                <w:tcPr>
                  <w:tcW w:w="355" w:type="pct"/>
                  <w:tcBorders>
                    <w:tl2br w:val="nil"/>
                    <w:tr2bl w:val="nil"/>
                  </w:tcBorders>
                  <w:noWrap/>
                  <w:tcMar>
                    <w:top w:w="15" w:type="dxa"/>
                    <w:left w:w="15" w:type="dxa"/>
                    <w:right w:w="15" w:type="dxa"/>
                  </w:tcMar>
                  <w:vAlign w:val="center"/>
                </w:tcPr>
                <w:p w14:paraId="28234CE1">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w:t>
                  </w:r>
                  <w:r>
                    <w:rPr>
                      <w:rFonts w:ascii="Times New Roman" w:hAnsi="Times New Roman" w:eastAsia="宋体"/>
                      <w:b/>
                      <w:bCs/>
                      <w:caps w:val="0"/>
                      <w:color w:val="000000" w:themeColor="text1"/>
                      <w:sz w:val="21"/>
                      <w:szCs w:val="21"/>
                      <w:highlight w:val="none"/>
                      <w14:textFill>
                        <w14:solidFill>
                          <w14:schemeClr w14:val="tx1"/>
                        </w14:solidFill>
                      </w14:textFill>
                    </w:rPr>
                    <w:t>宽度m</w:t>
                  </w:r>
                </w:p>
              </w:tc>
              <w:tc>
                <w:tcPr>
                  <w:tcW w:w="404" w:type="pct"/>
                  <w:tcBorders>
                    <w:tl2br w:val="nil"/>
                    <w:tr2bl w:val="nil"/>
                  </w:tcBorders>
                  <w:noWrap/>
                  <w:tcMar>
                    <w:top w:w="15" w:type="dxa"/>
                    <w:left w:w="15" w:type="dxa"/>
                    <w:right w:w="15" w:type="dxa"/>
                  </w:tcMar>
                  <w:vAlign w:val="center"/>
                </w:tcPr>
                <w:p w14:paraId="12719AE0">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与正北方向夹角/°</w:t>
                  </w:r>
                </w:p>
              </w:tc>
              <w:tc>
                <w:tcPr>
                  <w:tcW w:w="444" w:type="pct"/>
                  <w:tcBorders>
                    <w:tl2br w:val="nil"/>
                    <w:tr2bl w:val="nil"/>
                  </w:tcBorders>
                  <w:noWrap/>
                  <w:tcMar>
                    <w:top w:w="15" w:type="dxa"/>
                    <w:left w:w="15" w:type="dxa"/>
                    <w:right w:w="15" w:type="dxa"/>
                  </w:tcMar>
                  <w:vAlign w:val="center"/>
                </w:tcPr>
                <w:p w14:paraId="6B5021DF">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面源有效排放高度m</w:t>
                  </w:r>
                </w:p>
              </w:tc>
              <w:tc>
                <w:tcPr>
                  <w:tcW w:w="431" w:type="pct"/>
                  <w:tcBorders>
                    <w:tl2br w:val="nil"/>
                    <w:tr2bl w:val="nil"/>
                  </w:tcBorders>
                  <w:noWrap/>
                  <w:tcMar>
                    <w:top w:w="15" w:type="dxa"/>
                    <w:left w:w="15" w:type="dxa"/>
                    <w:right w:w="15" w:type="dxa"/>
                  </w:tcMar>
                  <w:vAlign w:val="center"/>
                </w:tcPr>
                <w:p w14:paraId="02A7BD15">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年排放小时h</w:t>
                  </w:r>
                </w:p>
              </w:tc>
              <w:tc>
                <w:tcPr>
                  <w:tcW w:w="371" w:type="pct"/>
                  <w:tcBorders>
                    <w:tl2br w:val="nil"/>
                    <w:tr2bl w:val="nil"/>
                  </w:tcBorders>
                  <w:noWrap/>
                  <w:tcMar>
                    <w:top w:w="15" w:type="dxa"/>
                    <w:left w:w="15" w:type="dxa"/>
                    <w:right w:w="15" w:type="dxa"/>
                  </w:tcMar>
                  <w:vAlign w:val="center"/>
                </w:tcPr>
                <w:p w14:paraId="7C704DB9">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排放工况</w:t>
                  </w:r>
                </w:p>
              </w:tc>
              <w:tc>
                <w:tcPr>
                  <w:tcW w:w="358" w:type="pct"/>
                  <w:tcBorders>
                    <w:tl2br w:val="nil"/>
                    <w:tr2bl w:val="nil"/>
                  </w:tcBorders>
                  <w:noWrap/>
                  <w:tcMar>
                    <w:top w:w="15" w:type="dxa"/>
                    <w:left w:w="15" w:type="dxa"/>
                    <w:right w:w="15" w:type="dxa"/>
                  </w:tcMar>
                  <w:vAlign w:val="center"/>
                </w:tcPr>
                <w:p w14:paraId="30777C21">
                  <w:pPr>
                    <w:pStyle w:val="1104"/>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排放量</w:t>
                  </w:r>
                  <w:r>
                    <w:rPr>
                      <w:rFonts w:hint="eastAsia"/>
                      <w:b/>
                      <w:bCs/>
                      <w:caps w:val="0"/>
                      <w:color w:val="000000" w:themeColor="text1"/>
                      <w:sz w:val="21"/>
                      <w:szCs w:val="21"/>
                      <w:highlight w:val="none"/>
                      <w:lang w:val="en-US" w:eastAsia="zh-CN"/>
                      <w14:textFill>
                        <w14:solidFill>
                          <w14:schemeClr w14:val="tx1"/>
                        </w14:solidFill>
                      </w14:textFill>
                    </w:rPr>
                    <w:t>t</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/a</w:t>
                  </w:r>
                </w:p>
              </w:tc>
              <w:tc>
                <w:tcPr>
                  <w:tcW w:w="377" w:type="pct"/>
                  <w:tcBorders>
                    <w:tl2br w:val="nil"/>
                    <w:tr2bl w:val="nil"/>
                  </w:tcBorders>
                  <w:noWrap w:val="0"/>
                  <w:tcMar>
                    <w:top w:w="15" w:type="dxa"/>
                    <w:left w:w="15" w:type="dxa"/>
                    <w:right w:w="15" w:type="dxa"/>
                  </w:tcMar>
                  <w:vAlign w:val="center"/>
                </w:tcPr>
                <w:p w14:paraId="2D2214E0">
                  <w:pPr>
                    <w:pStyle w:val="1104"/>
                    <w:jc w:val="center"/>
                    <w:rPr>
                      <w:rFonts w:hint="default" w:ascii="Times New Roman" w:hAnsi="Times New Roman" w:eastAsia="宋体"/>
                      <w:b/>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污染物</w:t>
                  </w:r>
                  <w:r>
                    <w:rPr>
                      <w:rFonts w:ascii="Times New Roman" w:hAnsi="Times New Roman" w:eastAsia="宋体"/>
                      <w:b/>
                      <w:bCs/>
                      <w:caps w:val="0"/>
                      <w:color w:val="000000" w:themeColor="text1"/>
                      <w:sz w:val="21"/>
                      <w:szCs w:val="21"/>
                      <w:highlight w:val="none"/>
                      <w14:textFill>
                        <w14:solidFill>
                          <w14:schemeClr w14:val="tx1"/>
                        </w14:solidFill>
                      </w14:textFill>
                    </w:rPr>
                    <w:t>排放速率kg/h</w:t>
                  </w:r>
                </w:p>
              </w:tc>
            </w:tr>
            <w:tr w14:paraId="7298B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0" w:hRule="atLeast"/>
                <w:jc w:val="center"/>
              </w:trPr>
              <w:tc>
                <w:tcPr>
                  <w:tcW w:w="124" w:type="pct"/>
                  <w:tcBorders>
                    <w:tl2br w:val="nil"/>
                    <w:tr2bl w:val="nil"/>
                  </w:tcBorders>
                  <w:noWrap/>
                  <w:tcMar>
                    <w:top w:w="15" w:type="dxa"/>
                    <w:left w:w="15" w:type="dxa"/>
                    <w:right w:w="15" w:type="dxa"/>
                  </w:tcMar>
                  <w:vAlign w:val="center"/>
                </w:tcPr>
                <w:p w14:paraId="1DAD779A">
                  <w:pPr>
                    <w:pStyle w:val="1104"/>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235" w:type="pct"/>
                  <w:tcBorders>
                    <w:tl2br w:val="nil"/>
                    <w:tr2bl w:val="nil"/>
                  </w:tcBorders>
                  <w:noWrap/>
                  <w:tcMar>
                    <w:top w:w="15" w:type="dxa"/>
                    <w:left w:w="15" w:type="dxa"/>
                    <w:right w:w="15" w:type="dxa"/>
                  </w:tcMar>
                  <w:vAlign w:val="center"/>
                </w:tcPr>
                <w:p w14:paraId="6938CF98">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生产车间</w:t>
                  </w:r>
                </w:p>
              </w:tc>
              <w:tc>
                <w:tcPr>
                  <w:tcW w:w="282" w:type="pct"/>
                  <w:tcBorders>
                    <w:tl2br w:val="nil"/>
                    <w:tr2bl w:val="nil"/>
                  </w:tcBorders>
                  <w:noWrap/>
                  <w:tcMar>
                    <w:top w:w="15" w:type="dxa"/>
                    <w:left w:w="15" w:type="dxa"/>
                    <w:right w:w="15" w:type="dxa"/>
                  </w:tcMar>
                  <w:vAlign w:val="center"/>
                </w:tcPr>
                <w:p w14:paraId="12ECD6F5">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焊接</w:t>
                  </w:r>
                </w:p>
              </w:tc>
              <w:tc>
                <w:tcPr>
                  <w:tcW w:w="349" w:type="pct"/>
                  <w:tcBorders>
                    <w:tl2br w:val="nil"/>
                    <w:tr2bl w:val="nil"/>
                  </w:tcBorders>
                  <w:noWrap/>
                  <w:tcMar>
                    <w:top w:w="15" w:type="dxa"/>
                    <w:left w:w="15" w:type="dxa"/>
                    <w:right w:w="15" w:type="dxa"/>
                  </w:tcMar>
                  <w:vAlign w:val="center"/>
                </w:tcPr>
                <w:p w14:paraId="2917C441">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bCs/>
                      <w:szCs w:val="21"/>
                      <w:lang w:val="en-US" w:eastAsia="zh-CN"/>
                    </w:rPr>
                    <w:t>颗粒物</w:t>
                  </w:r>
                </w:p>
              </w:tc>
              <w:tc>
                <w:tcPr>
                  <w:tcW w:w="279" w:type="pct"/>
                  <w:tcBorders>
                    <w:tl2br w:val="nil"/>
                    <w:tr2bl w:val="nil"/>
                  </w:tcBorders>
                  <w:noWrap/>
                  <w:tcMar>
                    <w:top w:w="15" w:type="dxa"/>
                    <w:left w:w="15" w:type="dxa"/>
                    <w:right w:w="15" w:type="dxa"/>
                  </w:tcMar>
                  <w:vAlign w:val="center"/>
                </w:tcPr>
                <w:p w14:paraId="570753E0">
                  <w:pPr>
                    <w:pStyle w:val="1104"/>
                    <w:ind w:firstLine="0" w:firstLineChars="0"/>
                    <w:jc w:val="center"/>
                    <w:rPr>
                      <w:rFonts w:hint="eastAsia" w:ascii="Times New Roman" w:hAnsi="Times New Roman" w:eastAsia="宋体" w:cs="Times New Roman"/>
                      <w:caps w:val="0"/>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w:t>
                  </w:r>
                </w:p>
              </w:tc>
              <w:tc>
                <w:tcPr>
                  <w:tcW w:w="361" w:type="pct"/>
                  <w:tcBorders>
                    <w:tl2br w:val="nil"/>
                    <w:tr2bl w:val="nil"/>
                  </w:tcBorders>
                  <w:noWrap/>
                  <w:tcMar>
                    <w:top w:w="15" w:type="dxa"/>
                    <w:left w:w="15" w:type="dxa"/>
                    <w:right w:w="15" w:type="dxa"/>
                  </w:tcMar>
                  <w:vAlign w:val="center"/>
                </w:tcPr>
                <w:p w14:paraId="48EB676E">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349" w:type="pct"/>
                  <w:tcBorders>
                    <w:tl2br w:val="nil"/>
                    <w:tr2bl w:val="nil"/>
                  </w:tcBorders>
                  <w:noWrap/>
                  <w:tcMar>
                    <w:top w:w="15" w:type="dxa"/>
                    <w:left w:w="15" w:type="dxa"/>
                    <w:right w:w="15" w:type="dxa"/>
                  </w:tcMar>
                  <w:vAlign w:val="center"/>
                </w:tcPr>
                <w:p w14:paraId="64BDAFFE">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12</w:t>
                  </w:r>
                </w:p>
              </w:tc>
              <w:tc>
                <w:tcPr>
                  <w:tcW w:w="273" w:type="pct"/>
                  <w:tcBorders>
                    <w:tl2br w:val="nil"/>
                    <w:tr2bl w:val="nil"/>
                  </w:tcBorders>
                  <w:noWrap/>
                  <w:tcMar>
                    <w:top w:w="15" w:type="dxa"/>
                    <w:left w:w="15" w:type="dxa"/>
                    <w:right w:w="15" w:type="dxa"/>
                  </w:tcMar>
                  <w:vAlign w:val="center"/>
                </w:tcPr>
                <w:p w14:paraId="6E07B762">
                  <w:pPr>
                    <w:pStyle w:val="1104"/>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243</w:t>
                  </w:r>
                </w:p>
              </w:tc>
              <w:tc>
                <w:tcPr>
                  <w:tcW w:w="355" w:type="pct"/>
                  <w:tcBorders>
                    <w:tl2br w:val="nil"/>
                    <w:tr2bl w:val="nil"/>
                  </w:tcBorders>
                  <w:noWrap/>
                  <w:tcMar>
                    <w:top w:w="15" w:type="dxa"/>
                    <w:left w:w="15" w:type="dxa"/>
                    <w:right w:w="15" w:type="dxa"/>
                  </w:tcMar>
                  <w:vAlign w:val="center"/>
                </w:tcPr>
                <w:p w14:paraId="030BD3EC">
                  <w:pPr>
                    <w:pStyle w:val="1104"/>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104</w:t>
                  </w:r>
                </w:p>
              </w:tc>
              <w:tc>
                <w:tcPr>
                  <w:tcW w:w="404" w:type="pct"/>
                  <w:tcBorders>
                    <w:tl2br w:val="nil"/>
                    <w:tr2bl w:val="nil"/>
                  </w:tcBorders>
                  <w:noWrap/>
                  <w:tcMar>
                    <w:top w:w="15" w:type="dxa"/>
                    <w:left w:w="15" w:type="dxa"/>
                    <w:right w:w="15" w:type="dxa"/>
                  </w:tcMar>
                  <w:vAlign w:val="center"/>
                </w:tcPr>
                <w:p w14:paraId="5785A9E0">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15</w:t>
                  </w:r>
                </w:p>
              </w:tc>
              <w:tc>
                <w:tcPr>
                  <w:tcW w:w="444" w:type="pct"/>
                  <w:tcBorders>
                    <w:tl2br w:val="nil"/>
                    <w:tr2bl w:val="nil"/>
                  </w:tcBorders>
                  <w:noWrap/>
                  <w:tcMar>
                    <w:top w:w="15" w:type="dxa"/>
                    <w:left w:w="15" w:type="dxa"/>
                    <w:right w:w="15" w:type="dxa"/>
                  </w:tcMar>
                  <w:vAlign w:val="center"/>
                </w:tcPr>
                <w:p w14:paraId="61C43617">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12</w:t>
                  </w:r>
                </w:p>
              </w:tc>
              <w:tc>
                <w:tcPr>
                  <w:tcW w:w="431" w:type="pct"/>
                  <w:tcBorders>
                    <w:tl2br w:val="nil"/>
                    <w:tr2bl w:val="nil"/>
                  </w:tcBorders>
                  <w:noWrap/>
                  <w:tcMar>
                    <w:top w:w="15" w:type="dxa"/>
                    <w:left w:w="15" w:type="dxa"/>
                    <w:right w:w="15" w:type="dxa"/>
                  </w:tcMar>
                  <w:vAlign w:val="center"/>
                </w:tcPr>
                <w:p w14:paraId="611BB2EF">
                  <w:pPr>
                    <w:pStyle w:val="1104"/>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7200</w:t>
                  </w:r>
                </w:p>
              </w:tc>
              <w:tc>
                <w:tcPr>
                  <w:tcW w:w="371" w:type="pct"/>
                  <w:tcBorders>
                    <w:tl2br w:val="nil"/>
                    <w:tr2bl w:val="nil"/>
                  </w:tcBorders>
                  <w:noWrap/>
                  <w:tcMar>
                    <w:top w:w="15" w:type="dxa"/>
                    <w:left w:w="15" w:type="dxa"/>
                    <w:right w:w="15" w:type="dxa"/>
                  </w:tcMar>
                  <w:vAlign w:val="center"/>
                </w:tcPr>
                <w:p w14:paraId="3C978439">
                  <w:pPr>
                    <w:pStyle w:val="1104"/>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正常</w:t>
                  </w:r>
                </w:p>
              </w:tc>
              <w:tc>
                <w:tcPr>
                  <w:tcW w:w="358" w:type="pct"/>
                  <w:tcBorders>
                    <w:tl2br w:val="nil"/>
                    <w:tr2bl w:val="nil"/>
                  </w:tcBorders>
                  <w:noWrap/>
                  <w:tcMar>
                    <w:top w:w="15" w:type="dxa"/>
                    <w:left w:w="15" w:type="dxa"/>
                    <w:right w:w="15" w:type="dxa"/>
                  </w:tcMar>
                  <w:vAlign w:val="center"/>
                </w:tcPr>
                <w:p w14:paraId="5D772E2C">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kern w:val="0"/>
                      <w:szCs w:val="21"/>
                      <w:lang w:val="en-US" w:eastAsia="zh-CN"/>
                    </w:rPr>
                    <w:t>0.057</w:t>
                  </w:r>
                  <w:r>
                    <w:rPr>
                      <w:rFonts w:cs="宋体"/>
                      <w:szCs w:val="21"/>
                    </w:rPr>
                    <w:t>t/a</w:t>
                  </w:r>
                </w:p>
              </w:tc>
              <w:tc>
                <w:tcPr>
                  <w:tcW w:w="377" w:type="pct"/>
                  <w:tcBorders>
                    <w:tl2br w:val="nil"/>
                    <w:tr2bl w:val="nil"/>
                  </w:tcBorders>
                  <w:noWrap/>
                  <w:tcMar>
                    <w:top w:w="15" w:type="dxa"/>
                    <w:left w:w="15" w:type="dxa"/>
                    <w:right w:w="15" w:type="dxa"/>
                  </w:tcMar>
                  <w:vAlign w:val="center"/>
                </w:tcPr>
                <w:p w14:paraId="57BB67D1">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kern w:val="0"/>
                      <w:szCs w:val="21"/>
                      <w:lang w:val="en-US" w:eastAsia="zh-CN"/>
                    </w:rPr>
                    <w:t>0.008</w:t>
                  </w:r>
                </w:p>
              </w:tc>
            </w:tr>
          </w:tbl>
          <w:p w14:paraId="3879D120">
            <w:pPr>
              <w:keepNext w:val="0"/>
              <w:keepLines w:val="0"/>
              <w:pageBreakBefore w:val="0"/>
              <w:widowControl w:val="0"/>
              <w:tabs>
                <w:tab w:val="left" w:pos="455"/>
              </w:tabs>
              <w:kinsoku/>
              <w:wordWrap/>
              <w:overflowPunct/>
              <w:topLinePunct w:val="0"/>
              <w:autoSpaceDE/>
              <w:autoSpaceDN/>
              <w:bidi w:val="0"/>
              <w:adjustRightInd/>
              <w:snapToGrid/>
              <w:spacing w:line="240" w:lineRule="auto"/>
              <w:jc w:val="center"/>
              <w:textAlignment w:val="auto"/>
              <w:rPr>
                <w:rFonts w:ascii="Times New Roman" w:hAnsi="Times New Roman" w:eastAsia="宋体"/>
                <w:b/>
                <w:bCs/>
                <w:caps w:val="0"/>
                <w:color w:val="000000" w:themeColor="text1"/>
                <w:sz w:val="24"/>
                <w:szCs w:val="32"/>
                <w:highlight w:val="none"/>
                <w14:textFill>
                  <w14:solidFill>
                    <w14:schemeClr w14:val="tx1"/>
                  </w14:solidFill>
                </w14:textFill>
              </w:rPr>
            </w:pPr>
            <w:r>
              <w:rPr>
                <w:rFonts w:ascii="Times New Roman" w:hAnsi="Times New Roman" w:eastAsia="宋体"/>
                <w:b/>
                <w:bCs/>
                <w:caps w:val="0"/>
                <w:color w:val="000000" w:themeColor="text1"/>
                <w:sz w:val="24"/>
                <w:szCs w:val="32"/>
                <w:highlight w:val="none"/>
                <w14:textFill>
                  <w14:solidFill>
                    <w14:schemeClr w14:val="tx1"/>
                  </w14:solidFill>
                </w14:textFill>
              </w:rPr>
              <w:t>表4-</w:t>
            </w:r>
            <w:r>
              <w:rPr>
                <w:rFonts w:hint="eastAsia"/>
                <w:b/>
                <w:bCs/>
                <w:caps w:val="0"/>
                <w:color w:val="000000" w:themeColor="text1"/>
                <w:sz w:val="24"/>
                <w:szCs w:val="32"/>
                <w:highlight w:val="none"/>
                <w:lang w:val="en-US" w:eastAsia="zh-CN"/>
                <w14:textFill>
                  <w14:solidFill>
                    <w14:schemeClr w14:val="tx1"/>
                  </w14:solidFill>
                </w14:textFill>
              </w:rPr>
              <w:t>4</w:t>
            </w:r>
            <w:r>
              <w:rPr>
                <w:rFonts w:ascii="Times New Roman" w:hAnsi="Times New Roman" w:eastAsia="宋体"/>
                <w:b/>
                <w:bCs/>
                <w:caps w:val="0"/>
                <w:color w:val="000000" w:themeColor="text1"/>
                <w:sz w:val="24"/>
                <w:szCs w:val="32"/>
                <w:highlight w:val="none"/>
                <w14:textFill>
                  <w14:solidFill>
                    <w14:schemeClr w14:val="tx1"/>
                  </w14:solidFill>
                </w14:textFill>
              </w:rPr>
              <w:t xml:space="preserve"> 本项目废气排放量汇总表</w:t>
            </w:r>
          </w:p>
          <w:tbl>
            <w:tblPr>
              <w:tblStyle w:val="59"/>
              <w:tblW w:w="4992"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70"/>
              <w:gridCol w:w="4076"/>
              <w:gridCol w:w="4391"/>
            </w:tblGrid>
            <w:tr w14:paraId="66415A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tcBorders>
                    <w:tl2br w:val="nil"/>
                    <w:tr2bl w:val="nil"/>
                  </w:tcBorders>
                  <w:noWrap w:val="0"/>
                  <w:vAlign w:val="center"/>
                </w:tcPr>
                <w:p w14:paraId="42E71D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类型</w:t>
                  </w:r>
                </w:p>
              </w:tc>
              <w:tc>
                <w:tcPr>
                  <w:tcW w:w="1625" w:type="pct"/>
                  <w:tcBorders>
                    <w:tl2br w:val="nil"/>
                    <w:tr2bl w:val="nil"/>
                  </w:tcBorders>
                  <w:noWrap/>
                  <w:vAlign w:val="center"/>
                </w:tcPr>
                <w:p w14:paraId="1669B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污染物</w:t>
                  </w:r>
                </w:p>
              </w:tc>
              <w:tc>
                <w:tcPr>
                  <w:tcW w:w="1751" w:type="pct"/>
                  <w:tcBorders>
                    <w:tl2br w:val="nil"/>
                    <w:tr2bl w:val="nil"/>
                  </w:tcBorders>
                  <w:noWrap/>
                  <w:vAlign w:val="center"/>
                </w:tcPr>
                <w:p w14:paraId="7875A4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排放量（</w:t>
                  </w:r>
                  <w:r>
                    <w:rPr>
                      <w:rFonts w:hint="eastAsia"/>
                      <w:caps w:val="0"/>
                      <w:color w:val="000000" w:themeColor="text1"/>
                      <w:kern w:val="0"/>
                      <w:sz w:val="21"/>
                      <w:szCs w:val="21"/>
                      <w:highlight w:val="none"/>
                      <w:lang w:val="en-US" w:eastAsia="zh-CN" w:bidi="ar"/>
                      <w14:textFill>
                        <w14:solidFill>
                          <w14:schemeClr w14:val="tx1"/>
                        </w14:solidFill>
                      </w14:textFill>
                    </w:rPr>
                    <w:t>t</w:t>
                  </w:r>
                  <w:r>
                    <w:rPr>
                      <w:rFonts w:ascii="Times New Roman" w:hAnsi="Times New Roman" w:eastAsia="宋体"/>
                      <w:caps w:val="0"/>
                      <w:color w:val="000000" w:themeColor="text1"/>
                      <w:kern w:val="0"/>
                      <w:sz w:val="21"/>
                      <w:szCs w:val="21"/>
                      <w:highlight w:val="none"/>
                      <w:lang w:bidi="ar"/>
                      <w14:textFill>
                        <w14:solidFill>
                          <w14:schemeClr w14:val="tx1"/>
                        </w14:solidFill>
                      </w14:textFill>
                    </w:rPr>
                    <w:t>/a）</w:t>
                  </w:r>
                </w:p>
              </w:tc>
            </w:tr>
            <w:tr w14:paraId="35C77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1623" w:type="pct"/>
                  <w:tcBorders>
                    <w:tl2br w:val="nil"/>
                    <w:tr2bl w:val="nil"/>
                  </w:tcBorders>
                  <w:noWrap w:val="0"/>
                  <w:vAlign w:val="center"/>
                </w:tcPr>
                <w:p w14:paraId="3B1D2F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有组织合计</w:t>
                  </w:r>
                </w:p>
              </w:tc>
              <w:tc>
                <w:tcPr>
                  <w:tcW w:w="1625" w:type="pct"/>
                  <w:tcBorders>
                    <w:tl2br w:val="nil"/>
                    <w:tr2bl w:val="nil"/>
                  </w:tcBorders>
                  <w:noWrap/>
                  <w:vAlign w:val="center"/>
                </w:tcPr>
                <w:p w14:paraId="795CF209">
                  <w:pPr>
                    <w:jc w:val="cente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pPr>
                  <w:r>
                    <w:rPr>
                      <w:rFonts w:hint="eastAsia"/>
                      <w:bCs/>
                      <w:szCs w:val="21"/>
                      <w:lang w:val="en-US" w:eastAsia="zh-CN"/>
                    </w:rPr>
                    <w:t>颗粒物</w:t>
                  </w:r>
                </w:p>
              </w:tc>
              <w:tc>
                <w:tcPr>
                  <w:tcW w:w="1751" w:type="pct"/>
                  <w:tcBorders>
                    <w:tl2br w:val="nil"/>
                    <w:tr2bl w:val="nil"/>
                  </w:tcBorders>
                  <w:noWrap/>
                  <w:vAlign w:val="center"/>
                </w:tcPr>
                <w:p w14:paraId="1A7D3D0E">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kern w:val="0"/>
                      <w:szCs w:val="21"/>
                      <w:lang w:val="en-US" w:eastAsia="zh-CN"/>
                    </w:rPr>
                    <w:t>0.026</w:t>
                  </w:r>
                </w:p>
              </w:tc>
            </w:tr>
            <w:tr w14:paraId="31B169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tcBorders>
                    <w:tl2br w:val="nil"/>
                    <w:tr2bl w:val="nil"/>
                  </w:tcBorders>
                  <w:noWrap w:val="0"/>
                  <w:vAlign w:val="center"/>
                </w:tcPr>
                <w:p w14:paraId="7B9EAC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无组织排放合计</w:t>
                  </w:r>
                </w:p>
              </w:tc>
              <w:tc>
                <w:tcPr>
                  <w:tcW w:w="1625" w:type="pct"/>
                  <w:tcBorders>
                    <w:tl2br w:val="nil"/>
                    <w:tr2bl w:val="nil"/>
                  </w:tcBorders>
                  <w:noWrap/>
                  <w:vAlign w:val="center"/>
                </w:tcPr>
                <w:p w14:paraId="157C922E">
                  <w:pPr>
                    <w:jc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hint="eastAsia"/>
                      <w:bCs/>
                      <w:szCs w:val="21"/>
                      <w:lang w:val="en-US" w:eastAsia="zh-CN"/>
                    </w:rPr>
                    <w:t>颗粒物</w:t>
                  </w:r>
                </w:p>
              </w:tc>
              <w:tc>
                <w:tcPr>
                  <w:tcW w:w="1751" w:type="pct"/>
                  <w:tcBorders>
                    <w:tl2br w:val="nil"/>
                    <w:tr2bl w:val="nil"/>
                  </w:tcBorders>
                  <w:noWrap w:val="0"/>
                  <w:vAlign w:val="center"/>
                </w:tcPr>
                <w:p w14:paraId="25BC55CC">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kern w:val="0"/>
                      <w:szCs w:val="21"/>
                      <w:lang w:val="en-US" w:eastAsia="zh-CN"/>
                    </w:rPr>
                    <w:t>0.057</w:t>
                  </w:r>
                </w:p>
              </w:tc>
            </w:tr>
            <w:tr w14:paraId="1DF6FF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tcBorders>
                    <w:tl2br w:val="nil"/>
                    <w:tr2bl w:val="nil"/>
                  </w:tcBorders>
                  <w:noWrap/>
                  <w:vAlign w:val="center"/>
                </w:tcPr>
                <w:p w14:paraId="11818B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总计</w:t>
                  </w:r>
                </w:p>
              </w:tc>
              <w:tc>
                <w:tcPr>
                  <w:tcW w:w="1625" w:type="pct"/>
                  <w:tcBorders>
                    <w:tl2br w:val="nil"/>
                    <w:tr2bl w:val="nil"/>
                  </w:tcBorders>
                  <w:noWrap/>
                  <w:vAlign w:val="center"/>
                </w:tcPr>
                <w:p w14:paraId="2230BF77">
                  <w:pPr>
                    <w:jc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hint="eastAsia"/>
                      <w:bCs/>
                      <w:szCs w:val="21"/>
                      <w:lang w:val="en-US" w:eastAsia="zh-CN"/>
                    </w:rPr>
                    <w:t>颗粒物</w:t>
                  </w:r>
                </w:p>
              </w:tc>
              <w:tc>
                <w:tcPr>
                  <w:tcW w:w="1751" w:type="pct"/>
                  <w:tcBorders>
                    <w:tl2br w:val="nil"/>
                    <w:tr2bl w:val="nil"/>
                  </w:tcBorders>
                  <w:noWrap/>
                  <w:vAlign w:val="center"/>
                </w:tcPr>
                <w:p w14:paraId="1D3871AA">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0.083</w:t>
                  </w:r>
                </w:p>
              </w:tc>
            </w:tr>
          </w:tbl>
          <w:p w14:paraId="40354F9D">
            <w:pPr>
              <w:jc w:val="left"/>
              <w:rPr>
                <w:b/>
                <w:szCs w:val="21"/>
              </w:rPr>
            </w:pPr>
          </w:p>
        </w:tc>
      </w:tr>
    </w:tbl>
    <w:p w14:paraId="377B1715">
      <w:pPr>
        <w:tabs>
          <w:tab w:val="left" w:pos="1077"/>
        </w:tabs>
        <w:rPr>
          <w:rFonts w:cs="宋体"/>
          <w:sz w:val="24"/>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86"/>
      </w:tblGrid>
      <w:tr w14:paraId="50700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7" w:hRule="atLeast"/>
          <w:jc w:val="center"/>
        </w:trPr>
        <w:tc>
          <w:tcPr>
            <w:tcW w:w="456" w:type="dxa"/>
            <w:tcBorders>
              <w:top w:val="single" w:color="auto" w:sz="12" w:space="0"/>
              <w:bottom w:val="single" w:color="auto" w:sz="4" w:space="0"/>
            </w:tcBorders>
            <w:shd w:val="clear" w:color="auto" w:fill="auto"/>
            <w:vAlign w:val="center"/>
          </w:tcPr>
          <w:p w14:paraId="5E2991AA">
            <w:pPr>
              <w:autoSpaceDE w:val="0"/>
              <w:autoSpaceDN w:val="0"/>
              <w:adjustRightInd w:val="0"/>
              <w:snapToGrid w:val="0"/>
              <w:jc w:val="center"/>
              <w:rPr>
                <w:rFonts w:cs="宋体"/>
                <w:kern w:val="0"/>
                <w:sz w:val="24"/>
              </w:rPr>
            </w:pPr>
            <w:r>
              <w:rPr>
                <w:rFonts w:hint="eastAsia" w:cs="宋体"/>
                <w:kern w:val="0"/>
                <w:sz w:val="24"/>
              </w:rPr>
              <w:t>运营</w:t>
            </w:r>
          </w:p>
          <w:p w14:paraId="7BC5FCD9">
            <w:pPr>
              <w:autoSpaceDE w:val="0"/>
              <w:autoSpaceDN w:val="0"/>
              <w:adjustRightInd w:val="0"/>
              <w:snapToGrid w:val="0"/>
              <w:jc w:val="center"/>
              <w:rPr>
                <w:rFonts w:cs="宋体"/>
                <w:kern w:val="0"/>
                <w:sz w:val="24"/>
              </w:rPr>
            </w:pPr>
            <w:r>
              <w:rPr>
                <w:rFonts w:hint="eastAsia" w:cs="宋体"/>
                <w:kern w:val="0"/>
                <w:sz w:val="24"/>
              </w:rPr>
              <w:t>期环</w:t>
            </w:r>
          </w:p>
          <w:p w14:paraId="758205B8">
            <w:pPr>
              <w:autoSpaceDE w:val="0"/>
              <w:autoSpaceDN w:val="0"/>
              <w:adjustRightInd w:val="0"/>
              <w:snapToGrid w:val="0"/>
              <w:jc w:val="center"/>
              <w:rPr>
                <w:rFonts w:cs="宋体"/>
                <w:kern w:val="0"/>
                <w:sz w:val="24"/>
              </w:rPr>
            </w:pPr>
            <w:r>
              <w:rPr>
                <w:rFonts w:hint="eastAsia" w:cs="宋体"/>
                <w:kern w:val="0"/>
                <w:sz w:val="24"/>
              </w:rPr>
              <w:t>境影</w:t>
            </w:r>
          </w:p>
          <w:p w14:paraId="18224B79">
            <w:pPr>
              <w:autoSpaceDE w:val="0"/>
              <w:autoSpaceDN w:val="0"/>
              <w:adjustRightInd w:val="0"/>
              <w:snapToGrid w:val="0"/>
              <w:jc w:val="center"/>
              <w:rPr>
                <w:rFonts w:cs="宋体"/>
                <w:kern w:val="0"/>
                <w:sz w:val="24"/>
              </w:rPr>
            </w:pPr>
            <w:r>
              <w:rPr>
                <w:rFonts w:hint="eastAsia" w:cs="宋体"/>
                <w:kern w:val="0"/>
                <w:sz w:val="24"/>
              </w:rPr>
              <w:t>响和</w:t>
            </w:r>
          </w:p>
          <w:p w14:paraId="76B61C86">
            <w:pPr>
              <w:autoSpaceDE w:val="0"/>
              <w:autoSpaceDN w:val="0"/>
              <w:adjustRightInd w:val="0"/>
              <w:snapToGrid w:val="0"/>
              <w:jc w:val="center"/>
              <w:rPr>
                <w:rFonts w:cs="宋体"/>
                <w:kern w:val="0"/>
                <w:sz w:val="24"/>
              </w:rPr>
            </w:pPr>
            <w:r>
              <w:rPr>
                <w:rFonts w:hint="eastAsia" w:cs="宋体"/>
                <w:kern w:val="0"/>
                <w:sz w:val="24"/>
              </w:rPr>
              <w:t>保护</w:t>
            </w:r>
          </w:p>
          <w:p w14:paraId="43712A07">
            <w:pPr>
              <w:tabs>
                <w:tab w:val="left" w:pos="1077"/>
              </w:tabs>
              <w:jc w:val="center"/>
              <w:rPr>
                <w:rFonts w:cs="宋体"/>
                <w:sz w:val="24"/>
              </w:rPr>
            </w:pPr>
            <w:r>
              <w:rPr>
                <w:rFonts w:hint="eastAsia" w:cs="宋体"/>
                <w:kern w:val="0"/>
                <w:sz w:val="24"/>
              </w:rPr>
              <w:t>措施</w:t>
            </w:r>
          </w:p>
        </w:tc>
        <w:tc>
          <w:tcPr>
            <w:tcW w:w="9386" w:type="dxa"/>
            <w:tcBorders>
              <w:top w:val="single" w:color="auto" w:sz="12" w:space="0"/>
              <w:bottom w:val="single" w:color="auto" w:sz="4" w:space="0"/>
            </w:tcBorders>
            <w:shd w:val="clear" w:color="auto" w:fill="auto"/>
          </w:tcPr>
          <w:p w14:paraId="6766375E">
            <w:pPr>
              <w:keepNext w:val="0"/>
              <w:keepLines w:val="0"/>
              <w:pageBreakBefore w:val="0"/>
              <w:widowControl w:val="0"/>
              <w:tabs>
                <w:tab w:val="left" w:pos="1077"/>
              </w:tabs>
              <w:kinsoku/>
              <w:wordWrap/>
              <w:overflowPunct/>
              <w:topLinePunct w:val="0"/>
              <w:autoSpaceDE/>
              <w:autoSpaceDN/>
              <w:bidi w:val="0"/>
              <w:adjustRightInd/>
              <w:snapToGrid/>
              <w:spacing w:beforeAutospacing="0" w:line="360" w:lineRule="auto"/>
              <w:ind w:firstLine="482" w:firstLineChars="200"/>
              <w:textAlignment w:val="auto"/>
              <w:rPr>
                <w:rFonts w:cs="宋体"/>
                <w:b/>
                <w:sz w:val="24"/>
              </w:rPr>
            </w:pPr>
            <w:r>
              <w:rPr>
                <w:rFonts w:cs="宋体"/>
                <w:b/>
                <w:sz w:val="24"/>
              </w:rPr>
              <w:t>2</w:t>
            </w:r>
            <w:r>
              <w:rPr>
                <w:rFonts w:hint="eastAsia" w:cs="宋体"/>
                <w:b/>
                <w:sz w:val="24"/>
              </w:rPr>
              <w:t>、废气非正常排放</w:t>
            </w:r>
          </w:p>
          <w:p w14:paraId="5766EF68">
            <w:pPr>
              <w:keepNext w:val="0"/>
              <w:keepLines w:val="0"/>
              <w:pageBreakBefore w:val="0"/>
              <w:tabs>
                <w:tab w:val="left" w:pos="1077"/>
              </w:tabs>
              <w:kinsoku/>
              <w:wordWrap/>
              <w:overflowPunct/>
              <w:topLinePunct w:val="0"/>
              <w:autoSpaceDE/>
              <w:autoSpaceDN/>
              <w:bidi w:val="0"/>
              <w:adjustRightInd/>
              <w:snapToGrid/>
              <w:spacing w:line="360" w:lineRule="auto"/>
              <w:ind w:left="0" w:leftChars="0" w:firstLine="480" w:firstLineChars="200"/>
              <w:textAlignment w:val="auto"/>
              <w:rPr>
                <w:rFonts w:cs="宋体"/>
                <w:sz w:val="24"/>
              </w:rPr>
            </w:pPr>
            <w:r>
              <w:rPr>
                <w:rFonts w:hint="eastAsia" w:cs="宋体"/>
                <w:sz w:val="24"/>
              </w:rPr>
              <w:t>本项目非正常工况主要为废气处理设施故障。非正常工况会引起污染物的非正常排放。本项目非正常工况下情况分析如下：</w:t>
            </w:r>
          </w:p>
          <w:p w14:paraId="22FB55F4">
            <w:pPr>
              <w:keepNext w:val="0"/>
              <w:keepLines w:val="0"/>
              <w:pageBreakBefore w:val="0"/>
              <w:tabs>
                <w:tab w:val="left" w:pos="1077"/>
              </w:tabs>
              <w:kinsoku/>
              <w:wordWrap/>
              <w:overflowPunct/>
              <w:topLinePunct w:val="0"/>
              <w:autoSpaceDE/>
              <w:autoSpaceDN/>
              <w:bidi w:val="0"/>
              <w:adjustRightInd/>
              <w:snapToGrid/>
              <w:spacing w:line="360" w:lineRule="auto"/>
              <w:ind w:left="0" w:leftChars="0" w:firstLine="480" w:firstLineChars="200"/>
              <w:textAlignment w:val="auto"/>
              <w:rPr>
                <w:rFonts w:cs="宋体"/>
                <w:sz w:val="24"/>
              </w:rPr>
            </w:pPr>
            <w:r>
              <w:rPr>
                <w:rFonts w:hint="eastAsia" w:cs="宋体"/>
                <w:sz w:val="24"/>
              </w:rPr>
              <w:t>鉴于本项目产污主要集中在生产车间，非正常工况为配套的废气处理装置处理效率无法达到设计效率时，（非正常工况年排放时间按1h时间计算），废气在未经有效处理的情况通过排气筒排放，非正常工况下废气排放详见下表。本次环评要求企业实定期检查尾气处理装置，严格管理，避免失效工况发生。</w:t>
            </w:r>
          </w:p>
          <w:p w14:paraId="1F1D3E12">
            <w:pPr>
              <w:keepNext w:val="0"/>
              <w:keepLines w:val="0"/>
              <w:pageBreakBefore w:val="0"/>
              <w:widowControl/>
              <w:kinsoku/>
              <w:wordWrap/>
              <w:overflowPunct/>
              <w:topLinePunct w:val="0"/>
              <w:autoSpaceDE/>
              <w:autoSpaceDN/>
              <w:bidi w:val="0"/>
              <w:adjustRightInd/>
              <w:snapToGrid/>
              <w:spacing w:beforeAutospacing="0" w:line="240" w:lineRule="auto"/>
              <w:ind w:left="0" w:leftChars="0"/>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5</w:t>
            </w:r>
            <w:r>
              <w:rPr>
                <w:b/>
                <w:kern w:val="0"/>
                <w:sz w:val="24"/>
              </w:rPr>
              <w:t xml:space="preserve">  本项目非正常工况污染物</w:t>
            </w:r>
            <w:r>
              <w:rPr>
                <w:rFonts w:hint="eastAsia"/>
                <w:b/>
                <w:kern w:val="0"/>
                <w:sz w:val="24"/>
              </w:rPr>
              <w:t>排放</w:t>
            </w:r>
            <w:r>
              <w:rPr>
                <w:b/>
                <w:kern w:val="0"/>
                <w:sz w:val="24"/>
              </w:rPr>
              <w:t>情况</w:t>
            </w:r>
          </w:p>
          <w:tbl>
            <w:tblPr>
              <w:tblStyle w:val="59"/>
              <w:tblW w:w="4991"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742"/>
              <w:gridCol w:w="965"/>
              <w:gridCol w:w="883"/>
              <w:gridCol w:w="1555"/>
              <w:gridCol w:w="707"/>
              <w:gridCol w:w="830"/>
              <w:gridCol w:w="1011"/>
              <w:gridCol w:w="861"/>
              <w:gridCol w:w="773"/>
              <w:gridCol w:w="826"/>
            </w:tblGrid>
            <w:tr w14:paraId="0726CA8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405" w:type="pct"/>
                  <w:vMerge w:val="restart"/>
                  <w:tcBorders>
                    <w:tl2br w:val="nil"/>
                    <w:tr2bl w:val="nil"/>
                  </w:tcBorders>
                  <w:vAlign w:val="center"/>
                </w:tcPr>
                <w:p w14:paraId="3FE2F681">
                  <w:pPr>
                    <w:overflowPunct w:val="0"/>
                    <w:adjustRightInd w:val="0"/>
                    <w:snapToGrid w:val="0"/>
                    <w:ind w:firstLine="4"/>
                    <w:jc w:val="center"/>
                    <w:textAlignment w:val="baseline"/>
                    <w:rPr>
                      <w:b/>
                      <w:kern w:val="0"/>
                      <w:szCs w:val="21"/>
                    </w:rPr>
                  </w:pPr>
                  <w:r>
                    <w:rPr>
                      <w:b/>
                      <w:kern w:val="0"/>
                      <w:szCs w:val="21"/>
                    </w:rPr>
                    <w:t>排放源编号</w:t>
                  </w:r>
                </w:p>
              </w:tc>
              <w:tc>
                <w:tcPr>
                  <w:tcW w:w="527" w:type="pct"/>
                  <w:vMerge w:val="restart"/>
                  <w:tcBorders>
                    <w:tl2br w:val="nil"/>
                    <w:tr2bl w:val="nil"/>
                  </w:tcBorders>
                  <w:vAlign w:val="center"/>
                </w:tcPr>
                <w:p w14:paraId="01179506">
                  <w:pPr>
                    <w:overflowPunct w:val="0"/>
                    <w:adjustRightInd w:val="0"/>
                    <w:snapToGrid w:val="0"/>
                    <w:ind w:firstLine="4"/>
                    <w:jc w:val="center"/>
                    <w:textAlignment w:val="baseline"/>
                    <w:rPr>
                      <w:b/>
                      <w:kern w:val="0"/>
                      <w:szCs w:val="21"/>
                    </w:rPr>
                  </w:pPr>
                  <w:r>
                    <w:rPr>
                      <w:b/>
                      <w:kern w:val="0"/>
                      <w:szCs w:val="21"/>
                    </w:rPr>
                    <w:t>污染源</w:t>
                  </w:r>
                </w:p>
              </w:tc>
              <w:tc>
                <w:tcPr>
                  <w:tcW w:w="482" w:type="pct"/>
                  <w:vMerge w:val="restart"/>
                  <w:tcBorders>
                    <w:tl2br w:val="nil"/>
                    <w:tr2bl w:val="nil"/>
                  </w:tcBorders>
                  <w:vAlign w:val="center"/>
                </w:tcPr>
                <w:p w14:paraId="00BCB8B6">
                  <w:pPr>
                    <w:overflowPunct w:val="0"/>
                    <w:adjustRightInd w:val="0"/>
                    <w:snapToGrid w:val="0"/>
                    <w:ind w:firstLine="4"/>
                    <w:jc w:val="center"/>
                    <w:textAlignment w:val="baseline"/>
                    <w:rPr>
                      <w:b/>
                      <w:kern w:val="0"/>
                      <w:szCs w:val="21"/>
                    </w:rPr>
                  </w:pPr>
                  <w:r>
                    <w:rPr>
                      <w:b/>
                      <w:kern w:val="0"/>
                      <w:szCs w:val="21"/>
                    </w:rPr>
                    <w:t>污染物</w:t>
                  </w:r>
                </w:p>
                <w:p w14:paraId="6306D411">
                  <w:pPr>
                    <w:overflowPunct w:val="0"/>
                    <w:adjustRightInd w:val="0"/>
                    <w:snapToGrid w:val="0"/>
                    <w:ind w:firstLine="4"/>
                    <w:jc w:val="center"/>
                    <w:textAlignment w:val="baseline"/>
                    <w:rPr>
                      <w:b/>
                      <w:kern w:val="0"/>
                      <w:szCs w:val="21"/>
                    </w:rPr>
                  </w:pPr>
                  <w:r>
                    <w:rPr>
                      <w:b/>
                      <w:kern w:val="0"/>
                      <w:szCs w:val="21"/>
                    </w:rPr>
                    <w:t>名称</w:t>
                  </w:r>
                </w:p>
              </w:tc>
              <w:tc>
                <w:tcPr>
                  <w:tcW w:w="849" w:type="pct"/>
                  <w:vMerge w:val="restart"/>
                  <w:tcBorders>
                    <w:tl2br w:val="nil"/>
                    <w:tr2bl w:val="nil"/>
                  </w:tcBorders>
                  <w:vAlign w:val="center"/>
                </w:tcPr>
                <w:p w14:paraId="302120CB">
                  <w:pPr>
                    <w:overflowPunct w:val="0"/>
                    <w:adjustRightInd w:val="0"/>
                    <w:snapToGrid w:val="0"/>
                    <w:ind w:firstLine="4"/>
                    <w:jc w:val="center"/>
                    <w:textAlignment w:val="baseline"/>
                    <w:rPr>
                      <w:b/>
                      <w:kern w:val="0"/>
                      <w:szCs w:val="21"/>
                    </w:rPr>
                  </w:pPr>
                  <w:r>
                    <w:rPr>
                      <w:rFonts w:hint="eastAsia"/>
                      <w:b/>
                      <w:kern w:val="0"/>
                      <w:szCs w:val="21"/>
                    </w:rPr>
                    <w:t>非正常排放原因</w:t>
                  </w:r>
                </w:p>
              </w:tc>
              <w:tc>
                <w:tcPr>
                  <w:tcW w:w="386" w:type="pct"/>
                  <w:vMerge w:val="restart"/>
                  <w:tcBorders>
                    <w:tl2br w:val="nil"/>
                    <w:tr2bl w:val="nil"/>
                  </w:tcBorders>
                  <w:vAlign w:val="center"/>
                </w:tcPr>
                <w:p w14:paraId="01F3E01F">
                  <w:pPr>
                    <w:overflowPunct w:val="0"/>
                    <w:adjustRightInd w:val="0"/>
                    <w:snapToGrid w:val="0"/>
                    <w:ind w:firstLine="4"/>
                    <w:jc w:val="center"/>
                    <w:textAlignment w:val="baseline"/>
                    <w:rPr>
                      <w:b/>
                      <w:kern w:val="0"/>
                      <w:szCs w:val="21"/>
                    </w:rPr>
                  </w:pPr>
                  <w:r>
                    <w:rPr>
                      <w:b/>
                      <w:kern w:val="0"/>
                      <w:szCs w:val="21"/>
                    </w:rPr>
                    <w:t>去除率</w:t>
                  </w:r>
                  <w:r>
                    <w:rPr>
                      <w:rFonts w:hint="eastAsia"/>
                      <w:b/>
                      <w:kern w:val="0"/>
                      <w:szCs w:val="21"/>
                    </w:rPr>
                    <w:t>%</w:t>
                  </w:r>
                </w:p>
              </w:tc>
              <w:tc>
                <w:tcPr>
                  <w:tcW w:w="1475" w:type="pct"/>
                  <w:gridSpan w:val="3"/>
                  <w:tcBorders>
                    <w:tl2br w:val="nil"/>
                    <w:tr2bl w:val="nil"/>
                  </w:tcBorders>
                  <w:vAlign w:val="center"/>
                </w:tcPr>
                <w:p w14:paraId="03E9A69C">
                  <w:pPr>
                    <w:overflowPunct w:val="0"/>
                    <w:adjustRightInd w:val="0"/>
                    <w:snapToGrid w:val="0"/>
                    <w:ind w:firstLine="4"/>
                    <w:jc w:val="center"/>
                    <w:textAlignment w:val="baseline"/>
                    <w:rPr>
                      <w:b/>
                      <w:kern w:val="0"/>
                      <w:szCs w:val="21"/>
                    </w:rPr>
                  </w:pPr>
                  <w:r>
                    <w:rPr>
                      <w:b/>
                      <w:kern w:val="0"/>
                      <w:szCs w:val="21"/>
                    </w:rPr>
                    <w:t>排放状况</w:t>
                  </w:r>
                </w:p>
              </w:tc>
              <w:tc>
                <w:tcPr>
                  <w:tcW w:w="422" w:type="pct"/>
                  <w:vMerge w:val="restart"/>
                  <w:tcBorders>
                    <w:tl2br w:val="nil"/>
                    <w:tr2bl w:val="nil"/>
                  </w:tcBorders>
                  <w:vAlign w:val="center"/>
                </w:tcPr>
                <w:p w14:paraId="35A95BA2">
                  <w:pPr>
                    <w:overflowPunct w:val="0"/>
                    <w:adjustRightInd w:val="0"/>
                    <w:snapToGrid w:val="0"/>
                    <w:spacing w:before="40" w:after="60" w:line="200" w:lineRule="atLeast"/>
                    <w:ind w:firstLine="4"/>
                    <w:jc w:val="center"/>
                    <w:textAlignment w:val="baseline"/>
                    <w:rPr>
                      <w:b/>
                      <w:kern w:val="0"/>
                      <w:szCs w:val="21"/>
                    </w:rPr>
                  </w:pPr>
                  <w:r>
                    <w:rPr>
                      <w:rFonts w:hint="eastAsia"/>
                      <w:b/>
                      <w:kern w:val="0"/>
                      <w:szCs w:val="21"/>
                    </w:rPr>
                    <w:t>单次持续时间</w:t>
                  </w:r>
                </w:p>
              </w:tc>
              <w:tc>
                <w:tcPr>
                  <w:tcW w:w="451" w:type="pct"/>
                  <w:vMerge w:val="restart"/>
                  <w:tcBorders>
                    <w:tl2br w:val="nil"/>
                    <w:tr2bl w:val="nil"/>
                  </w:tcBorders>
                  <w:vAlign w:val="center"/>
                </w:tcPr>
                <w:p w14:paraId="3D2D1FB9">
                  <w:pPr>
                    <w:overflowPunct w:val="0"/>
                    <w:adjustRightInd w:val="0"/>
                    <w:snapToGrid w:val="0"/>
                    <w:spacing w:before="40" w:after="60" w:line="200" w:lineRule="atLeast"/>
                    <w:ind w:firstLine="4"/>
                    <w:jc w:val="center"/>
                    <w:textAlignment w:val="baseline"/>
                    <w:rPr>
                      <w:b/>
                      <w:kern w:val="0"/>
                      <w:szCs w:val="21"/>
                    </w:rPr>
                  </w:pPr>
                  <w:r>
                    <w:rPr>
                      <w:rFonts w:hint="eastAsia"/>
                      <w:b/>
                      <w:kern w:val="0"/>
                      <w:szCs w:val="21"/>
                    </w:rPr>
                    <w:t>年发生频次</w:t>
                  </w:r>
                </w:p>
              </w:tc>
            </w:tr>
            <w:tr w14:paraId="46E7A84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76" w:hRule="atLeast"/>
                <w:jc w:val="center"/>
              </w:trPr>
              <w:tc>
                <w:tcPr>
                  <w:tcW w:w="405" w:type="pct"/>
                  <w:vMerge w:val="continue"/>
                  <w:tcBorders>
                    <w:tl2br w:val="nil"/>
                    <w:tr2bl w:val="nil"/>
                  </w:tcBorders>
                  <w:vAlign w:val="center"/>
                </w:tcPr>
                <w:p w14:paraId="7633AFF2">
                  <w:pPr>
                    <w:overflowPunct w:val="0"/>
                    <w:adjustRightInd w:val="0"/>
                    <w:snapToGrid w:val="0"/>
                    <w:ind w:firstLine="4"/>
                    <w:jc w:val="center"/>
                    <w:textAlignment w:val="baseline"/>
                    <w:rPr>
                      <w:b/>
                      <w:kern w:val="0"/>
                      <w:szCs w:val="21"/>
                    </w:rPr>
                  </w:pPr>
                </w:p>
              </w:tc>
              <w:tc>
                <w:tcPr>
                  <w:tcW w:w="527" w:type="pct"/>
                  <w:vMerge w:val="continue"/>
                  <w:tcBorders>
                    <w:tl2br w:val="nil"/>
                    <w:tr2bl w:val="nil"/>
                  </w:tcBorders>
                  <w:vAlign w:val="center"/>
                </w:tcPr>
                <w:p w14:paraId="37F1C522">
                  <w:pPr>
                    <w:overflowPunct w:val="0"/>
                    <w:adjustRightInd w:val="0"/>
                    <w:snapToGrid w:val="0"/>
                    <w:ind w:firstLine="4"/>
                    <w:jc w:val="center"/>
                    <w:textAlignment w:val="baseline"/>
                    <w:rPr>
                      <w:b/>
                      <w:kern w:val="0"/>
                      <w:szCs w:val="21"/>
                    </w:rPr>
                  </w:pPr>
                </w:p>
              </w:tc>
              <w:tc>
                <w:tcPr>
                  <w:tcW w:w="482" w:type="pct"/>
                  <w:vMerge w:val="continue"/>
                  <w:tcBorders>
                    <w:tl2br w:val="nil"/>
                    <w:tr2bl w:val="nil"/>
                  </w:tcBorders>
                  <w:vAlign w:val="center"/>
                </w:tcPr>
                <w:p w14:paraId="51248AAF">
                  <w:pPr>
                    <w:overflowPunct w:val="0"/>
                    <w:adjustRightInd w:val="0"/>
                    <w:snapToGrid w:val="0"/>
                    <w:ind w:firstLine="4"/>
                    <w:jc w:val="center"/>
                    <w:textAlignment w:val="baseline"/>
                    <w:rPr>
                      <w:b/>
                      <w:kern w:val="0"/>
                      <w:szCs w:val="21"/>
                    </w:rPr>
                  </w:pPr>
                </w:p>
              </w:tc>
              <w:tc>
                <w:tcPr>
                  <w:tcW w:w="849" w:type="pct"/>
                  <w:vMerge w:val="continue"/>
                  <w:tcBorders>
                    <w:tl2br w:val="nil"/>
                    <w:tr2bl w:val="nil"/>
                  </w:tcBorders>
                  <w:vAlign w:val="center"/>
                </w:tcPr>
                <w:p w14:paraId="01E9338B">
                  <w:pPr>
                    <w:overflowPunct w:val="0"/>
                    <w:adjustRightInd w:val="0"/>
                    <w:snapToGrid w:val="0"/>
                    <w:ind w:firstLine="4"/>
                    <w:jc w:val="center"/>
                    <w:textAlignment w:val="baseline"/>
                    <w:rPr>
                      <w:b/>
                      <w:kern w:val="0"/>
                      <w:szCs w:val="21"/>
                    </w:rPr>
                  </w:pPr>
                </w:p>
              </w:tc>
              <w:tc>
                <w:tcPr>
                  <w:tcW w:w="386" w:type="pct"/>
                  <w:vMerge w:val="continue"/>
                  <w:tcBorders>
                    <w:tl2br w:val="nil"/>
                    <w:tr2bl w:val="nil"/>
                  </w:tcBorders>
                  <w:vAlign w:val="center"/>
                </w:tcPr>
                <w:p w14:paraId="6A6B1869">
                  <w:pPr>
                    <w:overflowPunct w:val="0"/>
                    <w:adjustRightInd w:val="0"/>
                    <w:snapToGrid w:val="0"/>
                    <w:ind w:firstLine="4"/>
                    <w:jc w:val="center"/>
                    <w:textAlignment w:val="baseline"/>
                    <w:rPr>
                      <w:b/>
                      <w:kern w:val="0"/>
                      <w:szCs w:val="21"/>
                    </w:rPr>
                  </w:pPr>
                </w:p>
              </w:tc>
              <w:tc>
                <w:tcPr>
                  <w:tcW w:w="453" w:type="pct"/>
                  <w:tcBorders>
                    <w:tl2br w:val="nil"/>
                    <w:tr2bl w:val="nil"/>
                  </w:tcBorders>
                  <w:vAlign w:val="center"/>
                </w:tcPr>
                <w:p w14:paraId="299467D6">
                  <w:pPr>
                    <w:widowControl/>
                    <w:ind w:left="-105" w:leftChars="-50" w:right="-105" w:rightChars="-50"/>
                    <w:jc w:val="center"/>
                    <w:rPr>
                      <w:rFonts w:hint="eastAsia" w:eastAsia="宋体"/>
                      <w:b/>
                      <w:kern w:val="0"/>
                      <w:szCs w:val="21"/>
                      <w:lang w:eastAsia="zh-CN"/>
                    </w:rPr>
                  </w:pPr>
                  <w:r>
                    <w:rPr>
                      <w:rFonts w:hint="eastAsia"/>
                      <w:b/>
                      <w:kern w:val="0"/>
                      <w:szCs w:val="21"/>
                      <w:lang w:val="en-US" w:eastAsia="zh-CN"/>
                    </w:rPr>
                    <w:t>t</w:t>
                  </w:r>
                  <w:r>
                    <w:rPr>
                      <w:b/>
                      <w:kern w:val="0"/>
                      <w:szCs w:val="21"/>
                    </w:rPr>
                    <w:t>/</w:t>
                  </w:r>
                  <w:r>
                    <w:rPr>
                      <w:rFonts w:hint="eastAsia"/>
                      <w:b/>
                      <w:kern w:val="0"/>
                      <w:szCs w:val="21"/>
                      <w:lang w:val="en-US" w:eastAsia="zh-CN"/>
                    </w:rPr>
                    <w:t>a</w:t>
                  </w:r>
                </w:p>
              </w:tc>
              <w:tc>
                <w:tcPr>
                  <w:tcW w:w="552" w:type="pct"/>
                  <w:tcBorders>
                    <w:tl2br w:val="nil"/>
                    <w:tr2bl w:val="nil"/>
                  </w:tcBorders>
                  <w:vAlign w:val="center"/>
                </w:tcPr>
                <w:p w14:paraId="3D60589B">
                  <w:pPr>
                    <w:widowControl/>
                    <w:ind w:left="-105" w:leftChars="-50" w:right="-105" w:rightChars="-50"/>
                    <w:jc w:val="center"/>
                    <w:rPr>
                      <w:rFonts w:hint="eastAsia" w:eastAsia="宋体"/>
                      <w:b/>
                      <w:kern w:val="0"/>
                      <w:szCs w:val="21"/>
                      <w:lang w:eastAsia="zh-CN"/>
                    </w:rPr>
                  </w:pPr>
                  <w:r>
                    <w:rPr>
                      <w:rFonts w:hint="eastAsia"/>
                      <w:b/>
                      <w:kern w:val="0"/>
                      <w:szCs w:val="21"/>
                    </w:rPr>
                    <w:t>kg</w:t>
                  </w:r>
                  <w:r>
                    <w:rPr>
                      <w:b/>
                      <w:kern w:val="0"/>
                      <w:szCs w:val="21"/>
                    </w:rPr>
                    <w:t>/</w:t>
                  </w:r>
                  <w:r>
                    <w:rPr>
                      <w:rFonts w:hint="eastAsia"/>
                      <w:b/>
                      <w:kern w:val="0"/>
                      <w:szCs w:val="21"/>
                      <w:lang w:val="en-US" w:eastAsia="zh-CN"/>
                    </w:rPr>
                    <w:t>h</w:t>
                  </w:r>
                </w:p>
              </w:tc>
              <w:tc>
                <w:tcPr>
                  <w:tcW w:w="470" w:type="pct"/>
                  <w:tcBorders>
                    <w:tl2br w:val="nil"/>
                    <w:tr2bl w:val="nil"/>
                  </w:tcBorders>
                  <w:vAlign w:val="center"/>
                </w:tcPr>
                <w:p w14:paraId="3434004F">
                  <w:pPr>
                    <w:widowControl/>
                    <w:ind w:left="-105" w:leftChars="-50" w:right="-105" w:rightChars="-50"/>
                    <w:jc w:val="center"/>
                    <w:rPr>
                      <w:b/>
                      <w:kern w:val="0"/>
                      <w:szCs w:val="21"/>
                    </w:rPr>
                  </w:pPr>
                  <w:r>
                    <w:rPr>
                      <w:rFonts w:hint="eastAsia"/>
                      <w:b/>
                      <w:kern w:val="0"/>
                      <w:szCs w:val="21"/>
                    </w:rPr>
                    <w:t>mg/m</w:t>
                  </w:r>
                  <w:r>
                    <w:rPr>
                      <w:rFonts w:hint="eastAsia"/>
                      <w:b/>
                      <w:kern w:val="0"/>
                      <w:szCs w:val="21"/>
                      <w:vertAlign w:val="superscript"/>
                    </w:rPr>
                    <w:t>3</w:t>
                  </w:r>
                </w:p>
              </w:tc>
              <w:tc>
                <w:tcPr>
                  <w:tcW w:w="422" w:type="pct"/>
                  <w:vMerge w:val="continue"/>
                  <w:tcBorders>
                    <w:tl2br w:val="nil"/>
                    <w:tr2bl w:val="nil"/>
                  </w:tcBorders>
                  <w:vAlign w:val="center"/>
                </w:tcPr>
                <w:p w14:paraId="49FCB3E9">
                  <w:pPr>
                    <w:overflowPunct w:val="0"/>
                    <w:adjustRightInd w:val="0"/>
                    <w:snapToGrid w:val="0"/>
                    <w:ind w:firstLine="4"/>
                    <w:jc w:val="center"/>
                    <w:textAlignment w:val="baseline"/>
                    <w:rPr>
                      <w:b/>
                      <w:kern w:val="0"/>
                      <w:szCs w:val="21"/>
                    </w:rPr>
                  </w:pPr>
                </w:p>
              </w:tc>
              <w:tc>
                <w:tcPr>
                  <w:tcW w:w="451" w:type="pct"/>
                  <w:vMerge w:val="continue"/>
                  <w:tcBorders>
                    <w:tl2br w:val="nil"/>
                    <w:tr2bl w:val="nil"/>
                  </w:tcBorders>
                  <w:vAlign w:val="center"/>
                </w:tcPr>
                <w:p w14:paraId="7E8EC9FB">
                  <w:pPr>
                    <w:overflowPunct w:val="0"/>
                    <w:adjustRightInd w:val="0"/>
                    <w:snapToGrid w:val="0"/>
                    <w:ind w:firstLine="4"/>
                    <w:jc w:val="center"/>
                    <w:textAlignment w:val="baseline"/>
                    <w:rPr>
                      <w:b/>
                      <w:kern w:val="0"/>
                      <w:szCs w:val="21"/>
                    </w:rPr>
                  </w:pPr>
                </w:p>
              </w:tc>
            </w:tr>
            <w:tr w14:paraId="477915B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473" w:hRule="atLeast"/>
                <w:jc w:val="center"/>
              </w:trPr>
              <w:tc>
                <w:tcPr>
                  <w:tcW w:w="405" w:type="pct"/>
                  <w:tcBorders>
                    <w:tl2br w:val="nil"/>
                    <w:tr2bl w:val="nil"/>
                  </w:tcBorders>
                  <w:vAlign w:val="center"/>
                </w:tcPr>
                <w:p w14:paraId="40309792">
                  <w:pPr>
                    <w:overflowPunct w:val="0"/>
                    <w:adjustRightInd w:val="0"/>
                    <w:snapToGrid w:val="0"/>
                    <w:ind w:firstLine="4"/>
                    <w:jc w:val="center"/>
                    <w:textAlignment w:val="baseline"/>
                    <w:rPr>
                      <w:kern w:val="0"/>
                      <w:szCs w:val="21"/>
                    </w:rPr>
                  </w:pPr>
                  <w:r>
                    <w:rPr>
                      <w:rFonts w:hint="eastAsia"/>
                      <w:kern w:val="0"/>
                      <w:szCs w:val="21"/>
                    </w:rPr>
                    <w:t>D</w:t>
                  </w:r>
                  <w:r>
                    <w:rPr>
                      <w:kern w:val="0"/>
                      <w:szCs w:val="21"/>
                    </w:rPr>
                    <w:t>A001</w:t>
                  </w:r>
                </w:p>
              </w:tc>
              <w:tc>
                <w:tcPr>
                  <w:tcW w:w="527" w:type="pct"/>
                  <w:tcBorders>
                    <w:tl2br w:val="nil"/>
                    <w:tr2bl w:val="nil"/>
                  </w:tcBorders>
                  <w:vAlign w:val="center"/>
                </w:tcPr>
                <w:p w14:paraId="233390B6">
                  <w:pPr>
                    <w:jc w:val="center"/>
                    <w:rPr>
                      <w:rFonts w:hint="eastAsia" w:eastAsia="宋体"/>
                      <w:szCs w:val="21"/>
                      <w:lang w:val="en-US" w:eastAsia="zh-CN"/>
                    </w:rPr>
                  </w:pPr>
                  <w:r>
                    <w:rPr>
                      <w:rFonts w:hint="eastAsia"/>
                      <w:szCs w:val="21"/>
                      <w:lang w:val="en-US" w:eastAsia="zh-CN"/>
                    </w:rPr>
                    <w:t>焊接</w:t>
                  </w:r>
                </w:p>
              </w:tc>
              <w:tc>
                <w:tcPr>
                  <w:tcW w:w="482" w:type="pct"/>
                  <w:tcBorders>
                    <w:tl2br w:val="nil"/>
                    <w:tr2bl w:val="nil"/>
                  </w:tcBorders>
                  <w:vAlign w:val="center"/>
                </w:tcPr>
                <w:p w14:paraId="0C435356">
                  <w:pPr>
                    <w:jc w:val="center"/>
                    <w:rPr>
                      <w:bCs/>
                      <w:szCs w:val="21"/>
                    </w:rPr>
                  </w:pPr>
                  <w:r>
                    <w:rPr>
                      <w:rFonts w:hint="eastAsia"/>
                      <w:bCs/>
                      <w:szCs w:val="21"/>
                      <w:lang w:val="en-US" w:eastAsia="zh-CN"/>
                    </w:rPr>
                    <w:t>颗粒物</w:t>
                  </w:r>
                </w:p>
              </w:tc>
              <w:tc>
                <w:tcPr>
                  <w:tcW w:w="849" w:type="pct"/>
                  <w:tcBorders>
                    <w:tl2br w:val="nil"/>
                    <w:tr2bl w:val="nil"/>
                  </w:tcBorders>
                  <w:vAlign w:val="center"/>
                </w:tcPr>
                <w:p w14:paraId="0DE0CD15">
                  <w:pPr>
                    <w:overflowPunct w:val="0"/>
                    <w:adjustRightInd w:val="0"/>
                    <w:snapToGrid w:val="0"/>
                    <w:ind w:firstLine="4"/>
                    <w:jc w:val="center"/>
                    <w:textAlignment w:val="baseline"/>
                    <w:rPr>
                      <w:b/>
                      <w:kern w:val="0"/>
                      <w:szCs w:val="21"/>
                    </w:rPr>
                  </w:pPr>
                  <w:r>
                    <w:rPr>
                      <w:rFonts w:hint="eastAsia"/>
                      <w:szCs w:val="21"/>
                      <w:lang w:val="en-US" w:eastAsia="zh-CN"/>
                    </w:rPr>
                    <w:t>布袋除尘</w:t>
                  </w:r>
                  <w:r>
                    <w:rPr>
                      <w:rFonts w:hint="eastAsia"/>
                      <w:szCs w:val="21"/>
                    </w:rPr>
                    <w:t>装置损坏</w:t>
                  </w:r>
                </w:p>
              </w:tc>
              <w:tc>
                <w:tcPr>
                  <w:tcW w:w="386" w:type="pct"/>
                  <w:tcBorders>
                    <w:tl2br w:val="nil"/>
                    <w:tr2bl w:val="nil"/>
                  </w:tcBorders>
                  <w:vAlign w:val="center"/>
                </w:tcPr>
                <w:p w14:paraId="04285302">
                  <w:pPr>
                    <w:overflowPunct w:val="0"/>
                    <w:adjustRightInd w:val="0"/>
                    <w:snapToGrid w:val="0"/>
                    <w:ind w:firstLine="4"/>
                    <w:jc w:val="center"/>
                    <w:textAlignment w:val="baseline"/>
                    <w:rPr>
                      <w:rFonts w:hint="default" w:eastAsia="宋体"/>
                      <w:kern w:val="0"/>
                      <w:szCs w:val="21"/>
                      <w:lang w:val="en-US" w:eastAsia="zh-CN"/>
                    </w:rPr>
                  </w:pPr>
                  <w:r>
                    <w:rPr>
                      <w:rFonts w:hint="eastAsia"/>
                      <w:kern w:val="0"/>
                      <w:szCs w:val="21"/>
                      <w:lang w:val="en-US" w:eastAsia="zh-CN"/>
                    </w:rPr>
                    <w:t>95</w:t>
                  </w:r>
                </w:p>
              </w:tc>
              <w:tc>
                <w:tcPr>
                  <w:tcW w:w="453" w:type="pct"/>
                  <w:tcBorders>
                    <w:tl2br w:val="nil"/>
                    <w:tr2bl w:val="nil"/>
                  </w:tcBorders>
                  <w:vAlign w:val="center"/>
                </w:tcPr>
                <w:p w14:paraId="1A0525EE">
                  <w:pPr>
                    <w:widowControl/>
                    <w:jc w:val="center"/>
                    <w:rPr>
                      <w:rFonts w:hint="default" w:eastAsia="宋体"/>
                      <w:kern w:val="0"/>
                      <w:szCs w:val="21"/>
                      <w:lang w:val="en-US" w:eastAsia="zh-CN"/>
                    </w:rPr>
                  </w:pPr>
                  <w:r>
                    <w:rPr>
                      <w:rFonts w:hint="eastAsia"/>
                      <w:kern w:val="0"/>
                      <w:szCs w:val="21"/>
                      <w:lang w:val="en-US" w:eastAsia="zh-CN"/>
                    </w:rPr>
                    <w:t>0.515</w:t>
                  </w:r>
                </w:p>
              </w:tc>
              <w:tc>
                <w:tcPr>
                  <w:tcW w:w="552" w:type="pct"/>
                  <w:tcBorders>
                    <w:tl2br w:val="nil"/>
                    <w:tr2bl w:val="nil"/>
                  </w:tcBorders>
                  <w:vAlign w:val="center"/>
                </w:tcPr>
                <w:p w14:paraId="528CE9C3">
                  <w:pPr>
                    <w:widowControl/>
                    <w:jc w:val="center"/>
                    <w:rPr>
                      <w:rFonts w:hint="default" w:eastAsia="宋体"/>
                      <w:kern w:val="0"/>
                      <w:szCs w:val="21"/>
                      <w:lang w:val="en-US" w:eastAsia="zh-CN"/>
                    </w:rPr>
                  </w:pPr>
                  <w:r>
                    <w:rPr>
                      <w:rFonts w:hint="eastAsia"/>
                      <w:kern w:val="0"/>
                      <w:szCs w:val="21"/>
                      <w:lang w:val="en-US" w:eastAsia="zh-CN"/>
                    </w:rPr>
                    <w:t>0.0036</w:t>
                  </w:r>
                </w:p>
              </w:tc>
              <w:tc>
                <w:tcPr>
                  <w:tcW w:w="470" w:type="pct"/>
                  <w:tcBorders>
                    <w:tl2br w:val="nil"/>
                    <w:tr2bl w:val="nil"/>
                  </w:tcBorders>
                  <w:vAlign w:val="center"/>
                </w:tcPr>
                <w:p w14:paraId="02F0B091">
                  <w:pPr>
                    <w:widowControl/>
                    <w:jc w:val="center"/>
                    <w:rPr>
                      <w:rFonts w:hint="default" w:eastAsia="宋体"/>
                      <w:kern w:val="0"/>
                      <w:szCs w:val="21"/>
                      <w:lang w:val="en-US" w:eastAsia="zh-CN"/>
                    </w:rPr>
                  </w:pPr>
                  <w:r>
                    <w:rPr>
                      <w:rFonts w:hint="eastAsia"/>
                      <w:kern w:val="0"/>
                      <w:szCs w:val="21"/>
                      <w:lang w:val="en-US" w:eastAsia="zh-CN"/>
                    </w:rPr>
                    <w:t>0.24</w:t>
                  </w:r>
                </w:p>
              </w:tc>
              <w:tc>
                <w:tcPr>
                  <w:tcW w:w="422" w:type="pct"/>
                  <w:tcBorders>
                    <w:tl2br w:val="nil"/>
                    <w:tr2bl w:val="nil"/>
                  </w:tcBorders>
                  <w:vAlign w:val="center"/>
                </w:tcPr>
                <w:p w14:paraId="66B24C2B">
                  <w:pPr>
                    <w:jc w:val="center"/>
                    <w:rPr>
                      <w:szCs w:val="21"/>
                    </w:rPr>
                  </w:pPr>
                  <w:r>
                    <w:rPr>
                      <w:rFonts w:hint="eastAsia"/>
                      <w:szCs w:val="21"/>
                    </w:rPr>
                    <w:t>1</w:t>
                  </w:r>
                  <w:r>
                    <w:rPr>
                      <w:szCs w:val="21"/>
                    </w:rPr>
                    <w:t>h</w:t>
                  </w:r>
                </w:p>
              </w:tc>
              <w:tc>
                <w:tcPr>
                  <w:tcW w:w="451" w:type="pct"/>
                  <w:tcBorders>
                    <w:tl2br w:val="nil"/>
                    <w:tr2bl w:val="nil"/>
                  </w:tcBorders>
                  <w:vAlign w:val="center"/>
                </w:tcPr>
                <w:p w14:paraId="6120EEE1">
                  <w:pPr>
                    <w:jc w:val="center"/>
                    <w:rPr>
                      <w:szCs w:val="21"/>
                    </w:rPr>
                  </w:pPr>
                  <w:r>
                    <w:rPr>
                      <w:rFonts w:hint="eastAsia"/>
                      <w:szCs w:val="21"/>
                    </w:rPr>
                    <w:t>1次/年</w:t>
                  </w:r>
                </w:p>
              </w:tc>
            </w:tr>
          </w:tbl>
          <w:p w14:paraId="2177A1F8">
            <w:pPr>
              <w:keepNext w:val="0"/>
              <w:keepLines w:val="0"/>
              <w:pageBreakBefore w:val="0"/>
              <w:widowControl w:val="0"/>
              <w:tabs>
                <w:tab w:val="left" w:pos="1077"/>
              </w:tabs>
              <w:kinsoku/>
              <w:wordWrap/>
              <w:overflowPunct/>
              <w:topLinePunct w:val="0"/>
              <w:autoSpaceDE/>
              <w:autoSpaceDN/>
              <w:bidi w:val="0"/>
              <w:adjustRightInd/>
              <w:snapToGrid/>
              <w:spacing w:beforeAutospacing="0" w:line="360" w:lineRule="auto"/>
              <w:ind w:firstLine="482" w:firstLineChars="200"/>
              <w:jc w:val="left"/>
              <w:textAlignment w:val="auto"/>
              <w:rPr>
                <w:rFonts w:eastAsiaTheme="minorEastAsia"/>
                <w:b/>
                <w:bCs/>
                <w:sz w:val="24"/>
              </w:rPr>
            </w:pPr>
            <w:r>
              <w:rPr>
                <w:rFonts w:hint="eastAsia" w:eastAsiaTheme="minorEastAsia"/>
                <w:b/>
                <w:bCs/>
                <w:sz w:val="24"/>
              </w:rPr>
              <w:t>3、污染治理技术可行、达标排放和环境影响简要分析</w:t>
            </w:r>
          </w:p>
          <w:p w14:paraId="7ADC4CBE">
            <w:pPr>
              <w:keepNext w:val="0"/>
              <w:keepLines w:val="0"/>
              <w:pageBreakBefore w:val="0"/>
              <w:widowControl w:val="0"/>
              <w:tabs>
                <w:tab w:val="left" w:pos="1077"/>
              </w:tabs>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（1）粉尘废气治理措施可行性分析</w:t>
            </w:r>
          </w:p>
          <w:p w14:paraId="6D8E483D">
            <w:pPr>
              <w:keepNext w:val="0"/>
              <w:keepLines w:val="0"/>
              <w:pageBreakBefore w:val="0"/>
              <w:widowControl w:val="0"/>
              <w:kinsoku/>
              <w:wordWrap/>
              <w:overflowPunct/>
              <w:topLinePunct w:val="0"/>
              <w:autoSpaceDE/>
              <w:autoSpaceDN/>
              <w:bidi w:val="0"/>
              <w:adjustRightInd w:val="0"/>
              <w:snapToGrid w:val="0"/>
              <w:spacing w:line="360" w:lineRule="auto"/>
              <w:ind w:firstLine="500" w:firstLineChars="200"/>
              <w:textAlignment w:val="auto"/>
              <w:rPr>
                <w:rFonts w:hint="default" w:ascii="Times New Roman" w:hAnsi="Times New Roman" w:eastAsia="宋体" w:cs="Times New Roman"/>
                <w:color w:val="auto"/>
                <w:spacing w:val="5"/>
                <w:sz w:val="24"/>
                <w:highlight w:val="none"/>
                <w:lang w:val="en-US" w:eastAsia="zh-CN"/>
              </w:rPr>
            </w:pPr>
            <w:r>
              <w:rPr>
                <w:rFonts w:hint="default" w:ascii="Times New Roman" w:hAnsi="Times New Roman" w:eastAsia="宋体" w:cs="Times New Roman"/>
                <w:color w:val="auto"/>
                <w:spacing w:val="5"/>
                <w:sz w:val="24"/>
                <w:highlight w:val="none"/>
                <w:lang w:val="en-US" w:eastAsia="zh-CN"/>
              </w:rPr>
              <w:t>本项目焊接粉尘均采用袋式除尘器处理。袋式除尘器是一种干式滤尘装置。它适用于捕集细小、干燥、非纤维性粉尘。滤袋采用纺织的滤布或非纺织的毡制成，利用纤维织物的过滤作用对含尘气体进行过滤，当含尘气体进入袋式除尘器后，颗粒大、比重大的粉尘，由于重力的作用沉降下来，落入灰斗，含有较细小粉尘的气体在通过滤料时，粉尘被阻留，使气体得到净化。袋式除尘器结构主要由上部箱体、中部箱体、下部箱体（灰斗）、清灰系统和排灰机构等部分组成。袋式除尘器性能的好坏，除了正确选择滤袋材料外，清灰系统对袋式除尘器起着决定性的作用。为此，清灰方法是区分袋式除尘器的特性之一，也是袋式除尘器运行中重要的一环。</w:t>
            </w:r>
          </w:p>
          <w:p w14:paraId="77BEFCDB">
            <w:pPr>
              <w:keepNext w:val="0"/>
              <w:keepLines w:val="0"/>
              <w:pageBreakBefore w:val="0"/>
              <w:widowControl w:val="0"/>
              <w:kinsoku/>
              <w:wordWrap/>
              <w:overflowPunct/>
              <w:topLinePunct w:val="0"/>
              <w:autoSpaceDE/>
              <w:autoSpaceDN/>
              <w:bidi w:val="0"/>
              <w:adjustRightInd w:val="0"/>
              <w:snapToGrid w:val="0"/>
              <w:spacing w:line="360" w:lineRule="auto"/>
              <w:ind w:firstLine="500" w:firstLineChars="200"/>
              <w:textAlignment w:val="auto"/>
              <w:rPr>
                <w:rFonts w:hint="default" w:ascii="Times New Roman" w:hAnsi="Times New Roman" w:eastAsia="宋体" w:cs="Times New Roman"/>
                <w:color w:val="auto"/>
                <w:spacing w:val="5"/>
                <w:sz w:val="24"/>
                <w:highlight w:val="none"/>
              </w:rPr>
            </w:pPr>
            <w:r>
              <w:rPr>
                <w:rFonts w:hint="default" w:ascii="Times New Roman" w:hAnsi="Times New Roman" w:eastAsia="宋体" w:cs="Times New Roman"/>
                <w:color w:val="auto"/>
                <w:spacing w:val="5"/>
                <w:sz w:val="24"/>
                <w:highlight w:val="none"/>
                <w:lang w:val="en-US" w:eastAsia="zh-CN"/>
              </w:rPr>
              <w:t>袋式除尘器的优势：</w:t>
            </w:r>
          </w:p>
          <w:p w14:paraId="4C1A6055">
            <w:pPr>
              <w:keepNext w:val="0"/>
              <w:keepLines w:val="0"/>
              <w:pageBreakBefore w:val="0"/>
              <w:widowControl w:val="0"/>
              <w:kinsoku/>
              <w:wordWrap/>
              <w:overflowPunct/>
              <w:topLinePunct w:val="0"/>
              <w:autoSpaceDE/>
              <w:autoSpaceDN/>
              <w:bidi w:val="0"/>
              <w:adjustRightInd w:val="0"/>
              <w:snapToGrid w:val="0"/>
              <w:spacing w:line="360" w:lineRule="auto"/>
              <w:ind w:firstLine="500" w:firstLineChars="200"/>
              <w:textAlignment w:val="auto"/>
              <w:rPr>
                <w:rFonts w:hint="default" w:ascii="Times New Roman" w:hAnsi="Times New Roman" w:eastAsia="宋体" w:cs="Times New Roman"/>
                <w:color w:val="auto"/>
                <w:spacing w:val="5"/>
                <w:sz w:val="24"/>
                <w:highlight w:val="none"/>
                <w:lang w:val="en-US" w:eastAsia="zh-CN"/>
              </w:rPr>
            </w:pPr>
            <w:r>
              <w:rPr>
                <w:rFonts w:hint="default" w:ascii="Times New Roman" w:hAnsi="Times New Roman" w:eastAsia="宋体" w:cs="Times New Roman"/>
                <w:color w:val="auto"/>
                <w:spacing w:val="5"/>
                <w:sz w:val="24"/>
                <w:highlight w:val="none"/>
                <w:lang w:val="en-US" w:eastAsia="zh-CN"/>
              </w:rPr>
              <w:t>①除尘效率高，袋式除尘器可捕集粒径大于0.3微米的细小粉尘，除尘效率可达99%以上；</w:t>
            </w:r>
          </w:p>
          <w:p w14:paraId="00E71F51">
            <w:pPr>
              <w:keepNext w:val="0"/>
              <w:keepLines w:val="0"/>
              <w:pageBreakBefore w:val="0"/>
              <w:widowControl w:val="0"/>
              <w:kinsoku/>
              <w:wordWrap/>
              <w:overflowPunct/>
              <w:topLinePunct w:val="0"/>
              <w:autoSpaceDE/>
              <w:autoSpaceDN/>
              <w:bidi w:val="0"/>
              <w:adjustRightInd w:val="0"/>
              <w:snapToGrid w:val="0"/>
              <w:spacing w:line="360" w:lineRule="auto"/>
              <w:ind w:firstLine="500" w:firstLineChars="200"/>
              <w:textAlignment w:val="auto"/>
              <w:rPr>
                <w:rFonts w:hint="default" w:ascii="Times New Roman" w:hAnsi="Times New Roman" w:eastAsia="宋体" w:cs="Times New Roman"/>
                <w:color w:val="auto"/>
                <w:spacing w:val="5"/>
                <w:sz w:val="24"/>
                <w:highlight w:val="none"/>
                <w:lang w:val="en-US" w:eastAsia="zh-CN"/>
              </w:rPr>
            </w:pPr>
            <w:r>
              <w:rPr>
                <w:rFonts w:hint="default" w:ascii="Times New Roman" w:hAnsi="Times New Roman" w:eastAsia="宋体" w:cs="Times New Roman"/>
                <w:color w:val="auto"/>
                <w:spacing w:val="5"/>
                <w:sz w:val="24"/>
                <w:highlight w:val="none"/>
                <w:lang w:val="en-US" w:eastAsia="zh-CN"/>
              </w:rPr>
              <w:t>②使用灵活，袋式除尘器处理风量可由每小时数百立方米到每小时数十万立方米，可以作为直接设于室内，机床附近的小型机组，也可作成大型的除尘室，即“袋房”；</w:t>
            </w:r>
          </w:p>
          <w:p w14:paraId="0EB0FDCC">
            <w:pPr>
              <w:keepNext w:val="0"/>
              <w:keepLines w:val="0"/>
              <w:pageBreakBefore w:val="0"/>
              <w:widowControl w:val="0"/>
              <w:kinsoku/>
              <w:wordWrap/>
              <w:overflowPunct/>
              <w:topLinePunct w:val="0"/>
              <w:autoSpaceDE/>
              <w:autoSpaceDN/>
              <w:bidi w:val="0"/>
              <w:adjustRightInd w:val="0"/>
              <w:snapToGrid w:val="0"/>
              <w:spacing w:line="360" w:lineRule="auto"/>
              <w:ind w:firstLine="500" w:firstLineChars="200"/>
              <w:textAlignment w:val="auto"/>
              <w:rPr>
                <w:rFonts w:hint="default" w:ascii="Times New Roman" w:hAnsi="Times New Roman" w:eastAsia="宋体" w:cs="Times New Roman"/>
                <w:color w:val="auto"/>
                <w:spacing w:val="5"/>
                <w:sz w:val="24"/>
                <w:highlight w:val="none"/>
                <w:lang w:val="en-US" w:eastAsia="zh-CN"/>
              </w:rPr>
            </w:pPr>
            <w:r>
              <w:rPr>
                <w:rFonts w:hint="default" w:ascii="Times New Roman" w:hAnsi="Times New Roman" w:eastAsia="宋体" w:cs="Times New Roman"/>
                <w:color w:val="auto"/>
                <w:spacing w:val="5"/>
                <w:sz w:val="24"/>
                <w:highlight w:val="none"/>
                <w:lang w:val="en-US" w:eastAsia="zh-CN"/>
              </w:rPr>
              <w:t>③袋式除尘器结构比较简单，运行比较稳定，初投资较少（与电除尘器比较而言），维护方便。所以，袋式除尘器广泛应用于消除粉尘污染，改善环境，回收物料等；</w:t>
            </w:r>
          </w:p>
          <w:p w14:paraId="68754A0D">
            <w:pPr>
              <w:keepNext w:val="0"/>
              <w:keepLines w:val="0"/>
              <w:pageBreakBefore w:val="0"/>
              <w:widowControl w:val="0"/>
              <w:kinsoku/>
              <w:wordWrap/>
              <w:overflowPunct/>
              <w:topLinePunct w:val="0"/>
              <w:autoSpaceDE/>
              <w:autoSpaceDN/>
              <w:bidi w:val="0"/>
              <w:adjustRightInd w:val="0"/>
              <w:snapToGrid w:val="0"/>
              <w:spacing w:line="360" w:lineRule="auto"/>
              <w:ind w:firstLine="500" w:firstLineChars="200"/>
              <w:textAlignment w:val="auto"/>
              <w:rPr>
                <w:rFonts w:hint="default" w:ascii="Times New Roman" w:hAnsi="Times New Roman" w:eastAsia="宋体" w:cs="Times New Roman"/>
                <w:color w:val="auto"/>
                <w:spacing w:val="5"/>
                <w:sz w:val="24"/>
                <w:highlight w:val="none"/>
                <w:lang w:val="en-US" w:eastAsia="zh-CN"/>
              </w:rPr>
            </w:pPr>
            <w:r>
              <w:rPr>
                <w:rFonts w:hint="default" w:ascii="Times New Roman" w:hAnsi="Times New Roman" w:eastAsia="宋体" w:cs="Times New Roman"/>
                <w:color w:val="auto"/>
                <w:spacing w:val="5"/>
                <w:sz w:val="24"/>
                <w:highlight w:val="none"/>
                <w:lang w:val="en-US" w:eastAsia="zh-CN"/>
              </w:rPr>
              <w:t>④粉尘处理容易。袋式除尘器是一种干式除尘设备，不需用水，所以不存在污水处理或泥浆处理问题，收集的粉尘容易回收利用。</w:t>
            </w:r>
          </w:p>
          <w:p w14:paraId="520A1C01">
            <w:pPr>
              <w:adjustRightInd w:val="0"/>
              <w:snapToGrid w:val="0"/>
              <w:spacing w:line="360" w:lineRule="auto"/>
              <w:ind w:firstLine="500" w:firstLineChars="200"/>
              <w:rPr>
                <w:rFonts w:hint="default" w:ascii="Times New Roman" w:hAnsi="Times New Roman" w:eastAsia="宋体" w:cs="Times New Roman"/>
                <w:color w:val="auto"/>
                <w:spacing w:val="5"/>
                <w:sz w:val="24"/>
                <w:highlight w:val="none"/>
                <w:lang w:val="en-US" w:eastAsia="zh-CN"/>
              </w:rPr>
            </w:pPr>
            <w:r>
              <w:rPr>
                <w:rFonts w:hint="default" w:ascii="Times New Roman" w:hAnsi="Times New Roman" w:eastAsia="宋体" w:cs="Times New Roman"/>
                <w:color w:val="auto"/>
                <w:spacing w:val="5"/>
                <w:sz w:val="24"/>
                <w:highlight w:val="none"/>
                <w:lang w:val="en-US" w:eastAsia="zh-CN"/>
              </w:rPr>
              <w:t>采用布袋除尘器去除尘已广泛应用各个产尘行业废气治理工程中，其工艺成熟可靠，是目前处理粉尘效率最高的环保设备，故采用此工艺是有保障的。</w:t>
            </w:r>
            <w:r>
              <w:rPr>
                <w:rFonts w:hint="eastAsia" w:cs="Times New Roman"/>
                <w:color w:val="auto"/>
                <w:spacing w:val="5"/>
                <w:sz w:val="24"/>
                <w:highlight w:val="none"/>
                <w:lang w:val="en-US" w:eastAsia="zh-CN"/>
              </w:rPr>
              <w:t>经对照《汽车工业污染防治可行技术指南》（HJ1181-2021）要求，项目焊接废气采用布袋除尘器处理，属于可行技术。</w:t>
            </w:r>
            <w:r>
              <w:rPr>
                <w:rFonts w:hint="default" w:ascii="Times New Roman" w:hAnsi="Times New Roman" w:eastAsia="宋体" w:cs="Times New Roman"/>
                <w:color w:val="auto"/>
                <w:spacing w:val="5"/>
                <w:sz w:val="24"/>
                <w:highlight w:val="none"/>
                <w:lang w:val="en-US" w:eastAsia="zh-CN"/>
              </w:rPr>
              <w:t>经上述措施处理后，建设项目废气对环境空气质量影响较小，建设项目</w:t>
            </w:r>
            <w:r>
              <w:rPr>
                <w:rFonts w:hint="eastAsia" w:cs="Times New Roman"/>
                <w:color w:val="auto"/>
                <w:spacing w:val="5"/>
                <w:sz w:val="24"/>
                <w:highlight w:val="none"/>
                <w:lang w:val="en-US" w:eastAsia="zh-CN"/>
              </w:rPr>
              <w:t>焊接</w:t>
            </w:r>
            <w:r>
              <w:rPr>
                <w:rFonts w:hint="default" w:ascii="Times New Roman" w:hAnsi="Times New Roman" w:eastAsia="宋体" w:cs="Times New Roman"/>
                <w:color w:val="auto"/>
                <w:spacing w:val="5"/>
                <w:sz w:val="24"/>
                <w:highlight w:val="none"/>
                <w:lang w:val="en-US" w:eastAsia="zh-CN"/>
              </w:rPr>
              <w:t>废气处理措施技术经济可行。</w:t>
            </w:r>
          </w:p>
          <w:p w14:paraId="748B550C">
            <w:pPr>
              <w:adjustRightInd w:val="0"/>
              <w:snapToGrid w:val="0"/>
              <w:spacing w:line="360" w:lineRule="auto"/>
              <w:ind w:firstLine="482" w:firstLineChars="200"/>
              <w:rPr>
                <w:rFonts w:ascii="Times New Roman" w:hAnsi="Times New Roman" w:eastAsia="宋体"/>
                <w:b/>
                <w:bCs/>
                <w:caps w:val="0"/>
                <w:color w:val="000000" w:themeColor="text1"/>
                <w:kern w:val="0"/>
                <w:sz w:val="24"/>
                <w:highlight w:val="none"/>
                <w14:textFill>
                  <w14:solidFill>
                    <w14:schemeClr w14:val="tx1"/>
                  </w14:solidFill>
                </w14:textFill>
              </w:rPr>
            </w:pPr>
            <w:r>
              <w:rPr>
                <w:rFonts w:hint="eastAsia" w:ascii="Times New Roman" w:hAnsi="Times New Roman" w:eastAsia="宋体"/>
                <w:b/>
                <w:bCs/>
                <w:caps w:val="0"/>
                <w:color w:val="000000" w:themeColor="text1"/>
                <w:kern w:val="0"/>
                <w:sz w:val="24"/>
                <w:highlight w:val="none"/>
                <w14:textFill>
                  <w14:solidFill>
                    <w14:schemeClr w14:val="tx1"/>
                  </w14:solidFill>
                </w14:textFill>
              </w:rPr>
              <w:t>4、大气环境影响分析</w:t>
            </w:r>
          </w:p>
          <w:p w14:paraId="1DC87766">
            <w:pPr>
              <w:tabs>
                <w:tab w:val="left" w:pos="1077"/>
              </w:tabs>
              <w:spacing w:line="360" w:lineRule="auto"/>
              <w:ind w:firstLine="480" w:firstLineChars="200"/>
              <w:jc w:val="left"/>
              <w:rPr>
                <w:rFonts w:hint="eastAsia" w:ascii="Times New Roman" w:hAnsi="Times New Roman" w:eastAsia="宋体"/>
                <w:color w:val="000000"/>
                <w:sz w:val="24"/>
              </w:rPr>
            </w:pPr>
            <w:r>
              <w:rPr>
                <w:rFonts w:hint="eastAsia" w:ascii="Times New Roman" w:hAnsi="Times New Roman" w:eastAsia="宋体" w:cs="宋体"/>
                <w:color w:val="000000"/>
                <w:sz w:val="24"/>
              </w:rPr>
              <w:t>由</w:t>
            </w:r>
            <w:r>
              <w:rPr>
                <w:rFonts w:ascii="Times New Roman" w:hAnsi="Times New Roman" w:eastAsia="宋体" w:cs="宋体"/>
                <w:color w:val="000000"/>
                <w:sz w:val="24"/>
              </w:rPr>
              <w:t>分析可知</w:t>
            </w:r>
            <w:r>
              <w:rPr>
                <w:rFonts w:hint="eastAsia" w:ascii="Times New Roman" w:hAnsi="Times New Roman" w:eastAsia="宋体"/>
                <w:color w:val="000000"/>
                <w:kern w:val="0"/>
                <w:sz w:val="24"/>
              </w:rPr>
              <w:t>各项废气均</w:t>
            </w:r>
            <w:r>
              <w:rPr>
                <w:rFonts w:ascii="Times New Roman" w:hAnsi="Times New Roman" w:eastAsia="宋体" w:cs="宋体"/>
                <w:color w:val="000000"/>
                <w:sz w:val="24"/>
              </w:rPr>
              <w:t>采取有效的废气收集、治理措施处理后</w:t>
            </w:r>
            <w:r>
              <w:rPr>
                <w:rFonts w:hint="eastAsia" w:ascii="Times New Roman" w:hAnsi="Times New Roman" w:eastAsia="宋体"/>
                <w:color w:val="000000"/>
                <w:sz w:val="24"/>
                <w:highlight w:val="none"/>
                <w:lang w:eastAsia="zh-CN"/>
              </w:rPr>
              <w:t>，</w:t>
            </w:r>
            <w:r>
              <w:rPr>
                <w:rFonts w:hint="eastAsia" w:ascii="Times New Roman" w:hAnsi="Times New Roman" w:eastAsia="宋体"/>
                <w:color w:val="000000"/>
                <w:sz w:val="24"/>
                <w:highlight w:val="none"/>
                <w:lang w:val="en-US" w:eastAsia="zh-CN"/>
              </w:rPr>
              <w:t>焊接</w:t>
            </w:r>
            <w:r>
              <w:rPr>
                <w:rFonts w:hint="eastAsia" w:ascii="Times New Roman" w:hAnsi="Times New Roman" w:eastAsia="宋体"/>
                <w:color w:val="000000"/>
                <w:sz w:val="24"/>
                <w:highlight w:val="none"/>
              </w:rPr>
              <w:t>产生的</w:t>
            </w:r>
            <w:r>
              <w:rPr>
                <w:rFonts w:hint="eastAsia" w:ascii="Times New Roman" w:hAnsi="Times New Roman" w:eastAsia="宋体"/>
                <w:color w:val="000000"/>
                <w:sz w:val="24"/>
                <w:highlight w:val="none"/>
                <w:lang w:val="en-US" w:eastAsia="zh-CN"/>
              </w:rPr>
              <w:t>颗粒物满足《大气污染物综合排放标准》（GB16297-1996）</w:t>
            </w:r>
            <w:r>
              <w:rPr>
                <w:rFonts w:hint="eastAsia" w:ascii="Times New Roman" w:hAnsi="Times New Roman" w:eastAsia="宋体"/>
                <w:color w:val="000000"/>
                <w:sz w:val="24"/>
                <w:highlight w:val="none"/>
              </w:rPr>
              <w:t>表2中</w:t>
            </w:r>
            <w:r>
              <w:rPr>
                <w:rFonts w:hint="eastAsia" w:ascii="Times New Roman" w:hAnsi="Times New Roman" w:eastAsia="宋体"/>
                <w:color w:val="000000"/>
                <w:sz w:val="24"/>
                <w:szCs w:val="20"/>
                <w:highlight w:val="none"/>
              </w:rPr>
              <w:t>二级排放限值和无组织排放监控浓度限值</w:t>
            </w:r>
            <w:r>
              <w:rPr>
                <w:rFonts w:hint="eastAsia" w:ascii="Times New Roman" w:hAnsi="Times New Roman" w:eastAsia="宋体"/>
                <w:color w:val="000000"/>
                <w:sz w:val="24"/>
                <w:highlight w:val="none"/>
              </w:rPr>
              <w:t>。</w:t>
            </w:r>
            <w:r>
              <w:rPr>
                <w:rFonts w:hint="eastAsia" w:ascii="Times New Roman" w:hAnsi="Times New Roman" w:eastAsia="宋体"/>
                <w:color w:val="000000"/>
                <w:sz w:val="24"/>
              </w:rPr>
              <w:t>废气排放对区域大气环境周边敏感点环境影响不大。</w:t>
            </w:r>
          </w:p>
          <w:p w14:paraId="017EE41D">
            <w:pPr>
              <w:spacing w:line="360" w:lineRule="auto"/>
              <w:ind w:firstLine="482" w:firstLineChars="200"/>
              <w:rPr>
                <w:b/>
                <w:kern w:val="0"/>
                <w:sz w:val="24"/>
              </w:rPr>
            </w:pPr>
            <w:r>
              <w:rPr>
                <w:rFonts w:hint="eastAsia"/>
                <w:b/>
                <w:bCs/>
                <w:sz w:val="24"/>
                <w:lang w:val="en-US" w:eastAsia="zh-CN"/>
              </w:rPr>
              <w:t>5</w:t>
            </w:r>
            <w:r>
              <w:rPr>
                <w:rFonts w:hint="eastAsia"/>
                <w:b/>
                <w:bCs/>
                <w:sz w:val="24"/>
              </w:rPr>
              <w:t>、</w:t>
            </w:r>
            <w:r>
              <w:rPr>
                <w:b/>
                <w:kern w:val="0"/>
                <w:sz w:val="24"/>
              </w:rPr>
              <w:t>运营期废气监控计划</w:t>
            </w:r>
          </w:p>
          <w:p w14:paraId="7C01D9A3">
            <w:pPr>
              <w:widowControl/>
              <w:spacing w:line="360" w:lineRule="auto"/>
              <w:ind w:firstLine="480" w:firstLineChars="200"/>
              <w:jc w:val="left"/>
              <w:rPr>
                <w:rFonts w:eastAsiaTheme="minorEastAsia"/>
                <w:bCs/>
                <w:sz w:val="24"/>
              </w:rPr>
            </w:pPr>
            <w:r>
              <w:rPr>
                <w:kern w:val="0"/>
                <w:sz w:val="24"/>
                <w:szCs w:val="20"/>
              </w:rPr>
              <w:t>根据</w:t>
            </w:r>
            <w:r>
              <w:rPr>
                <w:rFonts w:hint="eastAsia"/>
                <w:kern w:val="0"/>
                <w:sz w:val="24"/>
              </w:rPr>
              <w:t>《排污单位自行监测技术指南 总则》（HJ819-2017）</w:t>
            </w:r>
            <w:r>
              <w:rPr>
                <w:rFonts w:hint="eastAsia"/>
                <w:kern w:val="0"/>
                <w:sz w:val="24"/>
                <w:lang w:eastAsia="zh-CN"/>
              </w:rPr>
              <w:t>、</w:t>
            </w:r>
            <w:r>
              <w:rPr>
                <w:rFonts w:hint="eastAsia" w:ascii="Times New Roman" w:hAnsi="Times New Roman" w:eastAsia="宋体"/>
                <w:color w:val="000000"/>
                <w:kern w:val="0"/>
                <w:sz w:val="24"/>
                <w:highlight w:val="none"/>
                <w:lang w:bidi="ar"/>
              </w:rPr>
              <w:t xml:space="preserve">《排污许可证申请与核发技术规范 </w:t>
            </w:r>
            <w:r>
              <w:rPr>
                <w:rFonts w:hint="eastAsia" w:ascii="Times New Roman" w:hAnsi="Times New Roman" w:eastAsia="宋体"/>
                <w:color w:val="000000"/>
                <w:kern w:val="0"/>
                <w:sz w:val="24"/>
                <w:highlight w:val="none"/>
                <w:lang w:val="en-US" w:eastAsia="zh-CN" w:bidi="ar"/>
              </w:rPr>
              <w:t>汽车制造业</w:t>
            </w:r>
            <w:r>
              <w:rPr>
                <w:rFonts w:hint="eastAsia" w:ascii="Times New Roman" w:hAnsi="Times New Roman" w:eastAsia="宋体"/>
                <w:color w:val="000000"/>
                <w:kern w:val="0"/>
                <w:sz w:val="24"/>
                <w:highlight w:val="none"/>
                <w:lang w:bidi="ar"/>
              </w:rPr>
              <w:t xml:space="preserve">》（HJ </w:t>
            </w:r>
            <w:r>
              <w:rPr>
                <w:rFonts w:hint="eastAsia" w:ascii="Times New Roman" w:hAnsi="Times New Roman" w:eastAsia="宋体"/>
                <w:color w:val="000000"/>
                <w:kern w:val="0"/>
                <w:sz w:val="24"/>
                <w:highlight w:val="none"/>
                <w:lang w:val="en-US" w:eastAsia="zh-CN" w:bidi="ar"/>
              </w:rPr>
              <w:t>971-2018</w:t>
            </w:r>
            <w:r>
              <w:rPr>
                <w:rFonts w:hint="eastAsia" w:ascii="Times New Roman" w:hAnsi="Times New Roman" w:eastAsia="宋体"/>
                <w:color w:val="000000"/>
                <w:kern w:val="0"/>
                <w:sz w:val="24"/>
                <w:highlight w:val="none"/>
                <w:lang w:bidi="ar"/>
              </w:rPr>
              <w:t>）</w:t>
            </w:r>
            <w:r>
              <w:rPr>
                <w:kern w:val="0"/>
                <w:sz w:val="24"/>
                <w:szCs w:val="20"/>
              </w:rPr>
              <w:t>的相关要求，运营期</w:t>
            </w:r>
            <w:r>
              <w:rPr>
                <w:kern w:val="0"/>
                <w:sz w:val="24"/>
              </w:rPr>
              <w:t>项目大气污染物监测计划见下表。</w:t>
            </w:r>
          </w:p>
          <w:p w14:paraId="6E074FC1">
            <w:pPr>
              <w:keepNext w:val="0"/>
              <w:keepLines w:val="0"/>
              <w:pageBreakBefore w:val="0"/>
              <w:widowControl/>
              <w:kinsoku/>
              <w:wordWrap/>
              <w:overflowPunct/>
              <w:topLinePunct w:val="0"/>
              <w:autoSpaceDE/>
              <w:autoSpaceDN/>
              <w:bidi w:val="0"/>
              <w:adjustRightInd w:val="0"/>
              <w:snapToGrid w:val="0"/>
              <w:spacing w:beforeAutospacing="0"/>
              <w:jc w:val="center"/>
              <w:textAlignment w:val="baseline"/>
              <w:rPr>
                <w:b/>
                <w:kern w:val="0"/>
                <w:sz w:val="24"/>
              </w:rPr>
            </w:pPr>
            <w:r>
              <w:rPr>
                <w:b/>
                <w:kern w:val="0"/>
                <w:sz w:val="24"/>
              </w:rPr>
              <w:t>表4-</w:t>
            </w:r>
            <w:r>
              <w:rPr>
                <w:rFonts w:hint="eastAsia"/>
                <w:b/>
                <w:kern w:val="0"/>
                <w:sz w:val="24"/>
                <w:lang w:val="en-US" w:eastAsia="zh-CN"/>
              </w:rPr>
              <w:t>6</w:t>
            </w:r>
            <w:r>
              <w:rPr>
                <w:b/>
                <w:kern w:val="0"/>
                <w:sz w:val="24"/>
              </w:rPr>
              <w:t xml:space="preserve">  项目运营期废气环境监控计划一览表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461"/>
              <w:gridCol w:w="2345"/>
              <w:gridCol w:w="3268"/>
              <w:gridCol w:w="1303"/>
            </w:tblGrid>
            <w:tr w14:paraId="07124A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33" w:type="pct"/>
                  <w:tcBorders>
                    <w:tl2br w:val="nil"/>
                    <w:tr2bl w:val="nil"/>
                  </w:tcBorders>
                  <w:shd w:val="clear" w:color="auto" w:fill="auto"/>
                  <w:vAlign w:val="center"/>
                </w:tcPr>
                <w:p w14:paraId="298B8923">
                  <w:pPr>
                    <w:jc w:val="center"/>
                    <w:rPr>
                      <w:rFonts w:eastAsia="黑体"/>
                      <w:b/>
                      <w:szCs w:val="21"/>
                    </w:rPr>
                  </w:pPr>
                  <w:r>
                    <w:rPr>
                      <w:b/>
                      <w:szCs w:val="21"/>
                    </w:rPr>
                    <w:t>类别</w:t>
                  </w:r>
                </w:p>
              </w:tc>
              <w:tc>
                <w:tcPr>
                  <w:tcW w:w="796" w:type="pct"/>
                  <w:tcBorders>
                    <w:tl2br w:val="nil"/>
                    <w:tr2bl w:val="nil"/>
                  </w:tcBorders>
                  <w:vAlign w:val="center"/>
                </w:tcPr>
                <w:p w14:paraId="6918DE73">
                  <w:pPr>
                    <w:jc w:val="center"/>
                    <w:rPr>
                      <w:b/>
                      <w:szCs w:val="21"/>
                    </w:rPr>
                  </w:pPr>
                  <w:r>
                    <w:rPr>
                      <w:b/>
                      <w:szCs w:val="21"/>
                    </w:rPr>
                    <w:t>排放口类型</w:t>
                  </w:r>
                </w:p>
              </w:tc>
              <w:tc>
                <w:tcPr>
                  <w:tcW w:w="1277" w:type="pct"/>
                  <w:tcBorders>
                    <w:tl2br w:val="nil"/>
                    <w:tr2bl w:val="nil"/>
                  </w:tcBorders>
                  <w:shd w:val="clear" w:color="auto" w:fill="auto"/>
                  <w:vAlign w:val="center"/>
                </w:tcPr>
                <w:p w14:paraId="7A1AE0B4">
                  <w:pPr>
                    <w:jc w:val="center"/>
                    <w:rPr>
                      <w:rFonts w:eastAsia="黑体"/>
                      <w:b/>
                      <w:szCs w:val="21"/>
                    </w:rPr>
                  </w:pPr>
                  <w:r>
                    <w:rPr>
                      <w:b/>
                      <w:szCs w:val="21"/>
                    </w:rPr>
                    <w:t>监测点位</w:t>
                  </w:r>
                </w:p>
              </w:tc>
              <w:tc>
                <w:tcPr>
                  <w:tcW w:w="1781" w:type="pct"/>
                  <w:tcBorders>
                    <w:tl2br w:val="nil"/>
                    <w:tr2bl w:val="nil"/>
                  </w:tcBorders>
                  <w:shd w:val="clear" w:color="auto" w:fill="auto"/>
                  <w:vAlign w:val="center"/>
                </w:tcPr>
                <w:p w14:paraId="742B4E0D">
                  <w:pPr>
                    <w:jc w:val="center"/>
                    <w:rPr>
                      <w:rFonts w:eastAsia="黑体"/>
                      <w:b/>
                      <w:szCs w:val="21"/>
                    </w:rPr>
                  </w:pPr>
                  <w:r>
                    <w:rPr>
                      <w:b/>
                      <w:szCs w:val="21"/>
                    </w:rPr>
                    <w:t>监测项目</w:t>
                  </w:r>
                </w:p>
              </w:tc>
              <w:tc>
                <w:tcPr>
                  <w:tcW w:w="710" w:type="pct"/>
                  <w:tcBorders>
                    <w:tl2br w:val="nil"/>
                    <w:tr2bl w:val="nil"/>
                  </w:tcBorders>
                  <w:shd w:val="clear" w:color="auto" w:fill="auto"/>
                  <w:vAlign w:val="center"/>
                </w:tcPr>
                <w:p w14:paraId="3C5E41E2">
                  <w:pPr>
                    <w:jc w:val="center"/>
                    <w:rPr>
                      <w:rFonts w:eastAsia="黑体"/>
                      <w:b/>
                      <w:szCs w:val="21"/>
                    </w:rPr>
                  </w:pPr>
                  <w:r>
                    <w:rPr>
                      <w:b/>
                      <w:szCs w:val="21"/>
                    </w:rPr>
                    <w:t>监测频次</w:t>
                  </w:r>
                </w:p>
              </w:tc>
            </w:tr>
            <w:tr w14:paraId="3D008D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33" w:type="pct"/>
                  <w:vMerge w:val="restart"/>
                  <w:tcBorders>
                    <w:tl2br w:val="nil"/>
                    <w:tr2bl w:val="nil"/>
                  </w:tcBorders>
                  <w:shd w:val="clear" w:color="auto" w:fill="auto"/>
                  <w:vAlign w:val="center"/>
                </w:tcPr>
                <w:p w14:paraId="63ADC61A">
                  <w:pPr>
                    <w:jc w:val="center"/>
                    <w:rPr>
                      <w:szCs w:val="21"/>
                    </w:rPr>
                  </w:pPr>
                  <w:r>
                    <w:rPr>
                      <w:szCs w:val="21"/>
                    </w:rPr>
                    <w:t>废气</w:t>
                  </w:r>
                </w:p>
              </w:tc>
              <w:tc>
                <w:tcPr>
                  <w:tcW w:w="796" w:type="pct"/>
                  <w:tcBorders>
                    <w:tl2br w:val="nil"/>
                    <w:tr2bl w:val="nil"/>
                  </w:tcBorders>
                  <w:vAlign w:val="center"/>
                </w:tcPr>
                <w:p w14:paraId="1C95C710">
                  <w:pPr>
                    <w:autoSpaceDE w:val="0"/>
                    <w:autoSpaceDN w:val="0"/>
                    <w:adjustRightInd w:val="0"/>
                    <w:jc w:val="center"/>
                    <w:rPr>
                      <w:szCs w:val="21"/>
                    </w:rPr>
                  </w:pPr>
                  <w:r>
                    <w:rPr>
                      <w:szCs w:val="21"/>
                    </w:rPr>
                    <w:t>一般排放口</w:t>
                  </w:r>
                </w:p>
              </w:tc>
              <w:tc>
                <w:tcPr>
                  <w:tcW w:w="1277" w:type="pct"/>
                  <w:tcBorders>
                    <w:tl2br w:val="nil"/>
                    <w:tr2bl w:val="nil"/>
                  </w:tcBorders>
                  <w:shd w:val="clear" w:color="auto" w:fill="auto"/>
                  <w:vAlign w:val="center"/>
                </w:tcPr>
                <w:p w14:paraId="39026EB4">
                  <w:pPr>
                    <w:jc w:val="center"/>
                    <w:rPr>
                      <w:szCs w:val="21"/>
                    </w:rPr>
                  </w:pPr>
                  <w:r>
                    <w:rPr>
                      <w:szCs w:val="21"/>
                    </w:rPr>
                    <w:t>废气排放口DA001</w:t>
                  </w:r>
                </w:p>
              </w:tc>
              <w:tc>
                <w:tcPr>
                  <w:tcW w:w="1781" w:type="pct"/>
                  <w:tcBorders>
                    <w:tl2br w:val="nil"/>
                    <w:tr2bl w:val="nil"/>
                  </w:tcBorders>
                  <w:shd w:val="clear" w:color="auto" w:fill="auto"/>
                  <w:vAlign w:val="center"/>
                </w:tcPr>
                <w:p w14:paraId="2D5DCA94">
                  <w:pPr>
                    <w:jc w:val="center"/>
                    <w:rPr>
                      <w:rFonts w:hint="default" w:eastAsia="黑体"/>
                      <w:szCs w:val="21"/>
                      <w:lang w:val="en-US" w:eastAsia="zh-CN"/>
                    </w:rPr>
                  </w:pPr>
                  <w:r>
                    <w:rPr>
                      <w:rFonts w:hint="default" w:ascii="Times New Roman" w:hAnsi="Times New Roman" w:eastAsia="宋体" w:cs="Times New Roman"/>
                      <w:szCs w:val="21"/>
                      <w:lang w:val="en-US" w:eastAsia="zh-CN"/>
                    </w:rPr>
                    <w:t>颗粒物</w:t>
                  </w:r>
                </w:p>
              </w:tc>
              <w:tc>
                <w:tcPr>
                  <w:tcW w:w="710" w:type="pct"/>
                  <w:tcBorders>
                    <w:tl2br w:val="nil"/>
                    <w:tr2bl w:val="nil"/>
                  </w:tcBorders>
                  <w:shd w:val="clear" w:color="auto" w:fill="auto"/>
                  <w:vAlign w:val="center"/>
                </w:tcPr>
                <w:p w14:paraId="02316BC8">
                  <w:pPr>
                    <w:jc w:val="center"/>
                    <w:rPr>
                      <w:rFonts w:eastAsia="黑体"/>
                      <w:szCs w:val="21"/>
                    </w:rPr>
                  </w:pPr>
                  <w:r>
                    <w:rPr>
                      <w:szCs w:val="21"/>
                    </w:rPr>
                    <w:t>每年</w:t>
                  </w:r>
                  <w:r>
                    <w:rPr>
                      <w:rFonts w:hint="eastAsia"/>
                      <w:szCs w:val="21"/>
                    </w:rPr>
                    <w:t>1次</w:t>
                  </w:r>
                </w:p>
              </w:tc>
            </w:tr>
            <w:tr w14:paraId="29997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33" w:type="pct"/>
                  <w:vMerge w:val="continue"/>
                  <w:tcBorders>
                    <w:tl2br w:val="nil"/>
                    <w:tr2bl w:val="nil"/>
                  </w:tcBorders>
                  <w:shd w:val="clear" w:color="auto" w:fill="auto"/>
                  <w:vAlign w:val="center"/>
                </w:tcPr>
                <w:p w14:paraId="4CBABCBF">
                  <w:pPr>
                    <w:jc w:val="center"/>
                    <w:rPr>
                      <w:b/>
                      <w:szCs w:val="21"/>
                    </w:rPr>
                  </w:pPr>
                </w:p>
              </w:tc>
              <w:tc>
                <w:tcPr>
                  <w:tcW w:w="2074" w:type="pct"/>
                  <w:gridSpan w:val="2"/>
                  <w:tcBorders>
                    <w:tl2br w:val="nil"/>
                    <w:tr2bl w:val="nil"/>
                  </w:tcBorders>
                  <w:vAlign w:val="center"/>
                </w:tcPr>
                <w:p w14:paraId="71C2AF8B">
                  <w:pPr>
                    <w:jc w:val="center"/>
                    <w:rPr>
                      <w:rFonts w:eastAsia="黑体"/>
                      <w:szCs w:val="21"/>
                    </w:rPr>
                  </w:pPr>
                  <w:r>
                    <w:rPr>
                      <w:szCs w:val="21"/>
                    </w:rPr>
                    <w:t>厂界监控点</w:t>
                  </w:r>
                </w:p>
              </w:tc>
              <w:tc>
                <w:tcPr>
                  <w:tcW w:w="1781" w:type="pct"/>
                  <w:tcBorders>
                    <w:tl2br w:val="nil"/>
                    <w:tr2bl w:val="nil"/>
                  </w:tcBorders>
                  <w:shd w:val="clear" w:color="auto" w:fill="auto"/>
                  <w:vAlign w:val="center"/>
                </w:tcPr>
                <w:p w14:paraId="54D55C02">
                  <w:pPr>
                    <w:jc w:val="center"/>
                    <w:rPr>
                      <w:rFonts w:hint="eastAsia" w:eastAsia="宋体"/>
                      <w:b/>
                      <w:szCs w:val="21"/>
                      <w:lang w:eastAsia="zh-CN"/>
                    </w:rPr>
                  </w:pPr>
                  <w:r>
                    <w:rPr>
                      <w:rFonts w:hint="eastAsia"/>
                      <w:szCs w:val="21"/>
                      <w:lang w:val="en-US" w:eastAsia="zh-CN"/>
                    </w:rPr>
                    <w:t>颗粒物</w:t>
                  </w:r>
                </w:p>
              </w:tc>
              <w:tc>
                <w:tcPr>
                  <w:tcW w:w="710" w:type="pct"/>
                  <w:tcBorders>
                    <w:tl2br w:val="nil"/>
                    <w:tr2bl w:val="nil"/>
                  </w:tcBorders>
                  <w:shd w:val="clear" w:color="auto" w:fill="auto"/>
                  <w:vAlign w:val="center"/>
                </w:tcPr>
                <w:p w14:paraId="1837A3F4">
                  <w:pPr>
                    <w:jc w:val="center"/>
                    <w:rPr>
                      <w:b/>
                      <w:szCs w:val="21"/>
                    </w:rPr>
                  </w:pPr>
                  <w:r>
                    <w:rPr>
                      <w:szCs w:val="21"/>
                    </w:rPr>
                    <w:t>每年</w:t>
                  </w:r>
                  <w:r>
                    <w:rPr>
                      <w:rFonts w:hint="eastAsia"/>
                      <w:szCs w:val="21"/>
                    </w:rPr>
                    <w:t>1次</w:t>
                  </w:r>
                </w:p>
              </w:tc>
            </w:tr>
          </w:tbl>
          <w:p w14:paraId="3C583829">
            <w:pPr>
              <w:tabs>
                <w:tab w:val="left" w:pos="1077"/>
              </w:tabs>
              <w:spacing w:line="360" w:lineRule="auto"/>
              <w:ind w:firstLine="482" w:firstLineChars="200"/>
              <w:jc w:val="left"/>
              <w:rPr>
                <w:rFonts w:cs="宋体"/>
                <w:b/>
                <w:bCs/>
                <w:sz w:val="24"/>
              </w:rPr>
            </w:pPr>
            <w:r>
              <w:rPr>
                <w:rFonts w:hint="eastAsia" w:cs="宋体"/>
                <w:b/>
                <w:bCs/>
                <w:sz w:val="24"/>
              </w:rPr>
              <w:t>二、废水环境影响和保护措施</w:t>
            </w:r>
          </w:p>
          <w:p w14:paraId="1F6F4055">
            <w:pPr>
              <w:keepNext/>
              <w:keepLines/>
              <w:spacing w:line="360" w:lineRule="auto"/>
              <w:ind w:firstLine="482" w:firstLineChars="200"/>
              <w:outlineLvl w:val="2"/>
              <w:rPr>
                <w:b/>
                <w:bCs/>
                <w:sz w:val="24"/>
                <w:szCs w:val="32"/>
              </w:rPr>
            </w:pPr>
            <w:r>
              <w:rPr>
                <w:rFonts w:hint="eastAsia"/>
                <w:b/>
                <w:bCs/>
                <w:sz w:val="24"/>
                <w:szCs w:val="32"/>
              </w:rPr>
              <w:t>1、</w:t>
            </w:r>
            <w:r>
              <w:rPr>
                <w:b/>
                <w:bCs/>
                <w:sz w:val="24"/>
                <w:szCs w:val="32"/>
              </w:rPr>
              <w:t>废水污染源</w:t>
            </w:r>
          </w:p>
          <w:p w14:paraId="0A03C2A4">
            <w:pPr>
              <w:spacing w:line="360" w:lineRule="auto"/>
              <w:ind w:firstLine="480" w:firstLineChars="200"/>
              <w:rPr>
                <w:sz w:val="24"/>
              </w:rPr>
            </w:pPr>
            <w:r>
              <w:rPr>
                <w:rFonts w:hint="eastAsia"/>
                <w:kern w:val="0"/>
                <w:sz w:val="24"/>
              </w:rPr>
              <w:t>本项目废水主要为生活污水，生活污水产生量为</w:t>
            </w:r>
            <w:r>
              <w:rPr>
                <w:rFonts w:hint="eastAsia"/>
                <w:kern w:val="0"/>
                <w:sz w:val="24"/>
                <w:lang w:val="en-US" w:eastAsia="zh-CN"/>
              </w:rPr>
              <w:t>3600</w:t>
            </w:r>
            <w:r>
              <w:rPr>
                <w:kern w:val="0"/>
                <w:sz w:val="24"/>
              </w:rPr>
              <w:t>t/a</w:t>
            </w:r>
            <w:r>
              <w:rPr>
                <w:rFonts w:hint="eastAsia"/>
                <w:kern w:val="0"/>
                <w:sz w:val="24"/>
              </w:rPr>
              <w:t>。</w:t>
            </w:r>
            <w:r>
              <w:rPr>
                <w:rFonts w:hint="eastAsia"/>
                <w:sz w:val="24"/>
              </w:rPr>
              <w:t>项目废水污染源产生源强、其处理方式及排放情况详见下表。</w:t>
            </w:r>
          </w:p>
          <w:p w14:paraId="4D4EC52D">
            <w:pPr>
              <w:keepNext w:val="0"/>
              <w:keepLines w:val="0"/>
              <w:pageBreakBefore w:val="0"/>
              <w:widowControl w:val="0"/>
              <w:kinsoku/>
              <w:wordWrap/>
              <w:overflowPunct/>
              <w:topLinePunct w:val="0"/>
              <w:autoSpaceDE/>
              <w:autoSpaceDN/>
              <w:bidi w:val="0"/>
              <w:adjustRightInd/>
              <w:snapToGrid/>
              <w:spacing w:beforeAutospacing="0" w:line="240" w:lineRule="auto"/>
              <w:ind w:left="0" w:leftChars="0"/>
              <w:jc w:val="center"/>
              <w:textAlignment w:val="auto"/>
              <w:rPr>
                <w:b/>
                <w:sz w:val="24"/>
              </w:rPr>
            </w:pPr>
            <w:r>
              <w:rPr>
                <w:rFonts w:hint="eastAsia"/>
                <w:b/>
                <w:sz w:val="24"/>
              </w:rPr>
              <w:t>表</w:t>
            </w:r>
            <w:r>
              <w:rPr>
                <w:b/>
                <w:sz w:val="24"/>
              </w:rPr>
              <w:t>4-</w:t>
            </w:r>
            <w:r>
              <w:rPr>
                <w:rFonts w:hint="eastAsia"/>
                <w:b/>
                <w:sz w:val="24"/>
                <w:lang w:val="en-US" w:eastAsia="zh-CN"/>
              </w:rPr>
              <w:t>7</w:t>
            </w:r>
            <w:r>
              <w:rPr>
                <w:b/>
                <w:sz w:val="24"/>
              </w:rPr>
              <w:t xml:space="preserve">  </w:t>
            </w:r>
            <w:r>
              <w:rPr>
                <w:rFonts w:hint="eastAsia"/>
                <w:b/>
                <w:sz w:val="24"/>
              </w:rPr>
              <w:t>项目废水产生及排放情况一览表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850"/>
              <w:gridCol w:w="965"/>
              <w:gridCol w:w="1129"/>
              <w:gridCol w:w="1065"/>
              <w:gridCol w:w="965"/>
              <w:gridCol w:w="1129"/>
              <w:gridCol w:w="965"/>
              <w:gridCol w:w="926"/>
            </w:tblGrid>
            <w:tr w14:paraId="0B495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641" w:type="pct"/>
                  <w:vMerge w:val="restart"/>
                  <w:tcBorders>
                    <w:tl2br w:val="nil"/>
                    <w:tr2bl w:val="nil"/>
                  </w:tcBorders>
                  <w:vAlign w:val="center"/>
                </w:tcPr>
                <w:p w14:paraId="61EF20A5">
                  <w:pPr>
                    <w:ind w:left="-105" w:leftChars="-50" w:right="-105" w:rightChars="-50"/>
                    <w:jc w:val="center"/>
                    <w:rPr>
                      <w:b/>
                      <w:szCs w:val="21"/>
                    </w:rPr>
                  </w:pPr>
                  <w:r>
                    <w:rPr>
                      <w:rFonts w:hint="eastAsia"/>
                      <w:b/>
                      <w:szCs w:val="21"/>
                    </w:rPr>
                    <w:t>污染源</w:t>
                  </w:r>
                </w:p>
              </w:tc>
              <w:tc>
                <w:tcPr>
                  <w:tcW w:w="463" w:type="pct"/>
                  <w:vMerge w:val="restart"/>
                  <w:tcBorders>
                    <w:tl2br w:val="nil"/>
                    <w:tr2bl w:val="nil"/>
                  </w:tcBorders>
                  <w:vAlign w:val="center"/>
                </w:tcPr>
                <w:p w14:paraId="2DC436DB">
                  <w:pPr>
                    <w:ind w:left="-105" w:leftChars="-50" w:right="-105" w:rightChars="-50"/>
                    <w:jc w:val="center"/>
                    <w:rPr>
                      <w:b/>
                      <w:szCs w:val="21"/>
                    </w:rPr>
                  </w:pPr>
                  <w:r>
                    <w:rPr>
                      <w:rFonts w:hint="eastAsia"/>
                      <w:b/>
                      <w:szCs w:val="21"/>
                    </w:rPr>
                    <w:t>污染物名称</w:t>
                  </w:r>
                </w:p>
              </w:tc>
              <w:tc>
                <w:tcPr>
                  <w:tcW w:w="1141" w:type="pct"/>
                  <w:gridSpan w:val="2"/>
                  <w:tcBorders>
                    <w:tl2br w:val="nil"/>
                    <w:tr2bl w:val="nil"/>
                  </w:tcBorders>
                  <w:vAlign w:val="center"/>
                </w:tcPr>
                <w:p w14:paraId="5B792C06">
                  <w:pPr>
                    <w:ind w:left="-105" w:leftChars="-50" w:right="-105" w:rightChars="-50"/>
                    <w:jc w:val="center"/>
                    <w:rPr>
                      <w:b/>
                      <w:szCs w:val="21"/>
                    </w:rPr>
                  </w:pPr>
                  <w:r>
                    <w:rPr>
                      <w:rFonts w:hint="eastAsia"/>
                      <w:b/>
                      <w:szCs w:val="21"/>
                    </w:rPr>
                    <w:t>污染物产生量</w:t>
                  </w:r>
                </w:p>
              </w:tc>
              <w:tc>
                <w:tcPr>
                  <w:tcW w:w="580" w:type="pct"/>
                  <w:vMerge w:val="restart"/>
                  <w:tcBorders>
                    <w:tl2br w:val="nil"/>
                    <w:tr2bl w:val="nil"/>
                  </w:tcBorders>
                  <w:vAlign w:val="center"/>
                </w:tcPr>
                <w:p w14:paraId="529AD26C">
                  <w:pPr>
                    <w:ind w:left="-105" w:leftChars="-50" w:right="-105" w:rightChars="-50"/>
                    <w:jc w:val="center"/>
                    <w:rPr>
                      <w:b/>
                      <w:szCs w:val="21"/>
                    </w:rPr>
                  </w:pPr>
                  <w:r>
                    <w:rPr>
                      <w:rFonts w:hint="eastAsia"/>
                      <w:b/>
                      <w:szCs w:val="21"/>
                    </w:rPr>
                    <w:t>治理</w:t>
                  </w:r>
                </w:p>
                <w:p w14:paraId="188756D3">
                  <w:pPr>
                    <w:ind w:left="-105" w:leftChars="-50" w:right="-105" w:rightChars="-50"/>
                    <w:jc w:val="center"/>
                    <w:rPr>
                      <w:b/>
                      <w:szCs w:val="21"/>
                    </w:rPr>
                  </w:pPr>
                  <w:r>
                    <w:rPr>
                      <w:rFonts w:hint="eastAsia"/>
                      <w:b/>
                      <w:szCs w:val="21"/>
                    </w:rPr>
                    <w:t>措施</w:t>
                  </w:r>
                </w:p>
              </w:tc>
              <w:tc>
                <w:tcPr>
                  <w:tcW w:w="1141" w:type="pct"/>
                  <w:gridSpan w:val="2"/>
                  <w:tcBorders>
                    <w:tl2br w:val="nil"/>
                    <w:tr2bl w:val="nil"/>
                  </w:tcBorders>
                  <w:vAlign w:val="center"/>
                </w:tcPr>
                <w:p w14:paraId="1B1A8B1C">
                  <w:pPr>
                    <w:ind w:left="-105" w:leftChars="-50" w:right="-105" w:rightChars="-50"/>
                    <w:jc w:val="center"/>
                    <w:rPr>
                      <w:b/>
                      <w:szCs w:val="21"/>
                    </w:rPr>
                  </w:pPr>
                  <w:r>
                    <w:rPr>
                      <w:rFonts w:hint="eastAsia"/>
                      <w:b/>
                      <w:szCs w:val="21"/>
                    </w:rPr>
                    <w:t>污染物排放量</w:t>
                  </w:r>
                </w:p>
              </w:tc>
              <w:tc>
                <w:tcPr>
                  <w:tcW w:w="1030" w:type="pct"/>
                  <w:gridSpan w:val="2"/>
                  <w:tcBorders>
                    <w:tl2br w:val="nil"/>
                    <w:tr2bl w:val="nil"/>
                  </w:tcBorders>
                  <w:vAlign w:val="center"/>
                </w:tcPr>
                <w:p w14:paraId="64577C53">
                  <w:pPr>
                    <w:ind w:left="-105" w:leftChars="-50" w:right="-105" w:rightChars="-50"/>
                    <w:jc w:val="center"/>
                    <w:rPr>
                      <w:b/>
                      <w:szCs w:val="21"/>
                    </w:rPr>
                  </w:pPr>
                  <w:r>
                    <w:rPr>
                      <w:rFonts w:hint="eastAsia"/>
                      <w:b/>
                      <w:szCs w:val="21"/>
                    </w:rPr>
                    <w:t>外排环境量</w:t>
                  </w:r>
                </w:p>
              </w:tc>
            </w:tr>
            <w:tr w14:paraId="143C3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1" w:type="pct"/>
                  <w:vMerge w:val="continue"/>
                  <w:tcBorders>
                    <w:tl2br w:val="nil"/>
                    <w:tr2bl w:val="nil"/>
                  </w:tcBorders>
                  <w:vAlign w:val="center"/>
                </w:tcPr>
                <w:p w14:paraId="1885D6A9">
                  <w:pPr>
                    <w:ind w:left="-105" w:leftChars="-50" w:right="-105" w:rightChars="-50"/>
                    <w:jc w:val="center"/>
                    <w:rPr>
                      <w:b/>
                      <w:szCs w:val="21"/>
                    </w:rPr>
                  </w:pPr>
                </w:p>
              </w:tc>
              <w:tc>
                <w:tcPr>
                  <w:tcW w:w="463" w:type="pct"/>
                  <w:vMerge w:val="continue"/>
                  <w:tcBorders>
                    <w:tl2br w:val="nil"/>
                    <w:tr2bl w:val="nil"/>
                  </w:tcBorders>
                  <w:vAlign w:val="center"/>
                </w:tcPr>
                <w:p w14:paraId="6188E2EA">
                  <w:pPr>
                    <w:ind w:left="-105" w:leftChars="-50" w:right="-105" w:rightChars="-50"/>
                    <w:jc w:val="center"/>
                    <w:rPr>
                      <w:b/>
                      <w:szCs w:val="21"/>
                    </w:rPr>
                  </w:pPr>
                </w:p>
              </w:tc>
              <w:tc>
                <w:tcPr>
                  <w:tcW w:w="526" w:type="pct"/>
                  <w:tcBorders>
                    <w:tl2br w:val="nil"/>
                    <w:tr2bl w:val="nil"/>
                  </w:tcBorders>
                  <w:vAlign w:val="center"/>
                </w:tcPr>
                <w:p w14:paraId="5B761CD3">
                  <w:pPr>
                    <w:ind w:left="-105" w:leftChars="-50" w:right="-105" w:rightChars="-50"/>
                    <w:jc w:val="center"/>
                    <w:rPr>
                      <w:rFonts w:cs="宋体"/>
                      <w:b/>
                      <w:szCs w:val="21"/>
                    </w:rPr>
                  </w:pPr>
                  <w:r>
                    <w:rPr>
                      <w:rFonts w:hint="eastAsia" w:cs="宋体"/>
                      <w:b/>
                      <w:szCs w:val="21"/>
                    </w:rPr>
                    <w:t>浓度（</w:t>
                  </w:r>
                  <w:r>
                    <w:rPr>
                      <w:rFonts w:cs="宋体"/>
                      <w:b/>
                      <w:szCs w:val="21"/>
                    </w:rPr>
                    <w:t>mg/L</w:t>
                  </w:r>
                  <w:r>
                    <w:rPr>
                      <w:rFonts w:hint="eastAsia" w:cs="宋体"/>
                      <w:b/>
                      <w:szCs w:val="21"/>
                    </w:rPr>
                    <w:t>）</w:t>
                  </w:r>
                </w:p>
              </w:tc>
              <w:tc>
                <w:tcPr>
                  <w:tcW w:w="615" w:type="pct"/>
                  <w:tcBorders>
                    <w:tl2br w:val="nil"/>
                    <w:tr2bl w:val="nil"/>
                  </w:tcBorders>
                  <w:vAlign w:val="center"/>
                </w:tcPr>
                <w:p w14:paraId="5D3CA11E">
                  <w:pPr>
                    <w:ind w:left="-105" w:leftChars="-50" w:right="-105" w:rightChars="-50"/>
                    <w:jc w:val="center"/>
                    <w:rPr>
                      <w:rFonts w:cs="宋体"/>
                      <w:b/>
                      <w:szCs w:val="21"/>
                    </w:rPr>
                  </w:pPr>
                  <w:r>
                    <w:rPr>
                      <w:rFonts w:hint="eastAsia" w:cs="宋体"/>
                      <w:b/>
                      <w:szCs w:val="21"/>
                    </w:rPr>
                    <w:t>产生量（</w:t>
                  </w:r>
                  <w:r>
                    <w:rPr>
                      <w:rFonts w:cs="宋体"/>
                      <w:b/>
                      <w:szCs w:val="21"/>
                    </w:rPr>
                    <w:t>t/a</w:t>
                  </w:r>
                  <w:r>
                    <w:rPr>
                      <w:rFonts w:hint="eastAsia" w:cs="宋体"/>
                      <w:b/>
                      <w:szCs w:val="21"/>
                    </w:rPr>
                    <w:t>）</w:t>
                  </w:r>
                </w:p>
              </w:tc>
              <w:tc>
                <w:tcPr>
                  <w:tcW w:w="580" w:type="pct"/>
                  <w:vMerge w:val="continue"/>
                  <w:tcBorders>
                    <w:tl2br w:val="nil"/>
                    <w:tr2bl w:val="nil"/>
                  </w:tcBorders>
                  <w:vAlign w:val="center"/>
                </w:tcPr>
                <w:p w14:paraId="79FDED43">
                  <w:pPr>
                    <w:ind w:left="-105" w:leftChars="-50" w:right="-105" w:rightChars="-50"/>
                    <w:jc w:val="center"/>
                    <w:rPr>
                      <w:b/>
                      <w:szCs w:val="21"/>
                    </w:rPr>
                  </w:pPr>
                </w:p>
              </w:tc>
              <w:tc>
                <w:tcPr>
                  <w:tcW w:w="526" w:type="pct"/>
                  <w:tcBorders>
                    <w:tl2br w:val="nil"/>
                    <w:tr2bl w:val="nil"/>
                  </w:tcBorders>
                  <w:vAlign w:val="center"/>
                </w:tcPr>
                <w:p w14:paraId="1D841CBA">
                  <w:pPr>
                    <w:ind w:left="-105" w:leftChars="-50" w:right="-105" w:rightChars="-50"/>
                    <w:jc w:val="center"/>
                    <w:rPr>
                      <w:rFonts w:cs="宋体"/>
                      <w:b/>
                      <w:szCs w:val="21"/>
                    </w:rPr>
                  </w:pPr>
                  <w:r>
                    <w:rPr>
                      <w:rFonts w:hint="eastAsia" w:cs="宋体"/>
                      <w:b/>
                      <w:szCs w:val="21"/>
                    </w:rPr>
                    <w:t>浓度</w:t>
                  </w:r>
                </w:p>
                <w:p w14:paraId="704EC8EF">
                  <w:pPr>
                    <w:ind w:left="-105" w:leftChars="-50" w:right="-105" w:rightChars="-50"/>
                    <w:jc w:val="center"/>
                    <w:rPr>
                      <w:rFonts w:cs="宋体"/>
                      <w:b/>
                      <w:szCs w:val="21"/>
                    </w:rPr>
                  </w:pPr>
                  <w:r>
                    <w:rPr>
                      <w:rFonts w:hint="eastAsia" w:cs="宋体"/>
                      <w:b/>
                      <w:szCs w:val="21"/>
                    </w:rPr>
                    <w:t>（</w:t>
                  </w:r>
                  <w:r>
                    <w:rPr>
                      <w:rFonts w:cs="宋体"/>
                      <w:b/>
                      <w:szCs w:val="21"/>
                    </w:rPr>
                    <w:t>mg/L</w:t>
                  </w:r>
                  <w:r>
                    <w:rPr>
                      <w:rFonts w:hint="eastAsia" w:cs="宋体"/>
                      <w:b/>
                      <w:szCs w:val="21"/>
                    </w:rPr>
                    <w:t>）</w:t>
                  </w:r>
                </w:p>
              </w:tc>
              <w:tc>
                <w:tcPr>
                  <w:tcW w:w="615" w:type="pct"/>
                  <w:tcBorders>
                    <w:tl2br w:val="nil"/>
                    <w:tr2bl w:val="nil"/>
                  </w:tcBorders>
                  <w:vAlign w:val="center"/>
                </w:tcPr>
                <w:p w14:paraId="197F6FF7">
                  <w:pPr>
                    <w:ind w:left="-105" w:leftChars="-50" w:right="-105" w:rightChars="-50"/>
                    <w:jc w:val="center"/>
                    <w:rPr>
                      <w:rFonts w:cs="宋体"/>
                      <w:b/>
                      <w:szCs w:val="21"/>
                    </w:rPr>
                  </w:pPr>
                  <w:r>
                    <w:rPr>
                      <w:rFonts w:hint="eastAsia" w:cs="宋体"/>
                      <w:b/>
                      <w:szCs w:val="21"/>
                    </w:rPr>
                    <w:t>排放量</w:t>
                  </w:r>
                </w:p>
                <w:p w14:paraId="48F70303">
                  <w:pPr>
                    <w:ind w:left="-105" w:leftChars="-50" w:right="-105" w:rightChars="-50"/>
                    <w:jc w:val="center"/>
                    <w:rPr>
                      <w:rFonts w:cs="宋体"/>
                      <w:b/>
                      <w:szCs w:val="21"/>
                    </w:rPr>
                  </w:pPr>
                  <w:r>
                    <w:rPr>
                      <w:rFonts w:hint="eastAsia" w:cs="宋体"/>
                      <w:b/>
                      <w:szCs w:val="21"/>
                    </w:rPr>
                    <w:t>（</w:t>
                  </w:r>
                  <w:r>
                    <w:rPr>
                      <w:rFonts w:cs="宋体"/>
                      <w:b/>
                      <w:szCs w:val="21"/>
                    </w:rPr>
                    <w:t>t/a</w:t>
                  </w:r>
                  <w:r>
                    <w:rPr>
                      <w:rFonts w:hint="eastAsia" w:cs="宋体"/>
                      <w:b/>
                      <w:szCs w:val="21"/>
                    </w:rPr>
                    <w:t>）</w:t>
                  </w:r>
                </w:p>
              </w:tc>
              <w:tc>
                <w:tcPr>
                  <w:tcW w:w="526" w:type="pct"/>
                  <w:tcBorders>
                    <w:tl2br w:val="nil"/>
                    <w:tr2bl w:val="nil"/>
                  </w:tcBorders>
                  <w:vAlign w:val="center"/>
                </w:tcPr>
                <w:p w14:paraId="473B7157">
                  <w:pPr>
                    <w:ind w:left="-105" w:leftChars="-50" w:right="-105" w:rightChars="-50"/>
                    <w:jc w:val="center"/>
                    <w:rPr>
                      <w:rFonts w:cs="宋体"/>
                      <w:b/>
                      <w:szCs w:val="21"/>
                    </w:rPr>
                  </w:pPr>
                  <w:r>
                    <w:rPr>
                      <w:rFonts w:hint="eastAsia" w:cs="宋体"/>
                      <w:b/>
                      <w:szCs w:val="21"/>
                    </w:rPr>
                    <w:t>浓度</w:t>
                  </w:r>
                </w:p>
                <w:p w14:paraId="4E77FBFC">
                  <w:pPr>
                    <w:ind w:left="-105" w:leftChars="-50" w:right="-105" w:rightChars="-50"/>
                    <w:jc w:val="center"/>
                    <w:rPr>
                      <w:rFonts w:cs="宋体"/>
                      <w:b/>
                      <w:szCs w:val="21"/>
                    </w:rPr>
                  </w:pPr>
                  <w:r>
                    <w:rPr>
                      <w:rFonts w:hint="eastAsia" w:cs="宋体"/>
                      <w:b/>
                      <w:szCs w:val="21"/>
                    </w:rPr>
                    <w:t>（</w:t>
                  </w:r>
                  <w:r>
                    <w:rPr>
                      <w:rFonts w:cs="宋体"/>
                      <w:b/>
                      <w:szCs w:val="21"/>
                    </w:rPr>
                    <w:t>mg/L</w:t>
                  </w:r>
                  <w:r>
                    <w:rPr>
                      <w:rFonts w:hint="eastAsia" w:cs="宋体"/>
                      <w:b/>
                      <w:szCs w:val="21"/>
                    </w:rPr>
                    <w:t>）</w:t>
                  </w:r>
                </w:p>
              </w:tc>
              <w:tc>
                <w:tcPr>
                  <w:tcW w:w="503" w:type="pct"/>
                  <w:tcBorders>
                    <w:tl2br w:val="nil"/>
                    <w:tr2bl w:val="nil"/>
                  </w:tcBorders>
                  <w:vAlign w:val="center"/>
                </w:tcPr>
                <w:p w14:paraId="6C0AC32B">
                  <w:pPr>
                    <w:ind w:left="-105" w:leftChars="-50" w:right="-105" w:rightChars="-50"/>
                    <w:jc w:val="center"/>
                    <w:rPr>
                      <w:rFonts w:cs="宋体"/>
                      <w:b/>
                      <w:szCs w:val="21"/>
                    </w:rPr>
                  </w:pPr>
                  <w:r>
                    <w:rPr>
                      <w:rFonts w:hint="eastAsia" w:cs="宋体"/>
                      <w:b/>
                      <w:szCs w:val="21"/>
                    </w:rPr>
                    <w:t>排放量</w:t>
                  </w:r>
                </w:p>
                <w:p w14:paraId="73EE338A">
                  <w:pPr>
                    <w:ind w:left="-105" w:leftChars="-50" w:right="-105" w:rightChars="-50"/>
                    <w:jc w:val="center"/>
                    <w:rPr>
                      <w:rFonts w:cs="宋体"/>
                      <w:b/>
                      <w:szCs w:val="21"/>
                    </w:rPr>
                  </w:pPr>
                  <w:r>
                    <w:rPr>
                      <w:rFonts w:hint="eastAsia" w:cs="宋体"/>
                      <w:b/>
                      <w:szCs w:val="21"/>
                    </w:rPr>
                    <w:t>（</w:t>
                  </w:r>
                  <w:r>
                    <w:rPr>
                      <w:rFonts w:cs="宋体"/>
                      <w:b/>
                      <w:szCs w:val="21"/>
                    </w:rPr>
                    <w:t>t/a</w:t>
                  </w:r>
                  <w:r>
                    <w:rPr>
                      <w:rFonts w:hint="eastAsia" w:cs="宋体"/>
                      <w:b/>
                      <w:szCs w:val="21"/>
                    </w:rPr>
                    <w:t>）</w:t>
                  </w:r>
                </w:p>
              </w:tc>
            </w:tr>
            <w:tr w14:paraId="00D282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41" w:type="pct"/>
                  <w:vMerge w:val="restart"/>
                  <w:tcBorders>
                    <w:tl2br w:val="nil"/>
                    <w:tr2bl w:val="nil"/>
                  </w:tcBorders>
                  <w:vAlign w:val="center"/>
                </w:tcPr>
                <w:p w14:paraId="6601E889">
                  <w:pPr>
                    <w:ind w:left="-105" w:leftChars="-50" w:right="-105" w:rightChars="-50"/>
                    <w:jc w:val="center"/>
                    <w:rPr>
                      <w:szCs w:val="21"/>
                    </w:rPr>
                  </w:pPr>
                  <w:r>
                    <w:rPr>
                      <w:rFonts w:hint="eastAsia"/>
                      <w:szCs w:val="21"/>
                    </w:rPr>
                    <w:t>生活污水（</w:t>
                  </w:r>
                  <w:r>
                    <w:rPr>
                      <w:rFonts w:hint="eastAsia"/>
                      <w:szCs w:val="21"/>
                      <w:lang w:val="en-US" w:eastAsia="zh-CN"/>
                    </w:rPr>
                    <w:t>3600</w:t>
                  </w:r>
                  <w:r>
                    <w:rPr>
                      <w:szCs w:val="21"/>
                    </w:rPr>
                    <w:t>t/a</w:t>
                  </w:r>
                  <w:r>
                    <w:rPr>
                      <w:rFonts w:hint="eastAsia"/>
                      <w:szCs w:val="21"/>
                    </w:rPr>
                    <w:t>）</w:t>
                  </w:r>
                </w:p>
              </w:tc>
              <w:tc>
                <w:tcPr>
                  <w:tcW w:w="463" w:type="pct"/>
                  <w:tcBorders>
                    <w:tl2br w:val="nil"/>
                    <w:tr2bl w:val="nil"/>
                  </w:tcBorders>
                  <w:vAlign w:val="center"/>
                </w:tcPr>
                <w:p w14:paraId="7242CFE5">
                  <w:pPr>
                    <w:ind w:left="-105" w:leftChars="-50" w:right="-105" w:rightChars="-50"/>
                    <w:jc w:val="center"/>
                    <w:rPr>
                      <w:szCs w:val="21"/>
                    </w:rPr>
                  </w:pPr>
                  <w:r>
                    <w:rPr>
                      <w:rFonts w:hint="eastAsia"/>
                      <w:szCs w:val="21"/>
                    </w:rPr>
                    <w:t>p</w:t>
                  </w:r>
                  <w:r>
                    <w:rPr>
                      <w:szCs w:val="21"/>
                    </w:rPr>
                    <w:t>H</w:t>
                  </w:r>
                </w:p>
              </w:tc>
              <w:tc>
                <w:tcPr>
                  <w:tcW w:w="526" w:type="pct"/>
                  <w:tcBorders>
                    <w:tl2br w:val="nil"/>
                    <w:tr2bl w:val="nil"/>
                  </w:tcBorders>
                  <w:vAlign w:val="center"/>
                </w:tcPr>
                <w:p w14:paraId="082E7543">
                  <w:pPr>
                    <w:ind w:left="-105" w:leftChars="-50" w:right="-105" w:rightChars="-50"/>
                    <w:jc w:val="center"/>
                    <w:rPr>
                      <w:szCs w:val="21"/>
                    </w:rPr>
                  </w:pPr>
                  <w:r>
                    <w:rPr>
                      <w:szCs w:val="21"/>
                    </w:rPr>
                    <w:t>6~9</w:t>
                  </w:r>
                </w:p>
              </w:tc>
              <w:tc>
                <w:tcPr>
                  <w:tcW w:w="615" w:type="pct"/>
                  <w:tcBorders>
                    <w:tl2br w:val="nil"/>
                    <w:tr2bl w:val="nil"/>
                  </w:tcBorders>
                  <w:vAlign w:val="center"/>
                </w:tcPr>
                <w:p w14:paraId="7955428F">
                  <w:pPr>
                    <w:jc w:val="center"/>
                    <w:rPr>
                      <w:szCs w:val="21"/>
                    </w:rPr>
                  </w:pPr>
                  <w:r>
                    <w:rPr>
                      <w:szCs w:val="21"/>
                    </w:rPr>
                    <w:t>/</w:t>
                  </w:r>
                </w:p>
              </w:tc>
              <w:tc>
                <w:tcPr>
                  <w:tcW w:w="580" w:type="pct"/>
                  <w:vMerge w:val="restart"/>
                  <w:tcBorders>
                    <w:tl2br w:val="nil"/>
                    <w:tr2bl w:val="nil"/>
                  </w:tcBorders>
                  <w:vAlign w:val="center"/>
                </w:tcPr>
                <w:p w14:paraId="56E76321">
                  <w:pPr>
                    <w:ind w:left="-105" w:leftChars="-50" w:right="-105" w:rightChars="-50"/>
                    <w:jc w:val="center"/>
                    <w:rPr>
                      <w:szCs w:val="21"/>
                    </w:rPr>
                  </w:pPr>
                  <w:r>
                    <w:rPr>
                      <w:rFonts w:hint="eastAsia"/>
                      <w:szCs w:val="21"/>
                    </w:rPr>
                    <w:t>化粪池</w:t>
                  </w:r>
                </w:p>
              </w:tc>
              <w:tc>
                <w:tcPr>
                  <w:tcW w:w="526" w:type="pct"/>
                  <w:tcBorders>
                    <w:tl2br w:val="nil"/>
                    <w:tr2bl w:val="nil"/>
                  </w:tcBorders>
                  <w:vAlign w:val="center"/>
                </w:tcPr>
                <w:p w14:paraId="05D2DA82">
                  <w:pPr>
                    <w:ind w:left="-105" w:leftChars="-50" w:right="-105" w:rightChars="-50"/>
                    <w:jc w:val="center"/>
                    <w:rPr>
                      <w:szCs w:val="21"/>
                    </w:rPr>
                  </w:pPr>
                  <w:r>
                    <w:rPr>
                      <w:szCs w:val="21"/>
                    </w:rPr>
                    <w:t>6~9</w:t>
                  </w:r>
                </w:p>
              </w:tc>
              <w:tc>
                <w:tcPr>
                  <w:tcW w:w="615" w:type="pct"/>
                  <w:tcBorders>
                    <w:tl2br w:val="nil"/>
                    <w:tr2bl w:val="nil"/>
                  </w:tcBorders>
                  <w:vAlign w:val="center"/>
                </w:tcPr>
                <w:p w14:paraId="051567D3">
                  <w:pPr>
                    <w:jc w:val="center"/>
                    <w:rPr>
                      <w:szCs w:val="21"/>
                    </w:rPr>
                  </w:pPr>
                  <w:r>
                    <w:rPr>
                      <w:szCs w:val="21"/>
                    </w:rPr>
                    <w:t>/</w:t>
                  </w:r>
                </w:p>
              </w:tc>
              <w:tc>
                <w:tcPr>
                  <w:tcW w:w="526" w:type="pct"/>
                  <w:tcBorders>
                    <w:tl2br w:val="nil"/>
                    <w:tr2bl w:val="nil"/>
                  </w:tcBorders>
                  <w:vAlign w:val="center"/>
                </w:tcPr>
                <w:p w14:paraId="213CBEC7">
                  <w:pPr>
                    <w:ind w:left="-105" w:leftChars="-50" w:right="-105" w:rightChars="-50"/>
                    <w:jc w:val="center"/>
                    <w:rPr>
                      <w:szCs w:val="21"/>
                    </w:rPr>
                  </w:pPr>
                  <w:r>
                    <w:rPr>
                      <w:rFonts w:hint="eastAsia"/>
                      <w:szCs w:val="21"/>
                    </w:rPr>
                    <w:t>/</w:t>
                  </w:r>
                </w:p>
              </w:tc>
              <w:tc>
                <w:tcPr>
                  <w:tcW w:w="503" w:type="pct"/>
                  <w:tcBorders>
                    <w:tl2br w:val="nil"/>
                    <w:tr2bl w:val="nil"/>
                  </w:tcBorders>
                  <w:vAlign w:val="center"/>
                </w:tcPr>
                <w:p w14:paraId="326FA9D1">
                  <w:pPr>
                    <w:ind w:left="-105" w:leftChars="-50" w:right="-105" w:rightChars="-50"/>
                    <w:jc w:val="center"/>
                    <w:rPr>
                      <w:szCs w:val="21"/>
                    </w:rPr>
                  </w:pPr>
                  <w:r>
                    <w:rPr>
                      <w:szCs w:val="21"/>
                    </w:rPr>
                    <w:t>/</w:t>
                  </w:r>
                </w:p>
              </w:tc>
            </w:tr>
            <w:tr w14:paraId="22614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41" w:type="pct"/>
                  <w:vMerge w:val="continue"/>
                  <w:tcBorders>
                    <w:tl2br w:val="nil"/>
                    <w:tr2bl w:val="nil"/>
                  </w:tcBorders>
                  <w:vAlign w:val="center"/>
                </w:tcPr>
                <w:p w14:paraId="26E099B5">
                  <w:pPr>
                    <w:ind w:left="-105" w:leftChars="-50" w:right="-105" w:rightChars="-50"/>
                    <w:jc w:val="center"/>
                    <w:rPr>
                      <w:szCs w:val="21"/>
                    </w:rPr>
                  </w:pPr>
                </w:p>
              </w:tc>
              <w:tc>
                <w:tcPr>
                  <w:tcW w:w="463" w:type="pct"/>
                  <w:tcBorders>
                    <w:tl2br w:val="nil"/>
                    <w:tr2bl w:val="nil"/>
                  </w:tcBorders>
                  <w:vAlign w:val="center"/>
                </w:tcPr>
                <w:p w14:paraId="11757FC3">
                  <w:pPr>
                    <w:ind w:left="-105" w:leftChars="-50" w:right="-105" w:rightChars="-50"/>
                    <w:jc w:val="center"/>
                    <w:rPr>
                      <w:szCs w:val="21"/>
                    </w:rPr>
                  </w:pPr>
                  <w:r>
                    <w:rPr>
                      <w:szCs w:val="21"/>
                    </w:rPr>
                    <w:t>COD</w:t>
                  </w:r>
                </w:p>
              </w:tc>
              <w:tc>
                <w:tcPr>
                  <w:tcW w:w="526" w:type="pct"/>
                  <w:tcBorders>
                    <w:tl2br w:val="nil"/>
                    <w:tr2bl w:val="nil"/>
                  </w:tcBorders>
                  <w:vAlign w:val="center"/>
                </w:tcPr>
                <w:p w14:paraId="63B313FF">
                  <w:pPr>
                    <w:ind w:left="-105" w:leftChars="-50" w:right="-105" w:rightChars="-50"/>
                    <w:jc w:val="center"/>
                    <w:rPr>
                      <w:rFonts w:hint="default" w:eastAsia="宋体"/>
                      <w:szCs w:val="21"/>
                      <w:lang w:val="en-US" w:eastAsia="zh-CN"/>
                    </w:rPr>
                  </w:pPr>
                  <w:r>
                    <w:rPr>
                      <w:rFonts w:hint="eastAsia"/>
                      <w:szCs w:val="21"/>
                      <w:lang w:val="en-US" w:eastAsia="zh-CN"/>
                    </w:rPr>
                    <w:t>350</w:t>
                  </w:r>
                </w:p>
              </w:tc>
              <w:tc>
                <w:tcPr>
                  <w:tcW w:w="1128" w:type="dxa"/>
                  <w:tcBorders>
                    <w:tl2br w:val="nil"/>
                    <w:tr2bl w:val="nil"/>
                  </w:tcBorders>
                  <w:vAlign w:val="center"/>
                </w:tcPr>
                <w:p w14:paraId="68131003">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1.26</w:t>
                  </w:r>
                </w:p>
              </w:tc>
              <w:tc>
                <w:tcPr>
                  <w:tcW w:w="580" w:type="pct"/>
                  <w:vMerge w:val="continue"/>
                  <w:tcBorders>
                    <w:tl2br w:val="nil"/>
                    <w:tr2bl w:val="nil"/>
                  </w:tcBorders>
                  <w:vAlign w:val="center"/>
                </w:tcPr>
                <w:p w14:paraId="3E5A3AAD">
                  <w:pPr>
                    <w:ind w:left="-105" w:leftChars="-50" w:right="-105" w:rightChars="-50"/>
                    <w:jc w:val="center"/>
                    <w:rPr>
                      <w:rFonts w:ascii="Times New Roman" w:hAnsi="Times New Roman" w:eastAsia="宋体" w:cs="Times New Roman"/>
                      <w:szCs w:val="21"/>
                    </w:rPr>
                  </w:pPr>
                </w:p>
              </w:tc>
              <w:tc>
                <w:tcPr>
                  <w:tcW w:w="526" w:type="pct"/>
                  <w:tcBorders>
                    <w:tl2br w:val="nil"/>
                    <w:tr2bl w:val="nil"/>
                  </w:tcBorders>
                  <w:vAlign w:val="center"/>
                </w:tcPr>
                <w:p w14:paraId="2689D4CB">
                  <w:pPr>
                    <w:ind w:left="-105" w:leftChars="-50" w:right="-105" w:rightChars="-5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300</w:t>
                  </w:r>
                </w:p>
              </w:tc>
              <w:tc>
                <w:tcPr>
                  <w:tcW w:w="1128" w:type="dxa"/>
                  <w:tcBorders>
                    <w:tl2br w:val="nil"/>
                    <w:tr2bl w:val="nil"/>
                  </w:tcBorders>
                  <w:vAlign w:val="center"/>
                </w:tcPr>
                <w:p w14:paraId="10B53056">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1.08</w:t>
                  </w:r>
                </w:p>
              </w:tc>
              <w:tc>
                <w:tcPr>
                  <w:tcW w:w="526" w:type="pct"/>
                  <w:tcBorders>
                    <w:tl2br w:val="nil"/>
                    <w:tr2bl w:val="nil"/>
                  </w:tcBorders>
                  <w:vAlign w:val="center"/>
                </w:tcPr>
                <w:p w14:paraId="120C1CC0">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50</w:t>
                  </w:r>
                </w:p>
              </w:tc>
              <w:tc>
                <w:tcPr>
                  <w:tcW w:w="925" w:type="dxa"/>
                  <w:tcBorders>
                    <w:tl2br w:val="nil"/>
                    <w:tr2bl w:val="nil"/>
                  </w:tcBorders>
                  <w:vAlign w:val="center"/>
                </w:tcPr>
                <w:p w14:paraId="75B7AC7E">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0.18</w:t>
                  </w:r>
                </w:p>
              </w:tc>
            </w:tr>
            <w:tr w14:paraId="7C193E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41" w:type="pct"/>
                  <w:vMerge w:val="continue"/>
                  <w:tcBorders>
                    <w:tl2br w:val="nil"/>
                    <w:tr2bl w:val="nil"/>
                  </w:tcBorders>
                  <w:vAlign w:val="center"/>
                </w:tcPr>
                <w:p w14:paraId="08F538E3">
                  <w:pPr>
                    <w:ind w:left="-105" w:leftChars="-50" w:right="-105" w:rightChars="-50"/>
                    <w:jc w:val="center"/>
                    <w:rPr>
                      <w:szCs w:val="21"/>
                    </w:rPr>
                  </w:pPr>
                </w:p>
              </w:tc>
              <w:tc>
                <w:tcPr>
                  <w:tcW w:w="463" w:type="pct"/>
                  <w:tcBorders>
                    <w:tl2br w:val="nil"/>
                    <w:tr2bl w:val="nil"/>
                  </w:tcBorders>
                  <w:vAlign w:val="center"/>
                </w:tcPr>
                <w:p w14:paraId="42940946">
                  <w:pPr>
                    <w:ind w:left="-105" w:leftChars="-50" w:right="-105" w:rightChars="-50"/>
                    <w:jc w:val="center"/>
                    <w:rPr>
                      <w:szCs w:val="21"/>
                    </w:rPr>
                  </w:pPr>
                  <w:r>
                    <w:rPr>
                      <w:rFonts w:eastAsia="黑体"/>
                      <w:szCs w:val="21"/>
                    </w:rPr>
                    <w:t>BOD</w:t>
                  </w:r>
                  <w:r>
                    <w:rPr>
                      <w:rFonts w:eastAsia="黑体"/>
                      <w:szCs w:val="21"/>
                      <w:vertAlign w:val="subscript"/>
                    </w:rPr>
                    <w:t>5</w:t>
                  </w:r>
                </w:p>
              </w:tc>
              <w:tc>
                <w:tcPr>
                  <w:tcW w:w="526" w:type="pct"/>
                  <w:tcBorders>
                    <w:tl2br w:val="nil"/>
                    <w:tr2bl w:val="nil"/>
                  </w:tcBorders>
                  <w:vAlign w:val="center"/>
                </w:tcPr>
                <w:p w14:paraId="44348DBC">
                  <w:pPr>
                    <w:ind w:left="-105" w:leftChars="-50" w:right="-105" w:rightChars="-50"/>
                    <w:jc w:val="center"/>
                    <w:rPr>
                      <w:rFonts w:hint="default" w:eastAsia="宋体"/>
                      <w:szCs w:val="21"/>
                      <w:lang w:val="en-US" w:eastAsia="zh-CN"/>
                    </w:rPr>
                  </w:pPr>
                  <w:r>
                    <w:rPr>
                      <w:rFonts w:hint="eastAsia"/>
                      <w:szCs w:val="21"/>
                      <w:lang w:val="en-US" w:eastAsia="zh-CN"/>
                    </w:rPr>
                    <w:t>250</w:t>
                  </w:r>
                </w:p>
              </w:tc>
              <w:tc>
                <w:tcPr>
                  <w:tcW w:w="1128" w:type="dxa"/>
                  <w:tcBorders>
                    <w:tl2br w:val="nil"/>
                    <w:tr2bl w:val="nil"/>
                  </w:tcBorders>
                  <w:vAlign w:val="center"/>
                </w:tcPr>
                <w:p w14:paraId="2F2E2DD4">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0.9</w:t>
                  </w:r>
                </w:p>
              </w:tc>
              <w:tc>
                <w:tcPr>
                  <w:tcW w:w="580" w:type="pct"/>
                  <w:vMerge w:val="continue"/>
                  <w:tcBorders>
                    <w:tl2br w:val="nil"/>
                    <w:tr2bl w:val="nil"/>
                  </w:tcBorders>
                  <w:vAlign w:val="center"/>
                </w:tcPr>
                <w:p w14:paraId="19A0F143">
                  <w:pPr>
                    <w:ind w:left="-105" w:leftChars="-50" w:right="-105" w:rightChars="-50"/>
                    <w:jc w:val="center"/>
                    <w:rPr>
                      <w:rFonts w:ascii="Times New Roman" w:hAnsi="Times New Roman" w:eastAsia="宋体" w:cs="Times New Roman"/>
                      <w:szCs w:val="21"/>
                    </w:rPr>
                  </w:pPr>
                </w:p>
              </w:tc>
              <w:tc>
                <w:tcPr>
                  <w:tcW w:w="526" w:type="pct"/>
                  <w:tcBorders>
                    <w:tl2br w:val="nil"/>
                    <w:tr2bl w:val="nil"/>
                  </w:tcBorders>
                  <w:vAlign w:val="center"/>
                </w:tcPr>
                <w:p w14:paraId="4E54699C">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150</w:t>
                  </w:r>
                </w:p>
              </w:tc>
              <w:tc>
                <w:tcPr>
                  <w:tcW w:w="1128" w:type="dxa"/>
                  <w:tcBorders>
                    <w:tl2br w:val="nil"/>
                    <w:tr2bl w:val="nil"/>
                  </w:tcBorders>
                  <w:vAlign w:val="center"/>
                </w:tcPr>
                <w:p w14:paraId="17647073">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0.54</w:t>
                  </w:r>
                </w:p>
              </w:tc>
              <w:tc>
                <w:tcPr>
                  <w:tcW w:w="526" w:type="pct"/>
                  <w:tcBorders>
                    <w:tl2br w:val="nil"/>
                    <w:tr2bl w:val="nil"/>
                  </w:tcBorders>
                  <w:vAlign w:val="center"/>
                </w:tcPr>
                <w:p w14:paraId="033A990A">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925" w:type="dxa"/>
                  <w:tcBorders>
                    <w:tl2br w:val="nil"/>
                    <w:tr2bl w:val="nil"/>
                  </w:tcBorders>
                  <w:vAlign w:val="center"/>
                </w:tcPr>
                <w:p w14:paraId="7A0DBD04">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0.036</w:t>
                  </w:r>
                </w:p>
              </w:tc>
            </w:tr>
            <w:tr w14:paraId="700FA5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641" w:type="pct"/>
                  <w:vMerge w:val="continue"/>
                  <w:tcBorders>
                    <w:tl2br w:val="nil"/>
                    <w:tr2bl w:val="nil"/>
                  </w:tcBorders>
                  <w:vAlign w:val="center"/>
                </w:tcPr>
                <w:p w14:paraId="6F92361E">
                  <w:pPr>
                    <w:ind w:left="-105" w:leftChars="-50" w:right="-105" w:rightChars="-50"/>
                    <w:jc w:val="center"/>
                    <w:rPr>
                      <w:szCs w:val="21"/>
                    </w:rPr>
                  </w:pPr>
                </w:p>
              </w:tc>
              <w:tc>
                <w:tcPr>
                  <w:tcW w:w="463" w:type="pct"/>
                  <w:tcBorders>
                    <w:tl2br w:val="nil"/>
                    <w:tr2bl w:val="nil"/>
                  </w:tcBorders>
                  <w:vAlign w:val="center"/>
                </w:tcPr>
                <w:p w14:paraId="5732FE61">
                  <w:pPr>
                    <w:ind w:left="-105" w:leftChars="-50" w:right="-105" w:rightChars="-50"/>
                    <w:jc w:val="center"/>
                    <w:rPr>
                      <w:szCs w:val="21"/>
                    </w:rPr>
                  </w:pPr>
                  <w:r>
                    <w:rPr>
                      <w:rFonts w:hint="eastAsia"/>
                      <w:szCs w:val="21"/>
                    </w:rPr>
                    <w:t>氨氮</w:t>
                  </w:r>
                </w:p>
              </w:tc>
              <w:tc>
                <w:tcPr>
                  <w:tcW w:w="526" w:type="pct"/>
                  <w:tcBorders>
                    <w:tl2br w:val="nil"/>
                    <w:tr2bl w:val="nil"/>
                  </w:tcBorders>
                  <w:vAlign w:val="center"/>
                </w:tcPr>
                <w:p w14:paraId="5A55B537">
                  <w:pPr>
                    <w:ind w:left="-105" w:leftChars="-50" w:right="-105" w:rightChars="-50"/>
                    <w:jc w:val="center"/>
                    <w:rPr>
                      <w:rFonts w:hint="default" w:eastAsia="宋体"/>
                      <w:szCs w:val="21"/>
                      <w:lang w:val="en-US" w:eastAsia="zh-CN"/>
                    </w:rPr>
                  </w:pPr>
                  <w:r>
                    <w:rPr>
                      <w:rFonts w:hint="eastAsia"/>
                      <w:szCs w:val="21"/>
                      <w:lang w:val="en-US" w:eastAsia="zh-CN"/>
                    </w:rPr>
                    <w:t>35</w:t>
                  </w:r>
                </w:p>
              </w:tc>
              <w:tc>
                <w:tcPr>
                  <w:tcW w:w="1128" w:type="dxa"/>
                  <w:tcBorders>
                    <w:tl2br w:val="nil"/>
                    <w:tr2bl w:val="nil"/>
                  </w:tcBorders>
                  <w:vAlign w:val="center"/>
                </w:tcPr>
                <w:p w14:paraId="2515E0FD">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0.126</w:t>
                  </w:r>
                </w:p>
              </w:tc>
              <w:tc>
                <w:tcPr>
                  <w:tcW w:w="580" w:type="pct"/>
                  <w:vMerge w:val="continue"/>
                  <w:tcBorders>
                    <w:tl2br w:val="nil"/>
                    <w:tr2bl w:val="nil"/>
                  </w:tcBorders>
                  <w:vAlign w:val="center"/>
                </w:tcPr>
                <w:p w14:paraId="536513DD">
                  <w:pPr>
                    <w:ind w:left="-105" w:leftChars="-50" w:right="-105" w:rightChars="-50"/>
                    <w:jc w:val="center"/>
                    <w:rPr>
                      <w:rFonts w:ascii="Times New Roman" w:hAnsi="Times New Roman" w:eastAsia="宋体" w:cs="Times New Roman"/>
                      <w:szCs w:val="21"/>
                    </w:rPr>
                  </w:pPr>
                </w:p>
              </w:tc>
              <w:tc>
                <w:tcPr>
                  <w:tcW w:w="526" w:type="pct"/>
                  <w:tcBorders>
                    <w:tl2br w:val="nil"/>
                    <w:tr2bl w:val="nil"/>
                  </w:tcBorders>
                  <w:vAlign w:val="center"/>
                </w:tcPr>
                <w:p w14:paraId="67B7E9D6">
                  <w:pPr>
                    <w:ind w:left="-105" w:leftChars="-50" w:right="-105" w:rightChars="-5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35</w:t>
                  </w:r>
                </w:p>
              </w:tc>
              <w:tc>
                <w:tcPr>
                  <w:tcW w:w="1128" w:type="dxa"/>
                  <w:tcBorders>
                    <w:tl2br w:val="nil"/>
                    <w:tr2bl w:val="nil"/>
                  </w:tcBorders>
                  <w:vAlign w:val="center"/>
                </w:tcPr>
                <w:p w14:paraId="1592ADCE">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0.126</w:t>
                  </w:r>
                </w:p>
              </w:tc>
              <w:tc>
                <w:tcPr>
                  <w:tcW w:w="526" w:type="pct"/>
                  <w:tcBorders>
                    <w:tl2br w:val="nil"/>
                    <w:tr2bl w:val="nil"/>
                  </w:tcBorders>
                  <w:vAlign w:val="center"/>
                </w:tcPr>
                <w:p w14:paraId="3722835D">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w:t>
                  </w:r>
                </w:p>
              </w:tc>
              <w:tc>
                <w:tcPr>
                  <w:tcW w:w="925" w:type="dxa"/>
                  <w:tcBorders>
                    <w:tl2br w:val="nil"/>
                    <w:tr2bl w:val="nil"/>
                  </w:tcBorders>
                  <w:vAlign w:val="center"/>
                </w:tcPr>
                <w:p w14:paraId="42166439">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0.018</w:t>
                  </w:r>
                </w:p>
              </w:tc>
            </w:tr>
            <w:tr w14:paraId="4100CF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41" w:type="pct"/>
                  <w:vMerge w:val="continue"/>
                  <w:tcBorders>
                    <w:tl2br w:val="nil"/>
                    <w:tr2bl w:val="nil"/>
                  </w:tcBorders>
                  <w:vAlign w:val="center"/>
                </w:tcPr>
                <w:p w14:paraId="23506541">
                  <w:pPr>
                    <w:ind w:left="-105" w:leftChars="-50" w:right="-105" w:rightChars="-50"/>
                    <w:jc w:val="center"/>
                    <w:rPr>
                      <w:szCs w:val="21"/>
                    </w:rPr>
                  </w:pPr>
                </w:p>
              </w:tc>
              <w:tc>
                <w:tcPr>
                  <w:tcW w:w="463" w:type="pct"/>
                  <w:tcBorders>
                    <w:tl2br w:val="nil"/>
                    <w:tr2bl w:val="nil"/>
                  </w:tcBorders>
                  <w:vAlign w:val="center"/>
                </w:tcPr>
                <w:p w14:paraId="5E492888">
                  <w:pPr>
                    <w:ind w:left="-105" w:leftChars="-50" w:right="-105" w:rightChars="-50"/>
                    <w:jc w:val="center"/>
                    <w:rPr>
                      <w:szCs w:val="21"/>
                    </w:rPr>
                  </w:pPr>
                  <w:r>
                    <w:rPr>
                      <w:szCs w:val="21"/>
                    </w:rPr>
                    <w:t>SS</w:t>
                  </w:r>
                </w:p>
              </w:tc>
              <w:tc>
                <w:tcPr>
                  <w:tcW w:w="526" w:type="pct"/>
                  <w:tcBorders>
                    <w:tl2br w:val="nil"/>
                    <w:tr2bl w:val="nil"/>
                  </w:tcBorders>
                  <w:vAlign w:val="center"/>
                </w:tcPr>
                <w:p w14:paraId="37A4D2E8">
                  <w:pPr>
                    <w:ind w:left="-105" w:leftChars="-50" w:right="-105" w:rightChars="-50"/>
                    <w:jc w:val="center"/>
                    <w:rPr>
                      <w:rFonts w:hint="default" w:eastAsia="宋体"/>
                      <w:szCs w:val="21"/>
                      <w:lang w:val="en-US" w:eastAsia="zh-CN"/>
                    </w:rPr>
                  </w:pPr>
                  <w:r>
                    <w:rPr>
                      <w:rFonts w:hint="eastAsia"/>
                      <w:szCs w:val="21"/>
                      <w:lang w:val="en-US" w:eastAsia="zh-CN"/>
                    </w:rPr>
                    <w:t>300</w:t>
                  </w:r>
                </w:p>
              </w:tc>
              <w:tc>
                <w:tcPr>
                  <w:tcW w:w="1128" w:type="dxa"/>
                  <w:tcBorders>
                    <w:tl2br w:val="nil"/>
                    <w:tr2bl w:val="nil"/>
                  </w:tcBorders>
                  <w:vAlign w:val="center"/>
                </w:tcPr>
                <w:p w14:paraId="493BDE87">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1.08</w:t>
                  </w:r>
                </w:p>
              </w:tc>
              <w:tc>
                <w:tcPr>
                  <w:tcW w:w="580" w:type="pct"/>
                  <w:vMerge w:val="continue"/>
                  <w:tcBorders>
                    <w:tl2br w:val="nil"/>
                    <w:tr2bl w:val="nil"/>
                  </w:tcBorders>
                  <w:vAlign w:val="center"/>
                </w:tcPr>
                <w:p w14:paraId="18D4CF7D">
                  <w:pPr>
                    <w:ind w:left="-105" w:leftChars="-50" w:right="-105" w:rightChars="-50"/>
                    <w:jc w:val="center"/>
                    <w:rPr>
                      <w:rFonts w:ascii="Times New Roman" w:hAnsi="Times New Roman" w:eastAsia="宋体" w:cs="Times New Roman"/>
                      <w:szCs w:val="21"/>
                    </w:rPr>
                  </w:pPr>
                </w:p>
              </w:tc>
              <w:tc>
                <w:tcPr>
                  <w:tcW w:w="526" w:type="pct"/>
                  <w:tcBorders>
                    <w:tl2br w:val="nil"/>
                    <w:tr2bl w:val="nil"/>
                  </w:tcBorders>
                  <w:vAlign w:val="center"/>
                </w:tcPr>
                <w:p w14:paraId="3728BE36">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160</w:t>
                  </w:r>
                </w:p>
              </w:tc>
              <w:tc>
                <w:tcPr>
                  <w:tcW w:w="1128" w:type="dxa"/>
                  <w:tcBorders>
                    <w:tl2br w:val="nil"/>
                    <w:tr2bl w:val="nil"/>
                  </w:tcBorders>
                  <w:vAlign w:val="center"/>
                </w:tcPr>
                <w:p w14:paraId="3115E241">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0.576</w:t>
                  </w:r>
                </w:p>
              </w:tc>
              <w:tc>
                <w:tcPr>
                  <w:tcW w:w="526" w:type="pct"/>
                  <w:tcBorders>
                    <w:tl2br w:val="nil"/>
                    <w:tr2bl w:val="nil"/>
                  </w:tcBorders>
                  <w:vAlign w:val="center"/>
                </w:tcPr>
                <w:p w14:paraId="2F9599C7">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925" w:type="dxa"/>
                  <w:tcBorders>
                    <w:tl2br w:val="nil"/>
                    <w:tr2bl w:val="nil"/>
                  </w:tcBorders>
                  <w:vAlign w:val="center"/>
                </w:tcPr>
                <w:p w14:paraId="193929AF">
                  <w:pPr>
                    <w:ind w:left="-105" w:leftChars="-50" w:right="-105" w:rightChars="-5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0.036</w:t>
                  </w:r>
                </w:p>
              </w:tc>
            </w:tr>
          </w:tbl>
          <w:p w14:paraId="572552CA">
            <w:pPr>
              <w:keepNext w:val="0"/>
              <w:keepLines w:val="0"/>
              <w:pageBreakBefore w:val="0"/>
              <w:widowControl w:val="0"/>
              <w:kinsoku/>
              <w:wordWrap/>
              <w:overflowPunct/>
              <w:topLinePunct w:val="0"/>
              <w:autoSpaceDE/>
              <w:autoSpaceDN/>
              <w:bidi w:val="0"/>
              <w:adjustRightInd w:val="0"/>
              <w:snapToGrid/>
              <w:spacing w:beforeAutospacing="0" w:line="360" w:lineRule="auto"/>
              <w:ind w:firstLine="480" w:firstLineChars="200"/>
              <w:jc w:val="left"/>
              <w:textAlignment w:val="auto"/>
              <w:rPr>
                <w:sz w:val="24"/>
              </w:rPr>
            </w:pPr>
            <w:r>
              <w:rPr>
                <w:sz w:val="24"/>
              </w:rPr>
              <w:t>本项目</w:t>
            </w:r>
            <w:r>
              <w:rPr>
                <w:rFonts w:hint="eastAsia"/>
                <w:sz w:val="24"/>
              </w:rPr>
              <w:t>生活污水经化粪池处理达《污水综合</w:t>
            </w:r>
            <w:r>
              <w:rPr>
                <w:sz w:val="24"/>
              </w:rPr>
              <w:t>排放标准》（GB</w:t>
            </w:r>
            <w:r>
              <w:rPr>
                <w:rFonts w:hint="eastAsia"/>
                <w:sz w:val="24"/>
              </w:rPr>
              <w:t>8978</w:t>
            </w:r>
            <w:r>
              <w:rPr>
                <w:sz w:val="24"/>
              </w:rPr>
              <w:t>-</w:t>
            </w:r>
            <w:r>
              <w:rPr>
                <w:rFonts w:hint="eastAsia"/>
                <w:sz w:val="24"/>
              </w:rPr>
              <w:t>1996</w:t>
            </w:r>
            <w:r>
              <w:rPr>
                <w:sz w:val="24"/>
              </w:rPr>
              <w:t>）表</w:t>
            </w:r>
            <w:r>
              <w:rPr>
                <w:rFonts w:hint="eastAsia"/>
                <w:sz w:val="24"/>
              </w:rPr>
              <w:t>4三级</w:t>
            </w:r>
            <w:r>
              <w:rPr>
                <w:sz w:val="24"/>
              </w:rPr>
              <w:t>标准</w:t>
            </w:r>
            <w:r>
              <w:rPr>
                <w:rFonts w:hint="eastAsia"/>
                <w:sz w:val="24"/>
              </w:rPr>
              <w:t>后接管进入</w:t>
            </w:r>
            <w:r>
              <w:rPr>
                <w:rFonts w:hint="eastAsia"/>
                <w:sz w:val="24"/>
                <w:lang w:val="en-US" w:eastAsia="zh-CN"/>
              </w:rPr>
              <w:t>滨江</w:t>
            </w:r>
            <w:r>
              <w:rPr>
                <w:rFonts w:hint="eastAsia"/>
                <w:sz w:val="24"/>
              </w:rPr>
              <w:t>污水处理厂集中处理，尾水最终排入长江</w:t>
            </w:r>
            <w:r>
              <w:rPr>
                <w:rFonts w:hint="eastAsia"/>
                <w:sz w:val="24"/>
                <w:lang w:eastAsia="zh-CN"/>
              </w:rPr>
              <w:t>（</w:t>
            </w:r>
            <w:r>
              <w:rPr>
                <w:rFonts w:hint="eastAsia"/>
                <w:sz w:val="24"/>
                <w:lang w:val="en-US" w:eastAsia="zh-CN"/>
              </w:rPr>
              <w:t>芜湖段）</w:t>
            </w:r>
            <w:r>
              <w:rPr>
                <w:rFonts w:hint="eastAsia"/>
                <w:sz w:val="24"/>
              </w:rPr>
              <w:t>。</w:t>
            </w:r>
          </w:p>
          <w:p w14:paraId="4DE601CC">
            <w:pPr>
              <w:spacing w:line="360" w:lineRule="auto"/>
              <w:ind w:firstLine="482" w:firstLineChars="200"/>
              <w:rPr>
                <w:b/>
                <w:sz w:val="24"/>
                <w:szCs w:val="28"/>
              </w:rPr>
            </w:pPr>
            <w:r>
              <w:rPr>
                <w:b/>
                <w:sz w:val="24"/>
                <w:szCs w:val="28"/>
              </w:rPr>
              <w:t>2</w:t>
            </w:r>
            <w:r>
              <w:rPr>
                <w:rFonts w:hint="eastAsia"/>
                <w:b/>
                <w:sz w:val="24"/>
                <w:szCs w:val="28"/>
              </w:rPr>
              <w:t>、</w:t>
            </w:r>
            <w:r>
              <w:rPr>
                <w:rFonts w:hint="eastAsia"/>
                <w:b/>
                <w:sz w:val="24"/>
                <w:szCs w:val="28"/>
                <w:lang w:val="en-US" w:eastAsia="zh-CN"/>
              </w:rPr>
              <w:t>滨江</w:t>
            </w:r>
            <w:r>
              <w:rPr>
                <w:rFonts w:hint="eastAsia"/>
                <w:b/>
                <w:sz w:val="24"/>
                <w:szCs w:val="28"/>
              </w:rPr>
              <w:t>污水处理厂处理本项目废水可行性分析</w:t>
            </w:r>
          </w:p>
          <w:p w14:paraId="17292638">
            <w:pPr>
              <w:widowControl/>
              <w:spacing w:line="360" w:lineRule="auto"/>
              <w:ind w:firstLine="480" w:firstLineChars="200"/>
              <w:jc w:val="left"/>
              <w:rPr>
                <w:rFonts w:hint="eastAsia"/>
                <w:b w:val="0"/>
                <w:bCs/>
                <w:kern w:val="0"/>
                <w:sz w:val="24"/>
              </w:rPr>
            </w:pPr>
            <w:r>
              <w:rPr>
                <w:rFonts w:hint="eastAsia"/>
                <w:b w:val="0"/>
                <w:bCs/>
                <w:kern w:val="0"/>
                <w:sz w:val="24"/>
              </w:rPr>
              <w:t>①项目废水水量接管可行性分析</w:t>
            </w:r>
          </w:p>
          <w:p w14:paraId="7908AE78">
            <w:pPr>
              <w:widowControl/>
              <w:spacing w:line="360" w:lineRule="auto"/>
              <w:ind w:firstLine="480" w:firstLineChars="200"/>
              <w:jc w:val="left"/>
              <w:rPr>
                <w:rFonts w:hint="eastAsia"/>
                <w:b w:val="0"/>
                <w:bCs/>
                <w:kern w:val="0"/>
                <w:sz w:val="24"/>
              </w:rPr>
            </w:pPr>
            <w:r>
              <w:rPr>
                <w:rFonts w:hint="eastAsia"/>
                <w:b w:val="0"/>
                <w:bCs/>
                <w:kern w:val="0"/>
                <w:sz w:val="24"/>
              </w:rPr>
              <w:t>滨江污水处理厂位于芜湖市三山区临江工业园规划十路（经八路）与规划保定渠相交点的西北处，目前日处理污水能力为6万m</w:t>
            </w:r>
            <w:r>
              <w:rPr>
                <w:rFonts w:hint="eastAsia"/>
                <w:b w:val="0"/>
                <w:bCs/>
                <w:kern w:val="0"/>
                <w:sz w:val="24"/>
                <w:vertAlign w:val="superscript"/>
              </w:rPr>
              <w:t>3</w:t>
            </w:r>
            <w:r>
              <w:rPr>
                <w:rFonts w:hint="eastAsia"/>
                <w:b w:val="0"/>
                <w:bCs/>
                <w:kern w:val="0"/>
                <w:sz w:val="24"/>
              </w:rPr>
              <w:t>/d。规划服务区域为整个三山区城市建设用地范围，具体包括食品工业园区、三山老镇区、临江工业区、峨</w:t>
            </w:r>
            <w:r>
              <w:rPr>
                <w:rFonts w:hint="eastAsia"/>
                <w:b w:val="0"/>
                <w:bCs/>
                <w:kern w:val="0"/>
                <w:sz w:val="24"/>
                <w:lang w:val="en-US" w:eastAsia="zh-CN"/>
              </w:rPr>
              <w:t>桥</w:t>
            </w:r>
            <w:r>
              <w:rPr>
                <w:rFonts w:hint="eastAsia"/>
                <w:b w:val="0"/>
                <w:bCs/>
                <w:kern w:val="0"/>
                <w:sz w:val="24"/>
              </w:rPr>
              <w:t>镇区，目前已建成五星泵站、芜铜泵站、中沟泵站、滨江泵站共4座泵站，处理工艺多模式 A/A/O处理工艺同时出水采用紫外线消毒工艺，处理厂出水水质达到《城镇污水处理厂污染物排放标准》一级A类排放标准后排入长江。</w:t>
            </w:r>
          </w:p>
          <w:p w14:paraId="34084A5C">
            <w:pPr>
              <w:widowControl/>
              <w:spacing w:line="360" w:lineRule="auto"/>
              <w:ind w:firstLine="480" w:firstLineChars="200"/>
              <w:jc w:val="left"/>
              <w:rPr>
                <w:rFonts w:hint="eastAsia"/>
                <w:b w:val="0"/>
                <w:bCs/>
                <w:kern w:val="0"/>
                <w:sz w:val="24"/>
              </w:rPr>
            </w:pPr>
            <w:r>
              <w:rPr>
                <w:rFonts w:hint="eastAsia"/>
                <w:b w:val="0"/>
                <w:bCs/>
                <w:kern w:val="0"/>
                <w:sz w:val="24"/>
              </w:rPr>
              <w:t>本项目位于安徽芜湖三山经济开发区，属于滨江污水处理厂收水范围，排污水量</w:t>
            </w:r>
            <w:r>
              <w:rPr>
                <w:rFonts w:hint="eastAsia"/>
                <w:b w:val="0"/>
                <w:bCs/>
                <w:kern w:val="0"/>
                <w:sz w:val="24"/>
                <w:lang w:val="en-US" w:eastAsia="zh-CN"/>
              </w:rPr>
              <w:t>12</w:t>
            </w:r>
            <w:r>
              <w:rPr>
                <w:rFonts w:hint="eastAsia"/>
                <w:b w:val="0"/>
                <w:bCs/>
                <w:kern w:val="0"/>
                <w:sz w:val="24"/>
              </w:rPr>
              <w:t>t/d，占滨江污水处理厂处理规模的约0.0</w:t>
            </w:r>
            <w:r>
              <w:rPr>
                <w:rFonts w:hint="eastAsia"/>
                <w:b w:val="0"/>
                <w:bCs/>
                <w:kern w:val="0"/>
                <w:sz w:val="24"/>
                <w:lang w:val="en-US" w:eastAsia="zh-CN"/>
              </w:rPr>
              <w:t>2</w:t>
            </w:r>
            <w:r>
              <w:rPr>
                <w:rFonts w:hint="eastAsia"/>
                <w:b w:val="0"/>
                <w:bCs/>
                <w:kern w:val="0"/>
                <w:sz w:val="24"/>
              </w:rPr>
              <w:t>%，不会对滨江污水处理厂产生冲击负荷，因此项目生活污水经隔油池+化粪池预处理后，接管至市政污水管网，进入滨江污水处理厂处理是可行的。</w:t>
            </w:r>
          </w:p>
          <w:p w14:paraId="31128AE0">
            <w:pPr>
              <w:widowControl/>
              <w:spacing w:line="360" w:lineRule="auto"/>
              <w:ind w:firstLine="480" w:firstLineChars="200"/>
              <w:jc w:val="left"/>
              <w:rPr>
                <w:rFonts w:hint="eastAsia"/>
                <w:b w:val="0"/>
                <w:bCs/>
                <w:kern w:val="0"/>
                <w:sz w:val="24"/>
              </w:rPr>
            </w:pPr>
            <w:r>
              <w:rPr>
                <w:rFonts w:hint="eastAsia"/>
                <w:b w:val="0"/>
                <w:bCs/>
                <w:kern w:val="0"/>
                <w:sz w:val="24"/>
              </w:rPr>
              <w:t>②项目废水水质接管可行性分析</w:t>
            </w:r>
          </w:p>
          <w:p w14:paraId="76F7BFFE">
            <w:pPr>
              <w:widowControl/>
              <w:spacing w:line="360" w:lineRule="auto"/>
              <w:ind w:firstLine="480" w:firstLineChars="200"/>
              <w:jc w:val="left"/>
              <w:rPr>
                <w:rFonts w:hint="eastAsia"/>
                <w:b w:val="0"/>
                <w:bCs/>
                <w:kern w:val="0"/>
                <w:sz w:val="24"/>
              </w:rPr>
            </w:pPr>
            <w:r>
              <w:rPr>
                <w:rFonts w:hint="eastAsia"/>
                <w:b w:val="0"/>
                <w:bCs/>
                <w:kern w:val="0"/>
                <w:sz w:val="24"/>
              </w:rPr>
              <w:t>本项目的排放的废水为生活污水，产生的废水经化粪池预处理后，出水水质可达接管标准要求，从水质上是可行的。</w:t>
            </w:r>
          </w:p>
          <w:p w14:paraId="27DF5E69">
            <w:pPr>
              <w:widowControl/>
              <w:spacing w:line="360" w:lineRule="auto"/>
              <w:ind w:firstLine="480" w:firstLineChars="200"/>
              <w:jc w:val="left"/>
              <w:rPr>
                <w:rFonts w:hint="eastAsia"/>
                <w:b w:val="0"/>
                <w:bCs/>
                <w:kern w:val="0"/>
                <w:sz w:val="24"/>
              </w:rPr>
            </w:pPr>
            <w:r>
              <w:rPr>
                <w:rFonts w:hint="eastAsia"/>
                <w:b w:val="0"/>
                <w:bCs/>
                <w:kern w:val="0"/>
                <w:sz w:val="24"/>
              </w:rPr>
              <w:t>③管网因素</w:t>
            </w:r>
          </w:p>
          <w:p w14:paraId="20F95D1C">
            <w:pPr>
              <w:widowControl/>
              <w:spacing w:line="360" w:lineRule="auto"/>
              <w:ind w:firstLine="480" w:firstLineChars="200"/>
              <w:jc w:val="left"/>
              <w:rPr>
                <w:rFonts w:hint="eastAsia"/>
                <w:b w:val="0"/>
                <w:bCs/>
                <w:kern w:val="0"/>
                <w:sz w:val="24"/>
              </w:rPr>
            </w:pPr>
            <w:r>
              <w:rPr>
                <w:rFonts w:hint="eastAsia"/>
                <w:b w:val="0"/>
                <w:bCs/>
                <w:kern w:val="0"/>
                <w:sz w:val="24"/>
              </w:rPr>
              <w:t>根据排水规划，本项目属于滨江污水处理厂收水范围，且根据调查，项目周边管网已经覆盖，因此该项目投产后，产生的废水经市政污水管网进入滨江污水处理厂可行。</w:t>
            </w:r>
          </w:p>
          <w:p w14:paraId="5DF85179">
            <w:pPr>
              <w:widowControl/>
              <w:spacing w:line="360" w:lineRule="auto"/>
              <w:ind w:firstLine="480" w:firstLineChars="200"/>
              <w:jc w:val="left"/>
              <w:rPr>
                <w:b w:val="0"/>
                <w:bCs/>
                <w:kern w:val="0"/>
                <w:sz w:val="24"/>
              </w:rPr>
            </w:pPr>
            <w:r>
              <w:rPr>
                <w:rFonts w:hint="eastAsia"/>
                <w:b w:val="0"/>
                <w:bCs/>
                <w:kern w:val="0"/>
                <w:sz w:val="24"/>
              </w:rPr>
              <w:t>由上可知，项目废水经处理后进入滨江污水处理厂是可行的，废水经污水处理厂处理后达到《城镇污水处理厂污染物排放标准》(GB18918-2002）表1中的一级A标准后，排入长江，对地表水长江影响较小。</w:t>
            </w:r>
          </w:p>
          <w:p w14:paraId="02378A53">
            <w:pPr>
              <w:keepNext/>
              <w:keepLines/>
              <w:pageBreakBefore w:val="0"/>
              <w:widowControl w:val="0"/>
              <w:kinsoku/>
              <w:wordWrap/>
              <w:overflowPunct/>
              <w:topLinePunct w:val="0"/>
              <w:autoSpaceDE/>
              <w:autoSpaceDN/>
              <w:bidi w:val="0"/>
              <w:adjustRightInd/>
              <w:snapToGrid/>
              <w:spacing w:beforeAutospacing="0" w:line="360" w:lineRule="auto"/>
              <w:ind w:firstLine="482" w:firstLineChars="200"/>
              <w:textAlignment w:val="auto"/>
              <w:outlineLvl w:val="9"/>
              <w:rPr>
                <w:rFonts w:hint="eastAsia"/>
                <w:b/>
                <w:bCs/>
                <w:sz w:val="24"/>
                <w:szCs w:val="32"/>
              </w:rPr>
            </w:pPr>
            <w:r>
              <w:rPr>
                <w:rFonts w:hint="eastAsia"/>
                <w:b/>
                <w:bCs/>
                <w:sz w:val="24"/>
                <w:szCs w:val="32"/>
                <w:lang w:val="en-US" w:eastAsia="zh-CN"/>
              </w:rPr>
              <w:t>3</w:t>
            </w:r>
            <w:r>
              <w:rPr>
                <w:rFonts w:hint="eastAsia"/>
                <w:b/>
                <w:bCs/>
                <w:sz w:val="24"/>
                <w:szCs w:val="32"/>
              </w:rPr>
              <w:t>、废水自行监测要求</w:t>
            </w:r>
          </w:p>
          <w:p w14:paraId="097DBD58">
            <w:pPr>
              <w:keepNext/>
              <w:keepLines/>
              <w:pageBreakBefore w:val="0"/>
              <w:widowControl w:val="0"/>
              <w:kinsoku/>
              <w:wordWrap/>
              <w:overflowPunct/>
              <w:topLinePunct w:val="0"/>
              <w:autoSpaceDE/>
              <w:autoSpaceDN/>
              <w:bidi w:val="0"/>
              <w:adjustRightInd/>
              <w:snapToGrid/>
              <w:spacing w:beforeAutospacing="0" w:line="360" w:lineRule="auto"/>
              <w:ind w:firstLine="480" w:firstLineChars="200"/>
              <w:textAlignment w:val="auto"/>
              <w:outlineLvl w:val="9"/>
              <w:rPr>
                <w:rFonts w:hint="eastAsia" w:ascii="Times New Roman" w:hAnsi="Times New Roman" w:eastAsia="宋体"/>
                <w:color w:val="000000"/>
                <w:sz w:val="24"/>
                <w:szCs w:val="32"/>
                <w:highlight w:val="none"/>
              </w:rPr>
            </w:pPr>
            <w:r>
              <w:rPr>
                <w:rFonts w:hint="eastAsia" w:ascii="Times New Roman" w:hAnsi="Times New Roman" w:eastAsia="宋体"/>
                <w:color w:val="000000"/>
                <w:kern w:val="0"/>
                <w:sz w:val="24"/>
                <w:highlight w:val="none"/>
                <w:lang w:bidi="ar"/>
              </w:rPr>
              <w:t xml:space="preserve">参照《排污单位自行监测技术指南 总则》（HJ 819-2017），《排污许可证申请与核发技术规范 </w:t>
            </w:r>
            <w:r>
              <w:rPr>
                <w:rFonts w:hint="eastAsia" w:ascii="Times New Roman" w:hAnsi="Times New Roman" w:eastAsia="宋体"/>
                <w:color w:val="000000"/>
                <w:kern w:val="0"/>
                <w:sz w:val="24"/>
                <w:highlight w:val="none"/>
                <w:lang w:val="en-US" w:eastAsia="zh-CN" w:bidi="ar"/>
              </w:rPr>
              <w:t>汽车制造业</w:t>
            </w:r>
            <w:r>
              <w:rPr>
                <w:rFonts w:hint="eastAsia" w:ascii="Times New Roman" w:hAnsi="Times New Roman" w:eastAsia="宋体"/>
                <w:color w:val="000000"/>
                <w:kern w:val="0"/>
                <w:sz w:val="24"/>
                <w:highlight w:val="none"/>
                <w:lang w:bidi="ar"/>
              </w:rPr>
              <w:t xml:space="preserve">》（HJ </w:t>
            </w:r>
            <w:r>
              <w:rPr>
                <w:rFonts w:hint="eastAsia" w:ascii="Times New Roman" w:hAnsi="Times New Roman" w:eastAsia="宋体"/>
                <w:color w:val="000000"/>
                <w:kern w:val="0"/>
                <w:sz w:val="24"/>
                <w:highlight w:val="none"/>
                <w:lang w:val="en-US" w:eastAsia="zh-CN" w:bidi="ar"/>
              </w:rPr>
              <w:t>971-2018</w:t>
            </w:r>
            <w:r>
              <w:rPr>
                <w:rFonts w:hint="eastAsia" w:ascii="Times New Roman" w:hAnsi="Times New Roman" w:eastAsia="宋体"/>
                <w:color w:val="000000"/>
                <w:kern w:val="0"/>
                <w:sz w:val="24"/>
                <w:highlight w:val="none"/>
                <w:lang w:bidi="ar"/>
              </w:rPr>
              <w:t>）</w:t>
            </w:r>
            <w:r>
              <w:rPr>
                <w:rFonts w:hint="eastAsia" w:ascii="Times New Roman" w:hAnsi="Times New Roman" w:eastAsia="宋体"/>
                <w:color w:val="000000"/>
                <w:kern w:val="21"/>
                <w:sz w:val="24"/>
                <w:highlight w:val="none"/>
              </w:rPr>
              <w:t>，</w:t>
            </w:r>
            <w:r>
              <w:rPr>
                <w:rFonts w:hint="eastAsia" w:ascii="Times New Roman" w:hAnsi="Times New Roman" w:eastAsia="宋体"/>
                <w:color w:val="000000"/>
                <w:sz w:val="24"/>
                <w:szCs w:val="32"/>
                <w:highlight w:val="none"/>
              </w:rPr>
              <w:t>单独排向市政污水处理厂的生活污水不要求开展自行监测。建设单位外排废水为生活污水，且接入到</w:t>
            </w:r>
            <w:r>
              <w:rPr>
                <w:rFonts w:hint="eastAsia" w:ascii="Times New Roman" w:hAnsi="Times New Roman" w:eastAsia="宋体"/>
                <w:color w:val="000000"/>
                <w:sz w:val="24"/>
                <w:szCs w:val="32"/>
                <w:highlight w:val="none"/>
                <w:lang w:val="en-US" w:eastAsia="zh-CN"/>
              </w:rPr>
              <w:t>滨江污水处理厂</w:t>
            </w:r>
            <w:r>
              <w:rPr>
                <w:rFonts w:hint="eastAsia" w:ascii="Times New Roman" w:hAnsi="Times New Roman" w:eastAsia="宋体"/>
                <w:color w:val="000000"/>
                <w:sz w:val="24"/>
                <w:szCs w:val="32"/>
                <w:highlight w:val="none"/>
              </w:rPr>
              <w:t>进行深度处理，因此无需进行废水的自行监测要求。</w:t>
            </w:r>
          </w:p>
          <w:p w14:paraId="1F107D0E">
            <w:pPr>
              <w:keepNext/>
              <w:keepLines/>
              <w:pageBreakBefore w:val="0"/>
              <w:widowControl w:val="0"/>
              <w:kinsoku/>
              <w:wordWrap/>
              <w:overflowPunct/>
              <w:topLinePunct w:val="0"/>
              <w:autoSpaceDE/>
              <w:autoSpaceDN/>
              <w:bidi w:val="0"/>
              <w:adjustRightInd/>
              <w:snapToGrid/>
              <w:spacing w:beforeAutospacing="0" w:line="360" w:lineRule="auto"/>
              <w:ind w:firstLine="482" w:firstLineChars="200"/>
              <w:textAlignment w:val="auto"/>
              <w:outlineLvl w:val="2"/>
              <w:rPr>
                <w:b/>
                <w:bCs/>
                <w:sz w:val="24"/>
                <w:szCs w:val="32"/>
              </w:rPr>
            </w:pPr>
            <w:r>
              <w:rPr>
                <w:rFonts w:hint="eastAsia"/>
                <w:b/>
                <w:bCs/>
                <w:sz w:val="24"/>
                <w:szCs w:val="32"/>
              </w:rPr>
              <w:t>三、噪声环境影响和保护措施</w:t>
            </w:r>
          </w:p>
          <w:p w14:paraId="090E00A9">
            <w:pPr>
              <w:keepNext/>
              <w:keepLines/>
              <w:spacing w:line="360" w:lineRule="auto"/>
              <w:ind w:firstLine="472" w:firstLineChars="196"/>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1、噪声源强</w:t>
            </w:r>
          </w:p>
          <w:p w14:paraId="7160F007">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建设项目噪声设备主要为生产设备、风机等机械噪声，单台噪声级7</w:t>
            </w:r>
            <w:r>
              <w:rPr>
                <w:rFonts w:ascii="Times New Roman" w:hAnsi="Times New Roman" w:eastAsia="宋体"/>
                <w:caps w:val="0"/>
                <w:color w:val="000000" w:themeColor="text1"/>
                <w:sz w:val="24"/>
                <w:szCs w:val="24"/>
                <w:highlight w:val="none"/>
                <w:lang w:val="de-DE"/>
                <w14:textFill>
                  <w14:solidFill>
                    <w14:schemeClr w14:val="tx1"/>
                  </w14:solidFill>
                </w14:textFill>
              </w:rPr>
              <w:t>5</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w:t>
            </w:r>
            <w:r>
              <w:rPr>
                <w:rFonts w:ascii="Times New Roman" w:hAnsi="Times New Roman" w:eastAsia="宋体"/>
                <w:caps w:val="0"/>
                <w:color w:val="000000" w:themeColor="text1"/>
                <w:sz w:val="24"/>
                <w:szCs w:val="24"/>
                <w:highlight w:val="none"/>
                <w:lang w:val="de-DE"/>
                <w14:textFill>
                  <w14:solidFill>
                    <w14:schemeClr w14:val="tx1"/>
                  </w14:solidFill>
                </w14:textFill>
              </w:rPr>
              <w:t>85</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，主要高噪声设备均安装在厂房内，通过设备减振、厂房隔声等处理，降噪量可达</w:t>
            </w:r>
            <w:r>
              <w:rPr>
                <w:rFonts w:hint="eastAsia" w:ascii="Times New Roman" w:hAnsi="Times New Roman" w:eastAsia="宋体"/>
                <w:caps w:val="0"/>
                <w:color w:val="000000" w:themeColor="text1"/>
                <w:sz w:val="24"/>
                <w:szCs w:val="24"/>
                <w:highlight w:val="none"/>
                <w14:textFill>
                  <w14:solidFill>
                    <w14:schemeClr w14:val="tx1"/>
                  </w14:solidFill>
                </w14:textFill>
              </w:rPr>
              <w:t>20</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dB（A）。</w:t>
            </w:r>
          </w:p>
          <w:p w14:paraId="5884F33E">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建设单位拟采取以下降噪措施：</w:t>
            </w:r>
          </w:p>
          <w:p w14:paraId="1A710796">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1）控制设备噪声</w:t>
            </w:r>
          </w:p>
          <w:p w14:paraId="4FE65084">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在设备选型时选用先进的低噪声设备，在满足工艺设计的前提下，尽量选用满足国际标准的低噪声、低振动型号的设备，降低噪声源强。</w:t>
            </w:r>
          </w:p>
          <w:p w14:paraId="17498E9B">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2）设备减振、隔声</w:t>
            </w:r>
          </w:p>
          <w:p w14:paraId="532D10E8">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在风机的进、出口处安装阻性消声器，并在机组与地基之间安置减震器，在风机与排气筒之间设置软连接，对风机采取配套的通风散热装置设置消声器，可降噪约10dB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左右；</w:t>
            </w:r>
          </w:p>
          <w:p w14:paraId="4CE36AD3">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3）加强建筑物隔声措施</w:t>
            </w:r>
          </w:p>
          <w:p w14:paraId="494FCA56">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项目设备均安置在室内，有效利用了建筑隔声，并采取隔声材料制作门窗、墙体等，防止噪声的扩散和传播，采取隔声措施，降噪量约</w:t>
            </w:r>
            <w:r>
              <w:rPr>
                <w:rFonts w:hint="eastAsia" w:ascii="Times New Roman" w:hAnsi="Times New Roman" w:eastAsia="宋体"/>
                <w:caps w:val="0"/>
                <w:color w:val="000000" w:themeColor="text1"/>
                <w:sz w:val="24"/>
                <w:szCs w:val="24"/>
                <w:highlight w:val="none"/>
                <w14:textFill>
                  <w14:solidFill>
                    <w14:schemeClr w14:val="tx1"/>
                  </w14:solidFill>
                </w14:textFill>
              </w:rPr>
              <w:t>10</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左右。</w:t>
            </w:r>
          </w:p>
          <w:p w14:paraId="768FF2E3">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4）强化生产管理</w:t>
            </w:r>
          </w:p>
          <w:p w14:paraId="5C9BEFBF">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确保降噪设施的有效运行，并加强对生产设备的保养、检修与润滑，保证设备处于良好的运转状态。</w:t>
            </w:r>
          </w:p>
          <w:p w14:paraId="0E245A85">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5）合理布局</w:t>
            </w:r>
          </w:p>
          <w:p w14:paraId="6B5EC124">
            <w:pPr>
              <w:pStyle w:val="17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项目将高噪声设备尽量布置在厂区中部，通过距离衰减减轻噪声对外环境的影响。</w:t>
            </w:r>
          </w:p>
          <w:p w14:paraId="42715EF6">
            <w:pPr>
              <w:autoSpaceDE w:val="0"/>
              <w:autoSpaceDN w:val="0"/>
              <w:adjustRightInd w:val="0"/>
              <w:spacing w:line="360" w:lineRule="auto"/>
              <w:ind w:firstLine="480" w:firstLineChars="200"/>
              <w:rPr>
                <w:rFonts w:ascii="Times New Roman" w:hAnsi="Times New Roman" w:eastAsia="宋体"/>
                <w:caps w:val="0"/>
                <w:color w:val="000000" w:themeColor="text1"/>
                <w:sz w:val="24"/>
                <w:highlight w:val="none"/>
                <w:lang w:val="de-DE"/>
                <w14:textFill>
                  <w14:solidFill>
                    <w14:schemeClr w14:val="tx1"/>
                  </w14:solidFill>
                </w14:textFill>
              </w:rPr>
            </w:pPr>
            <w:r>
              <w:rPr>
                <w:rFonts w:ascii="Times New Roman" w:hAnsi="Times New Roman" w:eastAsia="宋体"/>
                <w:caps w:val="0"/>
                <w:color w:val="000000" w:themeColor="text1"/>
                <w:sz w:val="24"/>
                <w:highlight w:val="none"/>
                <w:lang w:val="de-DE"/>
                <w14:textFill>
                  <w14:solidFill>
                    <w14:schemeClr w14:val="tx1"/>
                  </w14:solidFill>
                </w14:textFill>
              </w:rPr>
              <w:t>经过以上措施处理，降噪量达</w:t>
            </w:r>
            <w:r>
              <w:rPr>
                <w:rFonts w:hint="eastAsia" w:ascii="Times New Roman" w:hAnsi="Times New Roman" w:eastAsia="宋体"/>
                <w:caps w:val="0"/>
                <w:color w:val="000000" w:themeColor="text1"/>
                <w:sz w:val="24"/>
                <w:highlight w:val="none"/>
                <w14:textFill>
                  <w14:solidFill>
                    <w14:schemeClr w14:val="tx1"/>
                  </w14:solidFill>
                </w14:textFill>
              </w:rPr>
              <w:t>20</w:t>
            </w:r>
            <w:r>
              <w:rPr>
                <w:rFonts w:ascii="Times New Roman" w:hAnsi="Times New Roman" w:eastAsia="宋体"/>
                <w:caps w:val="0"/>
                <w:color w:val="000000" w:themeColor="text1"/>
                <w:sz w:val="24"/>
                <w:highlight w:val="none"/>
                <w:lang w:val="de-DE"/>
                <w14:textFill>
                  <w14:solidFill>
                    <w14:schemeClr w14:val="tx1"/>
                  </w14:solidFill>
                </w14:textFill>
              </w:rPr>
              <w:t>dB（A）。</w:t>
            </w:r>
          </w:p>
          <w:p w14:paraId="3D34FD39">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w:t>
            </w:r>
            <w:r>
              <w:rPr>
                <w:rFonts w:hint="eastAsia" w:ascii="Times New Roman" w:hAnsi="Times New Roman" w:eastAsia="宋体"/>
                <w:caps w:val="0"/>
                <w:color w:val="000000" w:themeColor="text1"/>
                <w:sz w:val="24"/>
                <w:highlight w:val="none"/>
                <w14:textFill>
                  <w14:solidFill>
                    <w14:schemeClr w14:val="tx1"/>
                  </w14:solidFill>
                </w14:textFill>
              </w:rPr>
              <w:t>项目</w:t>
            </w:r>
            <w:r>
              <w:rPr>
                <w:rFonts w:ascii="Times New Roman" w:hAnsi="Times New Roman" w:eastAsia="宋体"/>
                <w:caps w:val="0"/>
                <w:color w:val="000000" w:themeColor="text1"/>
                <w:sz w:val="24"/>
                <w:highlight w:val="none"/>
                <w14:textFill>
                  <w14:solidFill>
                    <w14:schemeClr w14:val="tx1"/>
                  </w14:solidFill>
                </w14:textFill>
              </w:rPr>
              <w:t>的主要设备噪声情况见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下表</w:t>
            </w:r>
            <w:r>
              <w:rPr>
                <w:rFonts w:ascii="Times New Roman" w:hAnsi="Times New Roman" w:eastAsia="宋体"/>
                <w:caps w:val="0"/>
                <w:color w:val="000000" w:themeColor="text1"/>
                <w:sz w:val="24"/>
                <w:highlight w:val="none"/>
                <w14:textFill>
                  <w14:solidFill>
                    <w14:schemeClr w14:val="tx1"/>
                  </w14:solidFill>
                </w14:textFill>
              </w:rPr>
              <w:t>。</w:t>
            </w:r>
          </w:p>
          <w:p w14:paraId="2AF46D07">
            <w:pPr>
              <w:widowControl/>
              <w:spacing w:line="360" w:lineRule="auto"/>
              <w:ind w:firstLine="480" w:firstLineChars="200"/>
              <w:jc w:val="left"/>
              <w:rPr>
                <w:sz w:val="24"/>
              </w:rPr>
            </w:pPr>
          </w:p>
          <w:p w14:paraId="79B9CA88">
            <w:pPr>
              <w:widowControl/>
              <w:spacing w:line="360" w:lineRule="auto"/>
              <w:ind w:firstLine="480" w:firstLineChars="200"/>
              <w:jc w:val="left"/>
              <w:rPr>
                <w:sz w:val="24"/>
              </w:rPr>
            </w:pPr>
          </w:p>
          <w:p w14:paraId="59BDF6AE">
            <w:pPr>
              <w:widowControl/>
              <w:spacing w:line="360" w:lineRule="auto"/>
              <w:ind w:firstLine="480" w:firstLineChars="200"/>
              <w:jc w:val="left"/>
              <w:rPr>
                <w:sz w:val="24"/>
              </w:rPr>
            </w:pPr>
          </w:p>
          <w:p w14:paraId="67AD687F">
            <w:pPr>
              <w:widowControl/>
              <w:spacing w:line="360" w:lineRule="auto"/>
              <w:ind w:firstLine="480" w:firstLineChars="200"/>
              <w:jc w:val="left"/>
              <w:rPr>
                <w:sz w:val="24"/>
              </w:rPr>
            </w:pPr>
          </w:p>
          <w:p w14:paraId="7E078287">
            <w:pPr>
              <w:widowControl/>
              <w:spacing w:line="360" w:lineRule="auto"/>
              <w:ind w:firstLine="480" w:firstLineChars="200"/>
              <w:jc w:val="left"/>
              <w:rPr>
                <w:sz w:val="24"/>
              </w:rPr>
            </w:pPr>
          </w:p>
          <w:p w14:paraId="7FAAA45A">
            <w:pPr>
              <w:widowControl/>
              <w:spacing w:line="360" w:lineRule="auto"/>
              <w:ind w:firstLine="480" w:firstLineChars="200"/>
              <w:jc w:val="left"/>
              <w:rPr>
                <w:sz w:val="24"/>
              </w:rPr>
            </w:pPr>
          </w:p>
        </w:tc>
      </w:tr>
    </w:tbl>
    <w:p w14:paraId="3A41AC5B">
      <w:pPr>
        <w:rPr>
          <w:rFonts w:cs="宋体"/>
          <w:sz w:val="24"/>
        </w:rPr>
        <w:sectPr>
          <w:footerReference r:id="rId6" w:type="default"/>
          <w:pgSz w:w="11907" w:h="16840"/>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tbl>
      <w:tblPr>
        <w:tblStyle w:val="60"/>
        <w:tblW w:w="139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3588"/>
      </w:tblGrid>
      <w:tr w14:paraId="6A7F9D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85" w:hRule="atLeast"/>
        </w:trPr>
        <w:tc>
          <w:tcPr>
            <w:tcW w:w="392" w:type="dxa"/>
          </w:tcPr>
          <w:p w14:paraId="45161163">
            <w:pPr>
              <w:pStyle w:val="54"/>
              <w:tabs>
                <w:tab w:val="left" w:pos="570"/>
                <w:tab w:val="center" w:pos="4422"/>
              </w:tabs>
              <w:spacing w:before="0" w:beforeAutospacing="0" w:after="0" w:afterAutospacing="0"/>
              <w:outlineLvl w:val="0"/>
              <w:rPr>
                <w:rFonts w:ascii="Times New Roman" w:hAnsi="Times New Roman"/>
                <w:b/>
                <w:snapToGrid w:val="0"/>
                <w:sz w:val="30"/>
                <w:szCs w:val="30"/>
              </w:rPr>
            </w:pPr>
            <w:r>
              <w:rPr>
                <w:rFonts w:ascii="Times New Roman" w:hAnsi="Times New Roman"/>
                <w:b/>
                <w:snapToGrid w:val="0"/>
                <w:sz w:val="30"/>
                <w:szCs w:val="30"/>
              </w:rPr>
              <w:tab/>
            </w:r>
          </w:p>
        </w:tc>
        <w:tc>
          <w:tcPr>
            <w:tcW w:w="13588" w:type="dxa"/>
          </w:tcPr>
          <w:p w14:paraId="713926D1">
            <w:pPr>
              <w:pStyle w:val="54"/>
              <w:tabs>
                <w:tab w:val="left" w:pos="3450"/>
                <w:tab w:val="center" w:pos="4422"/>
              </w:tabs>
              <w:spacing w:before="0" w:beforeAutospacing="0" w:after="0" w:afterAutospacing="0"/>
              <w:jc w:val="center"/>
              <w:outlineLvl w:val="0"/>
              <w:rPr>
                <w:b/>
              </w:rPr>
            </w:pPr>
            <w:r>
              <w:rPr>
                <w:rFonts w:ascii="Times New Roman" w:hAnsi="Times New Roman"/>
                <w:b/>
              </w:rPr>
              <w:t>表4-8  项</w:t>
            </w:r>
            <w:r>
              <w:rPr>
                <w:b/>
              </w:rPr>
              <w:t>目营运期主要噪声源源强调查清单</w:t>
            </w:r>
          </w:p>
          <w:tbl>
            <w:tblPr>
              <w:tblStyle w:val="59"/>
              <w:tblW w:w="1346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11"/>
              <w:gridCol w:w="1033"/>
              <w:gridCol w:w="534"/>
              <w:gridCol w:w="966"/>
              <w:gridCol w:w="410"/>
              <w:gridCol w:w="400"/>
              <w:gridCol w:w="383"/>
              <w:gridCol w:w="433"/>
              <w:gridCol w:w="450"/>
              <w:gridCol w:w="400"/>
              <w:gridCol w:w="384"/>
              <w:gridCol w:w="383"/>
              <w:gridCol w:w="467"/>
              <w:gridCol w:w="466"/>
              <w:gridCol w:w="534"/>
              <w:gridCol w:w="666"/>
              <w:gridCol w:w="400"/>
              <w:gridCol w:w="567"/>
              <w:gridCol w:w="467"/>
              <w:gridCol w:w="477"/>
              <w:gridCol w:w="417"/>
              <w:gridCol w:w="417"/>
              <w:gridCol w:w="418"/>
              <w:gridCol w:w="418"/>
              <w:gridCol w:w="716"/>
            </w:tblGrid>
            <w:tr w14:paraId="15E92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exact"/>
              </w:trPr>
              <w:tc>
                <w:tcPr>
                  <w:tcW w:w="165" w:type="pct"/>
                  <w:vMerge w:val="restart"/>
                  <w:noWrap w:val="0"/>
                  <w:vAlign w:val="center"/>
                </w:tcPr>
                <w:p w14:paraId="798499E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301" w:type="pct"/>
                  <w:vMerge w:val="restart"/>
                  <w:noWrap w:val="0"/>
                  <w:vAlign w:val="center"/>
                </w:tcPr>
                <w:p w14:paraId="478A829F">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建筑物名称</w:t>
                  </w:r>
                </w:p>
              </w:tc>
              <w:tc>
                <w:tcPr>
                  <w:tcW w:w="383" w:type="pct"/>
                  <w:vMerge w:val="restart"/>
                  <w:noWrap w:val="0"/>
                  <w:vAlign w:val="center"/>
                </w:tcPr>
                <w:p w14:paraId="4C084A83">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声源名称</w:t>
                  </w:r>
                </w:p>
              </w:tc>
              <w:tc>
                <w:tcPr>
                  <w:tcW w:w="198" w:type="pct"/>
                  <w:vMerge w:val="restart"/>
                  <w:noWrap w:val="0"/>
                  <w:vAlign w:val="center"/>
                </w:tcPr>
                <w:p w14:paraId="34D9B2DA">
                  <w:pPr>
                    <w:keepNext w:val="0"/>
                    <w:keepLines w:val="0"/>
                    <w:pageBreakBefore w:val="0"/>
                    <w:widowControl w:val="0"/>
                    <w:kinsoku/>
                    <w:wordWrap/>
                    <w:overflowPunct/>
                    <w:topLinePunct w:val="0"/>
                    <w:bidi w:val="0"/>
                    <w:adjustRightInd/>
                    <w:snapToGrid/>
                    <w:jc w:val="center"/>
                    <w:textAlignment w:val="auto"/>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型号</w:t>
                  </w:r>
                </w:p>
              </w:tc>
              <w:tc>
                <w:tcPr>
                  <w:tcW w:w="358" w:type="pct"/>
                  <w:noWrap w:val="0"/>
                  <w:vAlign w:val="center"/>
                </w:tcPr>
                <w:p w14:paraId="2D29D69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声源源强</w:t>
                  </w:r>
                </w:p>
              </w:tc>
              <w:tc>
                <w:tcPr>
                  <w:tcW w:w="443" w:type="pct"/>
                  <w:gridSpan w:val="3"/>
                  <w:noWrap w:val="0"/>
                  <w:vAlign w:val="center"/>
                </w:tcPr>
                <w:p w14:paraId="5C81D983">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空间相对位置/m</w:t>
                  </w:r>
                </w:p>
              </w:tc>
              <w:tc>
                <w:tcPr>
                  <w:tcW w:w="619" w:type="pct"/>
                  <w:gridSpan w:val="4"/>
                  <w:noWrap w:val="0"/>
                  <w:vAlign w:val="center"/>
                </w:tcPr>
                <w:p w14:paraId="77D12456">
                  <w:pPr>
                    <w:shd w:val="clear" w:color="auto" w:fill="auto"/>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距室内边界距离/m</w:t>
                  </w:r>
                </w:p>
              </w:tc>
              <w:tc>
                <w:tcPr>
                  <w:tcW w:w="687" w:type="pct"/>
                  <w:gridSpan w:val="4"/>
                  <w:noWrap w:val="0"/>
                  <w:vAlign w:val="center"/>
                </w:tcPr>
                <w:p w14:paraId="00296552">
                  <w:pPr>
                    <w:shd w:val="clear" w:color="auto" w:fill="auto"/>
                    <w:jc w:val="center"/>
                    <w:rPr>
                      <w:rFonts w:hint="eastAsia" w:ascii="Times New Roman" w:hAnsi="Times New Roman" w:eastAsia="宋体"/>
                      <w:b/>
                      <w:caps w:val="0"/>
                      <w:color w:val="000000" w:themeColor="text1"/>
                      <w:szCs w:val="21"/>
                      <w:highlight w:val="none"/>
                      <w:lang w:eastAsia="zh-CN"/>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室内边界声级/dB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p>
              </w:tc>
              <w:tc>
                <w:tcPr>
                  <w:tcW w:w="247" w:type="pct"/>
                  <w:vMerge w:val="restart"/>
                  <w:noWrap w:val="0"/>
                  <w:vAlign w:val="center"/>
                </w:tcPr>
                <w:p w14:paraId="32F2392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运行时段</w:t>
                  </w:r>
                </w:p>
              </w:tc>
              <w:tc>
                <w:tcPr>
                  <w:tcW w:w="709" w:type="pct"/>
                  <w:gridSpan w:val="4"/>
                  <w:noWrap w:val="0"/>
                  <w:vAlign w:val="center"/>
                </w:tcPr>
                <w:p w14:paraId="7FE536CB">
                  <w:pPr>
                    <w:shd w:val="clear" w:color="auto" w:fill="auto"/>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建筑物插入损失 / 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（门窗面积m2）</w:t>
                  </w:r>
                </w:p>
              </w:tc>
              <w:tc>
                <w:tcPr>
                  <w:tcW w:w="886" w:type="pct"/>
                  <w:gridSpan w:val="5"/>
                  <w:noWrap w:val="0"/>
                  <w:vAlign w:val="center"/>
                </w:tcPr>
                <w:p w14:paraId="02CB6619">
                  <w:pPr>
                    <w:shd w:val="clear" w:color="auto" w:fill="auto"/>
                    <w:jc w:val="center"/>
                    <w:rPr>
                      <w:rFonts w:hint="eastAsia" w:ascii="Times New Roman" w:hAnsi="Times New Roman" w:eastAsia="宋体"/>
                      <w:b/>
                      <w:caps w:val="0"/>
                      <w:color w:val="000000" w:themeColor="text1"/>
                      <w:szCs w:val="21"/>
                      <w:highlight w:val="none"/>
                      <w:lang w:eastAsia="zh-CN"/>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建筑物外噪声声压级/dB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p>
              </w:tc>
            </w:tr>
            <w:tr w14:paraId="685C0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0" w:hRule="atLeast"/>
              </w:trPr>
              <w:tc>
                <w:tcPr>
                  <w:tcW w:w="165" w:type="pct"/>
                  <w:vMerge w:val="continue"/>
                  <w:shd w:val="clear" w:color="auto" w:fill="FFFFFF"/>
                  <w:noWrap w:val="0"/>
                  <w:tcMar>
                    <w:top w:w="0" w:type="dxa"/>
                    <w:left w:w="0" w:type="dxa"/>
                    <w:bottom w:w="0" w:type="dxa"/>
                    <w:right w:w="0" w:type="dxa"/>
                  </w:tcMar>
                  <w:vAlign w:val="center"/>
                </w:tcPr>
                <w:p w14:paraId="6F13F6F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01" w:type="pct"/>
                  <w:vMerge w:val="continue"/>
                  <w:shd w:val="clear" w:color="auto" w:fill="FFFFFF"/>
                  <w:noWrap w:val="0"/>
                  <w:tcMar>
                    <w:top w:w="0" w:type="dxa"/>
                    <w:left w:w="0" w:type="dxa"/>
                    <w:bottom w:w="0" w:type="dxa"/>
                    <w:right w:w="0" w:type="dxa"/>
                  </w:tcMar>
                  <w:vAlign w:val="center"/>
                </w:tcPr>
                <w:p w14:paraId="3A3B143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83" w:type="pct"/>
                  <w:vMerge w:val="continue"/>
                  <w:shd w:val="clear" w:color="auto" w:fill="FFFFFF"/>
                  <w:noWrap w:val="0"/>
                  <w:tcMar>
                    <w:top w:w="0" w:type="dxa"/>
                    <w:left w:w="0" w:type="dxa"/>
                    <w:bottom w:w="0" w:type="dxa"/>
                    <w:right w:w="0" w:type="dxa"/>
                  </w:tcMar>
                  <w:vAlign w:val="center"/>
                </w:tcPr>
                <w:p w14:paraId="7163ABF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98" w:type="pct"/>
                  <w:vMerge w:val="continue"/>
                  <w:shd w:val="clear" w:color="auto" w:fill="FFFFFF"/>
                  <w:noWrap w:val="0"/>
                  <w:tcMar>
                    <w:top w:w="0" w:type="dxa"/>
                    <w:left w:w="0" w:type="dxa"/>
                    <w:bottom w:w="0" w:type="dxa"/>
                    <w:right w:w="0" w:type="dxa"/>
                  </w:tcMar>
                  <w:vAlign w:val="center"/>
                </w:tcPr>
                <w:p w14:paraId="002FB0A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58" w:type="pct"/>
                  <w:shd w:val="clear" w:color="auto" w:fill="FFFFFF"/>
                  <w:noWrap w:val="0"/>
                  <w:tcMar>
                    <w:top w:w="0" w:type="dxa"/>
                    <w:left w:w="0" w:type="dxa"/>
                    <w:bottom w:w="0" w:type="dxa"/>
                    <w:right w:w="0" w:type="dxa"/>
                  </w:tcMar>
                  <w:vAlign w:val="center"/>
                </w:tcPr>
                <w:p w14:paraId="0E161B61">
                  <w:pPr>
                    <w:shd w:val="clear" w:color="auto" w:fill="auto"/>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声功率级/dB</w:t>
                  </w:r>
                  <w:r>
                    <w:rPr>
                      <w:rFonts w:hint="eastAsia"/>
                      <w:caps w:val="0"/>
                      <w:color w:val="000000" w:themeColor="text1"/>
                      <w:szCs w:val="21"/>
                      <w:highlight w:val="none"/>
                      <w:lang w:eastAsia="zh-CN"/>
                      <w14:textFill>
                        <w14:solidFill>
                          <w14:schemeClr w14:val="tx1"/>
                        </w14:solidFill>
                      </w14:textFill>
                    </w:rPr>
                    <w:t>（</w:t>
                  </w:r>
                  <w:r>
                    <w:rPr>
                      <w:rFonts w:ascii="Times New Roman" w:hAnsi="Times New Roman" w:eastAsia="宋体"/>
                      <w:caps w:val="0"/>
                      <w:color w:val="000000" w:themeColor="text1"/>
                      <w:szCs w:val="21"/>
                      <w:highlight w:val="none"/>
                      <w14:textFill>
                        <w14:solidFill>
                          <w14:schemeClr w14:val="tx1"/>
                        </w14:solidFill>
                      </w14:textFill>
                    </w:rPr>
                    <w:t>A</w:t>
                  </w:r>
                  <w:r>
                    <w:rPr>
                      <w:rFonts w:hint="eastAsia"/>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71F528C7">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X</w:t>
                  </w:r>
                </w:p>
              </w:tc>
              <w:tc>
                <w:tcPr>
                  <w:tcW w:w="148" w:type="pct"/>
                  <w:shd w:val="clear" w:color="auto" w:fill="FFFFFF"/>
                  <w:noWrap w:val="0"/>
                  <w:tcMar>
                    <w:top w:w="0" w:type="dxa"/>
                    <w:left w:w="0" w:type="dxa"/>
                    <w:bottom w:w="0" w:type="dxa"/>
                    <w:right w:w="0" w:type="dxa"/>
                  </w:tcMar>
                  <w:vAlign w:val="center"/>
                </w:tcPr>
                <w:p w14:paraId="3E37D81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Y</w:t>
                  </w:r>
                </w:p>
              </w:tc>
              <w:tc>
                <w:tcPr>
                  <w:tcW w:w="142" w:type="pct"/>
                  <w:shd w:val="clear" w:color="auto" w:fill="FFFFFF"/>
                  <w:noWrap w:val="0"/>
                  <w:tcMar>
                    <w:top w:w="0" w:type="dxa"/>
                    <w:left w:w="0" w:type="dxa"/>
                    <w:bottom w:w="0" w:type="dxa"/>
                    <w:right w:w="0" w:type="dxa"/>
                  </w:tcMar>
                  <w:vAlign w:val="center"/>
                </w:tcPr>
                <w:p w14:paraId="0C27A1E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Z</w:t>
                  </w:r>
                </w:p>
              </w:tc>
              <w:tc>
                <w:tcPr>
                  <w:tcW w:w="160" w:type="pct"/>
                  <w:shd w:val="clear" w:color="auto" w:fill="FFFFFF"/>
                  <w:noWrap w:val="0"/>
                  <w:tcMar>
                    <w:top w:w="0" w:type="dxa"/>
                    <w:left w:w="0" w:type="dxa"/>
                    <w:bottom w:w="0" w:type="dxa"/>
                    <w:right w:w="0" w:type="dxa"/>
                  </w:tcMar>
                  <w:vAlign w:val="center"/>
                </w:tcPr>
                <w:p w14:paraId="7AC22CB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67" w:type="pct"/>
                  <w:shd w:val="clear" w:color="auto" w:fill="FFFFFF"/>
                  <w:noWrap w:val="0"/>
                  <w:tcMar>
                    <w:top w:w="0" w:type="dxa"/>
                    <w:left w:w="0" w:type="dxa"/>
                    <w:bottom w:w="0" w:type="dxa"/>
                    <w:right w:w="0" w:type="dxa"/>
                  </w:tcMar>
                  <w:vAlign w:val="center"/>
                </w:tcPr>
                <w:p w14:paraId="4CC1A716">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48" w:type="pct"/>
                  <w:shd w:val="clear" w:color="auto" w:fill="FFFFFF"/>
                  <w:noWrap w:val="0"/>
                  <w:tcMar>
                    <w:top w:w="0" w:type="dxa"/>
                    <w:left w:w="0" w:type="dxa"/>
                    <w:bottom w:w="0" w:type="dxa"/>
                    <w:right w:w="0" w:type="dxa"/>
                  </w:tcMar>
                  <w:vAlign w:val="center"/>
                </w:tcPr>
                <w:p w14:paraId="032A232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42" w:type="pct"/>
                  <w:shd w:val="clear" w:color="auto" w:fill="FFFFFF"/>
                  <w:noWrap w:val="0"/>
                  <w:tcMar>
                    <w:top w:w="0" w:type="dxa"/>
                    <w:left w:w="0" w:type="dxa"/>
                    <w:bottom w:w="0" w:type="dxa"/>
                    <w:right w:w="0" w:type="dxa"/>
                  </w:tcMar>
                  <w:vAlign w:val="center"/>
                </w:tcPr>
                <w:p w14:paraId="37781A4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142" w:type="pct"/>
                  <w:shd w:val="clear" w:color="auto" w:fill="FFFFFF"/>
                  <w:noWrap w:val="0"/>
                  <w:tcMar>
                    <w:top w:w="0" w:type="dxa"/>
                    <w:left w:w="0" w:type="dxa"/>
                    <w:bottom w:w="0" w:type="dxa"/>
                    <w:right w:w="0" w:type="dxa"/>
                  </w:tcMar>
                  <w:vAlign w:val="center"/>
                </w:tcPr>
                <w:p w14:paraId="32CE6D28">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73" w:type="pct"/>
                  <w:shd w:val="clear" w:color="auto" w:fill="FFFFFF"/>
                  <w:noWrap w:val="0"/>
                  <w:tcMar>
                    <w:top w:w="0" w:type="dxa"/>
                    <w:left w:w="0" w:type="dxa"/>
                    <w:bottom w:w="0" w:type="dxa"/>
                    <w:right w:w="0" w:type="dxa"/>
                  </w:tcMar>
                  <w:vAlign w:val="center"/>
                </w:tcPr>
                <w:p w14:paraId="4119277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73" w:type="pct"/>
                  <w:shd w:val="clear" w:color="auto" w:fill="FFFFFF"/>
                  <w:noWrap w:val="0"/>
                  <w:tcMar>
                    <w:top w:w="0" w:type="dxa"/>
                    <w:left w:w="0" w:type="dxa"/>
                    <w:bottom w:w="0" w:type="dxa"/>
                    <w:right w:w="0" w:type="dxa"/>
                  </w:tcMar>
                  <w:vAlign w:val="center"/>
                </w:tcPr>
                <w:p w14:paraId="2FB8EB3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98" w:type="pct"/>
                  <w:shd w:val="clear" w:color="auto" w:fill="FFFFFF"/>
                  <w:noWrap w:val="0"/>
                  <w:tcMar>
                    <w:top w:w="0" w:type="dxa"/>
                    <w:left w:w="0" w:type="dxa"/>
                    <w:bottom w:w="0" w:type="dxa"/>
                    <w:right w:w="0" w:type="dxa"/>
                  </w:tcMar>
                  <w:vAlign w:val="center"/>
                </w:tcPr>
                <w:p w14:paraId="4BECB6A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247" w:type="pct"/>
                  <w:vMerge w:val="continue"/>
                  <w:shd w:val="clear" w:color="auto" w:fill="FFFFFF"/>
                  <w:noWrap w:val="0"/>
                  <w:tcMar>
                    <w:top w:w="0" w:type="dxa"/>
                    <w:left w:w="0" w:type="dxa"/>
                    <w:bottom w:w="0" w:type="dxa"/>
                    <w:right w:w="0" w:type="dxa"/>
                  </w:tcMar>
                  <w:vAlign w:val="center"/>
                </w:tcPr>
                <w:p w14:paraId="4DA8407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583C735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210" w:type="pct"/>
                  <w:shd w:val="clear" w:color="auto" w:fill="FFFFFF"/>
                  <w:noWrap w:val="0"/>
                  <w:tcMar>
                    <w:top w:w="0" w:type="dxa"/>
                    <w:left w:w="0" w:type="dxa"/>
                    <w:bottom w:w="0" w:type="dxa"/>
                    <w:right w:w="0" w:type="dxa"/>
                  </w:tcMar>
                  <w:vAlign w:val="center"/>
                </w:tcPr>
                <w:p w14:paraId="6ADF14B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73" w:type="pct"/>
                  <w:shd w:val="clear" w:color="auto" w:fill="FFFFFF"/>
                  <w:noWrap w:val="0"/>
                  <w:tcMar>
                    <w:top w:w="0" w:type="dxa"/>
                    <w:left w:w="0" w:type="dxa"/>
                    <w:bottom w:w="0" w:type="dxa"/>
                    <w:right w:w="0" w:type="dxa"/>
                  </w:tcMar>
                  <w:vAlign w:val="center"/>
                </w:tcPr>
                <w:p w14:paraId="4BFC925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77" w:type="pct"/>
                  <w:shd w:val="clear" w:color="auto" w:fill="FFFFFF"/>
                  <w:noWrap w:val="0"/>
                  <w:tcMar>
                    <w:top w:w="0" w:type="dxa"/>
                    <w:left w:w="0" w:type="dxa"/>
                    <w:bottom w:w="0" w:type="dxa"/>
                    <w:right w:w="0" w:type="dxa"/>
                  </w:tcMar>
                  <w:vAlign w:val="center"/>
                </w:tcPr>
                <w:p w14:paraId="056B691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154" w:type="pct"/>
                  <w:shd w:val="clear" w:color="auto" w:fill="FFFFFF"/>
                  <w:noWrap w:val="0"/>
                  <w:tcMar>
                    <w:top w:w="0" w:type="dxa"/>
                    <w:left w:w="0" w:type="dxa"/>
                    <w:bottom w:w="0" w:type="dxa"/>
                    <w:right w:w="0" w:type="dxa"/>
                  </w:tcMar>
                  <w:vAlign w:val="center"/>
                </w:tcPr>
                <w:p w14:paraId="31D25B2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54" w:type="pct"/>
                  <w:shd w:val="clear" w:color="auto" w:fill="FFFFFF"/>
                  <w:noWrap w:val="0"/>
                  <w:tcMar>
                    <w:top w:w="0" w:type="dxa"/>
                    <w:left w:w="0" w:type="dxa"/>
                    <w:bottom w:w="0" w:type="dxa"/>
                    <w:right w:w="0" w:type="dxa"/>
                  </w:tcMar>
                  <w:vAlign w:val="center"/>
                </w:tcPr>
                <w:p w14:paraId="28967FB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55" w:type="pct"/>
                  <w:shd w:val="clear" w:color="auto" w:fill="FFFFFF"/>
                  <w:noWrap w:val="0"/>
                  <w:tcMar>
                    <w:top w:w="0" w:type="dxa"/>
                    <w:left w:w="0" w:type="dxa"/>
                    <w:bottom w:w="0" w:type="dxa"/>
                    <w:right w:w="0" w:type="dxa"/>
                  </w:tcMar>
                  <w:vAlign w:val="center"/>
                </w:tcPr>
                <w:p w14:paraId="4CA1DED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55" w:type="pct"/>
                  <w:shd w:val="clear" w:color="auto" w:fill="FFFFFF"/>
                  <w:noWrap w:val="0"/>
                  <w:tcMar>
                    <w:top w:w="0" w:type="dxa"/>
                    <w:left w:w="0" w:type="dxa"/>
                    <w:bottom w:w="0" w:type="dxa"/>
                    <w:right w:w="0" w:type="dxa"/>
                  </w:tcMar>
                  <w:vAlign w:val="center"/>
                </w:tcPr>
                <w:p w14:paraId="2429873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265" w:type="pct"/>
                  <w:shd w:val="clear" w:color="auto" w:fill="FFFFFF"/>
                  <w:noWrap w:val="0"/>
                  <w:tcMar>
                    <w:top w:w="0" w:type="dxa"/>
                    <w:left w:w="0" w:type="dxa"/>
                    <w:bottom w:w="0" w:type="dxa"/>
                    <w:right w:w="0" w:type="dxa"/>
                  </w:tcMar>
                  <w:vAlign w:val="center"/>
                </w:tcPr>
                <w:p w14:paraId="3F34B12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建筑物外距离</w:t>
                  </w:r>
                </w:p>
              </w:tc>
            </w:tr>
            <w:tr w14:paraId="1DC90C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203" w:hRule="atLeast"/>
              </w:trPr>
              <w:tc>
                <w:tcPr>
                  <w:tcW w:w="165" w:type="pct"/>
                  <w:shd w:val="clear" w:color="auto" w:fill="FFFFFF"/>
                  <w:noWrap w:val="0"/>
                  <w:tcMar>
                    <w:top w:w="0" w:type="dxa"/>
                    <w:left w:w="0" w:type="dxa"/>
                    <w:bottom w:w="0" w:type="dxa"/>
                    <w:right w:w="0" w:type="dxa"/>
                  </w:tcMar>
                  <w:vAlign w:val="center"/>
                </w:tcPr>
                <w:p w14:paraId="5708433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301" w:type="pct"/>
                  <w:vMerge w:val="restart"/>
                  <w:shd w:val="clear" w:color="auto" w:fill="FFFFFF"/>
                  <w:noWrap w:val="0"/>
                  <w:tcMar>
                    <w:top w:w="0" w:type="dxa"/>
                    <w:left w:w="0" w:type="dxa"/>
                    <w:bottom w:w="0" w:type="dxa"/>
                    <w:right w:w="0" w:type="dxa"/>
                  </w:tcMar>
                  <w:vAlign w:val="center"/>
                </w:tcPr>
                <w:p w14:paraId="477D085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生产厂房</w:t>
                  </w:r>
                </w:p>
              </w:tc>
              <w:tc>
                <w:tcPr>
                  <w:tcW w:w="383" w:type="pct"/>
                  <w:shd w:val="clear" w:color="auto" w:fill="FFFFFF"/>
                  <w:noWrap w:val="0"/>
                  <w:tcMar>
                    <w:top w:w="0" w:type="dxa"/>
                    <w:left w:w="0" w:type="dxa"/>
                    <w:bottom w:w="0" w:type="dxa"/>
                    <w:right w:w="0" w:type="dxa"/>
                  </w:tcMar>
                  <w:vAlign w:val="center"/>
                </w:tcPr>
                <w:p w14:paraId="7D79ADF7">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点焊机器人97台（按点声源组预测）</w:t>
                  </w:r>
                </w:p>
              </w:tc>
              <w:tc>
                <w:tcPr>
                  <w:tcW w:w="198" w:type="pct"/>
                  <w:shd w:val="clear" w:color="auto" w:fill="FFFFFF"/>
                  <w:noWrap w:val="0"/>
                  <w:tcMar>
                    <w:top w:w="0" w:type="dxa"/>
                    <w:left w:w="0" w:type="dxa"/>
                    <w:bottom w:w="0" w:type="dxa"/>
                    <w:right w:w="0" w:type="dxa"/>
                  </w:tcMar>
                  <w:vAlign w:val="center"/>
                </w:tcPr>
                <w:p w14:paraId="116C522E">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08B35902">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87.8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24DC31E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22</w:t>
                  </w:r>
                </w:p>
              </w:tc>
              <w:tc>
                <w:tcPr>
                  <w:tcW w:w="148" w:type="pct"/>
                  <w:shd w:val="clear" w:color="auto" w:fill="FFFFFF"/>
                  <w:noWrap w:val="0"/>
                  <w:tcMar>
                    <w:top w:w="0" w:type="dxa"/>
                    <w:left w:w="0" w:type="dxa"/>
                    <w:bottom w:w="0" w:type="dxa"/>
                    <w:right w:w="0" w:type="dxa"/>
                  </w:tcMar>
                  <w:vAlign w:val="center"/>
                </w:tcPr>
                <w:p w14:paraId="7379660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46</w:t>
                  </w:r>
                </w:p>
              </w:tc>
              <w:tc>
                <w:tcPr>
                  <w:tcW w:w="142" w:type="pct"/>
                  <w:shd w:val="clear" w:color="auto" w:fill="FFFFFF"/>
                  <w:noWrap w:val="0"/>
                  <w:tcMar>
                    <w:top w:w="0" w:type="dxa"/>
                    <w:left w:w="0" w:type="dxa"/>
                    <w:bottom w:w="0" w:type="dxa"/>
                    <w:right w:w="0" w:type="dxa"/>
                  </w:tcMar>
                  <w:vAlign w:val="center"/>
                </w:tcPr>
                <w:p w14:paraId="19D2A03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4F301CE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41</w:t>
                  </w:r>
                </w:p>
              </w:tc>
              <w:tc>
                <w:tcPr>
                  <w:tcW w:w="167" w:type="pct"/>
                  <w:shd w:val="clear" w:color="auto" w:fill="FFFFFF"/>
                  <w:noWrap w:val="0"/>
                  <w:tcMar>
                    <w:top w:w="0" w:type="dxa"/>
                    <w:left w:w="0" w:type="dxa"/>
                    <w:bottom w:w="0" w:type="dxa"/>
                    <w:right w:w="0" w:type="dxa"/>
                  </w:tcMar>
                  <w:vAlign w:val="center"/>
                </w:tcPr>
                <w:p w14:paraId="139BA03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192</w:t>
                  </w:r>
                </w:p>
              </w:tc>
              <w:tc>
                <w:tcPr>
                  <w:tcW w:w="148" w:type="pct"/>
                  <w:shd w:val="clear" w:color="auto" w:fill="FFFFFF"/>
                  <w:noWrap w:val="0"/>
                  <w:tcMar>
                    <w:top w:w="0" w:type="dxa"/>
                    <w:left w:w="0" w:type="dxa"/>
                    <w:bottom w:w="0" w:type="dxa"/>
                    <w:right w:w="0" w:type="dxa"/>
                  </w:tcMar>
                  <w:vAlign w:val="center"/>
                </w:tcPr>
                <w:p w14:paraId="53CC18E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85</w:t>
                  </w:r>
                </w:p>
              </w:tc>
              <w:tc>
                <w:tcPr>
                  <w:tcW w:w="142" w:type="pct"/>
                  <w:shd w:val="clear" w:color="auto" w:fill="FFFFFF"/>
                  <w:noWrap w:val="0"/>
                  <w:tcMar>
                    <w:top w:w="0" w:type="dxa"/>
                    <w:left w:w="0" w:type="dxa"/>
                    <w:bottom w:w="0" w:type="dxa"/>
                    <w:right w:w="0" w:type="dxa"/>
                  </w:tcMar>
                  <w:vAlign w:val="center"/>
                </w:tcPr>
                <w:p w14:paraId="3046F5A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100</w:t>
                  </w:r>
                </w:p>
              </w:tc>
              <w:tc>
                <w:tcPr>
                  <w:tcW w:w="142" w:type="pct"/>
                  <w:shd w:val="clear" w:color="auto" w:fill="FFFFFF"/>
                  <w:noWrap w:val="0"/>
                  <w:tcMar>
                    <w:top w:w="0" w:type="dxa"/>
                    <w:left w:w="0" w:type="dxa"/>
                    <w:bottom w:w="0" w:type="dxa"/>
                    <w:right w:w="0" w:type="dxa"/>
                  </w:tcMar>
                  <w:vAlign w:val="center"/>
                </w:tcPr>
                <w:p w14:paraId="62A95746">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67.6</w:t>
                  </w:r>
                </w:p>
              </w:tc>
              <w:tc>
                <w:tcPr>
                  <w:tcW w:w="173" w:type="pct"/>
                  <w:shd w:val="clear" w:color="auto" w:fill="FFFFFF"/>
                  <w:noWrap w:val="0"/>
                  <w:tcMar>
                    <w:top w:w="0" w:type="dxa"/>
                    <w:left w:w="0" w:type="dxa"/>
                    <w:bottom w:w="0" w:type="dxa"/>
                    <w:right w:w="0" w:type="dxa"/>
                  </w:tcMar>
                  <w:vAlign w:val="center"/>
                </w:tcPr>
                <w:p w14:paraId="0321F924">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54.2</w:t>
                  </w:r>
                </w:p>
              </w:tc>
              <w:tc>
                <w:tcPr>
                  <w:tcW w:w="173" w:type="pct"/>
                  <w:shd w:val="clear" w:color="auto" w:fill="FFFFFF"/>
                  <w:noWrap w:val="0"/>
                  <w:tcMar>
                    <w:top w:w="0" w:type="dxa"/>
                    <w:left w:w="0" w:type="dxa"/>
                    <w:bottom w:w="0" w:type="dxa"/>
                    <w:right w:w="0" w:type="dxa"/>
                  </w:tcMar>
                  <w:vAlign w:val="center"/>
                </w:tcPr>
                <w:p w14:paraId="0495C57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61.3</w:t>
                  </w:r>
                </w:p>
              </w:tc>
              <w:tc>
                <w:tcPr>
                  <w:tcW w:w="198" w:type="pct"/>
                  <w:shd w:val="clear" w:color="auto" w:fill="FFFFFF"/>
                  <w:noWrap w:val="0"/>
                  <w:tcMar>
                    <w:top w:w="0" w:type="dxa"/>
                    <w:left w:w="0" w:type="dxa"/>
                    <w:bottom w:w="0" w:type="dxa"/>
                    <w:right w:w="0" w:type="dxa"/>
                  </w:tcMar>
                  <w:vAlign w:val="center"/>
                </w:tcPr>
                <w:p w14:paraId="1C67D92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59.9</w:t>
                  </w:r>
                </w:p>
              </w:tc>
              <w:tc>
                <w:tcPr>
                  <w:tcW w:w="247" w:type="pct"/>
                  <w:vMerge w:val="restart"/>
                  <w:shd w:val="clear" w:color="auto" w:fill="FFFFFF"/>
                  <w:noWrap w:val="0"/>
                  <w:tcMar>
                    <w:top w:w="0" w:type="dxa"/>
                    <w:left w:w="0" w:type="dxa"/>
                    <w:bottom w:w="0" w:type="dxa"/>
                    <w:right w:w="0" w:type="dxa"/>
                  </w:tcMar>
                  <w:vAlign w:val="center"/>
                </w:tcPr>
                <w:p w14:paraId="4D393AC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00:00-24:00</w:t>
                  </w:r>
                </w:p>
              </w:tc>
              <w:tc>
                <w:tcPr>
                  <w:tcW w:w="148" w:type="pct"/>
                  <w:shd w:val="clear" w:color="auto" w:fill="FFFFFF"/>
                  <w:noWrap w:val="0"/>
                  <w:tcMar>
                    <w:top w:w="0" w:type="dxa"/>
                    <w:left w:w="0" w:type="dxa"/>
                    <w:bottom w:w="0" w:type="dxa"/>
                    <w:right w:w="0" w:type="dxa"/>
                  </w:tcMar>
                  <w:vAlign w:val="center"/>
                </w:tcPr>
                <w:p w14:paraId="15CC7CE4">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398C4FA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3D1A864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3A038B54">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7B024D42">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47.6 </w:t>
                  </w:r>
                </w:p>
              </w:tc>
              <w:tc>
                <w:tcPr>
                  <w:tcW w:w="154" w:type="pct"/>
                  <w:shd w:val="clear" w:color="auto" w:fill="FFFFFF"/>
                  <w:noWrap w:val="0"/>
                  <w:tcMar>
                    <w:top w:w="0" w:type="dxa"/>
                    <w:left w:w="0" w:type="dxa"/>
                    <w:bottom w:w="0" w:type="dxa"/>
                    <w:right w:w="0" w:type="dxa"/>
                  </w:tcMar>
                  <w:vAlign w:val="center"/>
                </w:tcPr>
                <w:p w14:paraId="6FE73AE9">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34.2 </w:t>
                  </w:r>
                </w:p>
              </w:tc>
              <w:tc>
                <w:tcPr>
                  <w:tcW w:w="155" w:type="pct"/>
                  <w:shd w:val="clear" w:color="auto" w:fill="FFFFFF"/>
                  <w:noWrap w:val="0"/>
                  <w:tcMar>
                    <w:top w:w="0" w:type="dxa"/>
                    <w:left w:w="0" w:type="dxa"/>
                    <w:bottom w:w="0" w:type="dxa"/>
                    <w:right w:w="0" w:type="dxa"/>
                  </w:tcMar>
                  <w:vAlign w:val="center"/>
                </w:tcPr>
                <w:p w14:paraId="01DB90D9">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41.3 </w:t>
                  </w:r>
                </w:p>
              </w:tc>
              <w:tc>
                <w:tcPr>
                  <w:tcW w:w="155" w:type="pct"/>
                  <w:shd w:val="clear" w:color="auto" w:fill="FFFFFF"/>
                  <w:noWrap w:val="0"/>
                  <w:tcMar>
                    <w:top w:w="0" w:type="dxa"/>
                    <w:left w:w="0" w:type="dxa"/>
                    <w:bottom w:w="0" w:type="dxa"/>
                    <w:right w:w="0" w:type="dxa"/>
                  </w:tcMar>
                  <w:vAlign w:val="center"/>
                </w:tcPr>
                <w:p w14:paraId="7C2712EA">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39.9 </w:t>
                  </w:r>
                </w:p>
              </w:tc>
              <w:tc>
                <w:tcPr>
                  <w:tcW w:w="265" w:type="pct"/>
                  <w:shd w:val="clear" w:color="auto" w:fill="FFFFFF"/>
                  <w:noWrap w:val="0"/>
                  <w:tcMar>
                    <w:top w:w="0" w:type="dxa"/>
                    <w:left w:w="0" w:type="dxa"/>
                    <w:bottom w:w="0" w:type="dxa"/>
                    <w:right w:w="0" w:type="dxa"/>
                  </w:tcMar>
                  <w:vAlign w:val="center"/>
                </w:tcPr>
                <w:p w14:paraId="56CD126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p>
              </w:tc>
            </w:tr>
            <w:tr w14:paraId="6CD29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136" w:hRule="atLeast"/>
              </w:trPr>
              <w:tc>
                <w:tcPr>
                  <w:tcW w:w="165" w:type="pct"/>
                  <w:shd w:val="clear" w:color="auto" w:fill="FFFFFF"/>
                  <w:noWrap w:val="0"/>
                  <w:tcMar>
                    <w:top w:w="0" w:type="dxa"/>
                    <w:left w:w="0" w:type="dxa"/>
                    <w:bottom w:w="0" w:type="dxa"/>
                    <w:right w:w="0" w:type="dxa"/>
                  </w:tcMar>
                  <w:vAlign w:val="center"/>
                </w:tcPr>
                <w:p w14:paraId="58F2D10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2</w:t>
                  </w:r>
                </w:p>
              </w:tc>
              <w:tc>
                <w:tcPr>
                  <w:tcW w:w="301" w:type="pct"/>
                  <w:vMerge w:val="continue"/>
                  <w:shd w:val="clear" w:color="auto" w:fill="FFFFFF"/>
                  <w:noWrap w:val="0"/>
                  <w:tcMar>
                    <w:top w:w="0" w:type="dxa"/>
                    <w:left w:w="0" w:type="dxa"/>
                    <w:bottom w:w="0" w:type="dxa"/>
                    <w:right w:w="0" w:type="dxa"/>
                  </w:tcMar>
                  <w:vAlign w:val="center"/>
                </w:tcPr>
                <w:p w14:paraId="5A933C7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83" w:type="pct"/>
                  <w:shd w:val="clear" w:color="auto" w:fill="FFFFFF"/>
                  <w:noWrap w:val="0"/>
                  <w:tcMar>
                    <w:top w:w="0" w:type="dxa"/>
                    <w:left w:w="0" w:type="dxa"/>
                    <w:bottom w:w="0" w:type="dxa"/>
                    <w:right w:w="0" w:type="dxa"/>
                  </w:tcMar>
                  <w:vAlign w:val="center"/>
                </w:tcPr>
                <w:p w14:paraId="4A02F816">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szCs w:val="21"/>
                      <w:lang w:val="en-US" w:eastAsia="zh-CN"/>
                    </w:rPr>
                    <w:t>弧焊机器人</w:t>
                  </w:r>
                  <w:r>
                    <w:rPr>
                      <w:rFonts w:hint="eastAsia"/>
                      <w:caps w:val="0"/>
                      <w:color w:val="000000" w:themeColor="text1"/>
                      <w:szCs w:val="21"/>
                      <w:highlight w:val="none"/>
                      <w:lang w:val="en-US" w:eastAsia="zh-CN"/>
                      <w14:textFill>
                        <w14:solidFill>
                          <w14:schemeClr w14:val="tx1"/>
                        </w14:solidFill>
                      </w14:textFill>
                    </w:rPr>
                    <w:t>26台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302A5DDE">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3306ADAA">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94.6</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40F56D77">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48" w:type="pct"/>
                  <w:shd w:val="clear" w:color="auto" w:fill="FFFFFF"/>
                  <w:noWrap w:val="0"/>
                  <w:tcMar>
                    <w:top w:w="0" w:type="dxa"/>
                    <w:left w:w="0" w:type="dxa"/>
                    <w:bottom w:w="0" w:type="dxa"/>
                    <w:right w:w="0" w:type="dxa"/>
                  </w:tcMar>
                  <w:vAlign w:val="center"/>
                </w:tcPr>
                <w:p w14:paraId="2153F12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68</w:t>
                  </w:r>
                </w:p>
              </w:tc>
              <w:tc>
                <w:tcPr>
                  <w:tcW w:w="142" w:type="pct"/>
                  <w:shd w:val="clear" w:color="auto" w:fill="FFFFFF"/>
                  <w:noWrap w:val="0"/>
                  <w:tcMar>
                    <w:top w:w="0" w:type="dxa"/>
                    <w:left w:w="0" w:type="dxa"/>
                    <w:bottom w:w="0" w:type="dxa"/>
                    <w:right w:w="0" w:type="dxa"/>
                  </w:tcMar>
                  <w:vAlign w:val="center"/>
                </w:tcPr>
                <w:p w14:paraId="67D6F3E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12A6199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51</w:t>
                  </w:r>
                </w:p>
              </w:tc>
              <w:tc>
                <w:tcPr>
                  <w:tcW w:w="167" w:type="pct"/>
                  <w:shd w:val="clear" w:color="auto" w:fill="FFFFFF"/>
                  <w:noWrap w:val="0"/>
                  <w:tcMar>
                    <w:top w:w="0" w:type="dxa"/>
                    <w:left w:w="0" w:type="dxa"/>
                    <w:bottom w:w="0" w:type="dxa"/>
                    <w:right w:w="0" w:type="dxa"/>
                  </w:tcMar>
                  <w:vAlign w:val="center"/>
                </w:tcPr>
                <w:p w14:paraId="5B18B59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158</w:t>
                  </w:r>
                </w:p>
              </w:tc>
              <w:tc>
                <w:tcPr>
                  <w:tcW w:w="148" w:type="pct"/>
                  <w:shd w:val="clear" w:color="auto" w:fill="FFFFFF"/>
                  <w:noWrap w:val="0"/>
                  <w:tcMar>
                    <w:top w:w="0" w:type="dxa"/>
                    <w:left w:w="0" w:type="dxa"/>
                    <w:bottom w:w="0" w:type="dxa"/>
                    <w:right w:w="0" w:type="dxa"/>
                  </w:tcMar>
                  <w:vAlign w:val="center"/>
                </w:tcPr>
                <w:p w14:paraId="5ACC382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75</w:t>
                  </w:r>
                </w:p>
              </w:tc>
              <w:tc>
                <w:tcPr>
                  <w:tcW w:w="142" w:type="pct"/>
                  <w:shd w:val="clear" w:color="auto" w:fill="FFFFFF"/>
                  <w:noWrap w:val="0"/>
                  <w:tcMar>
                    <w:top w:w="0" w:type="dxa"/>
                    <w:left w:w="0" w:type="dxa"/>
                    <w:bottom w:w="0" w:type="dxa"/>
                    <w:right w:w="0" w:type="dxa"/>
                  </w:tcMar>
                  <w:vAlign w:val="center"/>
                </w:tcPr>
                <w:p w14:paraId="091121E5">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214</w:t>
                  </w:r>
                </w:p>
              </w:tc>
              <w:tc>
                <w:tcPr>
                  <w:tcW w:w="142" w:type="pct"/>
                  <w:shd w:val="clear" w:color="auto" w:fill="FFFFFF"/>
                  <w:noWrap w:val="0"/>
                  <w:tcMar>
                    <w:top w:w="0" w:type="dxa"/>
                    <w:left w:w="0" w:type="dxa"/>
                    <w:bottom w:w="0" w:type="dxa"/>
                    <w:right w:w="0" w:type="dxa"/>
                  </w:tcMar>
                  <w:vAlign w:val="center"/>
                </w:tcPr>
                <w:p w14:paraId="65AC3C9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60.0</w:t>
                  </w:r>
                </w:p>
              </w:tc>
              <w:tc>
                <w:tcPr>
                  <w:tcW w:w="173" w:type="pct"/>
                  <w:shd w:val="clear" w:color="auto" w:fill="FFFFFF"/>
                  <w:noWrap w:val="0"/>
                  <w:tcMar>
                    <w:top w:w="0" w:type="dxa"/>
                    <w:left w:w="0" w:type="dxa"/>
                    <w:bottom w:w="0" w:type="dxa"/>
                    <w:right w:w="0" w:type="dxa"/>
                  </w:tcMar>
                  <w:vAlign w:val="center"/>
                </w:tcPr>
                <w:p w14:paraId="18E3B21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50.2</w:t>
                  </w:r>
                </w:p>
              </w:tc>
              <w:tc>
                <w:tcPr>
                  <w:tcW w:w="173" w:type="pct"/>
                  <w:shd w:val="clear" w:color="auto" w:fill="FFFFFF"/>
                  <w:noWrap w:val="0"/>
                  <w:tcMar>
                    <w:top w:w="0" w:type="dxa"/>
                    <w:left w:w="0" w:type="dxa"/>
                    <w:bottom w:w="0" w:type="dxa"/>
                    <w:right w:w="0" w:type="dxa"/>
                  </w:tcMar>
                  <w:vAlign w:val="center"/>
                </w:tcPr>
                <w:p w14:paraId="0D7217E0">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56.6</w:t>
                  </w:r>
                </w:p>
              </w:tc>
              <w:tc>
                <w:tcPr>
                  <w:tcW w:w="198" w:type="pct"/>
                  <w:shd w:val="clear" w:color="auto" w:fill="FFFFFF"/>
                  <w:noWrap w:val="0"/>
                  <w:tcMar>
                    <w:top w:w="0" w:type="dxa"/>
                    <w:left w:w="0" w:type="dxa"/>
                    <w:bottom w:w="0" w:type="dxa"/>
                    <w:right w:w="0" w:type="dxa"/>
                  </w:tcMar>
                  <w:vAlign w:val="center"/>
                </w:tcPr>
                <w:p w14:paraId="561BD55C">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47.5</w:t>
                  </w:r>
                </w:p>
              </w:tc>
              <w:tc>
                <w:tcPr>
                  <w:tcW w:w="247" w:type="pct"/>
                  <w:vMerge w:val="continue"/>
                  <w:shd w:val="clear" w:color="auto" w:fill="FFFFFF"/>
                  <w:noWrap w:val="0"/>
                  <w:tcMar>
                    <w:top w:w="0" w:type="dxa"/>
                    <w:left w:w="0" w:type="dxa"/>
                    <w:bottom w:w="0" w:type="dxa"/>
                    <w:right w:w="0" w:type="dxa"/>
                  </w:tcMar>
                  <w:vAlign w:val="center"/>
                </w:tcPr>
                <w:p w14:paraId="335DAAE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304D054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37303429">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3CC10466">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7EDF337B">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795DDD25">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40.0 </w:t>
                  </w:r>
                </w:p>
              </w:tc>
              <w:tc>
                <w:tcPr>
                  <w:tcW w:w="154" w:type="pct"/>
                  <w:shd w:val="clear" w:color="auto" w:fill="FFFFFF"/>
                  <w:noWrap w:val="0"/>
                  <w:tcMar>
                    <w:top w:w="0" w:type="dxa"/>
                    <w:left w:w="0" w:type="dxa"/>
                    <w:bottom w:w="0" w:type="dxa"/>
                    <w:right w:w="0" w:type="dxa"/>
                  </w:tcMar>
                  <w:vAlign w:val="center"/>
                </w:tcPr>
                <w:p w14:paraId="3EACBA58">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30.2 </w:t>
                  </w:r>
                </w:p>
              </w:tc>
              <w:tc>
                <w:tcPr>
                  <w:tcW w:w="155" w:type="pct"/>
                  <w:shd w:val="clear" w:color="auto" w:fill="FFFFFF"/>
                  <w:noWrap w:val="0"/>
                  <w:tcMar>
                    <w:top w:w="0" w:type="dxa"/>
                    <w:left w:w="0" w:type="dxa"/>
                    <w:bottom w:w="0" w:type="dxa"/>
                    <w:right w:w="0" w:type="dxa"/>
                  </w:tcMar>
                  <w:vAlign w:val="center"/>
                </w:tcPr>
                <w:p w14:paraId="43FBF30E">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36.6 </w:t>
                  </w:r>
                </w:p>
              </w:tc>
              <w:tc>
                <w:tcPr>
                  <w:tcW w:w="155" w:type="pct"/>
                  <w:shd w:val="clear" w:color="auto" w:fill="FFFFFF"/>
                  <w:noWrap w:val="0"/>
                  <w:tcMar>
                    <w:top w:w="0" w:type="dxa"/>
                    <w:left w:w="0" w:type="dxa"/>
                    <w:bottom w:w="0" w:type="dxa"/>
                    <w:right w:w="0" w:type="dxa"/>
                  </w:tcMar>
                  <w:vAlign w:val="center"/>
                </w:tcPr>
                <w:p w14:paraId="25A8118E">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27.5 </w:t>
                  </w:r>
                </w:p>
              </w:tc>
              <w:tc>
                <w:tcPr>
                  <w:tcW w:w="265" w:type="pct"/>
                  <w:shd w:val="clear" w:color="auto" w:fill="FFFFFF"/>
                  <w:noWrap w:val="0"/>
                  <w:tcMar>
                    <w:top w:w="0" w:type="dxa"/>
                    <w:left w:w="0" w:type="dxa"/>
                    <w:bottom w:w="0" w:type="dxa"/>
                    <w:right w:w="0" w:type="dxa"/>
                  </w:tcMar>
                  <w:vAlign w:val="center"/>
                </w:tcPr>
                <w:p w14:paraId="78E87E22">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p>
              </w:tc>
            </w:tr>
            <w:tr w14:paraId="202916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50" w:hRule="atLeast"/>
              </w:trPr>
              <w:tc>
                <w:tcPr>
                  <w:tcW w:w="165" w:type="pct"/>
                  <w:shd w:val="clear" w:color="auto" w:fill="FFFFFF"/>
                  <w:noWrap w:val="0"/>
                  <w:tcMar>
                    <w:top w:w="0" w:type="dxa"/>
                    <w:left w:w="0" w:type="dxa"/>
                    <w:bottom w:w="0" w:type="dxa"/>
                    <w:right w:w="0" w:type="dxa"/>
                  </w:tcMar>
                  <w:vAlign w:val="center"/>
                </w:tcPr>
                <w:p w14:paraId="186B177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3</w:t>
                  </w:r>
                </w:p>
              </w:tc>
              <w:tc>
                <w:tcPr>
                  <w:tcW w:w="301" w:type="pct"/>
                  <w:vMerge w:val="continue"/>
                  <w:shd w:val="clear" w:color="auto" w:fill="FFFFFF"/>
                  <w:noWrap w:val="0"/>
                  <w:tcMar>
                    <w:top w:w="0" w:type="dxa"/>
                    <w:left w:w="0" w:type="dxa"/>
                    <w:bottom w:w="0" w:type="dxa"/>
                    <w:right w:w="0" w:type="dxa"/>
                  </w:tcMar>
                  <w:vAlign w:val="center"/>
                </w:tcPr>
                <w:p w14:paraId="6E34E4E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83" w:type="pct"/>
                  <w:shd w:val="clear" w:color="auto" w:fill="FFFFFF"/>
                  <w:noWrap w:val="0"/>
                  <w:tcMar>
                    <w:top w:w="0" w:type="dxa"/>
                    <w:left w:w="0" w:type="dxa"/>
                    <w:bottom w:w="0" w:type="dxa"/>
                    <w:right w:w="0" w:type="dxa"/>
                  </w:tcMar>
                  <w:vAlign w:val="center"/>
                </w:tcPr>
                <w:p w14:paraId="232B81FC">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手工弧焊机30台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0AB6A1D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42B2311D">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14F60ACC">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-18</w:t>
                  </w:r>
                </w:p>
              </w:tc>
              <w:tc>
                <w:tcPr>
                  <w:tcW w:w="148" w:type="pct"/>
                  <w:shd w:val="clear" w:color="auto" w:fill="FFFFFF"/>
                  <w:noWrap w:val="0"/>
                  <w:tcMar>
                    <w:top w:w="0" w:type="dxa"/>
                    <w:left w:w="0" w:type="dxa"/>
                    <w:bottom w:w="0" w:type="dxa"/>
                    <w:right w:w="0" w:type="dxa"/>
                  </w:tcMar>
                  <w:vAlign w:val="center"/>
                </w:tcPr>
                <w:p w14:paraId="5ECB5A45">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80</w:t>
                  </w:r>
                </w:p>
              </w:tc>
              <w:tc>
                <w:tcPr>
                  <w:tcW w:w="142" w:type="pct"/>
                  <w:shd w:val="clear" w:color="auto" w:fill="FFFFFF"/>
                  <w:noWrap w:val="0"/>
                  <w:tcMar>
                    <w:top w:w="0" w:type="dxa"/>
                    <w:left w:w="0" w:type="dxa"/>
                    <w:bottom w:w="0" w:type="dxa"/>
                    <w:right w:w="0" w:type="dxa"/>
                  </w:tcMar>
                  <w:vAlign w:val="center"/>
                </w:tcPr>
                <w:p w14:paraId="0BD5C0A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0303B81F">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81</w:t>
                  </w:r>
                </w:p>
              </w:tc>
              <w:tc>
                <w:tcPr>
                  <w:tcW w:w="167" w:type="pct"/>
                  <w:shd w:val="clear" w:color="auto" w:fill="FFFFFF"/>
                  <w:noWrap w:val="0"/>
                  <w:tcMar>
                    <w:top w:w="0" w:type="dxa"/>
                    <w:left w:w="0" w:type="dxa"/>
                    <w:bottom w:w="0" w:type="dxa"/>
                    <w:right w:w="0" w:type="dxa"/>
                  </w:tcMar>
                  <w:vAlign w:val="center"/>
                </w:tcPr>
                <w:p w14:paraId="18352D3D">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226</w:t>
                  </w:r>
                </w:p>
              </w:tc>
              <w:tc>
                <w:tcPr>
                  <w:tcW w:w="148" w:type="pct"/>
                  <w:shd w:val="clear" w:color="auto" w:fill="FFFFFF"/>
                  <w:noWrap w:val="0"/>
                  <w:tcMar>
                    <w:top w:w="0" w:type="dxa"/>
                    <w:left w:w="0" w:type="dxa"/>
                    <w:bottom w:w="0" w:type="dxa"/>
                    <w:right w:w="0" w:type="dxa"/>
                  </w:tcMar>
                  <w:vAlign w:val="center"/>
                </w:tcPr>
                <w:p w14:paraId="6FFC4D2B">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45</w:t>
                  </w:r>
                </w:p>
              </w:tc>
              <w:tc>
                <w:tcPr>
                  <w:tcW w:w="142" w:type="pct"/>
                  <w:shd w:val="clear" w:color="auto" w:fill="FFFFFF"/>
                  <w:noWrap w:val="0"/>
                  <w:tcMar>
                    <w:top w:w="0" w:type="dxa"/>
                    <w:left w:w="0" w:type="dxa"/>
                    <w:bottom w:w="0" w:type="dxa"/>
                    <w:right w:w="0" w:type="dxa"/>
                  </w:tcMar>
                  <w:vAlign w:val="center"/>
                </w:tcPr>
                <w:p w14:paraId="3DB32CB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66</w:t>
                  </w:r>
                </w:p>
              </w:tc>
              <w:tc>
                <w:tcPr>
                  <w:tcW w:w="142" w:type="pct"/>
                  <w:shd w:val="clear" w:color="auto" w:fill="FFFFFF"/>
                  <w:noWrap w:val="0"/>
                  <w:tcMar>
                    <w:top w:w="0" w:type="dxa"/>
                    <w:left w:w="0" w:type="dxa"/>
                    <w:bottom w:w="0" w:type="dxa"/>
                    <w:right w:w="0" w:type="dxa"/>
                  </w:tcMar>
                  <w:vAlign w:val="center"/>
                </w:tcPr>
                <w:p w14:paraId="1043F6E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56.6</w:t>
                  </w:r>
                </w:p>
              </w:tc>
              <w:tc>
                <w:tcPr>
                  <w:tcW w:w="173" w:type="pct"/>
                  <w:shd w:val="clear" w:color="auto" w:fill="FFFFFF"/>
                  <w:noWrap w:val="0"/>
                  <w:tcMar>
                    <w:top w:w="0" w:type="dxa"/>
                    <w:left w:w="0" w:type="dxa"/>
                    <w:bottom w:w="0" w:type="dxa"/>
                    <w:right w:w="0" w:type="dxa"/>
                  </w:tcMar>
                  <w:vAlign w:val="center"/>
                </w:tcPr>
                <w:p w14:paraId="23809214">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47.7</w:t>
                  </w:r>
                </w:p>
              </w:tc>
              <w:tc>
                <w:tcPr>
                  <w:tcW w:w="173" w:type="pct"/>
                  <w:shd w:val="clear" w:color="auto" w:fill="FFFFFF"/>
                  <w:noWrap w:val="0"/>
                  <w:tcMar>
                    <w:top w:w="0" w:type="dxa"/>
                    <w:left w:w="0" w:type="dxa"/>
                    <w:bottom w:w="0" w:type="dxa"/>
                    <w:right w:w="0" w:type="dxa"/>
                  </w:tcMar>
                  <w:vAlign w:val="center"/>
                </w:tcPr>
                <w:p w14:paraId="10766AE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61.7</w:t>
                  </w:r>
                </w:p>
              </w:tc>
              <w:tc>
                <w:tcPr>
                  <w:tcW w:w="198" w:type="pct"/>
                  <w:shd w:val="clear" w:color="auto" w:fill="FFFFFF"/>
                  <w:noWrap w:val="0"/>
                  <w:tcMar>
                    <w:top w:w="0" w:type="dxa"/>
                    <w:left w:w="0" w:type="dxa"/>
                    <w:bottom w:w="0" w:type="dxa"/>
                    <w:right w:w="0" w:type="dxa"/>
                  </w:tcMar>
                  <w:vAlign w:val="center"/>
                </w:tcPr>
                <w:p w14:paraId="4888B56D">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58.4</w:t>
                  </w:r>
                </w:p>
              </w:tc>
              <w:tc>
                <w:tcPr>
                  <w:tcW w:w="247" w:type="pct"/>
                  <w:vMerge w:val="continue"/>
                  <w:shd w:val="clear" w:color="auto" w:fill="FFFFFF"/>
                  <w:noWrap w:val="0"/>
                  <w:tcMar>
                    <w:top w:w="0" w:type="dxa"/>
                    <w:left w:w="0" w:type="dxa"/>
                    <w:bottom w:w="0" w:type="dxa"/>
                    <w:right w:w="0" w:type="dxa"/>
                  </w:tcMar>
                  <w:vAlign w:val="center"/>
                </w:tcPr>
                <w:p w14:paraId="6A38172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194439A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61103413">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015FF10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0607FD7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3CA5B880">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36.6 </w:t>
                  </w:r>
                </w:p>
              </w:tc>
              <w:tc>
                <w:tcPr>
                  <w:tcW w:w="154" w:type="pct"/>
                  <w:shd w:val="clear" w:color="auto" w:fill="FFFFFF"/>
                  <w:noWrap w:val="0"/>
                  <w:tcMar>
                    <w:top w:w="0" w:type="dxa"/>
                    <w:left w:w="0" w:type="dxa"/>
                    <w:bottom w:w="0" w:type="dxa"/>
                    <w:right w:w="0" w:type="dxa"/>
                  </w:tcMar>
                  <w:vAlign w:val="center"/>
                </w:tcPr>
                <w:p w14:paraId="54615846">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27.7 </w:t>
                  </w:r>
                </w:p>
              </w:tc>
              <w:tc>
                <w:tcPr>
                  <w:tcW w:w="155" w:type="pct"/>
                  <w:shd w:val="clear" w:color="auto" w:fill="FFFFFF"/>
                  <w:noWrap w:val="0"/>
                  <w:tcMar>
                    <w:top w:w="0" w:type="dxa"/>
                    <w:left w:w="0" w:type="dxa"/>
                    <w:bottom w:w="0" w:type="dxa"/>
                    <w:right w:w="0" w:type="dxa"/>
                  </w:tcMar>
                  <w:vAlign w:val="center"/>
                </w:tcPr>
                <w:p w14:paraId="6D9A1992">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41.7 </w:t>
                  </w:r>
                </w:p>
              </w:tc>
              <w:tc>
                <w:tcPr>
                  <w:tcW w:w="155" w:type="pct"/>
                  <w:shd w:val="clear" w:color="auto" w:fill="FFFFFF"/>
                  <w:noWrap w:val="0"/>
                  <w:tcMar>
                    <w:top w:w="0" w:type="dxa"/>
                    <w:left w:w="0" w:type="dxa"/>
                    <w:bottom w:w="0" w:type="dxa"/>
                    <w:right w:w="0" w:type="dxa"/>
                  </w:tcMar>
                  <w:vAlign w:val="center"/>
                </w:tcPr>
                <w:p w14:paraId="6923CCB3">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38.4 </w:t>
                  </w:r>
                </w:p>
              </w:tc>
              <w:tc>
                <w:tcPr>
                  <w:tcW w:w="265" w:type="pct"/>
                  <w:shd w:val="clear" w:color="auto" w:fill="FFFFFF"/>
                  <w:noWrap w:val="0"/>
                  <w:tcMar>
                    <w:top w:w="0" w:type="dxa"/>
                    <w:left w:w="0" w:type="dxa"/>
                    <w:bottom w:w="0" w:type="dxa"/>
                    <w:right w:w="0" w:type="dxa"/>
                  </w:tcMar>
                  <w:vAlign w:val="center"/>
                </w:tcPr>
                <w:p w14:paraId="2ADB71E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p>
              </w:tc>
            </w:tr>
            <w:tr w14:paraId="669A3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30" w:hRule="atLeast"/>
              </w:trPr>
              <w:tc>
                <w:tcPr>
                  <w:tcW w:w="165" w:type="pct"/>
                  <w:shd w:val="clear" w:color="auto" w:fill="FFFFFF"/>
                  <w:noWrap w:val="0"/>
                  <w:tcMar>
                    <w:top w:w="0" w:type="dxa"/>
                    <w:left w:w="0" w:type="dxa"/>
                    <w:bottom w:w="0" w:type="dxa"/>
                    <w:right w:w="0" w:type="dxa"/>
                  </w:tcMar>
                  <w:vAlign w:val="center"/>
                </w:tcPr>
                <w:p w14:paraId="51A1DC0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4</w:t>
                  </w:r>
                </w:p>
              </w:tc>
              <w:tc>
                <w:tcPr>
                  <w:tcW w:w="301" w:type="pct"/>
                  <w:vMerge w:val="continue"/>
                  <w:shd w:val="clear" w:color="auto" w:fill="FFFFFF"/>
                  <w:noWrap w:val="0"/>
                  <w:tcMar>
                    <w:top w:w="0" w:type="dxa"/>
                    <w:left w:w="0" w:type="dxa"/>
                    <w:bottom w:w="0" w:type="dxa"/>
                    <w:right w:w="0" w:type="dxa"/>
                  </w:tcMar>
                  <w:vAlign w:val="center"/>
                </w:tcPr>
                <w:p w14:paraId="2EF93C8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83" w:type="pct"/>
                  <w:shd w:val="clear" w:color="auto" w:fill="FFFFFF"/>
                  <w:noWrap w:val="0"/>
                  <w:tcMar>
                    <w:top w:w="0" w:type="dxa"/>
                    <w:left w:w="0" w:type="dxa"/>
                    <w:bottom w:w="0" w:type="dxa"/>
                    <w:right w:w="0" w:type="dxa"/>
                  </w:tcMar>
                  <w:vAlign w:val="center"/>
                </w:tcPr>
                <w:p w14:paraId="638069AA">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szCs w:val="21"/>
                    </w:rPr>
                    <w:t>双头储能凸焊机</w:t>
                  </w:r>
                  <w:r>
                    <w:rPr>
                      <w:rFonts w:hint="eastAsia"/>
                      <w:szCs w:val="21"/>
                      <w:lang w:val="en-US" w:eastAsia="zh-CN"/>
                    </w:rPr>
                    <w:t>5</w:t>
                  </w:r>
                  <w:r>
                    <w:rPr>
                      <w:rFonts w:hint="eastAsia"/>
                      <w:caps w:val="0"/>
                      <w:color w:val="000000" w:themeColor="text1"/>
                      <w:szCs w:val="21"/>
                      <w:highlight w:val="none"/>
                      <w:lang w:val="en-US" w:eastAsia="zh-CN"/>
                      <w14:textFill>
                        <w14:solidFill>
                          <w14:schemeClr w14:val="tx1"/>
                        </w14:solidFill>
                      </w14:textFill>
                    </w:rPr>
                    <w:t>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5828888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58" w:type="pct"/>
                  <w:shd w:val="clear" w:color="auto" w:fill="FFFFFF"/>
                  <w:noWrap w:val="0"/>
                  <w:tcMar>
                    <w:top w:w="0" w:type="dxa"/>
                    <w:left w:w="0" w:type="dxa"/>
                    <w:bottom w:w="0" w:type="dxa"/>
                    <w:right w:w="0" w:type="dxa"/>
                  </w:tcMar>
                  <w:vAlign w:val="center"/>
                </w:tcPr>
                <w:p w14:paraId="54D54B1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546BC02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-43</w:t>
                  </w:r>
                </w:p>
              </w:tc>
              <w:tc>
                <w:tcPr>
                  <w:tcW w:w="148" w:type="pct"/>
                  <w:shd w:val="clear" w:color="auto" w:fill="FFFFFF"/>
                  <w:noWrap w:val="0"/>
                  <w:tcMar>
                    <w:top w:w="0" w:type="dxa"/>
                    <w:left w:w="0" w:type="dxa"/>
                    <w:bottom w:w="0" w:type="dxa"/>
                    <w:right w:w="0" w:type="dxa"/>
                  </w:tcMar>
                  <w:vAlign w:val="center"/>
                </w:tcPr>
                <w:p w14:paraId="213DA62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55</w:t>
                  </w:r>
                </w:p>
              </w:tc>
              <w:tc>
                <w:tcPr>
                  <w:tcW w:w="142" w:type="pct"/>
                  <w:shd w:val="clear" w:color="auto" w:fill="FFFFFF"/>
                  <w:noWrap w:val="0"/>
                  <w:tcMar>
                    <w:top w:w="0" w:type="dxa"/>
                    <w:left w:w="0" w:type="dxa"/>
                    <w:bottom w:w="0" w:type="dxa"/>
                    <w:right w:w="0" w:type="dxa"/>
                  </w:tcMar>
                  <w:vAlign w:val="center"/>
                </w:tcPr>
                <w:p w14:paraId="6695FB0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1BDB2C6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106</w:t>
                  </w:r>
                </w:p>
              </w:tc>
              <w:tc>
                <w:tcPr>
                  <w:tcW w:w="167" w:type="pct"/>
                  <w:shd w:val="clear" w:color="auto" w:fill="FFFFFF"/>
                  <w:noWrap w:val="0"/>
                  <w:tcMar>
                    <w:top w:w="0" w:type="dxa"/>
                    <w:left w:w="0" w:type="dxa"/>
                    <w:bottom w:w="0" w:type="dxa"/>
                    <w:right w:w="0" w:type="dxa"/>
                  </w:tcMar>
                  <w:vAlign w:val="center"/>
                </w:tcPr>
                <w:p w14:paraId="4FE3A954">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201</w:t>
                  </w:r>
                </w:p>
              </w:tc>
              <w:tc>
                <w:tcPr>
                  <w:tcW w:w="148" w:type="pct"/>
                  <w:shd w:val="clear" w:color="auto" w:fill="FFFFFF"/>
                  <w:noWrap w:val="0"/>
                  <w:tcMar>
                    <w:top w:w="0" w:type="dxa"/>
                    <w:left w:w="0" w:type="dxa"/>
                    <w:bottom w:w="0" w:type="dxa"/>
                    <w:right w:w="0" w:type="dxa"/>
                  </w:tcMar>
                  <w:vAlign w:val="center"/>
                </w:tcPr>
                <w:p w14:paraId="5859A47A">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20</w:t>
                  </w:r>
                </w:p>
              </w:tc>
              <w:tc>
                <w:tcPr>
                  <w:tcW w:w="142" w:type="pct"/>
                  <w:shd w:val="clear" w:color="auto" w:fill="FFFFFF"/>
                  <w:noWrap w:val="0"/>
                  <w:tcMar>
                    <w:top w:w="0" w:type="dxa"/>
                    <w:left w:w="0" w:type="dxa"/>
                    <w:bottom w:w="0" w:type="dxa"/>
                    <w:right w:w="0" w:type="dxa"/>
                  </w:tcMar>
                  <w:vAlign w:val="center"/>
                </w:tcPr>
                <w:p w14:paraId="75E7992A">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91</w:t>
                  </w:r>
                </w:p>
              </w:tc>
              <w:tc>
                <w:tcPr>
                  <w:tcW w:w="142" w:type="pct"/>
                  <w:shd w:val="clear" w:color="auto" w:fill="FFFFFF"/>
                  <w:noWrap w:val="0"/>
                  <w:tcMar>
                    <w:top w:w="0" w:type="dxa"/>
                    <w:left w:w="0" w:type="dxa"/>
                    <w:bottom w:w="0" w:type="dxa"/>
                    <w:right w:w="0" w:type="dxa"/>
                  </w:tcMar>
                  <w:vAlign w:val="center"/>
                </w:tcPr>
                <w:p w14:paraId="002746E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46.5</w:t>
                  </w:r>
                </w:p>
              </w:tc>
              <w:tc>
                <w:tcPr>
                  <w:tcW w:w="173" w:type="pct"/>
                  <w:shd w:val="clear" w:color="auto" w:fill="FFFFFF"/>
                  <w:noWrap w:val="0"/>
                  <w:tcMar>
                    <w:top w:w="0" w:type="dxa"/>
                    <w:left w:w="0" w:type="dxa"/>
                    <w:bottom w:w="0" w:type="dxa"/>
                    <w:right w:w="0" w:type="dxa"/>
                  </w:tcMar>
                  <w:vAlign w:val="center"/>
                </w:tcPr>
                <w:p w14:paraId="4C2B7F1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40.9</w:t>
                  </w:r>
                </w:p>
              </w:tc>
              <w:tc>
                <w:tcPr>
                  <w:tcW w:w="173" w:type="pct"/>
                  <w:shd w:val="clear" w:color="auto" w:fill="FFFFFF"/>
                  <w:noWrap w:val="0"/>
                  <w:tcMar>
                    <w:top w:w="0" w:type="dxa"/>
                    <w:left w:w="0" w:type="dxa"/>
                    <w:bottom w:w="0" w:type="dxa"/>
                    <w:right w:w="0" w:type="dxa"/>
                  </w:tcMar>
                  <w:vAlign w:val="center"/>
                </w:tcPr>
                <w:p w14:paraId="4BBA2699">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61.0</w:t>
                  </w:r>
                </w:p>
              </w:tc>
              <w:tc>
                <w:tcPr>
                  <w:tcW w:w="198" w:type="pct"/>
                  <w:shd w:val="clear" w:color="auto" w:fill="FFFFFF"/>
                  <w:noWrap w:val="0"/>
                  <w:tcMar>
                    <w:top w:w="0" w:type="dxa"/>
                    <w:left w:w="0" w:type="dxa"/>
                    <w:bottom w:w="0" w:type="dxa"/>
                    <w:right w:w="0" w:type="dxa"/>
                  </w:tcMar>
                  <w:vAlign w:val="center"/>
                </w:tcPr>
                <w:p w14:paraId="0DBD23EB">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47.8</w:t>
                  </w:r>
                </w:p>
              </w:tc>
              <w:tc>
                <w:tcPr>
                  <w:tcW w:w="247" w:type="pct"/>
                  <w:vMerge w:val="continue"/>
                  <w:shd w:val="clear" w:color="auto" w:fill="FFFFFF"/>
                  <w:noWrap w:val="0"/>
                  <w:tcMar>
                    <w:top w:w="0" w:type="dxa"/>
                    <w:left w:w="0" w:type="dxa"/>
                    <w:bottom w:w="0" w:type="dxa"/>
                    <w:right w:w="0" w:type="dxa"/>
                  </w:tcMar>
                  <w:vAlign w:val="center"/>
                </w:tcPr>
                <w:p w14:paraId="024E468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p>
              </w:tc>
              <w:tc>
                <w:tcPr>
                  <w:tcW w:w="148" w:type="pct"/>
                  <w:shd w:val="clear" w:color="auto" w:fill="FFFFFF"/>
                  <w:noWrap w:val="0"/>
                  <w:tcMar>
                    <w:top w:w="0" w:type="dxa"/>
                    <w:left w:w="0" w:type="dxa"/>
                    <w:bottom w:w="0" w:type="dxa"/>
                    <w:right w:w="0" w:type="dxa"/>
                  </w:tcMar>
                  <w:vAlign w:val="center"/>
                </w:tcPr>
                <w:p w14:paraId="5CC2DA6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210" w:type="pct"/>
                  <w:shd w:val="clear" w:color="auto" w:fill="FFFFFF"/>
                  <w:noWrap w:val="0"/>
                  <w:tcMar>
                    <w:top w:w="0" w:type="dxa"/>
                    <w:left w:w="0" w:type="dxa"/>
                    <w:bottom w:w="0" w:type="dxa"/>
                    <w:right w:w="0" w:type="dxa"/>
                  </w:tcMar>
                  <w:vAlign w:val="center"/>
                </w:tcPr>
                <w:p w14:paraId="044BA19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3" w:type="pct"/>
                  <w:shd w:val="clear" w:color="auto" w:fill="FFFFFF"/>
                  <w:noWrap w:val="0"/>
                  <w:tcMar>
                    <w:top w:w="0" w:type="dxa"/>
                    <w:left w:w="0" w:type="dxa"/>
                    <w:bottom w:w="0" w:type="dxa"/>
                    <w:right w:w="0" w:type="dxa"/>
                  </w:tcMar>
                  <w:vAlign w:val="center"/>
                </w:tcPr>
                <w:p w14:paraId="057A0753">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77" w:type="pct"/>
                  <w:shd w:val="clear" w:color="auto" w:fill="FFFFFF"/>
                  <w:noWrap w:val="0"/>
                  <w:tcMar>
                    <w:top w:w="0" w:type="dxa"/>
                    <w:left w:w="0" w:type="dxa"/>
                    <w:bottom w:w="0" w:type="dxa"/>
                    <w:right w:w="0" w:type="dxa"/>
                  </w:tcMar>
                  <w:vAlign w:val="center"/>
                </w:tcPr>
                <w:p w14:paraId="6E28E70C">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1E8CDCC4">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26.5 </w:t>
                  </w:r>
                </w:p>
              </w:tc>
              <w:tc>
                <w:tcPr>
                  <w:tcW w:w="154" w:type="pct"/>
                  <w:shd w:val="clear" w:color="auto" w:fill="FFFFFF"/>
                  <w:noWrap w:val="0"/>
                  <w:tcMar>
                    <w:top w:w="0" w:type="dxa"/>
                    <w:left w:w="0" w:type="dxa"/>
                    <w:bottom w:w="0" w:type="dxa"/>
                    <w:right w:w="0" w:type="dxa"/>
                  </w:tcMar>
                  <w:vAlign w:val="center"/>
                </w:tcPr>
                <w:p w14:paraId="0179FB25">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20.9 </w:t>
                  </w:r>
                </w:p>
              </w:tc>
              <w:tc>
                <w:tcPr>
                  <w:tcW w:w="155" w:type="pct"/>
                  <w:shd w:val="clear" w:color="auto" w:fill="FFFFFF"/>
                  <w:noWrap w:val="0"/>
                  <w:tcMar>
                    <w:top w:w="0" w:type="dxa"/>
                    <w:left w:w="0" w:type="dxa"/>
                    <w:bottom w:w="0" w:type="dxa"/>
                    <w:right w:w="0" w:type="dxa"/>
                  </w:tcMar>
                  <w:vAlign w:val="center"/>
                </w:tcPr>
                <w:p w14:paraId="31472CE7">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41.0 </w:t>
                  </w:r>
                </w:p>
              </w:tc>
              <w:tc>
                <w:tcPr>
                  <w:tcW w:w="155" w:type="pct"/>
                  <w:shd w:val="clear" w:color="auto" w:fill="FFFFFF"/>
                  <w:noWrap w:val="0"/>
                  <w:tcMar>
                    <w:top w:w="0" w:type="dxa"/>
                    <w:left w:w="0" w:type="dxa"/>
                    <w:bottom w:w="0" w:type="dxa"/>
                    <w:right w:w="0" w:type="dxa"/>
                  </w:tcMar>
                  <w:vAlign w:val="center"/>
                </w:tcPr>
                <w:p w14:paraId="7DA9FA9D">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27.8 </w:t>
                  </w:r>
                </w:p>
              </w:tc>
              <w:tc>
                <w:tcPr>
                  <w:tcW w:w="265" w:type="pct"/>
                  <w:shd w:val="clear" w:color="auto" w:fill="FFFFFF"/>
                  <w:noWrap w:val="0"/>
                  <w:tcMar>
                    <w:top w:w="0" w:type="dxa"/>
                    <w:left w:w="0" w:type="dxa"/>
                    <w:bottom w:w="0" w:type="dxa"/>
                    <w:right w:w="0" w:type="dxa"/>
                  </w:tcMar>
                  <w:vAlign w:val="center"/>
                </w:tcPr>
                <w:p w14:paraId="0250684C">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p>
              </w:tc>
            </w:tr>
            <w:tr w14:paraId="310DA9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30" w:hRule="atLeast"/>
              </w:trPr>
              <w:tc>
                <w:tcPr>
                  <w:tcW w:w="165" w:type="pct"/>
                  <w:shd w:val="clear" w:color="auto" w:fill="FFFFFF"/>
                  <w:noWrap w:val="0"/>
                  <w:tcMar>
                    <w:top w:w="0" w:type="dxa"/>
                    <w:left w:w="0" w:type="dxa"/>
                    <w:bottom w:w="0" w:type="dxa"/>
                    <w:right w:w="0" w:type="dxa"/>
                  </w:tcMar>
                  <w:vAlign w:val="center"/>
                </w:tcPr>
                <w:p w14:paraId="69F65320">
                  <w:pPr>
                    <w:shd w:val="clear" w:color="auto" w:fill="auto"/>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5</w:t>
                  </w:r>
                </w:p>
              </w:tc>
              <w:tc>
                <w:tcPr>
                  <w:tcW w:w="301" w:type="pct"/>
                  <w:vMerge w:val="continue"/>
                  <w:shd w:val="clear" w:color="auto" w:fill="FFFFFF"/>
                  <w:noWrap w:val="0"/>
                  <w:tcMar>
                    <w:top w:w="0" w:type="dxa"/>
                    <w:left w:w="0" w:type="dxa"/>
                    <w:bottom w:w="0" w:type="dxa"/>
                    <w:right w:w="0" w:type="dxa"/>
                  </w:tcMar>
                  <w:vAlign w:val="center"/>
                </w:tcPr>
                <w:p w14:paraId="6E46DC6A">
                  <w:pPr>
                    <w:shd w:val="clear" w:color="auto" w:fill="auto"/>
                    <w:jc w:val="center"/>
                    <w:rPr>
                      <w:rFonts w:hint="eastAsia"/>
                      <w:caps w:val="0"/>
                      <w:color w:val="000000" w:themeColor="text1"/>
                      <w:szCs w:val="21"/>
                      <w:highlight w:val="none"/>
                      <w:lang w:val="en-US" w:eastAsia="zh-CN"/>
                      <w14:textFill>
                        <w14:solidFill>
                          <w14:schemeClr w14:val="tx1"/>
                        </w14:solidFill>
                      </w14:textFill>
                    </w:rPr>
                  </w:pPr>
                </w:p>
              </w:tc>
              <w:tc>
                <w:tcPr>
                  <w:tcW w:w="383" w:type="pct"/>
                  <w:shd w:val="clear" w:color="auto" w:fill="FFFFFF"/>
                  <w:noWrap w:val="0"/>
                  <w:tcMar>
                    <w:top w:w="0" w:type="dxa"/>
                    <w:left w:w="0" w:type="dxa"/>
                    <w:bottom w:w="0" w:type="dxa"/>
                    <w:right w:w="0" w:type="dxa"/>
                  </w:tcMar>
                  <w:vAlign w:val="center"/>
                </w:tcPr>
                <w:p w14:paraId="188936EA">
                  <w:pPr>
                    <w:keepNext w:val="0"/>
                    <w:keepLines w:val="0"/>
                    <w:pageBreakBefore w:val="0"/>
                    <w:widowControl w:val="0"/>
                    <w:kinsoku/>
                    <w:wordWrap/>
                    <w:overflowPunct/>
                    <w:topLinePunct w:val="0"/>
                    <w:bidi w:val="0"/>
                    <w:adjustRightInd/>
                    <w:snapToGrid/>
                    <w:jc w:val="center"/>
                    <w:textAlignment w:val="auto"/>
                    <w:rPr>
                      <w:rFonts w:hint="eastAsia"/>
                      <w:szCs w:val="21"/>
                    </w:rPr>
                  </w:pPr>
                  <w:r>
                    <w:rPr>
                      <w:rFonts w:hint="eastAsia"/>
                      <w:caps w:val="0"/>
                      <w:color w:val="000000" w:themeColor="text1"/>
                      <w:szCs w:val="21"/>
                      <w:highlight w:val="none"/>
                      <w:lang w:val="en-US" w:eastAsia="zh-CN"/>
                      <w14:textFill>
                        <w14:solidFill>
                          <w14:schemeClr w14:val="tx1"/>
                        </w14:solidFill>
                      </w14:textFill>
                    </w:rPr>
                    <w:t>冲压机25台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198" w:type="pct"/>
                  <w:shd w:val="clear" w:color="auto" w:fill="FFFFFF"/>
                  <w:noWrap w:val="0"/>
                  <w:tcMar>
                    <w:top w:w="0" w:type="dxa"/>
                    <w:left w:w="0" w:type="dxa"/>
                    <w:bottom w:w="0" w:type="dxa"/>
                    <w:right w:w="0" w:type="dxa"/>
                  </w:tcMar>
                  <w:vAlign w:val="center"/>
                </w:tcPr>
                <w:p w14:paraId="2B715244">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aps w:val="0"/>
                      <w:color w:val="000000" w:themeColor="text1"/>
                      <w:szCs w:val="21"/>
                      <w:highlight w:val="none"/>
                      <w14:textFill>
                        <w14:solidFill>
                          <w14:schemeClr w14:val="tx1"/>
                        </w14:solidFill>
                      </w14:textFill>
                    </w:rPr>
                  </w:pPr>
                </w:p>
              </w:tc>
              <w:tc>
                <w:tcPr>
                  <w:tcW w:w="358" w:type="pct"/>
                  <w:shd w:val="clear" w:color="auto" w:fill="FFFFFF"/>
                  <w:noWrap w:val="0"/>
                  <w:tcMar>
                    <w:top w:w="0" w:type="dxa"/>
                    <w:left w:w="0" w:type="dxa"/>
                    <w:bottom w:w="0" w:type="dxa"/>
                    <w:right w:w="0" w:type="dxa"/>
                  </w:tcMar>
                  <w:vAlign w:val="center"/>
                </w:tcPr>
                <w:p w14:paraId="5B3D713A">
                  <w:pPr>
                    <w:keepNext w:val="0"/>
                    <w:keepLines w:val="0"/>
                    <w:pageBreakBefore w:val="0"/>
                    <w:widowControl w:val="0"/>
                    <w:kinsoku/>
                    <w:wordWrap/>
                    <w:overflowPunct/>
                    <w:topLinePunct w:val="0"/>
                    <w:bidi w:val="0"/>
                    <w:adjustRightInd/>
                    <w:snapToGrid/>
                    <w:jc w:val="center"/>
                    <w:textAlignment w:val="auto"/>
                    <w:rPr>
                      <w:rFonts w:hint="eastAsia"/>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85</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40555BFE">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40</w:t>
                  </w:r>
                </w:p>
              </w:tc>
              <w:tc>
                <w:tcPr>
                  <w:tcW w:w="148" w:type="pct"/>
                  <w:shd w:val="clear" w:color="auto" w:fill="FFFFFF"/>
                  <w:noWrap w:val="0"/>
                  <w:tcMar>
                    <w:top w:w="0" w:type="dxa"/>
                    <w:left w:w="0" w:type="dxa"/>
                    <w:bottom w:w="0" w:type="dxa"/>
                    <w:right w:w="0" w:type="dxa"/>
                  </w:tcMar>
                  <w:vAlign w:val="center"/>
                </w:tcPr>
                <w:p w14:paraId="34309C9E">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-34</w:t>
                  </w:r>
                </w:p>
              </w:tc>
              <w:tc>
                <w:tcPr>
                  <w:tcW w:w="142" w:type="pct"/>
                  <w:shd w:val="clear" w:color="auto" w:fill="FFFFFF"/>
                  <w:noWrap w:val="0"/>
                  <w:tcMar>
                    <w:top w:w="0" w:type="dxa"/>
                    <w:left w:w="0" w:type="dxa"/>
                    <w:bottom w:w="0" w:type="dxa"/>
                    <w:right w:w="0" w:type="dxa"/>
                  </w:tcMar>
                  <w:vAlign w:val="center"/>
                </w:tcPr>
                <w:p w14:paraId="7859463D">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677C29EA">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23</w:t>
                  </w:r>
                </w:p>
              </w:tc>
              <w:tc>
                <w:tcPr>
                  <w:tcW w:w="167" w:type="pct"/>
                  <w:shd w:val="clear" w:color="auto" w:fill="FFFFFF"/>
                  <w:noWrap w:val="0"/>
                  <w:tcMar>
                    <w:top w:w="0" w:type="dxa"/>
                    <w:left w:w="0" w:type="dxa"/>
                    <w:bottom w:w="0" w:type="dxa"/>
                    <w:right w:w="0" w:type="dxa"/>
                  </w:tcMar>
                  <w:vAlign w:val="center"/>
                </w:tcPr>
                <w:p w14:paraId="75CB0C31">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112</w:t>
                  </w:r>
                </w:p>
              </w:tc>
              <w:tc>
                <w:tcPr>
                  <w:tcW w:w="148" w:type="pct"/>
                  <w:shd w:val="clear" w:color="auto" w:fill="FFFFFF"/>
                  <w:noWrap w:val="0"/>
                  <w:tcMar>
                    <w:top w:w="0" w:type="dxa"/>
                    <w:left w:w="0" w:type="dxa"/>
                    <w:bottom w:w="0" w:type="dxa"/>
                    <w:right w:w="0" w:type="dxa"/>
                  </w:tcMar>
                  <w:vAlign w:val="center"/>
                </w:tcPr>
                <w:p w14:paraId="65580EC4">
                  <w:pPr>
                    <w:keepNext w:val="0"/>
                    <w:keepLines w:val="0"/>
                    <w:widowControl/>
                    <w:suppressLineNumbers w:val="0"/>
                    <w:jc w:val="center"/>
                    <w:textAlignment w:val="center"/>
                    <w:rPr>
                      <w:rFonts w:hint="eastAsia"/>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23</w:t>
                  </w:r>
                </w:p>
              </w:tc>
              <w:tc>
                <w:tcPr>
                  <w:tcW w:w="142" w:type="pct"/>
                  <w:shd w:val="clear" w:color="auto" w:fill="FFFFFF"/>
                  <w:noWrap w:val="0"/>
                  <w:tcMar>
                    <w:top w:w="0" w:type="dxa"/>
                    <w:left w:w="0" w:type="dxa"/>
                    <w:bottom w:w="0" w:type="dxa"/>
                    <w:right w:w="0" w:type="dxa"/>
                  </w:tcMar>
                  <w:vAlign w:val="center"/>
                </w:tcPr>
                <w:p w14:paraId="18F68F4E">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186</w:t>
                  </w:r>
                </w:p>
              </w:tc>
              <w:tc>
                <w:tcPr>
                  <w:tcW w:w="142" w:type="pct"/>
                  <w:shd w:val="clear" w:color="auto" w:fill="FFFFFF"/>
                  <w:noWrap w:val="0"/>
                  <w:tcMar>
                    <w:top w:w="0" w:type="dxa"/>
                    <w:left w:w="0" w:type="dxa"/>
                    <w:bottom w:w="0" w:type="dxa"/>
                    <w:right w:w="0" w:type="dxa"/>
                  </w:tcMar>
                  <w:vAlign w:val="center"/>
                </w:tcPr>
                <w:p w14:paraId="21FA46D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57.8</w:t>
                  </w:r>
                </w:p>
              </w:tc>
              <w:tc>
                <w:tcPr>
                  <w:tcW w:w="173" w:type="pct"/>
                  <w:shd w:val="clear" w:color="auto" w:fill="FFFFFF"/>
                  <w:noWrap w:val="0"/>
                  <w:tcMar>
                    <w:top w:w="0" w:type="dxa"/>
                    <w:left w:w="0" w:type="dxa"/>
                    <w:bottom w:w="0" w:type="dxa"/>
                    <w:right w:w="0" w:type="dxa"/>
                  </w:tcMar>
                  <w:vAlign w:val="center"/>
                </w:tcPr>
                <w:p w14:paraId="71256F2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44.0</w:t>
                  </w:r>
                </w:p>
              </w:tc>
              <w:tc>
                <w:tcPr>
                  <w:tcW w:w="173" w:type="pct"/>
                  <w:shd w:val="clear" w:color="auto" w:fill="FFFFFF"/>
                  <w:noWrap w:val="0"/>
                  <w:tcMar>
                    <w:top w:w="0" w:type="dxa"/>
                    <w:left w:w="0" w:type="dxa"/>
                    <w:bottom w:w="0" w:type="dxa"/>
                    <w:right w:w="0" w:type="dxa"/>
                  </w:tcMar>
                  <w:vAlign w:val="center"/>
                </w:tcPr>
                <w:p w14:paraId="4374BF4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57.8</w:t>
                  </w:r>
                </w:p>
              </w:tc>
              <w:tc>
                <w:tcPr>
                  <w:tcW w:w="198" w:type="pct"/>
                  <w:shd w:val="clear" w:color="auto" w:fill="FFFFFF"/>
                  <w:noWrap w:val="0"/>
                  <w:tcMar>
                    <w:top w:w="0" w:type="dxa"/>
                    <w:left w:w="0" w:type="dxa"/>
                    <w:bottom w:w="0" w:type="dxa"/>
                    <w:right w:w="0" w:type="dxa"/>
                  </w:tcMar>
                  <w:vAlign w:val="center"/>
                </w:tcPr>
                <w:p w14:paraId="0432113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39.6</w:t>
                  </w:r>
                </w:p>
              </w:tc>
              <w:tc>
                <w:tcPr>
                  <w:tcW w:w="247" w:type="pct"/>
                  <w:vMerge w:val="continue"/>
                  <w:shd w:val="clear" w:color="auto" w:fill="FFFFFF"/>
                  <w:noWrap w:val="0"/>
                  <w:tcMar>
                    <w:top w:w="0" w:type="dxa"/>
                    <w:left w:w="0" w:type="dxa"/>
                    <w:bottom w:w="0" w:type="dxa"/>
                    <w:right w:w="0" w:type="dxa"/>
                  </w:tcMar>
                  <w:vAlign w:val="center"/>
                </w:tcPr>
                <w:p w14:paraId="10F6382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p>
              </w:tc>
              <w:tc>
                <w:tcPr>
                  <w:tcW w:w="400" w:type="dxa"/>
                  <w:shd w:val="clear" w:color="auto" w:fill="FFFFFF"/>
                  <w:noWrap w:val="0"/>
                  <w:tcMar>
                    <w:top w:w="0" w:type="dxa"/>
                    <w:left w:w="0" w:type="dxa"/>
                    <w:bottom w:w="0" w:type="dxa"/>
                    <w:right w:w="0" w:type="dxa"/>
                  </w:tcMar>
                  <w:vAlign w:val="center"/>
                </w:tcPr>
                <w:p w14:paraId="6052E560">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567" w:type="dxa"/>
                  <w:shd w:val="clear" w:color="auto" w:fill="FFFFFF"/>
                  <w:noWrap w:val="0"/>
                  <w:tcMar>
                    <w:top w:w="0" w:type="dxa"/>
                    <w:left w:w="0" w:type="dxa"/>
                    <w:bottom w:w="0" w:type="dxa"/>
                    <w:right w:w="0" w:type="dxa"/>
                  </w:tcMar>
                  <w:vAlign w:val="center"/>
                </w:tcPr>
                <w:p w14:paraId="2E82B204">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467" w:type="dxa"/>
                  <w:shd w:val="clear" w:color="auto" w:fill="FFFFFF"/>
                  <w:noWrap w:val="0"/>
                  <w:tcMar>
                    <w:top w:w="0" w:type="dxa"/>
                    <w:left w:w="0" w:type="dxa"/>
                    <w:bottom w:w="0" w:type="dxa"/>
                    <w:right w:w="0" w:type="dxa"/>
                  </w:tcMar>
                  <w:vAlign w:val="center"/>
                </w:tcPr>
                <w:p w14:paraId="2C01EE9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477" w:type="dxa"/>
                  <w:shd w:val="clear" w:color="auto" w:fill="FFFFFF"/>
                  <w:noWrap w:val="0"/>
                  <w:tcMar>
                    <w:top w:w="0" w:type="dxa"/>
                    <w:left w:w="0" w:type="dxa"/>
                    <w:bottom w:w="0" w:type="dxa"/>
                    <w:right w:w="0" w:type="dxa"/>
                  </w:tcMar>
                  <w:vAlign w:val="center"/>
                </w:tcPr>
                <w:p w14:paraId="229A9A5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05ED002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37.8 </w:t>
                  </w:r>
                </w:p>
              </w:tc>
              <w:tc>
                <w:tcPr>
                  <w:tcW w:w="154" w:type="pct"/>
                  <w:shd w:val="clear" w:color="auto" w:fill="FFFFFF"/>
                  <w:noWrap w:val="0"/>
                  <w:tcMar>
                    <w:top w:w="0" w:type="dxa"/>
                    <w:left w:w="0" w:type="dxa"/>
                    <w:bottom w:w="0" w:type="dxa"/>
                    <w:right w:w="0" w:type="dxa"/>
                  </w:tcMar>
                  <w:vAlign w:val="center"/>
                </w:tcPr>
                <w:p w14:paraId="5D2C1440">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24.0 </w:t>
                  </w:r>
                </w:p>
              </w:tc>
              <w:tc>
                <w:tcPr>
                  <w:tcW w:w="155" w:type="pct"/>
                  <w:shd w:val="clear" w:color="auto" w:fill="FFFFFF"/>
                  <w:noWrap w:val="0"/>
                  <w:tcMar>
                    <w:top w:w="0" w:type="dxa"/>
                    <w:left w:w="0" w:type="dxa"/>
                    <w:bottom w:w="0" w:type="dxa"/>
                    <w:right w:w="0" w:type="dxa"/>
                  </w:tcMar>
                  <w:vAlign w:val="center"/>
                </w:tcPr>
                <w:p w14:paraId="1EC6A7F0">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37.8 </w:t>
                  </w:r>
                </w:p>
              </w:tc>
              <w:tc>
                <w:tcPr>
                  <w:tcW w:w="155" w:type="pct"/>
                  <w:shd w:val="clear" w:color="auto" w:fill="FFFFFF"/>
                  <w:noWrap w:val="0"/>
                  <w:tcMar>
                    <w:top w:w="0" w:type="dxa"/>
                    <w:left w:w="0" w:type="dxa"/>
                    <w:bottom w:w="0" w:type="dxa"/>
                    <w:right w:w="0" w:type="dxa"/>
                  </w:tcMar>
                  <w:vAlign w:val="center"/>
                </w:tcPr>
                <w:p w14:paraId="6399D54E">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19.6 </w:t>
                  </w:r>
                </w:p>
              </w:tc>
              <w:tc>
                <w:tcPr>
                  <w:tcW w:w="265" w:type="pct"/>
                  <w:shd w:val="clear" w:color="auto" w:fill="FFFFFF"/>
                  <w:noWrap w:val="0"/>
                  <w:tcMar>
                    <w:top w:w="0" w:type="dxa"/>
                    <w:left w:w="0" w:type="dxa"/>
                    <w:bottom w:w="0" w:type="dxa"/>
                    <w:right w:w="0" w:type="dxa"/>
                  </w:tcMar>
                  <w:vAlign w:val="center"/>
                </w:tcPr>
                <w:p w14:paraId="532B65EF">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p>
              </w:tc>
            </w:tr>
            <w:tr w14:paraId="262416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30" w:hRule="atLeast"/>
              </w:trPr>
              <w:tc>
                <w:tcPr>
                  <w:tcW w:w="165" w:type="pct"/>
                  <w:shd w:val="clear" w:color="auto" w:fill="FFFFFF"/>
                  <w:noWrap w:val="0"/>
                  <w:tcMar>
                    <w:top w:w="0" w:type="dxa"/>
                    <w:left w:w="0" w:type="dxa"/>
                    <w:bottom w:w="0" w:type="dxa"/>
                    <w:right w:w="0" w:type="dxa"/>
                  </w:tcMar>
                  <w:vAlign w:val="center"/>
                </w:tcPr>
                <w:p w14:paraId="79CC83B5">
                  <w:pPr>
                    <w:shd w:val="clear" w:color="auto" w:fill="auto"/>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6</w:t>
                  </w:r>
                </w:p>
              </w:tc>
              <w:tc>
                <w:tcPr>
                  <w:tcW w:w="301" w:type="pct"/>
                  <w:vMerge w:val="continue"/>
                  <w:shd w:val="clear" w:color="auto" w:fill="FFFFFF"/>
                  <w:noWrap w:val="0"/>
                  <w:tcMar>
                    <w:top w:w="0" w:type="dxa"/>
                    <w:left w:w="0" w:type="dxa"/>
                    <w:bottom w:w="0" w:type="dxa"/>
                    <w:right w:w="0" w:type="dxa"/>
                  </w:tcMar>
                  <w:vAlign w:val="center"/>
                </w:tcPr>
                <w:p w14:paraId="32B1519B">
                  <w:pPr>
                    <w:shd w:val="clear" w:color="auto" w:fill="auto"/>
                    <w:jc w:val="center"/>
                    <w:rPr>
                      <w:rFonts w:hint="eastAsia"/>
                      <w:caps w:val="0"/>
                      <w:color w:val="000000" w:themeColor="text1"/>
                      <w:szCs w:val="21"/>
                      <w:highlight w:val="none"/>
                      <w:lang w:val="en-US" w:eastAsia="zh-CN"/>
                      <w14:textFill>
                        <w14:solidFill>
                          <w14:schemeClr w14:val="tx1"/>
                        </w14:solidFill>
                      </w14:textFill>
                    </w:rPr>
                  </w:pPr>
                </w:p>
              </w:tc>
              <w:tc>
                <w:tcPr>
                  <w:tcW w:w="383" w:type="pct"/>
                  <w:shd w:val="clear" w:color="auto" w:fill="FFFFFF"/>
                  <w:noWrap w:val="0"/>
                  <w:tcMar>
                    <w:top w:w="0" w:type="dxa"/>
                    <w:left w:w="0" w:type="dxa"/>
                    <w:bottom w:w="0" w:type="dxa"/>
                    <w:right w:w="0" w:type="dxa"/>
                  </w:tcMar>
                  <w:vAlign w:val="center"/>
                </w:tcPr>
                <w:p w14:paraId="606B3618">
                  <w:pPr>
                    <w:keepNext w:val="0"/>
                    <w:keepLines w:val="0"/>
                    <w:pageBreakBefore w:val="0"/>
                    <w:widowControl w:val="0"/>
                    <w:kinsoku/>
                    <w:wordWrap/>
                    <w:overflowPunct/>
                    <w:topLinePunct w:val="0"/>
                    <w:bidi w:val="0"/>
                    <w:adjustRightInd/>
                    <w:snapToGrid/>
                    <w:jc w:val="center"/>
                    <w:textAlignment w:val="auto"/>
                    <w:rPr>
                      <w:rFonts w:hint="eastAsia"/>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冲压件废料输送线</w:t>
                  </w:r>
                </w:p>
              </w:tc>
              <w:tc>
                <w:tcPr>
                  <w:tcW w:w="198" w:type="pct"/>
                  <w:shd w:val="clear" w:color="auto" w:fill="FFFFFF"/>
                  <w:noWrap w:val="0"/>
                  <w:tcMar>
                    <w:top w:w="0" w:type="dxa"/>
                    <w:left w:w="0" w:type="dxa"/>
                    <w:bottom w:w="0" w:type="dxa"/>
                    <w:right w:w="0" w:type="dxa"/>
                  </w:tcMar>
                  <w:vAlign w:val="center"/>
                </w:tcPr>
                <w:p w14:paraId="093EC3C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aps w:val="0"/>
                      <w:color w:val="000000" w:themeColor="text1"/>
                      <w:szCs w:val="21"/>
                      <w:highlight w:val="none"/>
                      <w14:textFill>
                        <w14:solidFill>
                          <w14:schemeClr w14:val="tx1"/>
                        </w14:solidFill>
                      </w14:textFill>
                    </w:rPr>
                  </w:pPr>
                </w:p>
              </w:tc>
              <w:tc>
                <w:tcPr>
                  <w:tcW w:w="358" w:type="pct"/>
                  <w:shd w:val="clear" w:color="auto" w:fill="FFFFFF"/>
                  <w:noWrap w:val="0"/>
                  <w:tcMar>
                    <w:top w:w="0" w:type="dxa"/>
                    <w:left w:w="0" w:type="dxa"/>
                    <w:bottom w:w="0" w:type="dxa"/>
                    <w:right w:w="0" w:type="dxa"/>
                  </w:tcMar>
                  <w:vAlign w:val="center"/>
                </w:tcPr>
                <w:p w14:paraId="4FB8570C">
                  <w:pPr>
                    <w:keepNext w:val="0"/>
                    <w:keepLines w:val="0"/>
                    <w:pageBreakBefore w:val="0"/>
                    <w:widowControl w:val="0"/>
                    <w:kinsoku/>
                    <w:wordWrap/>
                    <w:overflowPunct/>
                    <w:topLinePunct w:val="0"/>
                    <w:bidi w:val="0"/>
                    <w:adjustRightInd/>
                    <w:snapToGrid/>
                    <w:jc w:val="center"/>
                    <w:textAlignment w:val="auto"/>
                    <w:rPr>
                      <w:rFonts w:hint="eastAsia"/>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78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52" w:type="pct"/>
                  <w:shd w:val="clear" w:color="auto" w:fill="FFFFFF"/>
                  <w:noWrap w:val="0"/>
                  <w:tcMar>
                    <w:top w:w="0" w:type="dxa"/>
                    <w:left w:w="0" w:type="dxa"/>
                    <w:bottom w:w="0" w:type="dxa"/>
                    <w:right w:w="0" w:type="dxa"/>
                  </w:tcMar>
                  <w:vAlign w:val="center"/>
                </w:tcPr>
                <w:p w14:paraId="16192E21">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48" w:type="pct"/>
                  <w:shd w:val="clear" w:color="auto" w:fill="FFFFFF"/>
                  <w:noWrap w:val="0"/>
                  <w:tcMar>
                    <w:top w:w="0" w:type="dxa"/>
                    <w:left w:w="0" w:type="dxa"/>
                    <w:bottom w:w="0" w:type="dxa"/>
                    <w:right w:w="0" w:type="dxa"/>
                  </w:tcMar>
                  <w:vAlign w:val="center"/>
                </w:tcPr>
                <w:p w14:paraId="71DC9465">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-87</w:t>
                  </w:r>
                </w:p>
              </w:tc>
              <w:tc>
                <w:tcPr>
                  <w:tcW w:w="142" w:type="pct"/>
                  <w:shd w:val="clear" w:color="auto" w:fill="FFFFFF"/>
                  <w:noWrap w:val="0"/>
                  <w:tcMar>
                    <w:top w:w="0" w:type="dxa"/>
                    <w:left w:w="0" w:type="dxa"/>
                    <w:bottom w:w="0" w:type="dxa"/>
                    <w:right w:w="0" w:type="dxa"/>
                  </w:tcMar>
                  <w:vAlign w:val="center"/>
                </w:tcPr>
                <w:p w14:paraId="21BBB004">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0" w:type="pct"/>
                  <w:shd w:val="clear" w:color="auto" w:fill="FFFFFF"/>
                  <w:noWrap w:val="0"/>
                  <w:tcMar>
                    <w:top w:w="0" w:type="dxa"/>
                    <w:left w:w="0" w:type="dxa"/>
                    <w:bottom w:w="0" w:type="dxa"/>
                    <w:right w:w="0" w:type="dxa"/>
                  </w:tcMar>
                  <w:vAlign w:val="center"/>
                </w:tcPr>
                <w:p w14:paraId="1EE90FD4">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53</w:t>
                  </w:r>
                </w:p>
              </w:tc>
              <w:tc>
                <w:tcPr>
                  <w:tcW w:w="167" w:type="pct"/>
                  <w:shd w:val="clear" w:color="auto" w:fill="FFFFFF"/>
                  <w:noWrap w:val="0"/>
                  <w:tcMar>
                    <w:top w:w="0" w:type="dxa"/>
                    <w:left w:w="0" w:type="dxa"/>
                    <w:bottom w:w="0" w:type="dxa"/>
                    <w:right w:w="0" w:type="dxa"/>
                  </w:tcMar>
                  <w:vAlign w:val="center"/>
                </w:tcPr>
                <w:p w14:paraId="434CC4DF">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59</w:t>
                  </w:r>
                </w:p>
              </w:tc>
              <w:tc>
                <w:tcPr>
                  <w:tcW w:w="148" w:type="pct"/>
                  <w:shd w:val="clear" w:color="auto" w:fill="FFFFFF"/>
                  <w:noWrap w:val="0"/>
                  <w:tcMar>
                    <w:top w:w="0" w:type="dxa"/>
                    <w:left w:w="0" w:type="dxa"/>
                    <w:bottom w:w="0" w:type="dxa"/>
                    <w:right w:w="0" w:type="dxa"/>
                  </w:tcMar>
                  <w:vAlign w:val="center"/>
                </w:tcPr>
                <w:p w14:paraId="58BEB7BD">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53</w:t>
                  </w:r>
                </w:p>
              </w:tc>
              <w:tc>
                <w:tcPr>
                  <w:tcW w:w="142" w:type="pct"/>
                  <w:shd w:val="clear" w:color="auto" w:fill="FFFFFF"/>
                  <w:noWrap w:val="0"/>
                  <w:tcMar>
                    <w:top w:w="0" w:type="dxa"/>
                    <w:left w:w="0" w:type="dxa"/>
                    <w:bottom w:w="0" w:type="dxa"/>
                    <w:right w:w="0" w:type="dxa"/>
                  </w:tcMar>
                  <w:vAlign w:val="center"/>
                </w:tcPr>
                <w:p w14:paraId="24F29F5D">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156</w:t>
                  </w:r>
                </w:p>
              </w:tc>
              <w:tc>
                <w:tcPr>
                  <w:tcW w:w="142" w:type="pct"/>
                  <w:shd w:val="clear" w:color="auto" w:fill="FFFFFF"/>
                  <w:noWrap w:val="0"/>
                  <w:tcMar>
                    <w:top w:w="0" w:type="dxa"/>
                    <w:left w:w="0" w:type="dxa"/>
                    <w:bottom w:w="0" w:type="dxa"/>
                    <w:right w:w="0" w:type="dxa"/>
                  </w:tcMar>
                  <w:vAlign w:val="center"/>
                </w:tcPr>
                <w:p w14:paraId="11AC3A5D">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45.5</w:t>
                  </w:r>
                </w:p>
              </w:tc>
              <w:tc>
                <w:tcPr>
                  <w:tcW w:w="173" w:type="pct"/>
                  <w:shd w:val="clear" w:color="auto" w:fill="FFFFFF"/>
                  <w:noWrap w:val="0"/>
                  <w:tcMar>
                    <w:top w:w="0" w:type="dxa"/>
                    <w:left w:w="0" w:type="dxa"/>
                    <w:bottom w:w="0" w:type="dxa"/>
                    <w:right w:w="0" w:type="dxa"/>
                  </w:tcMar>
                  <w:vAlign w:val="center"/>
                </w:tcPr>
                <w:p w14:paraId="4B3B383E">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44.6</w:t>
                  </w:r>
                </w:p>
              </w:tc>
              <w:tc>
                <w:tcPr>
                  <w:tcW w:w="173" w:type="pct"/>
                  <w:shd w:val="clear" w:color="auto" w:fill="FFFFFF"/>
                  <w:noWrap w:val="0"/>
                  <w:tcMar>
                    <w:top w:w="0" w:type="dxa"/>
                    <w:left w:w="0" w:type="dxa"/>
                    <w:bottom w:w="0" w:type="dxa"/>
                    <w:right w:w="0" w:type="dxa"/>
                  </w:tcMar>
                  <w:vAlign w:val="center"/>
                </w:tcPr>
                <w:p w14:paraId="5416C90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45.5</w:t>
                  </w:r>
                </w:p>
              </w:tc>
              <w:tc>
                <w:tcPr>
                  <w:tcW w:w="198" w:type="pct"/>
                  <w:shd w:val="clear" w:color="auto" w:fill="FFFFFF"/>
                  <w:noWrap w:val="0"/>
                  <w:tcMar>
                    <w:top w:w="0" w:type="dxa"/>
                    <w:left w:w="0" w:type="dxa"/>
                    <w:bottom w:w="0" w:type="dxa"/>
                    <w:right w:w="0" w:type="dxa"/>
                  </w:tcMar>
                  <w:vAlign w:val="center"/>
                </w:tcPr>
                <w:p w14:paraId="418B13AE">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36.1</w:t>
                  </w:r>
                </w:p>
              </w:tc>
              <w:tc>
                <w:tcPr>
                  <w:tcW w:w="247" w:type="pct"/>
                  <w:vMerge w:val="continue"/>
                  <w:shd w:val="clear" w:color="auto" w:fill="FFFFFF"/>
                  <w:noWrap w:val="0"/>
                  <w:tcMar>
                    <w:top w:w="0" w:type="dxa"/>
                    <w:left w:w="0" w:type="dxa"/>
                    <w:bottom w:w="0" w:type="dxa"/>
                    <w:right w:w="0" w:type="dxa"/>
                  </w:tcMar>
                  <w:vAlign w:val="center"/>
                </w:tcPr>
                <w:p w14:paraId="7542EB3E">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p>
              </w:tc>
              <w:tc>
                <w:tcPr>
                  <w:tcW w:w="400" w:type="dxa"/>
                  <w:shd w:val="clear" w:color="auto" w:fill="FFFFFF"/>
                  <w:noWrap w:val="0"/>
                  <w:tcMar>
                    <w:top w:w="0" w:type="dxa"/>
                    <w:left w:w="0" w:type="dxa"/>
                    <w:bottom w:w="0" w:type="dxa"/>
                    <w:right w:w="0" w:type="dxa"/>
                  </w:tcMar>
                  <w:vAlign w:val="center"/>
                </w:tcPr>
                <w:p w14:paraId="3B848DE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567" w:type="dxa"/>
                  <w:shd w:val="clear" w:color="auto" w:fill="FFFFFF"/>
                  <w:noWrap w:val="0"/>
                  <w:tcMar>
                    <w:top w:w="0" w:type="dxa"/>
                    <w:left w:w="0" w:type="dxa"/>
                    <w:bottom w:w="0" w:type="dxa"/>
                    <w:right w:w="0" w:type="dxa"/>
                  </w:tcMar>
                  <w:vAlign w:val="center"/>
                </w:tcPr>
                <w:p w14:paraId="346CC81B">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467" w:type="dxa"/>
                  <w:shd w:val="clear" w:color="auto" w:fill="FFFFFF"/>
                  <w:noWrap w:val="0"/>
                  <w:tcMar>
                    <w:top w:w="0" w:type="dxa"/>
                    <w:left w:w="0" w:type="dxa"/>
                    <w:bottom w:w="0" w:type="dxa"/>
                    <w:right w:w="0" w:type="dxa"/>
                  </w:tcMar>
                  <w:vAlign w:val="center"/>
                </w:tcPr>
                <w:p w14:paraId="66E2BE8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477" w:type="dxa"/>
                  <w:shd w:val="clear" w:color="auto" w:fill="FFFFFF"/>
                  <w:noWrap w:val="0"/>
                  <w:tcMar>
                    <w:top w:w="0" w:type="dxa"/>
                    <w:left w:w="0" w:type="dxa"/>
                    <w:bottom w:w="0" w:type="dxa"/>
                    <w:right w:w="0" w:type="dxa"/>
                  </w:tcMar>
                  <w:vAlign w:val="center"/>
                </w:tcPr>
                <w:p w14:paraId="7EC18676">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20</w:t>
                  </w:r>
                </w:p>
              </w:tc>
              <w:tc>
                <w:tcPr>
                  <w:tcW w:w="154" w:type="pct"/>
                  <w:shd w:val="clear" w:color="auto" w:fill="FFFFFF"/>
                  <w:noWrap w:val="0"/>
                  <w:tcMar>
                    <w:top w:w="0" w:type="dxa"/>
                    <w:left w:w="0" w:type="dxa"/>
                    <w:bottom w:w="0" w:type="dxa"/>
                    <w:right w:w="0" w:type="dxa"/>
                  </w:tcMar>
                  <w:vAlign w:val="center"/>
                </w:tcPr>
                <w:p w14:paraId="009DE03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25.5 </w:t>
                  </w:r>
                </w:p>
              </w:tc>
              <w:tc>
                <w:tcPr>
                  <w:tcW w:w="154" w:type="pct"/>
                  <w:shd w:val="clear" w:color="auto" w:fill="FFFFFF"/>
                  <w:noWrap w:val="0"/>
                  <w:tcMar>
                    <w:top w:w="0" w:type="dxa"/>
                    <w:left w:w="0" w:type="dxa"/>
                    <w:bottom w:w="0" w:type="dxa"/>
                    <w:right w:w="0" w:type="dxa"/>
                  </w:tcMar>
                  <w:vAlign w:val="center"/>
                </w:tcPr>
                <w:p w14:paraId="04A12CE3">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24.6 </w:t>
                  </w:r>
                </w:p>
              </w:tc>
              <w:tc>
                <w:tcPr>
                  <w:tcW w:w="155" w:type="pct"/>
                  <w:shd w:val="clear" w:color="auto" w:fill="FFFFFF"/>
                  <w:noWrap w:val="0"/>
                  <w:tcMar>
                    <w:top w:w="0" w:type="dxa"/>
                    <w:left w:w="0" w:type="dxa"/>
                    <w:bottom w:w="0" w:type="dxa"/>
                    <w:right w:w="0" w:type="dxa"/>
                  </w:tcMar>
                  <w:vAlign w:val="center"/>
                </w:tcPr>
                <w:p w14:paraId="0647239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25.5 </w:t>
                  </w:r>
                </w:p>
              </w:tc>
              <w:tc>
                <w:tcPr>
                  <w:tcW w:w="155" w:type="pct"/>
                  <w:shd w:val="clear" w:color="auto" w:fill="FFFFFF"/>
                  <w:noWrap w:val="0"/>
                  <w:tcMar>
                    <w:top w:w="0" w:type="dxa"/>
                    <w:left w:w="0" w:type="dxa"/>
                    <w:bottom w:w="0" w:type="dxa"/>
                    <w:right w:w="0" w:type="dxa"/>
                  </w:tcMar>
                  <w:vAlign w:val="center"/>
                </w:tcPr>
                <w:p w14:paraId="5CB63042">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 xml:space="preserve">16.1 </w:t>
                  </w:r>
                </w:p>
              </w:tc>
              <w:tc>
                <w:tcPr>
                  <w:tcW w:w="265" w:type="pct"/>
                  <w:shd w:val="clear" w:color="auto" w:fill="FFFFFF"/>
                  <w:noWrap w:val="0"/>
                  <w:tcMar>
                    <w:top w:w="0" w:type="dxa"/>
                    <w:left w:w="0" w:type="dxa"/>
                    <w:bottom w:w="0" w:type="dxa"/>
                    <w:right w:w="0" w:type="dxa"/>
                  </w:tcMar>
                  <w:vAlign w:val="center"/>
                </w:tcPr>
                <w:p w14:paraId="3013F508">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p>
              </w:tc>
            </w:tr>
          </w:tbl>
          <w:p w14:paraId="61340493">
            <w:pPr>
              <w:keepNext w:val="0"/>
              <w:keepLines w:val="0"/>
              <w:pageBreakBefore w:val="0"/>
              <w:widowControl w:val="0"/>
              <w:kinsoku/>
              <w:wordWrap/>
              <w:overflowPunct/>
              <w:topLinePunct w:val="0"/>
              <w:bidi w:val="0"/>
              <w:adjustRightInd/>
              <w:snapToGrid/>
              <w:textAlignment w:val="auto"/>
              <w:rPr>
                <w:rFonts w:ascii="Times New Roman" w:hAnsi="Times New Roman" w:eastAsia="宋体"/>
                <w:caps w:val="0"/>
                <w:color w:val="000000" w:themeColor="text1"/>
                <w:sz w:val="22"/>
                <w:szCs w:val="22"/>
                <w:highlight w:val="none"/>
                <w14:textFill>
                  <w14:solidFill>
                    <w14:schemeClr w14:val="tx1"/>
                  </w14:solidFill>
                </w14:textFill>
              </w:rPr>
            </w:pPr>
            <w:r>
              <w:rPr>
                <w:rFonts w:hint="eastAsia" w:ascii="Times New Roman" w:hAnsi="Times New Roman" w:eastAsia="宋体"/>
                <w:bCs/>
                <w:caps w:val="0"/>
                <w:color w:val="000000" w:themeColor="text1"/>
                <w:szCs w:val="21"/>
                <w:highlight w:val="none"/>
                <w14:textFill>
                  <w14:solidFill>
                    <w14:schemeClr w14:val="tx1"/>
                  </w14:solidFill>
                </w14:textFill>
              </w:rPr>
              <w:t>注：</w:t>
            </w:r>
            <w:r>
              <w:rPr>
                <w:rFonts w:ascii="Times New Roman" w:hAnsi="Times New Roman" w:eastAsia="宋体"/>
                <w:bCs/>
                <w:caps w:val="0"/>
                <w:color w:val="000000" w:themeColor="text1"/>
                <w:szCs w:val="21"/>
                <w:highlight w:val="none"/>
                <w14:textFill>
                  <w14:solidFill>
                    <w14:schemeClr w14:val="tx1"/>
                  </w14:solidFill>
                </w14:textFill>
              </w:rPr>
              <w:t>表中坐标以</w:t>
            </w:r>
            <w:r>
              <w:rPr>
                <w:rFonts w:hint="eastAsia"/>
                <w:bCs/>
                <w:caps w:val="0"/>
                <w:color w:val="000000" w:themeColor="text1"/>
                <w:szCs w:val="21"/>
                <w:highlight w:val="none"/>
                <w:lang w:val="en-US" w:eastAsia="zh-CN"/>
                <w14:textFill>
                  <w14:solidFill>
                    <w14:schemeClr w14:val="tx1"/>
                  </w14:solidFill>
                </w14:textFill>
              </w:rPr>
              <w:t>厂房中心点</w:t>
            </w:r>
            <w:r>
              <w:rPr>
                <w:rFonts w:ascii="Times New Roman" w:hAnsi="Times New Roman" w:eastAsia="宋体"/>
                <w:bCs/>
                <w:caps w:val="0"/>
                <w:color w:val="000000" w:themeColor="text1"/>
                <w:szCs w:val="21"/>
                <w:highlight w:val="none"/>
                <w14:textFill>
                  <w14:solidFill>
                    <w14:schemeClr w14:val="tx1"/>
                  </w14:solidFill>
                </w14:textFill>
              </w:rPr>
              <w:t>为坐标原点，正</w:t>
            </w:r>
            <w:r>
              <w:rPr>
                <w:rFonts w:hint="eastAsia"/>
                <w:bCs/>
                <w:caps w:val="0"/>
                <w:color w:val="000000" w:themeColor="text1"/>
                <w:szCs w:val="21"/>
                <w:highlight w:val="none"/>
                <w:lang w:val="en-US" w:eastAsia="zh-CN"/>
                <w14:textFill>
                  <w14:solidFill>
                    <w14:schemeClr w14:val="tx1"/>
                  </w14:solidFill>
                </w14:textFill>
              </w:rPr>
              <w:t>东</w:t>
            </w:r>
            <w:r>
              <w:rPr>
                <w:rFonts w:ascii="Times New Roman" w:hAnsi="Times New Roman" w:eastAsia="宋体"/>
                <w:bCs/>
                <w:caps w:val="0"/>
                <w:color w:val="000000" w:themeColor="text1"/>
                <w:szCs w:val="21"/>
                <w:highlight w:val="none"/>
                <w14:textFill>
                  <w14:solidFill>
                    <w14:schemeClr w14:val="tx1"/>
                  </w14:solidFill>
                </w14:textFill>
              </w:rPr>
              <w:t>向为X轴正方向，正</w:t>
            </w:r>
            <w:r>
              <w:rPr>
                <w:rFonts w:hint="eastAsia"/>
                <w:bCs/>
                <w:caps w:val="0"/>
                <w:color w:val="000000" w:themeColor="text1"/>
                <w:szCs w:val="21"/>
                <w:highlight w:val="none"/>
                <w:lang w:val="en-US" w:eastAsia="zh-CN"/>
                <w14:textFill>
                  <w14:solidFill>
                    <w14:schemeClr w14:val="tx1"/>
                  </w14:solidFill>
                </w14:textFill>
              </w:rPr>
              <w:t>北</w:t>
            </w:r>
            <w:r>
              <w:rPr>
                <w:rFonts w:ascii="Times New Roman" w:hAnsi="Times New Roman" w:eastAsia="宋体"/>
                <w:bCs/>
                <w:caps w:val="0"/>
                <w:color w:val="000000" w:themeColor="text1"/>
                <w:szCs w:val="21"/>
                <w:highlight w:val="none"/>
                <w14:textFill>
                  <w14:solidFill>
                    <w14:schemeClr w14:val="tx1"/>
                  </w14:solidFill>
                </w14:textFill>
              </w:rPr>
              <w:t>向为Y轴正方向</w:t>
            </w:r>
            <w:r>
              <w:rPr>
                <w:rFonts w:hint="eastAsia" w:ascii="Times New Roman" w:hAnsi="Times New Roman" w:eastAsia="宋体"/>
                <w:bCs/>
                <w:caps w:val="0"/>
                <w:color w:val="000000" w:themeColor="text1"/>
                <w:szCs w:val="21"/>
                <w:highlight w:val="none"/>
                <w14:textFill>
                  <w14:solidFill>
                    <w14:schemeClr w14:val="tx1"/>
                  </w14:solidFill>
                </w14:textFill>
              </w:rPr>
              <w:t>。</w:t>
            </w:r>
          </w:p>
          <w:p w14:paraId="04AD899B">
            <w:pPr>
              <w:pStyle w:val="1105"/>
              <w:ind w:firstLine="0" w:firstLineChars="0"/>
              <w:jc w:val="center"/>
              <w:rPr>
                <w:rFonts w:ascii="Times New Roman" w:hAnsi="Times New Roman" w:eastAsia="宋体" w:cs="Times New Roman"/>
                <w:b/>
                <w:bCs/>
                <w:caps w:val="0"/>
                <w:color w:val="000000" w:themeColor="text1"/>
                <w:highlight w:val="none"/>
                <w14:textFill>
                  <w14:solidFill>
                    <w14:schemeClr w14:val="tx1"/>
                  </w14:solidFill>
                </w14:textFill>
              </w:rPr>
            </w:pPr>
          </w:p>
          <w:p w14:paraId="7B5660ED">
            <w:pPr>
              <w:pStyle w:val="1105"/>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ascii="Times New Roman" w:hAnsi="Times New Roman" w:eastAsia="宋体" w:cs="Times New Roman"/>
                <w:b/>
                <w:bCs/>
                <w:caps w:val="0"/>
                <w:color w:val="000000" w:themeColor="text1"/>
                <w:highlight w:val="none"/>
                <w14:textFill>
                  <w14:solidFill>
                    <w14:schemeClr w14:val="tx1"/>
                  </w14:solidFill>
                </w14:textFill>
              </w:rPr>
              <w:t>表 4-</w:t>
            </w:r>
            <w:r>
              <w:rPr>
                <w:rFonts w:hint="eastAsia" w:ascii="Times New Roman" w:hAnsi="Times New Roman" w:cs="Times New Roman"/>
                <w:b/>
                <w:bCs/>
                <w:caps w:val="0"/>
                <w:color w:val="000000" w:themeColor="text1"/>
                <w:highlight w:val="none"/>
                <w:lang w:val="en-US" w:eastAsia="zh-CN"/>
                <w14:textFill>
                  <w14:solidFill>
                    <w14:schemeClr w14:val="tx1"/>
                  </w14:solidFill>
                </w14:textFill>
              </w:rPr>
              <w:t>9</w:t>
            </w:r>
            <w:r>
              <w:rPr>
                <w:rFonts w:ascii="Times New Roman" w:hAnsi="Times New Roman" w:eastAsia="宋体" w:cs="Times New Roman"/>
                <w:b/>
                <w:bCs/>
                <w:caps w:val="0"/>
                <w:color w:val="000000" w:themeColor="text1"/>
                <w:highlight w:val="none"/>
                <w14:textFill>
                  <w14:solidFill>
                    <w14:schemeClr w14:val="tx1"/>
                  </w14:solidFill>
                </w14:textFill>
              </w:rPr>
              <w:t xml:space="preserve"> 工业企业噪声源强调查清单（室外声源）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587"/>
              <w:gridCol w:w="958"/>
              <w:gridCol w:w="1017"/>
              <w:gridCol w:w="1017"/>
              <w:gridCol w:w="781"/>
              <w:gridCol w:w="3248"/>
              <w:gridCol w:w="2220"/>
              <w:gridCol w:w="1587"/>
            </w:tblGrid>
            <w:tr w14:paraId="12FB5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357" w:type="pct"/>
                  <w:vMerge w:val="restart"/>
                  <w:tcBorders>
                    <w:tl2br w:val="nil"/>
                    <w:tr2bl w:val="nil"/>
                  </w:tcBorders>
                  <w:vAlign w:val="center"/>
                </w:tcPr>
                <w:p w14:paraId="783FE8EE">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593" w:type="pct"/>
                  <w:vMerge w:val="restart"/>
                  <w:tcBorders>
                    <w:tl2br w:val="nil"/>
                    <w:tr2bl w:val="nil"/>
                  </w:tcBorders>
                  <w:vAlign w:val="center"/>
                </w:tcPr>
                <w:p w14:paraId="60167355">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声源名称</w:t>
                  </w:r>
                </w:p>
              </w:tc>
              <w:tc>
                <w:tcPr>
                  <w:tcW w:w="358" w:type="pct"/>
                  <w:vMerge w:val="restart"/>
                  <w:tcBorders>
                    <w:tl2br w:val="nil"/>
                    <w:tr2bl w:val="nil"/>
                  </w:tcBorders>
                  <w:vAlign w:val="center"/>
                </w:tcPr>
                <w:p w14:paraId="081E7E37">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型号</w:t>
                  </w:r>
                </w:p>
              </w:tc>
              <w:tc>
                <w:tcPr>
                  <w:tcW w:w="1052" w:type="pct"/>
                  <w:gridSpan w:val="3"/>
                  <w:tcBorders>
                    <w:tl2br w:val="nil"/>
                    <w:tr2bl w:val="nil"/>
                  </w:tcBorders>
                  <w:vAlign w:val="center"/>
                </w:tcPr>
                <w:p w14:paraId="6BD63C36">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空间相对位置/m</w:t>
                  </w:r>
                </w:p>
              </w:tc>
              <w:tc>
                <w:tcPr>
                  <w:tcW w:w="1214" w:type="pct"/>
                  <w:tcBorders>
                    <w:tl2br w:val="nil"/>
                    <w:tr2bl w:val="nil"/>
                  </w:tcBorders>
                  <w:vAlign w:val="center"/>
                </w:tcPr>
                <w:p w14:paraId="0537667A">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声源源强（任选一种）</w:t>
                  </w:r>
                </w:p>
              </w:tc>
              <w:tc>
                <w:tcPr>
                  <w:tcW w:w="830" w:type="pct"/>
                  <w:vMerge w:val="restart"/>
                  <w:tcBorders>
                    <w:tl2br w:val="nil"/>
                    <w:tr2bl w:val="nil"/>
                  </w:tcBorders>
                  <w:vAlign w:val="center"/>
                </w:tcPr>
                <w:p w14:paraId="3F608B5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声源控制措施</w:t>
                  </w:r>
                </w:p>
              </w:tc>
              <w:tc>
                <w:tcPr>
                  <w:tcW w:w="593" w:type="pct"/>
                  <w:vMerge w:val="restart"/>
                  <w:tcBorders>
                    <w:tl2br w:val="nil"/>
                    <w:tr2bl w:val="nil"/>
                  </w:tcBorders>
                  <w:vAlign w:val="center"/>
                </w:tcPr>
                <w:p w14:paraId="5B1A43D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运行时段</w:t>
                  </w:r>
                </w:p>
              </w:tc>
            </w:tr>
            <w:tr w14:paraId="280949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57" w:type="pct"/>
                  <w:vMerge w:val="continue"/>
                  <w:tcBorders>
                    <w:tl2br w:val="nil"/>
                    <w:tr2bl w:val="nil"/>
                  </w:tcBorders>
                  <w:shd w:val="clear" w:color="auto" w:fill="FFFFFF"/>
                  <w:vAlign w:val="center"/>
                </w:tcPr>
                <w:p w14:paraId="50C1FA9C">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593" w:type="pct"/>
                  <w:vMerge w:val="continue"/>
                  <w:tcBorders>
                    <w:tl2br w:val="nil"/>
                    <w:tr2bl w:val="nil"/>
                  </w:tcBorders>
                  <w:shd w:val="clear" w:color="auto" w:fill="FFFFFF"/>
                  <w:vAlign w:val="center"/>
                </w:tcPr>
                <w:p w14:paraId="4EC838B8">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358" w:type="pct"/>
                  <w:vMerge w:val="continue"/>
                  <w:tcBorders>
                    <w:tl2br w:val="nil"/>
                    <w:tr2bl w:val="nil"/>
                  </w:tcBorders>
                  <w:shd w:val="clear" w:color="auto" w:fill="FFFFFF"/>
                  <w:vAlign w:val="center"/>
                </w:tcPr>
                <w:p w14:paraId="1775F090">
                  <w:pPr>
                    <w:rPr>
                      <w:rFonts w:ascii="Times New Roman" w:hAnsi="Times New Roman" w:eastAsia="宋体"/>
                      <w:caps w:val="0"/>
                      <w:color w:val="000000" w:themeColor="text1"/>
                      <w:szCs w:val="21"/>
                      <w:highlight w:val="none"/>
                      <w14:textFill>
                        <w14:solidFill>
                          <w14:schemeClr w14:val="tx1"/>
                        </w14:solidFill>
                      </w14:textFill>
                    </w:rPr>
                  </w:pPr>
                </w:p>
              </w:tc>
              <w:tc>
                <w:tcPr>
                  <w:tcW w:w="380" w:type="pct"/>
                  <w:tcBorders>
                    <w:tl2br w:val="nil"/>
                    <w:tr2bl w:val="nil"/>
                  </w:tcBorders>
                  <w:shd w:val="clear" w:color="auto" w:fill="FFFFFF"/>
                  <w:vAlign w:val="center"/>
                </w:tcPr>
                <w:p w14:paraId="677C1BC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X</w:t>
                  </w:r>
                </w:p>
              </w:tc>
              <w:tc>
                <w:tcPr>
                  <w:tcW w:w="380" w:type="pct"/>
                  <w:tcBorders>
                    <w:tl2br w:val="nil"/>
                    <w:tr2bl w:val="nil"/>
                  </w:tcBorders>
                  <w:shd w:val="clear" w:color="auto" w:fill="FFFFFF"/>
                  <w:vAlign w:val="center"/>
                </w:tcPr>
                <w:p w14:paraId="4EF94E0A">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Y</w:t>
                  </w:r>
                </w:p>
              </w:tc>
              <w:tc>
                <w:tcPr>
                  <w:tcW w:w="292" w:type="pct"/>
                  <w:tcBorders>
                    <w:tl2br w:val="nil"/>
                    <w:tr2bl w:val="nil"/>
                  </w:tcBorders>
                  <w:shd w:val="clear" w:color="auto" w:fill="FFFFFF"/>
                  <w:vAlign w:val="center"/>
                </w:tcPr>
                <w:p w14:paraId="3F0B4E48">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Z</w:t>
                  </w:r>
                </w:p>
              </w:tc>
              <w:tc>
                <w:tcPr>
                  <w:tcW w:w="1214" w:type="pct"/>
                  <w:tcBorders>
                    <w:tl2br w:val="nil"/>
                    <w:tr2bl w:val="nil"/>
                  </w:tcBorders>
                  <w:shd w:val="clear" w:color="auto" w:fill="FFFFFF"/>
                  <w:vAlign w:val="center"/>
                </w:tcPr>
                <w:p w14:paraId="1FBB6EF9">
                  <w:pPr>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声功率级/dB</w:t>
                  </w:r>
                  <w:r>
                    <w:rPr>
                      <w:rFonts w:hint="eastAsia"/>
                      <w:caps w:val="0"/>
                      <w:color w:val="000000" w:themeColor="text1"/>
                      <w:szCs w:val="21"/>
                      <w:highlight w:val="none"/>
                      <w:lang w:eastAsia="zh-CN"/>
                      <w14:textFill>
                        <w14:solidFill>
                          <w14:schemeClr w14:val="tx1"/>
                        </w14:solidFill>
                      </w14:textFill>
                    </w:rPr>
                    <w:t>（</w:t>
                  </w:r>
                  <w:r>
                    <w:rPr>
                      <w:rFonts w:ascii="Times New Roman" w:hAnsi="Times New Roman" w:eastAsia="宋体"/>
                      <w:caps w:val="0"/>
                      <w:color w:val="000000" w:themeColor="text1"/>
                      <w:szCs w:val="21"/>
                      <w:highlight w:val="none"/>
                      <w14:textFill>
                        <w14:solidFill>
                          <w14:schemeClr w14:val="tx1"/>
                        </w14:solidFill>
                      </w14:textFill>
                    </w:rPr>
                    <w:t>A</w:t>
                  </w:r>
                  <w:r>
                    <w:rPr>
                      <w:rFonts w:hint="eastAsia"/>
                      <w:caps w:val="0"/>
                      <w:color w:val="000000" w:themeColor="text1"/>
                      <w:szCs w:val="21"/>
                      <w:highlight w:val="none"/>
                      <w:lang w:eastAsia="zh-CN"/>
                      <w14:textFill>
                        <w14:solidFill>
                          <w14:schemeClr w14:val="tx1"/>
                        </w14:solidFill>
                      </w14:textFill>
                    </w:rPr>
                    <w:t>）</w:t>
                  </w:r>
                </w:p>
              </w:tc>
              <w:tc>
                <w:tcPr>
                  <w:tcW w:w="830" w:type="pct"/>
                  <w:vMerge w:val="continue"/>
                  <w:tcBorders>
                    <w:tl2br w:val="nil"/>
                    <w:tr2bl w:val="nil"/>
                  </w:tcBorders>
                  <w:shd w:val="clear" w:color="auto" w:fill="FFFFFF"/>
                  <w:vAlign w:val="center"/>
                </w:tcPr>
                <w:p w14:paraId="2FF5ABAA">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593" w:type="pct"/>
                  <w:vMerge w:val="continue"/>
                  <w:tcBorders>
                    <w:tl2br w:val="nil"/>
                    <w:tr2bl w:val="nil"/>
                  </w:tcBorders>
                  <w:shd w:val="clear" w:color="auto" w:fill="FFFFFF"/>
                  <w:vAlign w:val="center"/>
                </w:tcPr>
                <w:p w14:paraId="142B8FDA">
                  <w:pPr>
                    <w:jc w:val="center"/>
                    <w:rPr>
                      <w:rFonts w:ascii="Times New Roman" w:hAnsi="Times New Roman" w:eastAsia="宋体"/>
                      <w:caps w:val="0"/>
                      <w:color w:val="000000" w:themeColor="text1"/>
                      <w:szCs w:val="21"/>
                      <w:highlight w:val="none"/>
                      <w14:textFill>
                        <w14:solidFill>
                          <w14:schemeClr w14:val="tx1"/>
                        </w14:solidFill>
                      </w14:textFill>
                    </w:rPr>
                  </w:pPr>
                </w:p>
              </w:tc>
            </w:tr>
            <w:tr w14:paraId="4C5A6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jc w:val="center"/>
              </w:trPr>
              <w:tc>
                <w:tcPr>
                  <w:tcW w:w="357" w:type="pct"/>
                  <w:tcBorders>
                    <w:tl2br w:val="nil"/>
                    <w:tr2bl w:val="nil"/>
                  </w:tcBorders>
                  <w:shd w:val="clear" w:color="auto" w:fill="FFFFFF"/>
                  <w:vAlign w:val="center"/>
                </w:tcPr>
                <w:p w14:paraId="3AB6AD09">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593" w:type="pct"/>
                  <w:tcBorders>
                    <w:tl2br w:val="nil"/>
                    <w:tr2bl w:val="nil"/>
                  </w:tcBorders>
                  <w:shd w:val="clear" w:color="auto" w:fill="FFFFFF"/>
                  <w:vAlign w:val="center"/>
                </w:tcPr>
                <w:p w14:paraId="1D10FED1">
                  <w:pPr>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风机</w:t>
                  </w:r>
                </w:p>
              </w:tc>
              <w:tc>
                <w:tcPr>
                  <w:tcW w:w="358" w:type="pct"/>
                  <w:tcBorders>
                    <w:tl2br w:val="nil"/>
                    <w:tr2bl w:val="nil"/>
                  </w:tcBorders>
                  <w:shd w:val="clear" w:color="auto" w:fill="FFFFFF"/>
                  <w:vAlign w:val="center"/>
                </w:tcPr>
                <w:p w14:paraId="52E8E2A4">
                  <w:pPr>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80" w:type="pct"/>
                  <w:tcBorders>
                    <w:tl2br w:val="nil"/>
                    <w:tr2bl w:val="nil"/>
                  </w:tcBorders>
                  <w:shd w:val="clear" w:color="auto" w:fill="FFFFFF"/>
                  <w:vAlign w:val="center"/>
                </w:tcPr>
                <w:p w14:paraId="60695130">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cs="Times New Roman"/>
                      <w:i w:val="0"/>
                      <w:iCs w:val="0"/>
                      <w:caps w:val="0"/>
                      <w:color w:val="000000" w:themeColor="text1"/>
                      <w:kern w:val="0"/>
                      <w:sz w:val="20"/>
                      <w:szCs w:val="20"/>
                      <w:highlight w:val="none"/>
                      <w:u w:val="none"/>
                      <w:lang w:val="en-US" w:eastAsia="zh-CN" w:bidi="ar"/>
                      <w14:textFill>
                        <w14:solidFill>
                          <w14:schemeClr w14:val="tx1"/>
                        </w14:solidFill>
                      </w14:textFill>
                    </w:rPr>
                    <w:t>130</w:t>
                  </w:r>
                </w:p>
              </w:tc>
              <w:tc>
                <w:tcPr>
                  <w:tcW w:w="380" w:type="pct"/>
                  <w:tcBorders>
                    <w:tl2br w:val="nil"/>
                    <w:tr2bl w:val="nil"/>
                  </w:tcBorders>
                  <w:shd w:val="clear" w:color="auto" w:fill="FFFFFF"/>
                  <w:vAlign w:val="center"/>
                </w:tcPr>
                <w:p w14:paraId="7D6D2403">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cs="Times New Roman"/>
                      <w:i w:val="0"/>
                      <w:iCs w:val="0"/>
                      <w:caps w:val="0"/>
                      <w:color w:val="000000" w:themeColor="text1"/>
                      <w:kern w:val="0"/>
                      <w:sz w:val="20"/>
                      <w:szCs w:val="20"/>
                      <w:highlight w:val="none"/>
                      <w:u w:val="none"/>
                      <w:lang w:val="en-US" w:eastAsia="zh-CN" w:bidi="ar"/>
                      <w14:textFill>
                        <w14:solidFill>
                          <w14:schemeClr w14:val="tx1"/>
                        </w14:solidFill>
                      </w14:textFill>
                    </w:rPr>
                    <w:t>20</w:t>
                  </w:r>
                </w:p>
              </w:tc>
              <w:tc>
                <w:tcPr>
                  <w:tcW w:w="292" w:type="pct"/>
                  <w:tcBorders>
                    <w:tl2br w:val="nil"/>
                    <w:tr2bl w:val="nil"/>
                  </w:tcBorders>
                  <w:shd w:val="clear" w:color="auto" w:fill="FFFFFF"/>
                  <w:vAlign w:val="center"/>
                </w:tcPr>
                <w:p w14:paraId="4912A42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1.2</w:t>
                  </w:r>
                </w:p>
              </w:tc>
              <w:tc>
                <w:tcPr>
                  <w:tcW w:w="1214" w:type="pct"/>
                  <w:tcBorders>
                    <w:tl2br w:val="nil"/>
                    <w:tr2bl w:val="nil"/>
                  </w:tcBorders>
                  <w:shd w:val="clear" w:color="auto" w:fill="FFFFFF"/>
                  <w:vAlign w:val="center"/>
                </w:tcPr>
                <w:p w14:paraId="265C937D">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85</w:t>
                  </w:r>
                </w:p>
              </w:tc>
              <w:tc>
                <w:tcPr>
                  <w:tcW w:w="830" w:type="pct"/>
                  <w:tcBorders>
                    <w:tl2br w:val="nil"/>
                    <w:tr2bl w:val="nil"/>
                  </w:tcBorders>
                  <w:shd w:val="clear" w:color="auto" w:fill="FFFFFF"/>
                  <w:vAlign w:val="center"/>
                </w:tcPr>
                <w:p w14:paraId="4AD25892">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减震、隔声</w:t>
                  </w:r>
                </w:p>
              </w:tc>
              <w:tc>
                <w:tcPr>
                  <w:tcW w:w="593" w:type="pct"/>
                  <w:tcBorders>
                    <w:tl2br w:val="nil"/>
                    <w:tr2bl w:val="nil"/>
                  </w:tcBorders>
                  <w:shd w:val="clear" w:color="auto" w:fill="FFFFFF"/>
                  <w:vAlign w:val="center"/>
                </w:tcPr>
                <w:p w14:paraId="011DC6A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w:t>
                  </w:r>
                  <w:r>
                    <w:rPr>
                      <w:rFonts w:hint="eastAsia"/>
                      <w:caps w:val="0"/>
                      <w:color w:val="000000" w:themeColor="text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:00-2</w:t>
                  </w:r>
                  <w:r>
                    <w:rPr>
                      <w:rFonts w:hint="eastAsia"/>
                      <w:caps w:val="0"/>
                      <w:color w:val="000000" w:themeColor="text1"/>
                      <w:szCs w:val="21"/>
                      <w:highlight w:val="none"/>
                      <w:lang w:val="en-US" w:eastAsia="zh-CN"/>
                      <w14:textFill>
                        <w14:solidFill>
                          <w14:schemeClr w14:val="tx1"/>
                        </w14:solidFill>
                      </w14:textFill>
                    </w:rPr>
                    <w:t>4</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w:t>
                  </w:r>
                </w:p>
              </w:tc>
            </w:tr>
          </w:tbl>
          <w:p w14:paraId="759D5339">
            <w:pPr>
              <w:pStyle w:val="54"/>
              <w:tabs>
                <w:tab w:val="left" w:pos="570"/>
                <w:tab w:val="center" w:pos="4422"/>
              </w:tabs>
              <w:spacing w:before="0" w:beforeAutospacing="0" w:after="0" w:afterAutospacing="0"/>
              <w:jc w:val="center"/>
              <w:outlineLvl w:val="0"/>
              <w:rPr>
                <w:rFonts w:ascii="Times New Roman" w:hAnsi="Times New Roman"/>
                <w:b/>
                <w:snapToGrid w:val="0"/>
                <w:sz w:val="30"/>
                <w:szCs w:val="30"/>
              </w:rPr>
            </w:pPr>
          </w:p>
        </w:tc>
      </w:tr>
    </w:tbl>
    <w:p w14:paraId="6FDFC0BB">
      <w:pPr>
        <w:pStyle w:val="54"/>
        <w:tabs>
          <w:tab w:val="left" w:pos="570"/>
          <w:tab w:val="center" w:pos="4422"/>
        </w:tabs>
        <w:spacing w:before="0" w:beforeAutospacing="0" w:after="0" w:afterAutospacing="0"/>
        <w:outlineLvl w:val="0"/>
        <w:rPr>
          <w:rFonts w:ascii="Times New Roman" w:hAnsi="Times New Roman"/>
          <w:b/>
          <w:snapToGrid w:val="0"/>
          <w:sz w:val="30"/>
          <w:szCs w:val="30"/>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6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Layout w:type="autofit"/>
        <w:tblCellMar>
          <w:top w:w="0" w:type="dxa"/>
          <w:left w:w="108" w:type="dxa"/>
          <w:bottom w:w="0" w:type="dxa"/>
          <w:right w:w="108" w:type="dxa"/>
        </w:tblCellMar>
      </w:tblPr>
      <w:tblGrid>
        <w:gridCol w:w="390"/>
        <w:gridCol w:w="8653"/>
      </w:tblGrid>
      <w:tr w14:paraId="19603ACA">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13295" w:hRule="atLeast"/>
        </w:trPr>
        <w:tc>
          <w:tcPr>
            <w:tcW w:w="390" w:type="dxa"/>
          </w:tcPr>
          <w:p w14:paraId="736F0FEC">
            <w:pPr>
              <w:pStyle w:val="54"/>
              <w:tabs>
                <w:tab w:val="left" w:pos="570"/>
                <w:tab w:val="center" w:pos="4422"/>
              </w:tabs>
              <w:spacing w:before="0" w:beforeAutospacing="0" w:after="0" w:afterAutospacing="0"/>
              <w:outlineLvl w:val="0"/>
              <w:rPr>
                <w:rFonts w:ascii="Times New Roman" w:hAnsi="Times New Roman"/>
                <w:b/>
                <w:snapToGrid w:val="0"/>
                <w:sz w:val="30"/>
                <w:szCs w:val="30"/>
              </w:rPr>
            </w:pPr>
          </w:p>
        </w:tc>
        <w:tc>
          <w:tcPr>
            <w:tcW w:w="8638" w:type="dxa"/>
          </w:tcPr>
          <w:p w14:paraId="06C2BC56">
            <w:pPr>
              <w:spacing w:before="100" w:beforeAutospacing="1" w:line="360" w:lineRule="auto"/>
              <w:ind w:firstLine="482" w:firstLineChars="200"/>
              <w:jc w:val="left"/>
              <w:rPr>
                <w:b/>
                <w:sz w:val="24"/>
              </w:rPr>
            </w:pPr>
            <w:r>
              <w:rPr>
                <w:rFonts w:hint="eastAsia"/>
                <w:b/>
                <w:sz w:val="24"/>
                <w:lang w:val="en-US" w:eastAsia="zh-CN"/>
              </w:rPr>
              <w:t>2</w:t>
            </w:r>
            <w:r>
              <w:rPr>
                <w:b/>
                <w:sz w:val="24"/>
              </w:rPr>
              <w:t>、预测模式</w:t>
            </w:r>
          </w:p>
          <w:p w14:paraId="77BFDC6C">
            <w:pPr>
              <w:spacing w:line="360" w:lineRule="auto"/>
              <w:ind w:firstLine="480" w:firstLineChars="200"/>
              <w:rPr>
                <w:sz w:val="24"/>
              </w:rPr>
            </w:pPr>
            <w:r>
              <w:rPr>
                <w:sz w:val="24"/>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16780962">
            <w:pPr>
              <w:spacing w:line="360" w:lineRule="auto"/>
              <w:ind w:left="480"/>
              <w:rPr>
                <w:sz w:val="24"/>
              </w:rPr>
            </w:pPr>
            <w:r>
              <w:rPr>
                <w:sz w:val="24"/>
              </w:rPr>
              <w:t>（1）声级计算</w:t>
            </w:r>
          </w:p>
          <w:p w14:paraId="160CA8AE">
            <w:pPr>
              <w:spacing w:line="360" w:lineRule="auto"/>
              <w:ind w:firstLine="480" w:firstLineChars="200"/>
              <w:rPr>
                <w:kern w:val="0"/>
                <w:sz w:val="24"/>
              </w:rPr>
            </w:pPr>
            <w:r>
              <w:rPr>
                <w:kern w:val="0"/>
                <w:sz w:val="24"/>
              </w:rPr>
              <w:t>建设项目声源在预测点产生的等效声级贡献值（L</w:t>
            </w:r>
            <w:r>
              <w:rPr>
                <w:i/>
                <w:iCs/>
                <w:kern w:val="0"/>
                <w:sz w:val="24"/>
              </w:rPr>
              <w:t>eqg</w:t>
            </w:r>
            <w:r>
              <w:rPr>
                <w:kern w:val="0"/>
                <w:sz w:val="24"/>
              </w:rPr>
              <w:t>）计算公式：</w:t>
            </w:r>
          </w:p>
          <w:p w14:paraId="7EAFD7E6">
            <w:pPr>
              <w:spacing w:before="60" w:after="60" w:line="360" w:lineRule="auto"/>
              <w:jc w:val="center"/>
              <w:rPr>
                <w:sz w:val="24"/>
              </w:rPr>
            </w:pPr>
            <w:r>
              <w:rPr>
                <w:position w:val="-28"/>
                <w:sz w:val="24"/>
              </w:rPr>
              <w:object>
                <v:shape id="_x0000_i1025" o:spt="75" type="#_x0000_t75" style="height:33pt;width:132pt;" o:ole="t" filled="f" o:preferrelative="t" stroked="f" coordsize="21600,21600">
                  <v:path/>
                  <v:fill on="f" focussize="0,0"/>
                  <v:stroke on="f" joinstyle="miter"/>
                  <v:imagedata r:id="rId16" o:title=""/>
                  <o:lock v:ext="edit" aspectratio="t"/>
                  <w10:wrap type="none"/>
                  <w10:anchorlock/>
                </v:shape>
                <o:OLEObject Type="Embed" ProgID="Equation.3" ShapeID="_x0000_i1025" DrawAspect="Content" ObjectID="_1468075725" r:id="rId15">
                  <o:LockedField>false</o:LockedField>
                </o:OLEObject>
              </w:object>
            </w:r>
          </w:p>
          <w:p w14:paraId="3AFA97B4">
            <w:pPr>
              <w:spacing w:before="60" w:after="60" w:line="360" w:lineRule="auto"/>
              <w:ind w:firstLine="480" w:firstLineChars="200"/>
              <w:rPr>
                <w:sz w:val="24"/>
              </w:rPr>
            </w:pPr>
            <w:r>
              <w:rPr>
                <w:sz w:val="24"/>
              </w:rPr>
              <w:t>式中：</w:t>
            </w:r>
            <w:r>
              <w:rPr>
                <w:i/>
                <w:sz w:val="24"/>
              </w:rPr>
              <w:t>L</w:t>
            </w:r>
            <w:r>
              <w:rPr>
                <w:sz w:val="24"/>
                <w:vertAlign w:val="subscript"/>
              </w:rPr>
              <w:t>eqg</w:t>
            </w:r>
            <w:r>
              <w:rPr>
                <w:sz w:val="24"/>
              </w:rPr>
              <w:t>—建设项目声源在预测点的等效声级贡献值，dB（A）；</w:t>
            </w:r>
          </w:p>
          <w:p w14:paraId="3A9AA5B0">
            <w:pPr>
              <w:spacing w:before="60" w:after="60" w:line="360" w:lineRule="auto"/>
              <w:ind w:firstLine="1200" w:firstLineChars="500"/>
              <w:rPr>
                <w:sz w:val="24"/>
              </w:rPr>
            </w:pPr>
            <w:r>
              <w:rPr>
                <w:i/>
                <w:sz w:val="24"/>
              </w:rPr>
              <w:t>L</w:t>
            </w:r>
            <w:r>
              <w:rPr>
                <w:sz w:val="24"/>
                <w:vertAlign w:val="subscript"/>
              </w:rPr>
              <w:t>Ai</w:t>
            </w:r>
            <w:r>
              <w:rPr>
                <w:sz w:val="24"/>
              </w:rPr>
              <w:t>—i声源在预测点产生的A声级，dB（A）；</w:t>
            </w:r>
          </w:p>
          <w:p w14:paraId="59D32DD9">
            <w:pPr>
              <w:spacing w:before="60" w:after="60" w:line="360" w:lineRule="auto"/>
              <w:ind w:firstLine="1200" w:firstLineChars="500"/>
              <w:rPr>
                <w:sz w:val="24"/>
              </w:rPr>
            </w:pPr>
            <w:r>
              <w:rPr>
                <w:i/>
                <w:sz w:val="24"/>
              </w:rPr>
              <w:t>T</w:t>
            </w:r>
            <w:r>
              <w:rPr>
                <w:sz w:val="24"/>
              </w:rPr>
              <w:t>—预测计算的时间段，s；</w:t>
            </w:r>
          </w:p>
          <w:p w14:paraId="1592C0AA">
            <w:pPr>
              <w:spacing w:before="60" w:after="60" w:line="360" w:lineRule="auto"/>
              <w:ind w:firstLine="1200" w:firstLineChars="500"/>
              <w:rPr>
                <w:sz w:val="24"/>
              </w:rPr>
            </w:pPr>
            <w:r>
              <w:rPr>
                <w:i/>
                <w:sz w:val="24"/>
              </w:rPr>
              <w:t>t</w:t>
            </w:r>
            <w:r>
              <w:rPr>
                <w:i/>
                <w:sz w:val="24"/>
                <w:vertAlign w:val="subscript"/>
              </w:rPr>
              <w:t>i</w:t>
            </w:r>
            <w:r>
              <w:rPr>
                <w:sz w:val="24"/>
              </w:rPr>
              <w:t>—i声源在T时段内的运行时间，s。</w:t>
            </w:r>
          </w:p>
          <w:p w14:paraId="39F603A3">
            <w:pPr>
              <w:spacing w:line="360" w:lineRule="auto"/>
              <w:ind w:firstLine="480" w:firstLineChars="200"/>
              <w:rPr>
                <w:kern w:val="0"/>
                <w:sz w:val="24"/>
              </w:rPr>
            </w:pPr>
            <w:r>
              <w:rPr>
                <w:kern w:val="0"/>
                <w:sz w:val="24"/>
              </w:rPr>
              <w:t>（2）预测点的预测等效声级（</w:t>
            </w:r>
            <w:r>
              <w:rPr>
                <w:i/>
                <w:iCs/>
                <w:kern w:val="0"/>
                <w:sz w:val="24"/>
              </w:rPr>
              <w:t>Leq</w:t>
            </w:r>
            <w:r>
              <w:rPr>
                <w:kern w:val="0"/>
                <w:sz w:val="24"/>
              </w:rPr>
              <w:t>）计算公式</w:t>
            </w:r>
          </w:p>
          <w:p w14:paraId="2DF661CD">
            <w:pPr>
              <w:spacing w:before="60" w:after="60" w:line="360" w:lineRule="auto"/>
              <w:jc w:val="center"/>
              <w:rPr>
                <w:sz w:val="24"/>
              </w:rPr>
            </w:pPr>
            <w:r>
              <w:rPr>
                <w:position w:val="-14"/>
                <w:sz w:val="24"/>
              </w:rPr>
              <w:object>
                <v:shape id="_x0000_i1026" o:spt="75" type="#_x0000_t75" style="height:21pt;width:141pt;" o:ole="t" filled="f" o:preferrelative="t" stroked="f" coordsize="21600,21600">
                  <v:path/>
                  <v:fill on="f" focussize="0,0"/>
                  <v:stroke on="f" joinstyle="miter"/>
                  <v:imagedata r:id="rId18" o:title=""/>
                  <o:lock v:ext="edit" aspectratio="t"/>
                  <w10:wrap type="none"/>
                  <w10:anchorlock/>
                </v:shape>
                <o:OLEObject Type="Embed" ProgID="Equation.3" ShapeID="_x0000_i1026" DrawAspect="Content" ObjectID="_1468075726" r:id="rId17">
                  <o:LockedField>false</o:LockedField>
                </o:OLEObject>
              </w:object>
            </w:r>
          </w:p>
          <w:p w14:paraId="6012CA4A">
            <w:pPr>
              <w:spacing w:before="60" w:after="60" w:line="360" w:lineRule="auto"/>
              <w:ind w:firstLine="480" w:firstLineChars="200"/>
              <w:rPr>
                <w:kern w:val="0"/>
                <w:sz w:val="24"/>
              </w:rPr>
            </w:pPr>
            <w:r>
              <w:rPr>
                <w:kern w:val="0"/>
                <w:sz w:val="24"/>
              </w:rPr>
              <w:t>式中：</w:t>
            </w:r>
            <w:r>
              <w:rPr>
                <w:i/>
                <w:iCs/>
                <w:kern w:val="0"/>
                <w:sz w:val="24"/>
              </w:rPr>
              <w:t>L</w:t>
            </w:r>
            <w:r>
              <w:rPr>
                <w:i/>
                <w:iCs/>
                <w:kern w:val="0"/>
                <w:sz w:val="24"/>
                <w:vertAlign w:val="subscript"/>
              </w:rPr>
              <w:t xml:space="preserve"> eq g</w:t>
            </w:r>
            <w:r>
              <w:rPr>
                <w:i/>
                <w:iCs/>
                <w:kern w:val="0"/>
                <w:sz w:val="24"/>
              </w:rPr>
              <w:t xml:space="preserve"> </w:t>
            </w:r>
            <w:r>
              <w:rPr>
                <w:kern w:val="0"/>
                <w:sz w:val="24"/>
              </w:rPr>
              <w:t>—建设项目声源在预测点的等效声级贡献值，dB（A）；</w:t>
            </w:r>
          </w:p>
          <w:p w14:paraId="4BE76A66">
            <w:pPr>
              <w:spacing w:before="60" w:after="60" w:line="360" w:lineRule="auto"/>
              <w:ind w:firstLine="1200" w:firstLineChars="500"/>
              <w:rPr>
                <w:sz w:val="24"/>
                <w:szCs w:val="20"/>
              </w:rPr>
            </w:pPr>
            <w:r>
              <w:rPr>
                <w:i/>
                <w:iCs/>
                <w:kern w:val="0"/>
                <w:sz w:val="24"/>
              </w:rPr>
              <w:t>L</w:t>
            </w:r>
            <w:r>
              <w:rPr>
                <w:i/>
                <w:iCs/>
                <w:kern w:val="0"/>
                <w:sz w:val="24"/>
                <w:vertAlign w:val="subscript"/>
              </w:rPr>
              <w:t xml:space="preserve"> eqb</w:t>
            </w:r>
            <w:r>
              <w:rPr>
                <w:kern w:val="0"/>
                <w:sz w:val="24"/>
              </w:rPr>
              <w:t>—预测点的背景值，dB（A）</w:t>
            </w:r>
            <w:r>
              <w:rPr>
                <w:sz w:val="24"/>
              </w:rPr>
              <w:t>。</w:t>
            </w:r>
          </w:p>
          <w:p w14:paraId="07E9AC04">
            <w:pPr>
              <w:widowControl/>
              <w:spacing w:line="360" w:lineRule="auto"/>
              <w:ind w:firstLine="482" w:firstLineChars="200"/>
              <w:jc w:val="left"/>
              <w:rPr>
                <w:b/>
                <w:kern w:val="0"/>
                <w:sz w:val="24"/>
              </w:rPr>
            </w:pPr>
            <w:r>
              <w:rPr>
                <w:rFonts w:hint="eastAsia"/>
                <w:b/>
                <w:kern w:val="0"/>
                <w:sz w:val="24"/>
                <w:lang w:val="en-US" w:eastAsia="zh-CN"/>
              </w:rPr>
              <w:t>3</w:t>
            </w:r>
            <w:r>
              <w:rPr>
                <w:b/>
                <w:kern w:val="0"/>
                <w:sz w:val="24"/>
              </w:rPr>
              <w:t>、预测结果</w:t>
            </w:r>
          </w:p>
          <w:p w14:paraId="2A78CA94">
            <w:pPr>
              <w:widowControl/>
              <w:spacing w:line="360" w:lineRule="auto"/>
              <w:ind w:firstLine="480" w:firstLineChars="200"/>
              <w:jc w:val="left"/>
              <w:rPr>
                <w:kern w:val="0"/>
                <w:sz w:val="24"/>
              </w:rPr>
            </w:pPr>
            <w:r>
              <w:rPr>
                <w:kern w:val="0"/>
                <w:sz w:val="24"/>
              </w:rPr>
              <w:t>拟建项目运行时昼间</w:t>
            </w:r>
            <w:r>
              <w:rPr>
                <w:rFonts w:hint="eastAsia"/>
                <w:kern w:val="0"/>
                <w:sz w:val="24"/>
                <w:lang w:eastAsia="zh-CN"/>
              </w:rPr>
              <w:t>、</w:t>
            </w:r>
            <w:r>
              <w:rPr>
                <w:rFonts w:hint="eastAsia"/>
                <w:kern w:val="0"/>
                <w:sz w:val="24"/>
                <w:lang w:val="en-US" w:eastAsia="zh-CN"/>
              </w:rPr>
              <w:t>夜间</w:t>
            </w:r>
            <w:r>
              <w:rPr>
                <w:kern w:val="0"/>
                <w:sz w:val="24"/>
              </w:rPr>
              <w:t>预测噪声排放值结果如下。</w:t>
            </w:r>
          </w:p>
          <w:p w14:paraId="77006149">
            <w:pPr>
              <w:keepNext w:val="0"/>
              <w:keepLines w:val="0"/>
              <w:pageBreakBefore w:val="0"/>
              <w:widowControl/>
              <w:kinsoku/>
              <w:wordWrap/>
              <w:overflowPunct/>
              <w:topLinePunct w:val="0"/>
              <w:autoSpaceDE/>
              <w:autoSpaceDN/>
              <w:bidi w:val="0"/>
              <w:adjustRightInd/>
              <w:snapToGrid/>
              <w:spacing w:beforeAutospacing="0" w:line="360" w:lineRule="auto"/>
              <w:jc w:val="center"/>
              <w:textAlignment w:val="auto"/>
              <w:rPr>
                <w:b/>
                <w:kern w:val="0"/>
                <w:sz w:val="24"/>
              </w:rPr>
            </w:pPr>
            <w:r>
              <w:rPr>
                <w:b/>
                <w:kern w:val="0"/>
                <w:sz w:val="24"/>
              </w:rPr>
              <w:t>表4-1</w:t>
            </w:r>
            <w:r>
              <w:rPr>
                <w:rFonts w:hint="eastAsia"/>
                <w:b/>
                <w:kern w:val="0"/>
                <w:sz w:val="24"/>
                <w:lang w:val="en-US" w:eastAsia="zh-CN"/>
              </w:rPr>
              <w:t>0</w:t>
            </w:r>
            <w:r>
              <w:rPr>
                <w:b/>
                <w:kern w:val="0"/>
                <w:sz w:val="24"/>
              </w:rPr>
              <w:t xml:space="preserve">  噪声排放预测结果  单位：dB(A)</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1080"/>
              <w:gridCol w:w="1106"/>
              <w:gridCol w:w="950"/>
              <w:gridCol w:w="1219"/>
              <w:gridCol w:w="1691"/>
              <w:gridCol w:w="1231"/>
            </w:tblGrid>
            <w:tr w14:paraId="051813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687" w:type="pct"/>
                  <w:vMerge w:val="restart"/>
                  <w:tcBorders>
                    <w:tl2br w:val="nil"/>
                    <w:tr2bl w:val="nil"/>
                  </w:tcBorders>
                  <w:shd w:val="clear" w:color="auto" w:fill="auto"/>
                  <w:vAlign w:val="center"/>
                </w:tcPr>
                <w:p w14:paraId="64A11F55">
                  <w:pPr>
                    <w:autoSpaceDE w:val="0"/>
                    <w:autoSpaceDN w:val="0"/>
                    <w:jc w:val="center"/>
                    <w:rPr>
                      <w:b/>
                      <w:szCs w:val="21"/>
                    </w:rPr>
                  </w:pPr>
                  <w:r>
                    <w:rPr>
                      <w:b/>
                      <w:szCs w:val="21"/>
                    </w:rPr>
                    <w:t>预测</w:t>
                  </w:r>
                </w:p>
                <w:p w14:paraId="143BFCCA">
                  <w:pPr>
                    <w:autoSpaceDE w:val="0"/>
                    <w:autoSpaceDN w:val="0"/>
                    <w:jc w:val="center"/>
                    <w:rPr>
                      <w:szCs w:val="21"/>
                    </w:rPr>
                  </w:pPr>
                  <w:r>
                    <w:rPr>
                      <w:b/>
                      <w:szCs w:val="21"/>
                    </w:rPr>
                    <w:t>方位</w:t>
                  </w:r>
                </w:p>
              </w:tc>
              <w:tc>
                <w:tcPr>
                  <w:tcW w:w="1858" w:type="pct"/>
                  <w:gridSpan w:val="3"/>
                  <w:tcBorders>
                    <w:tl2br w:val="nil"/>
                    <w:tr2bl w:val="nil"/>
                  </w:tcBorders>
                  <w:shd w:val="clear" w:color="auto" w:fill="auto"/>
                  <w:vAlign w:val="center"/>
                </w:tcPr>
                <w:p w14:paraId="5C5D7CFD">
                  <w:pPr>
                    <w:autoSpaceDE w:val="0"/>
                    <w:autoSpaceDN w:val="0"/>
                    <w:jc w:val="center"/>
                    <w:rPr>
                      <w:szCs w:val="21"/>
                    </w:rPr>
                  </w:pPr>
                  <w:r>
                    <w:rPr>
                      <w:b/>
                      <w:szCs w:val="21"/>
                    </w:rPr>
                    <w:t>空间相对位置/m</w:t>
                  </w:r>
                </w:p>
              </w:tc>
              <w:tc>
                <w:tcPr>
                  <w:tcW w:w="722" w:type="pct"/>
                  <w:vMerge w:val="restart"/>
                  <w:tcBorders>
                    <w:tl2br w:val="nil"/>
                    <w:tr2bl w:val="nil"/>
                  </w:tcBorders>
                  <w:shd w:val="clear" w:color="auto" w:fill="auto"/>
                  <w:vAlign w:val="center"/>
                </w:tcPr>
                <w:p w14:paraId="0990EB2D">
                  <w:pPr>
                    <w:autoSpaceDE w:val="0"/>
                    <w:autoSpaceDN w:val="0"/>
                    <w:jc w:val="center"/>
                    <w:rPr>
                      <w:szCs w:val="21"/>
                    </w:rPr>
                  </w:pPr>
                  <w:r>
                    <w:rPr>
                      <w:b/>
                      <w:szCs w:val="21"/>
                    </w:rPr>
                    <w:t>时段</w:t>
                  </w:r>
                </w:p>
              </w:tc>
              <w:tc>
                <w:tcPr>
                  <w:tcW w:w="1002" w:type="pct"/>
                  <w:vMerge w:val="restart"/>
                  <w:tcBorders>
                    <w:tl2br w:val="nil"/>
                    <w:tr2bl w:val="nil"/>
                  </w:tcBorders>
                  <w:vAlign w:val="center"/>
                </w:tcPr>
                <w:p w14:paraId="179ADB17">
                  <w:pPr>
                    <w:autoSpaceDE w:val="0"/>
                    <w:autoSpaceDN w:val="0"/>
                    <w:jc w:val="center"/>
                    <w:rPr>
                      <w:b/>
                      <w:szCs w:val="21"/>
                    </w:rPr>
                  </w:pPr>
                  <w:r>
                    <w:rPr>
                      <w:b/>
                      <w:szCs w:val="21"/>
                    </w:rPr>
                    <w:t>贡献值</w:t>
                  </w:r>
                </w:p>
                <w:p w14:paraId="2AD3CE9C">
                  <w:pPr>
                    <w:autoSpaceDE w:val="0"/>
                    <w:autoSpaceDN w:val="0"/>
                    <w:jc w:val="center"/>
                    <w:rPr>
                      <w:b/>
                      <w:szCs w:val="21"/>
                    </w:rPr>
                  </w:pPr>
                  <w:r>
                    <w:rPr>
                      <w:b/>
                      <w:szCs w:val="21"/>
                    </w:rPr>
                    <w:t>dB（A）</w:t>
                  </w:r>
                </w:p>
              </w:tc>
              <w:tc>
                <w:tcPr>
                  <w:tcW w:w="729" w:type="pct"/>
                  <w:vMerge w:val="restart"/>
                  <w:tcBorders>
                    <w:tl2br w:val="nil"/>
                    <w:tr2bl w:val="nil"/>
                  </w:tcBorders>
                  <w:shd w:val="clear" w:color="auto" w:fill="auto"/>
                  <w:vAlign w:val="center"/>
                </w:tcPr>
                <w:p w14:paraId="1AA9F491">
                  <w:pPr>
                    <w:autoSpaceDE w:val="0"/>
                    <w:autoSpaceDN w:val="0"/>
                    <w:jc w:val="center"/>
                    <w:rPr>
                      <w:b/>
                      <w:szCs w:val="21"/>
                    </w:rPr>
                  </w:pPr>
                  <w:r>
                    <w:rPr>
                      <w:b/>
                      <w:szCs w:val="21"/>
                    </w:rPr>
                    <w:t>标准值dB（A）</w:t>
                  </w:r>
                </w:p>
              </w:tc>
            </w:tr>
            <w:tr w14:paraId="30963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687" w:type="pct"/>
                  <w:vMerge w:val="continue"/>
                  <w:tcBorders>
                    <w:tl2br w:val="nil"/>
                    <w:tr2bl w:val="nil"/>
                  </w:tcBorders>
                  <w:shd w:val="clear" w:color="auto" w:fill="auto"/>
                  <w:vAlign w:val="center"/>
                </w:tcPr>
                <w:p w14:paraId="07B0F184">
                  <w:pPr>
                    <w:widowControl/>
                    <w:jc w:val="center"/>
                    <w:rPr>
                      <w:szCs w:val="21"/>
                    </w:rPr>
                  </w:pPr>
                </w:p>
              </w:tc>
              <w:tc>
                <w:tcPr>
                  <w:tcW w:w="640" w:type="pct"/>
                  <w:tcBorders>
                    <w:tl2br w:val="nil"/>
                    <w:tr2bl w:val="nil"/>
                  </w:tcBorders>
                  <w:shd w:val="clear" w:color="auto" w:fill="auto"/>
                  <w:vAlign w:val="center"/>
                </w:tcPr>
                <w:p w14:paraId="2A2E0A87">
                  <w:pPr>
                    <w:autoSpaceDE w:val="0"/>
                    <w:autoSpaceDN w:val="0"/>
                    <w:jc w:val="center"/>
                    <w:rPr>
                      <w:b/>
                      <w:szCs w:val="21"/>
                    </w:rPr>
                  </w:pPr>
                  <w:r>
                    <w:rPr>
                      <w:b/>
                      <w:szCs w:val="21"/>
                    </w:rPr>
                    <w:t>X</w:t>
                  </w:r>
                </w:p>
              </w:tc>
              <w:tc>
                <w:tcPr>
                  <w:tcW w:w="655" w:type="pct"/>
                  <w:tcBorders>
                    <w:tl2br w:val="nil"/>
                    <w:tr2bl w:val="nil"/>
                  </w:tcBorders>
                  <w:shd w:val="clear" w:color="auto" w:fill="auto"/>
                  <w:vAlign w:val="center"/>
                </w:tcPr>
                <w:p w14:paraId="4356B203">
                  <w:pPr>
                    <w:autoSpaceDE w:val="0"/>
                    <w:autoSpaceDN w:val="0"/>
                    <w:jc w:val="center"/>
                    <w:rPr>
                      <w:b/>
                      <w:szCs w:val="21"/>
                    </w:rPr>
                  </w:pPr>
                  <w:r>
                    <w:rPr>
                      <w:b/>
                      <w:szCs w:val="21"/>
                    </w:rPr>
                    <w:t>Y</w:t>
                  </w:r>
                </w:p>
              </w:tc>
              <w:tc>
                <w:tcPr>
                  <w:tcW w:w="563" w:type="pct"/>
                  <w:tcBorders>
                    <w:tl2br w:val="nil"/>
                    <w:tr2bl w:val="nil"/>
                  </w:tcBorders>
                  <w:shd w:val="clear" w:color="auto" w:fill="auto"/>
                  <w:vAlign w:val="center"/>
                </w:tcPr>
                <w:p w14:paraId="6FF7F62D">
                  <w:pPr>
                    <w:autoSpaceDE w:val="0"/>
                    <w:autoSpaceDN w:val="0"/>
                    <w:jc w:val="center"/>
                    <w:rPr>
                      <w:b/>
                      <w:szCs w:val="21"/>
                    </w:rPr>
                  </w:pPr>
                  <w:r>
                    <w:rPr>
                      <w:b/>
                      <w:szCs w:val="21"/>
                    </w:rPr>
                    <w:t>Z</w:t>
                  </w:r>
                </w:p>
              </w:tc>
              <w:tc>
                <w:tcPr>
                  <w:tcW w:w="722" w:type="pct"/>
                  <w:vMerge w:val="continue"/>
                  <w:tcBorders>
                    <w:tl2br w:val="nil"/>
                    <w:tr2bl w:val="nil"/>
                  </w:tcBorders>
                  <w:shd w:val="clear" w:color="auto" w:fill="auto"/>
                  <w:vAlign w:val="center"/>
                </w:tcPr>
                <w:p w14:paraId="16AC1B6E">
                  <w:pPr>
                    <w:widowControl/>
                    <w:jc w:val="center"/>
                    <w:rPr>
                      <w:szCs w:val="21"/>
                    </w:rPr>
                  </w:pPr>
                </w:p>
              </w:tc>
              <w:tc>
                <w:tcPr>
                  <w:tcW w:w="1002" w:type="pct"/>
                  <w:vMerge w:val="continue"/>
                  <w:tcBorders>
                    <w:tl2br w:val="nil"/>
                    <w:tr2bl w:val="nil"/>
                  </w:tcBorders>
                  <w:vAlign w:val="center"/>
                </w:tcPr>
                <w:p w14:paraId="63A500D5">
                  <w:pPr>
                    <w:widowControl/>
                    <w:jc w:val="center"/>
                    <w:rPr>
                      <w:szCs w:val="21"/>
                    </w:rPr>
                  </w:pPr>
                </w:p>
              </w:tc>
              <w:tc>
                <w:tcPr>
                  <w:tcW w:w="729" w:type="pct"/>
                  <w:vMerge w:val="continue"/>
                  <w:tcBorders>
                    <w:tl2br w:val="nil"/>
                    <w:tr2bl w:val="nil"/>
                  </w:tcBorders>
                  <w:shd w:val="clear" w:color="auto" w:fill="auto"/>
                  <w:vAlign w:val="center"/>
                </w:tcPr>
                <w:p w14:paraId="4C1DDC38">
                  <w:pPr>
                    <w:widowControl/>
                    <w:jc w:val="center"/>
                    <w:rPr>
                      <w:szCs w:val="21"/>
                    </w:rPr>
                  </w:pPr>
                </w:p>
              </w:tc>
            </w:tr>
            <w:tr w14:paraId="61C1F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0F07BA48">
                  <w:pPr>
                    <w:autoSpaceDE w:val="0"/>
                    <w:autoSpaceDN w:val="0"/>
                    <w:jc w:val="center"/>
                    <w:rPr>
                      <w:szCs w:val="21"/>
                    </w:rPr>
                  </w:pPr>
                  <w:r>
                    <w:rPr>
                      <w:szCs w:val="21"/>
                    </w:rPr>
                    <w:t>东侧</w:t>
                  </w:r>
                </w:p>
              </w:tc>
              <w:tc>
                <w:tcPr>
                  <w:tcW w:w="640" w:type="pct"/>
                  <w:vMerge w:val="restart"/>
                  <w:tcBorders>
                    <w:tl2br w:val="nil"/>
                    <w:tr2bl w:val="nil"/>
                  </w:tcBorders>
                  <w:shd w:val="clear" w:color="auto" w:fill="auto"/>
                  <w:vAlign w:val="center"/>
                </w:tcPr>
                <w:p w14:paraId="368203F2">
                  <w:pPr>
                    <w:jc w:val="center"/>
                    <w:rPr>
                      <w:rFonts w:hint="default" w:eastAsia="宋体"/>
                      <w:szCs w:val="21"/>
                      <w:lang w:val="en-US" w:eastAsia="zh-CN"/>
                    </w:rPr>
                  </w:pPr>
                  <w:r>
                    <w:rPr>
                      <w:rFonts w:hint="eastAsia"/>
                      <w:szCs w:val="21"/>
                      <w:lang w:val="en-US" w:eastAsia="zh-CN"/>
                    </w:rPr>
                    <w:t>64</w:t>
                  </w:r>
                </w:p>
              </w:tc>
              <w:tc>
                <w:tcPr>
                  <w:tcW w:w="655" w:type="pct"/>
                  <w:vMerge w:val="restart"/>
                  <w:tcBorders>
                    <w:tl2br w:val="nil"/>
                    <w:tr2bl w:val="nil"/>
                  </w:tcBorders>
                  <w:shd w:val="clear" w:color="auto" w:fill="auto"/>
                  <w:vAlign w:val="center"/>
                </w:tcPr>
                <w:p w14:paraId="34DE1FB3">
                  <w:pPr>
                    <w:jc w:val="center"/>
                    <w:rPr>
                      <w:rFonts w:hint="default" w:eastAsia="宋体"/>
                      <w:szCs w:val="21"/>
                      <w:lang w:val="en-US" w:eastAsia="zh-CN"/>
                    </w:rPr>
                  </w:pPr>
                  <w:r>
                    <w:rPr>
                      <w:rFonts w:hint="eastAsia"/>
                      <w:szCs w:val="21"/>
                      <w:lang w:val="en-US" w:eastAsia="zh-CN"/>
                    </w:rPr>
                    <w:t>12</w:t>
                  </w:r>
                </w:p>
              </w:tc>
              <w:tc>
                <w:tcPr>
                  <w:tcW w:w="563" w:type="pct"/>
                  <w:vMerge w:val="restart"/>
                  <w:tcBorders>
                    <w:tl2br w:val="nil"/>
                    <w:tr2bl w:val="nil"/>
                  </w:tcBorders>
                  <w:shd w:val="clear" w:color="auto" w:fill="auto"/>
                  <w:vAlign w:val="center"/>
                </w:tcPr>
                <w:p w14:paraId="4872E620">
                  <w:pPr>
                    <w:jc w:val="center"/>
                    <w:rPr>
                      <w:szCs w:val="21"/>
                    </w:rPr>
                  </w:pPr>
                  <w:r>
                    <w:rPr>
                      <w:rFonts w:eastAsia="Arial"/>
                      <w:szCs w:val="21"/>
                    </w:rPr>
                    <w:t>1.2</w:t>
                  </w:r>
                </w:p>
              </w:tc>
              <w:tc>
                <w:tcPr>
                  <w:tcW w:w="722" w:type="pct"/>
                  <w:tcBorders>
                    <w:tl2br w:val="nil"/>
                    <w:tr2bl w:val="nil"/>
                  </w:tcBorders>
                  <w:shd w:val="clear" w:color="auto" w:fill="auto"/>
                  <w:vAlign w:val="center"/>
                </w:tcPr>
                <w:p w14:paraId="7AF33A21">
                  <w:pPr>
                    <w:autoSpaceDE w:val="0"/>
                    <w:autoSpaceDN w:val="0"/>
                    <w:jc w:val="center"/>
                    <w:rPr>
                      <w:szCs w:val="21"/>
                    </w:rPr>
                  </w:pPr>
                  <w:r>
                    <w:rPr>
                      <w:szCs w:val="21"/>
                    </w:rPr>
                    <w:t>昼间</w:t>
                  </w:r>
                </w:p>
              </w:tc>
              <w:tc>
                <w:tcPr>
                  <w:tcW w:w="1002" w:type="pct"/>
                  <w:tcBorders>
                    <w:tl2br w:val="nil"/>
                    <w:tr2bl w:val="nil"/>
                  </w:tcBorders>
                  <w:vAlign w:val="center"/>
                </w:tcPr>
                <w:p w14:paraId="600A0264">
                  <w:pPr>
                    <w:autoSpaceDN w:val="0"/>
                    <w:jc w:val="center"/>
                    <w:textAlignment w:val="center"/>
                    <w:rPr>
                      <w:rFonts w:hint="default" w:eastAsia="宋体"/>
                      <w:szCs w:val="21"/>
                      <w:lang w:val="en-US" w:eastAsia="zh-CN"/>
                    </w:rPr>
                  </w:pPr>
                  <w:r>
                    <w:rPr>
                      <w:rFonts w:hint="eastAsia"/>
                      <w:szCs w:val="21"/>
                      <w:lang w:val="en-US" w:eastAsia="zh-CN"/>
                    </w:rPr>
                    <w:t>35.7</w:t>
                  </w:r>
                </w:p>
              </w:tc>
              <w:tc>
                <w:tcPr>
                  <w:tcW w:w="729" w:type="pct"/>
                  <w:tcBorders>
                    <w:tl2br w:val="nil"/>
                    <w:tr2bl w:val="nil"/>
                  </w:tcBorders>
                  <w:shd w:val="clear" w:color="auto" w:fill="auto"/>
                  <w:vAlign w:val="center"/>
                </w:tcPr>
                <w:p w14:paraId="7B0AA0A6">
                  <w:pPr>
                    <w:autoSpaceDN w:val="0"/>
                    <w:jc w:val="center"/>
                    <w:textAlignment w:val="center"/>
                    <w:rPr>
                      <w:szCs w:val="21"/>
                    </w:rPr>
                  </w:pPr>
                  <w:r>
                    <w:rPr>
                      <w:szCs w:val="21"/>
                    </w:rPr>
                    <w:t>65</w:t>
                  </w:r>
                </w:p>
              </w:tc>
            </w:tr>
            <w:tr w14:paraId="58B584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8" w:hRule="exact"/>
                <w:jc w:val="center"/>
              </w:trPr>
              <w:tc>
                <w:tcPr>
                  <w:tcW w:w="687" w:type="pct"/>
                  <w:vMerge w:val="continue"/>
                  <w:tcBorders>
                    <w:tl2br w:val="nil"/>
                    <w:tr2bl w:val="nil"/>
                  </w:tcBorders>
                  <w:shd w:val="clear" w:color="auto" w:fill="auto"/>
                  <w:vAlign w:val="center"/>
                </w:tcPr>
                <w:p w14:paraId="383A724F">
                  <w:pPr>
                    <w:autoSpaceDE w:val="0"/>
                    <w:autoSpaceDN w:val="0"/>
                    <w:jc w:val="center"/>
                    <w:rPr>
                      <w:szCs w:val="21"/>
                    </w:rPr>
                  </w:pPr>
                </w:p>
              </w:tc>
              <w:tc>
                <w:tcPr>
                  <w:tcW w:w="640" w:type="pct"/>
                  <w:vMerge w:val="continue"/>
                  <w:tcBorders>
                    <w:tl2br w:val="nil"/>
                    <w:tr2bl w:val="nil"/>
                  </w:tcBorders>
                  <w:shd w:val="clear" w:color="auto" w:fill="auto"/>
                  <w:vAlign w:val="center"/>
                </w:tcPr>
                <w:p w14:paraId="3879F5E8">
                  <w:pPr>
                    <w:jc w:val="center"/>
                    <w:rPr>
                      <w:rFonts w:eastAsia="Arial"/>
                      <w:szCs w:val="21"/>
                    </w:rPr>
                  </w:pPr>
                </w:p>
              </w:tc>
              <w:tc>
                <w:tcPr>
                  <w:tcW w:w="655" w:type="pct"/>
                  <w:vMerge w:val="continue"/>
                  <w:tcBorders>
                    <w:tl2br w:val="nil"/>
                    <w:tr2bl w:val="nil"/>
                  </w:tcBorders>
                  <w:shd w:val="clear" w:color="auto" w:fill="auto"/>
                  <w:vAlign w:val="center"/>
                </w:tcPr>
                <w:p w14:paraId="691F0DB1">
                  <w:pPr>
                    <w:jc w:val="center"/>
                    <w:rPr>
                      <w:rFonts w:eastAsia="Arial"/>
                      <w:szCs w:val="21"/>
                    </w:rPr>
                  </w:pPr>
                </w:p>
              </w:tc>
              <w:tc>
                <w:tcPr>
                  <w:tcW w:w="563" w:type="pct"/>
                  <w:vMerge w:val="continue"/>
                  <w:tcBorders>
                    <w:tl2br w:val="nil"/>
                    <w:tr2bl w:val="nil"/>
                  </w:tcBorders>
                  <w:shd w:val="clear" w:color="auto" w:fill="auto"/>
                  <w:vAlign w:val="center"/>
                </w:tcPr>
                <w:p w14:paraId="7DA21452">
                  <w:pPr>
                    <w:jc w:val="center"/>
                    <w:rPr>
                      <w:rFonts w:eastAsia="Arial"/>
                      <w:szCs w:val="21"/>
                    </w:rPr>
                  </w:pPr>
                </w:p>
              </w:tc>
              <w:tc>
                <w:tcPr>
                  <w:tcW w:w="722" w:type="pct"/>
                  <w:tcBorders>
                    <w:tl2br w:val="nil"/>
                    <w:tr2bl w:val="nil"/>
                  </w:tcBorders>
                  <w:shd w:val="clear" w:color="auto" w:fill="auto"/>
                  <w:vAlign w:val="center"/>
                </w:tcPr>
                <w:p w14:paraId="33A57667">
                  <w:pPr>
                    <w:autoSpaceDE w:val="0"/>
                    <w:autoSpaceDN w:val="0"/>
                    <w:jc w:val="center"/>
                    <w:rPr>
                      <w:rFonts w:hint="eastAsia" w:eastAsia="宋体"/>
                      <w:szCs w:val="21"/>
                      <w:lang w:val="en-US" w:eastAsia="zh-CN"/>
                    </w:rPr>
                  </w:pPr>
                  <w:r>
                    <w:rPr>
                      <w:rFonts w:hint="eastAsia"/>
                      <w:szCs w:val="21"/>
                      <w:lang w:val="en-US" w:eastAsia="zh-CN"/>
                    </w:rPr>
                    <w:t>夜间</w:t>
                  </w:r>
                </w:p>
              </w:tc>
              <w:tc>
                <w:tcPr>
                  <w:tcW w:w="1002" w:type="pct"/>
                  <w:tcBorders>
                    <w:tl2br w:val="nil"/>
                    <w:tr2bl w:val="nil"/>
                  </w:tcBorders>
                  <w:vAlign w:val="center"/>
                </w:tcPr>
                <w:p w14:paraId="42990936">
                  <w:pPr>
                    <w:autoSpaceDN w:val="0"/>
                    <w:jc w:val="center"/>
                    <w:textAlignment w:val="center"/>
                    <w:rPr>
                      <w:rFonts w:hint="eastAsia"/>
                      <w:szCs w:val="21"/>
                    </w:rPr>
                  </w:pPr>
                  <w:r>
                    <w:rPr>
                      <w:rFonts w:hint="eastAsia"/>
                      <w:szCs w:val="21"/>
                      <w:lang w:val="en-US" w:eastAsia="zh-CN"/>
                    </w:rPr>
                    <w:t>35.7</w:t>
                  </w:r>
                </w:p>
              </w:tc>
              <w:tc>
                <w:tcPr>
                  <w:tcW w:w="729" w:type="pct"/>
                  <w:tcBorders>
                    <w:tl2br w:val="nil"/>
                    <w:tr2bl w:val="nil"/>
                  </w:tcBorders>
                  <w:shd w:val="clear" w:color="auto" w:fill="auto"/>
                  <w:vAlign w:val="center"/>
                </w:tcPr>
                <w:p w14:paraId="3D0BFA92">
                  <w:pPr>
                    <w:autoSpaceDN w:val="0"/>
                    <w:jc w:val="center"/>
                    <w:textAlignment w:val="center"/>
                    <w:rPr>
                      <w:rFonts w:hint="default" w:eastAsia="宋体"/>
                      <w:szCs w:val="21"/>
                      <w:lang w:val="en-US" w:eastAsia="zh-CN"/>
                    </w:rPr>
                  </w:pPr>
                  <w:r>
                    <w:rPr>
                      <w:rFonts w:hint="eastAsia"/>
                      <w:szCs w:val="21"/>
                      <w:lang w:val="en-US" w:eastAsia="zh-CN"/>
                    </w:rPr>
                    <w:t>55</w:t>
                  </w:r>
                </w:p>
              </w:tc>
            </w:tr>
            <w:tr w14:paraId="53FC5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69277DBB">
                  <w:pPr>
                    <w:autoSpaceDE w:val="0"/>
                    <w:autoSpaceDN w:val="0"/>
                    <w:jc w:val="center"/>
                    <w:rPr>
                      <w:szCs w:val="21"/>
                    </w:rPr>
                  </w:pPr>
                  <w:r>
                    <w:rPr>
                      <w:szCs w:val="21"/>
                    </w:rPr>
                    <w:t>南侧</w:t>
                  </w:r>
                </w:p>
              </w:tc>
              <w:tc>
                <w:tcPr>
                  <w:tcW w:w="640" w:type="pct"/>
                  <w:vMerge w:val="restart"/>
                  <w:tcBorders>
                    <w:tl2br w:val="nil"/>
                    <w:tr2bl w:val="nil"/>
                  </w:tcBorders>
                  <w:shd w:val="clear" w:color="auto" w:fill="auto"/>
                  <w:vAlign w:val="center"/>
                </w:tcPr>
                <w:p w14:paraId="2B0F50CB">
                  <w:pPr>
                    <w:jc w:val="center"/>
                    <w:rPr>
                      <w:rFonts w:hint="default" w:eastAsia="宋体"/>
                      <w:szCs w:val="21"/>
                      <w:lang w:val="en-US" w:eastAsia="zh-CN"/>
                    </w:rPr>
                  </w:pPr>
                  <w:r>
                    <w:rPr>
                      <w:rFonts w:hint="eastAsia"/>
                      <w:szCs w:val="21"/>
                      <w:lang w:val="en-US" w:eastAsia="zh-CN"/>
                    </w:rPr>
                    <w:t>22</w:t>
                  </w:r>
                </w:p>
              </w:tc>
              <w:tc>
                <w:tcPr>
                  <w:tcW w:w="655" w:type="pct"/>
                  <w:vMerge w:val="restart"/>
                  <w:tcBorders>
                    <w:tl2br w:val="nil"/>
                    <w:tr2bl w:val="nil"/>
                  </w:tcBorders>
                  <w:shd w:val="clear" w:color="auto" w:fill="auto"/>
                  <w:vAlign w:val="center"/>
                </w:tcPr>
                <w:p w14:paraId="059B37C4">
                  <w:pPr>
                    <w:jc w:val="center"/>
                    <w:rPr>
                      <w:rFonts w:hint="default" w:eastAsia="宋体"/>
                      <w:szCs w:val="21"/>
                      <w:lang w:val="en-US" w:eastAsia="zh-CN"/>
                    </w:rPr>
                  </w:pPr>
                  <w:r>
                    <w:rPr>
                      <w:rFonts w:eastAsia="Arial"/>
                      <w:szCs w:val="21"/>
                    </w:rPr>
                    <w:t>-</w:t>
                  </w:r>
                  <w:r>
                    <w:rPr>
                      <w:rFonts w:hint="eastAsia"/>
                      <w:szCs w:val="21"/>
                      <w:lang w:val="en-US" w:eastAsia="zh-CN"/>
                    </w:rPr>
                    <w:t>147</w:t>
                  </w:r>
                </w:p>
              </w:tc>
              <w:tc>
                <w:tcPr>
                  <w:tcW w:w="563" w:type="pct"/>
                  <w:vMerge w:val="restart"/>
                  <w:tcBorders>
                    <w:tl2br w:val="nil"/>
                    <w:tr2bl w:val="nil"/>
                  </w:tcBorders>
                  <w:shd w:val="clear" w:color="auto" w:fill="auto"/>
                  <w:vAlign w:val="center"/>
                </w:tcPr>
                <w:p w14:paraId="2EB720A3">
                  <w:pPr>
                    <w:jc w:val="center"/>
                    <w:rPr>
                      <w:szCs w:val="21"/>
                    </w:rPr>
                  </w:pPr>
                  <w:r>
                    <w:rPr>
                      <w:rFonts w:eastAsia="Arial"/>
                      <w:szCs w:val="21"/>
                    </w:rPr>
                    <w:t>1.2</w:t>
                  </w:r>
                </w:p>
              </w:tc>
              <w:tc>
                <w:tcPr>
                  <w:tcW w:w="722" w:type="pct"/>
                  <w:tcBorders>
                    <w:tl2br w:val="nil"/>
                    <w:tr2bl w:val="nil"/>
                  </w:tcBorders>
                  <w:shd w:val="clear" w:color="auto" w:fill="auto"/>
                  <w:vAlign w:val="center"/>
                </w:tcPr>
                <w:p w14:paraId="426BDD2A">
                  <w:pPr>
                    <w:autoSpaceDE w:val="0"/>
                    <w:autoSpaceDN w:val="0"/>
                    <w:jc w:val="center"/>
                    <w:rPr>
                      <w:szCs w:val="21"/>
                    </w:rPr>
                  </w:pPr>
                  <w:r>
                    <w:rPr>
                      <w:szCs w:val="21"/>
                    </w:rPr>
                    <w:t>昼间</w:t>
                  </w:r>
                </w:p>
              </w:tc>
              <w:tc>
                <w:tcPr>
                  <w:tcW w:w="1002" w:type="pct"/>
                  <w:tcBorders>
                    <w:tl2br w:val="nil"/>
                    <w:tr2bl w:val="nil"/>
                  </w:tcBorders>
                  <w:vAlign w:val="center"/>
                </w:tcPr>
                <w:p w14:paraId="3F1066D4">
                  <w:pPr>
                    <w:autoSpaceDN w:val="0"/>
                    <w:jc w:val="center"/>
                    <w:textAlignment w:val="center"/>
                    <w:rPr>
                      <w:rFonts w:hint="default" w:eastAsia="宋体"/>
                      <w:szCs w:val="21"/>
                      <w:lang w:val="en-US" w:eastAsia="zh-CN"/>
                    </w:rPr>
                  </w:pPr>
                  <w:r>
                    <w:rPr>
                      <w:rFonts w:hint="eastAsia"/>
                      <w:szCs w:val="21"/>
                      <w:lang w:val="en-US" w:eastAsia="zh-CN"/>
                    </w:rPr>
                    <w:t>26.9</w:t>
                  </w:r>
                </w:p>
              </w:tc>
              <w:tc>
                <w:tcPr>
                  <w:tcW w:w="729" w:type="pct"/>
                  <w:tcBorders>
                    <w:tl2br w:val="nil"/>
                    <w:tr2bl w:val="nil"/>
                  </w:tcBorders>
                  <w:shd w:val="clear" w:color="auto" w:fill="auto"/>
                  <w:vAlign w:val="center"/>
                </w:tcPr>
                <w:p w14:paraId="7345B34C">
                  <w:pPr>
                    <w:autoSpaceDN w:val="0"/>
                    <w:jc w:val="center"/>
                    <w:textAlignment w:val="center"/>
                    <w:rPr>
                      <w:szCs w:val="21"/>
                    </w:rPr>
                  </w:pPr>
                  <w:r>
                    <w:rPr>
                      <w:szCs w:val="21"/>
                    </w:rPr>
                    <w:t>65</w:t>
                  </w:r>
                </w:p>
              </w:tc>
            </w:tr>
            <w:tr w14:paraId="17A0F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3FBC6433">
                  <w:pPr>
                    <w:autoSpaceDE w:val="0"/>
                    <w:autoSpaceDN w:val="0"/>
                    <w:jc w:val="center"/>
                    <w:rPr>
                      <w:szCs w:val="21"/>
                    </w:rPr>
                  </w:pPr>
                </w:p>
              </w:tc>
              <w:tc>
                <w:tcPr>
                  <w:tcW w:w="640" w:type="pct"/>
                  <w:vMerge w:val="continue"/>
                  <w:tcBorders>
                    <w:tl2br w:val="nil"/>
                    <w:tr2bl w:val="nil"/>
                  </w:tcBorders>
                  <w:shd w:val="clear" w:color="auto" w:fill="auto"/>
                  <w:vAlign w:val="center"/>
                </w:tcPr>
                <w:p w14:paraId="309B5B38">
                  <w:pPr>
                    <w:jc w:val="center"/>
                    <w:rPr>
                      <w:rFonts w:eastAsia="Arial"/>
                      <w:szCs w:val="21"/>
                    </w:rPr>
                  </w:pPr>
                </w:p>
              </w:tc>
              <w:tc>
                <w:tcPr>
                  <w:tcW w:w="655" w:type="pct"/>
                  <w:vMerge w:val="continue"/>
                  <w:tcBorders>
                    <w:tl2br w:val="nil"/>
                    <w:tr2bl w:val="nil"/>
                  </w:tcBorders>
                  <w:shd w:val="clear" w:color="auto" w:fill="auto"/>
                  <w:vAlign w:val="center"/>
                </w:tcPr>
                <w:p w14:paraId="31BBD97D">
                  <w:pPr>
                    <w:jc w:val="center"/>
                    <w:rPr>
                      <w:rFonts w:eastAsia="Arial"/>
                      <w:szCs w:val="21"/>
                    </w:rPr>
                  </w:pPr>
                </w:p>
              </w:tc>
              <w:tc>
                <w:tcPr>
                  <w:tcW w:w="563" w:type="pct"/>
                  <w:vMerge w:val="continue"/>
                  <w:tcBorders>
                    <w:tl2br w:val="nil"/>
                    <w:tr2bl w:val="nil"/>
                  </w:tcBorders>
                  <w:shd w:val="clear" w:color="auto" w:fill="auto"/>
                  <w:vAlign w:val="center"/>
                </w:tcPr>
                <w:p w14:paraId="1A71C248">
                  <w:pPr>
                    <w:jc w:val="center"/>
                    <w:rPr>
                      <w:rFonts w:eastAsia="Arial"/>
                      <w:szCs w:val="21"/>
                    </w:rPr>
                  </w:pPr>
                </w:p>
              </w:tc>
              <w:tc>
                <w:tcPr>
                  <w:tcW w:w="722" w:type="pct"/>
                  <w:tcBorders>
                    <w:tl2br w:val="nil"/>
                    <w:tr2bl w:val="nil"/>
                  </w:tcBorders>
                  <w:shd w:val="clear" w:color="auto" w:fill="auto"/>
                  <w:vAlign w:val="center"/>
                </w:tcPr>
                <w:p w14:paraId="5968807B">
                  <w:pPr>
                    <w:autoSpaceDE w:val="0"/>
                    <w:autoSpaceDN w:val="0"/>
                    <w:jc w:val="center"/>
                    <w:rPr>
                      <w:szCs w:val="21"/>
                    </w:rPr>
                  </w:pPr>
                  <w:r>
                    <w:rPr>
                      <w:rFonts w:hint="eastAsia"/>
                      <w:szCs w:val="21"/>
                      <w:lang w:val="en-US" w:eastAsia="zh-CN"/>
                    </w:rPr>
                    <w:t>夜间</w:t>
                  </w:r>
                </w:p>
              </w:tc>
              <w:tc>
                <w:tcPr>
                  <w:tcW w:w="1002" w:type="pct"/>
                  <w:tcBorders>
                    <w:tl2br w:val="nil"/>
                    <w:tr2bl w:val="nil"/>
                  </w:tcBorders>
                  <w:vAlign w:val="center"/>
                </w:tcPr>
                <w:p w14:paraId="650C866B">
                  <w:pPr>
                    <w:autoSpaceDN w:val="0"/>
                    <w:jc w:val="center"/>
                    <w:textAlignment w:val="center"/>
                    <w:rPr>
                      <w:rFonts w:hint="default" w:eastAsia="宋体"/>
                      <w:szCs w:val="21"/>
                      <w:lang w:val="en-US" w:eastAsia="zh-CN"/>
                    </w:rPr>
                  </w:pPr>
                  <w:r>
                    <w:rPr>
                      <w:rFonts w:hint="eastAsia"/>
                      <w:szCs w:val="21"/>
                      <w:lang w:val="en-US" w:eastAsia="zh-CN"/>
                    </w:rPr>
                    <w:t>26.9</w:t>
                  </w:r>
                </w:p>
              </w:tc>
              <w:tc>
                <w:tcPr>
                  <w:tcW w:w="729" w:type="pct"/>
                  <w:tcBorders>
                    <w:tl2br w:val="nil"/>
                    <w:tr2bl w:val="nil"/>
                  </w:tcBorders>
                  <w:shd w:val="clear" w:color="auto" w:fill="auto"/>
                  <w:vAlign w:val="center"/>
                </w:tcPr>
                <w:p w14:paraId="6C97D8A0">
                  <w:pPr>
                    <w:autoSpaceDN w:val="0"/>
                    <w:jc w:val="center"/>
                    <w:textAlignment w:val="center"/>
                    <w:rPr>
                      <w:rFonts w:hint="default" w:eastAsia="宋体"/>
                      <w:szCs w:val="21"/>
                      <w:lang w:val="en-US" w:eastAsia="zh-CN"/>
                    </w:rPr>
                  </w:pPr>
                  <w:r>
                    <w:rPr>
                      <w:rFonts w:hint="eastAsia"/>
                      <w:szCs w:val="21"/>
                      <w:lang w:val="en-US" w:eastAsia="zh-CN"/>
                    </w:rPr>
                    <w:t>55</w:t>
                  </w:r>
                </w:p>
              </w:tc>
            </w:tr>
            <w:tr w14:paraId="36457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1233866C">
                  <w:pPr>
                    <w:autoSpaceDE w:val="0"/>
                    <w:autoSpaceDN w:val="0"/>
                    <w:jc w:val="center"/>
                    <w:rPr>
                      <w:szCs w:val="21"/>
                    </w:rPr>
                  </w:pPr>
                  <w:r>
                    <w:rPr>
                      <w:szCs w:val="21"/>
                    </w:rPr>
                    <w:t>西侧</w:t>
                  </w:r>
                </w:p>
              </w:tc>
              <w:tc>
                <w:tcPr>
                  <w:tcW w:w="640" w:type="pct"/>
                  <w:vMerge w:val="restart"/>
                  <w:tcBorders>
                    <w:tl2br w:val="nil"/>
                    <w:tr2bl w:val="nil"/>
                  </w:tcBorders>
                  <w:shd w:val="clear" w:color="auto" w:fill="auto"/>
                  <w:vAlign w:val="center"/>
                </w:tcPr>
                <w:p w14:paraId="5DB8A550">
                  <w:pPr>
                    <w:jc w:val="center"/>
                    <w:rPr>
                      <w:rFonts w:hint="default" w:eastAsia="宋体"/>
                      <w:szCs w:val="21"/>
                      <w:lang w:val="en-US" w:eastAsia="zh-CN"/>
                    </w:rPr>
                  </w:pPr>
                  <w:r>
                    <w:rPr>
                      <w:rFonts w:eastAsia="Arial"/>
                      <w:szCs w:val="21"/>
                    </w:rPr>
                    <w:t>-</w:t>
                  </w:r>
                  <w:r>
                    <w:rPr>
                      <w:rFonts w:hint="eastAsia" w:eastAsia="宋体"/>
                      <w:szCs w:val="21"/>
                      <w:lang w:val="en-US" w:eastAsia="zh-CN"/>
                    </w:rPr>
                    <w:t>67</w:t>
                  </w:r>
                </w:p>
              </w:tc>
              <w:tc>
                <w:tcPr>
                  <w:tcW w:w="655" w:type="pct"/>
                  <w:vMerge w:val="restart"/>
                  <w:tcBorders>
                    <w:tl2br w:val="nil"/>
                    <w:tr2bl w:val="nil"/>
                  </w:tcBorders>
                  <w:shd w:val="clear" w:color="auto" w:fill="auto"/>
                  <w:vAlign w:val="center"/>
                </w:tcPr>
                <w:p w14:paraId="0FAAE43A">
                  <w:pPr>
                    <w:jc w:val="center"/>
                    <w:rPr>
                      <w:rFonts w:hint="default" w:eastAsia="宋体"/>
                      <w:szCs w:val="21"/>
                      <w:lang w:val="en-US" w:eastAsia="zh-CN"/>
                    </w:rPr>
                  </w:pPr>
                  <w:r>
                    <w:rPr>
                      <w:rFonts w:hint="eastAsia"/>
                      <w:szCs w:val="21"/>
                      <w:lang w:val="en-US" w:eastAsia="zh-CN"/>
                    </w:rPr>
                    <w:t>23</w:t>
                  </w:r>
                </w:p>
              </w:tc>
              <w:tc>
                <w:tcPr>
                  <w:tcW w:w="563" w:type="pct"/>
                  <w:vMerge w:val="restart"/>
                  <w:tcBorders>
                    <w:tl2br w:val="nil"/>
                    <w:tr2bl w:val="nil"/>
                  </w:tcBorders>
                  <w:shd w:val="clear" w:color="auto" w:fill="auto"/>
                  <w:vAlign w:val="center"/>
                </w:tcPr>
                <w:p w14:paraId="2A0249B5">
                  <w:pPr>
                    <w:jc w:val="center"/>
                    <w:rPr>
                      <w:szCs w:val="21"/>
                    </w:rPr>
                  </w:pPr>
                  <w:r>
                    <w:rPr>
                      <w:rFonts w:eastAsia="Arial"/>
                      <w:szCs w:val="21"/>
                    </w:rPr>
                    <w:t>1.2</w:t>
                  </w:r>
                </w:p>
              </w:tc>
              <w:tc>
                <w:tcPr>
                  <w:tcW w:w="722" w:type="pct"/>
                  <w:tcBorders>
                    <w:tl2br w:val="nil"/>
                    <w:tr2bl w:val="nil"/>
                  </w:tcBorders>
                  <w:shd w:val="clear" w:color="auto" w:fill="auto"/>
                  <w:vAlign w:val="center"/>
                </w:tcPr>
                <w:p w14:paraId="34D266EB">
                  <w:pPr>
                    <w:autoSpaceDE w:val="0"/>
                    <w:autoSpaceDN w:val="0"/>
                    <w:jc w:val="center"/>
                    <w:rPr>
                      <w:szCs w:val="21"/>
                    </w:rPr>
                  </w:pPr>
                  <w:r>
                    <w:rPr>
                      <w:szCs w:val="21"/>
                    </w:rPr>
                    <w:t>昼间</w:t>
                  </w:r>
                </w:p>
              </w:tc>
              <w:tc>
                <w:tcPr>
                  <w:tcW w:w="1002" w:type="pct"/>
                  <w:tcBorders>
                    <w:tl2br w:val="nil"/>
                    <w:tr2bl w:val="nil"/>
                  </w:tcBorders>
                  <w:vAlign w:val="center"/>
                </w:tcPr>
                <w:p w14:paraId="06C307C3">
                  <w:pPr>
                    <w:autoSpaceDN w:val="0"/>
                    <w:jc w:val="center"/>
                    <w:textAlignment w:val="center"/>
                    <w:rPr>
                      <w:rFonts w:hint="default" w:eastAsia="宋体"/>
                      <w:szCs w:val="21"/>
                      <w:lang w:val="en-US" w:eastAsia="zh-CN"/>
                    </w:rPr>
                  </w:pPr>
                  <w:r>
                    <w:rPr>
                      <w:rFonts w:hint="eastAsia"/>
                      <w:szCs w:val="21"/>
                      <w:lang w:val="en-US" w:eastAsia="zh-CN"/>
                    </w:rPr>
                    <w:t>37.3</w:t>
                  </w:r>
                </w:p>
              </w:tc>
              <w:tc>
                <w:tcPr>
                  <w:tcW w:w="729" w:type="pct"/>
                  <w:tcBorders>
                    <w:tl2br w:val="nil"/>
                    <w:tr2bl w:val="nil"/>
                  </w:tcBorders>
                  <w:shd w:val="clear" w:color="auto" w:fill="auto"/>
                  <w:vAlign w:val="center"/>
                </w:tcPr>
                <w:p w14:paraId="030D74C6">
                  <w:pPr>
                    <w:autoSpaceDN w:val="0"/>
                    <w:jc w:val="center"/>
                    <w:textAlignment w:val="center"/>
                    <w:rPr>
                      <w:szCs w:val="21"/>
                    </w:rPr>
                  </w:pPr>
                  <w:r>
                    <w:rPr>
                      <w:szCs w:val="21"/>
                    </w:rPr>
                    <w:t>65</w:t>
                  </w:r>
                </w:p>
              </w:tc>
            </w:tr>
            <w:tr w14:paraId="1EBA0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43E31FC4">
                  <w:pPr>
                    <w:autoSpaceDE w:val="0"/>
                    <w:autoSpaceDN w:val="0"/>
                    <w:jc w:val="center"/>
                    <w:rPr>
                      <w:szCs w:val="21"/>
                    </w:rPr>
                  </w:pPr>
                </w:p>
              </w:tc>
              <w:tc>
                <w:tcPr>
                  <w:tcW w:w="640" w:type="pct"/>
                  <w:vMerge w:val="continue"/>
                  <w:tcBorders>
                    <w:tl2br w:val="nil"/>
                    <w:tr2bl w:val="nil"/>
                  </w:tcBorders>
                  <w:shd w:val="clear" w:color="auto" w:fill="auto"/>
                  <w:vAlign w:val="center"/>
                </w:tcPr>
                <w:p w14:paraId="06EACA41">
                  <w:pPr>
                    <w:jc w:val="center"/>
                    <w:rPr>
                      <w:rFonts w:eastAsia="Arial"/>
                      <w:szCs w:val="21"/>
                    </w:rPr>
                  </w:pPr>
                </w:p>
              </w:tc>
              <w:tc>
                <w:tcPr>
                  <w:tcW w:w="655" w:type="pct"/>
                  <w:vMerge w:val="continue"/>
                  <w:tcBorders>
                    <w:tl2br w:val="nil"/>
                    <w:tr2bl w:val="nil"/>
                  </w:tcBorders>
                  <w:shd w:val="clear" w:color="auto" w:fill="auto"/>
                  <w:vAlign w:val="center"/>
                </w:tcPr>
                <w:p w14:paraId="68E8721C">
                  <w:pPr>
                    <w:jc w:val="center"/>
                    <w:rPr>
                      <w:rFonts w:eastAsia="Arial"/>
                      <w:szCs w:val="21"/>
                    </w:rPr>
                  </w:pPr>
                </w:p>
              </w:tc>
              <w:tc>
                <w:tcPr>
                  <w:tcW w:w="563" w:type="pct"/>
                  <w:vMerge w:val="continue"/>
                  <w:tcBorders>
                    <w:tl2br w:val="nil"/>
                    <w:tr2bl w:val="nil"/>
                  </w:tcBorders>
                  <w:shd w:val="clear" w:color="auto" w:fill="auto"/>
                  <w:vAlign w:val="center"/>
                </w:tcPr>
                <w:p w14:paraId="4B0D78C0">
                  <w:pPr>
                    <w:jc w:val="center"/>
                    <w:rPr>
                      <w:rFonts w:eastAsia="Arial"/>
                      <w:szCs w:val="21"/>
                    </w:rPr>
                  </w:pPr>
                </w:p>
              </w:tc>
              <w:tc>
                <w:tcPr>
                  <w:tcW w:w="722" w:type="pct"/>
                  <w:tcBorders>
                    <w:tl2br w:val="nil"/>
                    <w:tr2bl w:val="nil"/>
                  </w:tcBorders>
                  <w:shd w:val="clear" w:color="auto" w:fill="auto"/>
                  <w:vAlign w:val="center"/>
                </w:tcPr>
                <w:p w14:paraId="11F139E7">
                  <w:pPr>
                    <w:autoSpaceDE w:val="0"/>
                    <w:autoSpaceDN w:val="0"/>
                    <w:jc w:val="center"/>
                    <w:rPr>
                      <w:szCs w:val="21"/>
                    </w:rPr>
                  </w:pPr>
                  <w:r>
                    <w:rPr>
                      <w:rFonts w:hint="eastAsia"/>
                      <w:szCs w:val="21"/>
                      <w:lang w:val="en-US" w:eastAsia="zh-CN"/>
                    </w:rPr>
                    <w:t>夜间</w:t>
                  </w:r>
                </w:p>
              </w:tc>
              <w:tc>
                <w:tcPr>
                  <w:tcW w:w="1002" w:type="pct"/>
                  <w:tcBorders>
                    <w:tl2br w:val="nil"/>
                    <w:tr2bl w:val="nil"/>
                  </w:tcBorders>
                  <w:vAlign w:val="center"/>
                </w:tcPr>
                <w:p w14:paraId="0E71F431">
                  <w:pPr>
                    <w:autoSpaceDN w:val="0"/>
                    <w:jc w:val="center"/>
                    <w:textAlignment w:val="center"/>
                    <w:rPr>
                      <w:rFonts w:hint="default" w:eastAsia="宋体"/>
                      <w:szCs w:val="21"/>
                      <w:lang w:val="en-US" w:eastAsia="zh-CN"/>
                    </w:rPr>
                  </w:pPr>
                  <w:r>
                    <w:rPr>
                      <w:rFonts w:hint="eastAsia"/>
                      <w:szCs w:val="21"/>
                      <w:lang w:val="en-US" w:eastAsia="zh-CN"/>
                    </w:rPr>
                    <w:t>37.3</w:t>
                  </w:r>
                </w:p>
              </w:tc>
              <w:tc>
                <w:tcPr>
                  <w:tcW w:w="729" w:type="pct"/>
                  <w:tcBorders>
                    <w:tl2br w:val="nil"/>
                    <w:tr2bl w:val="nil"/>
                  </w:tcBorders>
                  <w:shd w:val="clear" w:color="auto" w:fill="auto"/>
                  <w:vAlign w:val="center"/>
                </w:tcPr>
                <w:p w14:paraId="0EC88E9A">
                  <w:pPr>
                    <w:autoSpaceDN w:val="0"/>
                    <w:jc w:val="center"/>
                    <w:textAlignment w:val="center"/>
                    <w:rPr>
                      <w:rFonts w:hint="default" w:eastAsia="宋体"/>
                      <w:szCs w:val="21"/>
                      <w:lang w:val="en-US" w:eastAsia="zh-CN"/>
                    </w:rPr>
                  </w:pPr>
                  <w:r>
                    <w:rPr>
                      <w:rFonts w:hint="eastAsia"/>
                      <w:szCs w:val="21"/>
                      <w:lang w:val="en-US" w:eastAsia="zh-CN"/>
                    </w:rPr>
                    <w:t>55</w:t>
                  </w:r>
                </w:p>
              </w:tc>
            </w:tr>
            <w:tr w14:paraId="2775F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restart"/>
                  <w:tcBorders>
                    <w:tl2br w:val="nil"/>
                    <w:tr2bl w:val="nil"/>
                  </w:tcBorders>
                  <w:shd w:val="clear" w:color="auto" w:fill="auto"/>
                  <w:vAlign w:val="center"/>
                </w:tcPr>
                <w:p w14:paraId="2192F832">
                  <w:pPr>
                    <w:autoSpaceDE w:val="0"/>
                    <w:autoSpaceDN w:val="0"/>
                    <w:jc w:val="center"/>
                    <w:rPr>
                      <w:szCs w:val="21"/>
                    </w:rPr>
                  </w:pPr>
                  <w:r>
                    <w:rPr>
                      <w:szCs w:val="21"/>
                    </w:rPr>
                    <w:t>北侧</w:t>
                  </w:r>
                </w:p>
              </w:tc>
              <w:tc>
                <w:tcPr>
                  <w:tcW w:w="640" w:type="pct"/>
                  <w:vMerge w:val="restart"/>
                  <w:tcBorders>
                    <w:tl2br w:val="nil"/>
                    <w:tr2bl w:val="nil"/>
                  </w:tcBorders>
                  <w:shd w:val="clear" w:color="auto" w:fill="auto"/>
                  <w:vAlign w:val="center"/>
                </w:tcPr>
                <w:p w14:paraId="1E48484B">
                  <w:pPr>
                    <w:jc w:val="center"/>
                    <w:rPr>
                      <w:rFonts w:hint="default" w:eastAsia="宋体"/>
                      <w:szCs w:val="21"/>
                      <w:lang w:val="en-US" w:eastAsia="zh-CN"/>
                    </w:rPr>
                  </w:pPr>
                  <w:r>
                    <w:rPr>
                      <w:rFonts w:hint="eastAsia"/>
                      <w:szCs w:val="21"/>
                      <w:lang w:val="en-US" w:eastAsia="zh-CN"/>
                    </w:rPr>
                    <w:t>14</w:t>
                  </w:r>
                </w:p>
              </w:tc>
              <w:tc>
                <w:tcPr>
                  <w:tcW w:w="655" w:type="pct"/>
                  <w:vMerge w:val="restart"/>
                  <w:tcBorders>
                    <w:tl2br w:val="nil"/>
                    <w:tr2bl w:val="nil"/>
                  </w:tcBorders>
                  <w:shd w:val="clear" w:color="auto" w:fill="auto"/>
                  <w:vAlign w:val="center"/>
                </w:tcPr>
                <w:p w14:paraId="560A2C94">
                  <w:pPr>
                    <w:jc w:val="center"/>
                    <w:rPr>
                      <w:rFonts w:hint="default" w:eastAsia="宋体"/>
                      <w:szCs w:val="21"/>
                      <w:lang w:val="en-US" w:eastAsia="zh-CN"/>
                    </w:rPr>
                  </w:pPr>
                  <w:r>
                    <w:rPr>
                      <w:rFonts w:hint="eastAsia"/>
                      <w:szCs w:val="21"/>
                      <w:lang w:val="en-US" w:eastAsia="zh-CN"/>
                    </w:rPr>
                    <w:t>148</w:t>
                  </w:r>
                </w:p>
              </w:tc>
              <w:tc>
                <w:tcPr>
                  <w:tcW w:w="563" w:type="pct"/>
                  <w:vMerge w:val="restart"/>
                  <w:tcBorders>
                    <w:tl2br w:val="nil"/>
                    <w:tr2bl w:val="nil"/>
                  </w:tcBorders>
                  <w:shd w:val="clear" w:color="auto" w:fill="auto"/>
                  <w:vAlign w:val="center"/>
                </w:tcPr>
                <w:p w14:paraId="5F5D009B">
                  <w:pPr>
                    <w:jc w:val="center"/>
                    <w:rPr>
                      <w:szCs w:val="21"/>
                    </w:rPr>
                  </w:pPr>
                  <w:r>
                    <w:rPr>
                      <w:rFonts w:eastAsia="Arial"/>
                      <w:szCs w:val="21"/>
                    </w:rPr>
                    <w:t>1.2</w:t>
                  </w:r>
                </w:p>
              </w:tc>
              <w:tc>
                <w:tcPr>
                  <w:tcW w:w="722" w:type="pct"/>
                  <w:tcBorders>
                    <w:tl2br w:val="nil"/>
                    <w:tr2bl w:val="nil"/>
                  </w:tcBorders>
                  <w:shd w:val="clear" w:color="auto" w:fill="auto"/>
                  <w:vAlign w:val="center"/>
                </w:tcPr>
                <w:p w14:paraId="0DED2828">
                  <w:pPr>
                    <w:autoSpaceDE w:val="0"/>
                    <w:autoSpaceDN w:val="0"/>
                    <w:jc w:val="center"/>
                    <w:rPr>
                      <w:szCs w:val="21"/>
                    </w:rPr>
                  </w:pPr>
                  <w:r>
                    <w:rPr>
                      <w:szCs w:val="21"/>
                    </w:rPr>
                    <w:t>昼间</w:t>
                  </w:r>
                </w:p>
              </w:tc>
              <w:tc>
                <w:tcPr>
                  <w:tcW w:w="1002" w:type="pct"/>
                  <w:tcBorders>
                    <w:tl2br w:val="nil"/>
                    <w:tr2bl w:val="nil"/>
                  </w:tcBorders>
                  <w:vAlign w:val="center"/>
                </w:tcPr>
                <w:p w14:paraId="5E2A44F2">
                  <w:pPr>
                    <w:autoSpaceDN w:val="0"/>
                    <w:jc w:val="center"/>
                    <w:textAlignment w:val="center"/>
                    <w:rPr>
                      <w:rFonts w:hint="default" w:eastAsia="宋体"/>
                      <w:szCs w:val="21"/>
                      <w:lang w:val="en-US" w:eastAsia="zh-CN"/>
                    </w:rPr>
                  </w:pPr>
                  <w:r>
                    <w:rPr>
                      <w:rFonts w:hint="eastAsia"/>
                      <w:szCs w:val="21"/>
                      <w:lang w:val="en-US" w:eastAsia="zh-CN"/>
                    </w:rPr>
                    <w:t>28.2</w:t>
                  </w:r>
                </w:p>
              </w:tc>
              <w:tc>
                <w:tcPr>
                  <w:tcW w:w="729" w:type="pct"/>
                  <w:tcBorders>
                    <w:tl2br w:val="nil"/>
                    <w:tr2bl w:val="nil"/>
                  </w:tcBorders>
                  <w:shd w:val="clear" w:color="auto" w:fill="auto"/>
                  <w:vAlign w:val="center"/>
                </w:tcPr>
                <w:p w14:paraId="16A3DD85">
                  <w:pPr>
                    <w:autoSpaceDN w:val="0"/>
                    <w:jc w:val="center"/>
                    <w:textAlignment w:val="center"/>
                    <w:rPr>
                      <w:szCs w:val="21"/>
                    </w:rPr>
                  </w:pPr>
                  <w:r>
                    <w:rPr>
                      <w:szCs w:val="21"/>
                    </w:rPr>
                    <w:t>65</w:t>
                  </w:r>
                </w:p>
              </w:tc>
            </w:tr>
            <w:tr w14:paraId="410E9F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687" w:type="pct"/>
                  <w:vMerge w:val="continue"/>
                  <w:tcBorders>
                    <w:tl2br w:val="nil"/>
                    <w:tr2bl w:val="nil"/>
                  </w:tcBorders>
                  <w:shd w:val="clear" w:color="auto" w:fill="auto"/>
                  <w:vAlign w:val="center"/>
                </w:tcPr>
                <w:p w14:paraId="78717D59">
                  <w:pPr>
                    <w:autoSpaceDE w:val="0"/>
                    <w:autoSpaceDN w:val="0"/>
                    <w:jc w:val="center"/>
                    <w:rPr>
                      <w:szCs w:val="21"/>
                    </w:rPr>
                  </w:pPr>
                </w:p>
              </w:tc>
              <w:tc>
                <w:tcPr>
                  <w:tcW w:w="640" w:type="pct"/>
                  <w:vMerge w:val="continue"/>
                  <w:tcBorders>
                    <w:tl2br w:val="nil"/>
                    <w:tr2bl w:val="nil"/>
                  </w:tcBorders>
                  <w:shd w:val="clear" w:color="auto" w:fill="auto"/>
                  <w:vAlign w:val="center"/>
                </w:tcPr>
                <w:p w14:paraId="05665FE9">
                  <w:pPr>
                    <w:jc w:val="center"/>
                    <w:rPr>
                      <w:rFonts w:eastAsia="Arial"/>
                      <w:szCs w:val="21"/>
                    </w:rPr>
                  </w:pPr>
                </w:p>
              </w:tc>
              <w:tc>
                <w:tcPr>
                  <w:tcW w:w="655" w:type="pct"/>
                  <w:vMerge w:val="continue"/>
                  <w:tcBorders>
                    <w:tl2br w:val="nil"/>
                    <w:tr2bl w:val="nil"/>
                  </w:tcBorders>
                  <w:shd w:val="clear" w:color="auto" w:fill="auto"/>
                  <w:vAlign w:val="center"/>
                </w:tcPr>
                <w:p w14:paraId="05F1162C">
                  <w:pPr>
                    <w:jc w:val="center"/>
                    <w:rPr>
                      <w:rFonts w:eastAsia="Arial"/>
                      <w:szCs w:val="21"/>
                    </w:rPr>
                  </w:pPr>
                </w:p>
              </w:tc>
              <w:tc>
                <w:tcPr>
                  <w:tcW w:w="563" w:type="pct"/>
                  <w:vMerge w:val="continue"/>
                  <w:tcBorders>
                    <w:tl2br w:val="nil"/>
                    <w:tr2bl w:val="nil"/>
                  </w:tcBorders>
                  <w:shd w:val="clear" w:color="auto" w:fill="auto"/>
                  <w:vAlign w:val="center"/>
                </w:tcPr>
                <w:p w14:paraId="5F67A5CC">
                  <w:pPr>
                    <w:jc w:val="center"/>
                    <w:rPr>
                      <w:rFonts w:eastAsia="Arial"/>
                      <w:szCs w:val="21"/>
                    </w:rPr>
                  </w:pPr>
                </w:p>
              </w:tc>
              <w:tc>
                <w:tcPr>
                  <w:tcW w:w="722" w:type="pct"/>
                  <w:tcBorders>
                    <w:tl2br w:val="nil"/>
                    <w:tr2bl w:val="nil"/>
                  </w:tcBorders>
                  <w:shd w:val="clear" w:color="auto" w:fill="auto"/>
                  <w:vAlign w:val="center"/>
                </w:tcPr>
                <w:p w14:paraId="7CC09440">
                  <w:pPr>
                    <w:autoSpaceDE w:val="0"/>
                    <w:autoSpaceDN w:val="0"/>
                    <w:jc w:val="center"/>
                    <w:rPr>
                      <w:szCs w:val="21"/>
                    </w:rPr>
                  </w:pPr>
                  <w:r>
                    <w:rPr>
                      <w:rFonts w:hint="eastAsia"/>
                      <w:szCs w:val="21"/>
                      <w:lang w:val="en-US" w:eastAsia="zh-CN"/>
                    </w:rPr>
                    <w:t>夜间</w:t>
                  </w:r>
                </w:p>
              </w:tc>
              <w:tc>
                <w:tcPr>
                  <w:tcW w:w="1002" w:type="pct"/>
                  <w:tcBorders>
                    <w:tl2br w:val="nil"/>
                    <w:tr2bl w:val="nil"/>
                  </w:tcBorders>
                  <w:vAlign w:val="center"/>
                </w:tcPr>
                <w:p w14:paraId="5F6BA87A">
                  <w:pPr>
                    <w:autoSpaceDN w:val="0"/>
                    <w:jc w:val="center"/>
                    <w:textAlignment w:val="center"/>
                    <w:rPr>
                      <w:rFonts w:hint="default" w:eastAsia="宋体"/>
                      <w:szCs w:val="21"/>
                      <w:lang w:val="en-US" w:eastAsia="zh-CN"/>
                    </w:rPr>
                  </w:pPr>
                  <w:r>
                    <w:rPr>
                      <w:rFonts w:hint="eastAsia"/>
                      <w:szCs w:val="21"/>
                      <w:lang w:val="en-US" w:eastAsia="zh-CN"/>
                    </w:rPr>
                    <w:t>28.2</w:t>
                  </w:r>
                </w:p>
              </w:tc>
              <w:tc>
                <w:tcPr>
                  <w:tcW w:w="729" w:type="pct"/>
                  <w:tcBorders>
                    <w:tl2br w:val="nil"/>
                    <w:tr2bl w:val="nil"/>
                  </w:tcBorders>
                  <w:shd w:val="clear" w:color="auto" w:fill="auto"/>
                  <w:vAlign w:val="center"/>
                </w:tcPr>
                <w:p w14:paraId="2587CF66">
                  <w:pPr>
                    <w:autoSpaceDN w:val="0"/>
                    <w:jc w:val="center"/>
                    <w:textAlignment w:val="center"/>
                    <w:rPr>
                      <w:rFonts w:hint="default" w:eastAsia="宋体"/>
                      <w:szCs w:val="21"/>
                      <w:lang w:val="en-US" w:eastAsia="zh-CN"/>
                    </w:rPr>
                  </w:pPr>
                  <w:r>
                    <w:rPr>
                      <w:rFonts w:hint="eastAsia"/>
                      <w:szCs w:val="21"/>
                      <w:lang w:val="en-US" w:eastAsia="zh-CN"/>
                    </w:rPr>
                    <w:t>55</w:t>
                  </w:r>
                </w:p>
              </w:tc>
            </w:tr>
          </w:tbl>
          <w:p w14:paraId="737DAB3E">
            <w:pPr>
              <w:spacing w:before="100" w:beforeAutospacing="1" w:line="360" w:lineRule="auto"/>
              <w:ind w:firstLine="480" w:firstLineChars="200"/>
              <w:jc w:val="left"/>
              <w:rPr>
                <w:kern w:val="0"/>
                <w:sz w:val="24"/>
              </w:rPr>
            </w:pPr>
            <w:r>
              <w:rPr>
                <w:kern w:val="0"/>
                <w:sz w:val="24"/>
              </w:rPr>
              <w:t>根据预测结果，本项目运行后昼间</w:t>
            </w:r>
            <w:r>
              <w:rPr>
                <w:rFonts w:hint="eastAsia"/>
                <w:kern w:val="0"/>
                <w:sz w:val="24"/>
                <w:lang w:eastAsia="zh-CN"/>
              </w:rPr>
              <w:t>、</w:t>
            </w:r>
            <w:r>
              <w:rPr>
                <w:rFonts w:hint="eastAsia"/>
                <w:kern w:val="0"/>
                <w:sz w:val="24"/>
                <w:lang w:val="en-US" w:eastAsia="zh-CN"/>
              </w:rPr>
              <w:t>夜间</w:t>
            </w:r>
            <w:r>
              <w:rPr>
                <w:kern w:val="0"/>
                <w:sz w:val="24"/>
              </w:rPr>
              <w:t>厂界噪声可达《工业企业厂界环境噪声排放标准》（GB12348-2008）3类标准限值要求。</w:t>
            </w:r>
          </w:p>
          <w:p w14:paraId="2D18DC1E">
            <w:pPr>
              <w:widowControl/>
              <w:spacing w:line="360" w:lineRule="auto"/>
              <w:ind w:firstLine="482" w:firstLineChars="200"/>
              <w:jc w:val="left"/>
              <w:rPr>
                <w:b/>
                <w:kern w:val="0"/>
                <w:sz w:val="24"/>
              </w:rPr>
            </w:pPr>
            <w:r>
              <w:rPr>
                <w:rFonts w:hint="eastAsia"/>
                <w:b/>
                <w:kern w:val="0"/>
                <w:sz w:val="24"/>
                <w:lang w:val="en-US" w:eastAsia="zh-CN"/>
              </w:rPr>
              <w:t>4</w:t>
            </w:r>
            <w:r>
              <w:rPr>
                <w:b/>
                <w:kern w:val="0"/>
                <w:sz w:val="24"/>
              </w:rPr>
              <w:t>、运营期噪声监控计划</w:t>
            </w:r>
          </w:p>
          <w:p w14:paraId="2DC132FB">
            <w:pPr>
              <w:widowControl/>
              <w:spacing w:line="360" w:lineRule="auto"/>
              <w:ind w:firstLine="480" w:firstLineChars="200"/>
              <w:jc w:val="left"/>
              <w:rPr>
                <w:kern w:val="0"/>
                <w:sz w:val="24"/>
              </w:rPr>
            </w:pPr>
            <w:r>
              <w:rPr>
                <w:kern w:val="0"/>
                <w:sz w:val="24"/>
              </w:rPr>
              <w:t>根据</w:t>
            </w:r>
            <w:r>
              <w:rPr>
                <w:rFonts w:hint="eastAsia"/>
                <w:kern w:val="0"/>
                <w:sz w:val="24"/>
              </w:rPr>
              <w:t>《排污单位自行监测技术指南 总则》（HJ</w:t>
            </w:r>
            <w:r>
              <w:rPr>
                <w:kern w:val="0"/>
                <w:sz w:val="24"/>
              </w:rPr>
              <w:t>819</w:t>
            </w:r>
            <w:r>
              <w:rPr>
                <w:rFonts w:hint="eastAsia"/>
                <w:kern w:val="0"/>
                <w:sz w:val="24"/>
              </w:rPr>
              <w:t>-201</w:t>
            </w:r>
            <w:r>
              <w:rPr>
                <w:kern w:val="0"/>
                <w:sz w:val="24"/>
              </w:rPr>
              <w:t>7</w:t>
            </w:r>
            <w:r>
              <w:rPr>
                <w:rFonts w:hint="eastAsia"/>
                <w:kern w:val="0"/>
                <w:sz w:val="24"/>
              </w:rPr>
              <w:t>）</w:t>
            </w:r>
            <w:r>
              <w:rPr>
                <w:kern w:val="0"/>
                <w:sz w:val="24"/>
              </w:rPr>
              <w:t>，项目噪声监测计划见下表。</w:t>
            </w:r>
          </w:p>
          <w:p w14:paraId="67CD96FB">
            <w:pPr>
              <w:keepNext w:val="0"/>
              <w:keepLines w:val="0"/>
              <w:pageBreakBefore w:val="0"/>
              <w:widowControl/>
              <w:kinsoku/>
              <w:wordWrap/>
              <w:overflowPunct/>
              <w:topLinePunct w:val="0"/>
              <w:autoSpaceDE/>
              <w:autoSpaceDN/>
              <w:bidi w:val="0"/>
              <w:adjustRightInd w:val="0"/>
              <w:snapToGrid w:val="0"/>
              <w:spacing w:beforeAutospacing="0" w:line="360" w:lineRule="auto"/>
              <w:jc w:val="center"/>
              <w:textAlignment w:val="baseline"/>
              <w:rPr>
                <w:b/>
                <w:kern w:val="0"/>
                <w:sz w:val="24"/>
              </w:rPr>
            </w:pPr>
            <w:r>
              <w:rPr>
                <w:b/>
                <w:kern w:val="0"/>
                <w:sz w:val="24"/>
              </w:rPr>
              <w:t>表4-</w:t>
            </w:r>
            <w:r>
              <w:rPr>
                <w:rFonts w:hint="eastAsia"/>
                <w:b/>
                <w:kern w:val="0"/>
                <w:sz w:val="24"/>
                <w:lang w:val="en-US" w:eastAsia="zh-CN"/>
              </w:rPr>
              <w:t>11</w:t>
            </w:r>
            <w:r>
              <w:rPr>
                <w:b/>
                <w:kern w:val="0"/>
                <w:sz w:val="24"/>
              </w:rPr>
              <w:t xml:space="preserve">  项目运营期噪声监控计划一览表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3277"/>
              <w:gridCol w:w="1838"/>
              <w:gridCol w:w="2477"/>
            </w:tblGrid>
            <w:tr w14:paraId="0B876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501" w:type="pct"/>
                  <w:tcBorders>
                    <w:tl2br w:val="nil"/>
                    <w:tr2bl w:val="nil"/>
                  </w:tcBorders>
                  <w:shd w:val="clear" w:color="auto" w:fill="auto"/>
                  <w:vAlign w:val="center"/>
                </w:tcPr>
                <w:p w14:paraId="5526062E">
                  <w:pPr>
                    <w:widowControl/>
                    <w:jc w:val="center"/>
                    <w:rPr>
                      <w:b/>
                      <w:kern w:val="0"/>
                      <w:szCs w:val="21"/>
                    </w:rPr>
                  </w:pPr>
                  <w:r>
                    <w:rPr>
                      <w:b/>
                      <w:kern w:val="0"/>
                      <w:szCs w:val="21"/>
                    </w:rPr>
                    <w:t>类别</w:t>
                  </w:r>
                </w:p>
              </w:tc>
              <w:tc>
                <w:tcPr>
                  <w:tcW w:w="1942" w:type="pct"/>
                  <w:tcBorders>
                    <w:tl2br w:val="nil"/>
                    <w:tr2bl w:val="nil"/>
                  </w:tcBorders>
                  <w:shd w:val="clear" w:color="auto" w:fill="auto"/>
                  <w:vAlign w:val="center"/>
                </w:tcPr>
                <w:p w14:paraId="2EC7FB3D">
                  <w:pPr>
                    <w:widowControl/>
                    <w:jc w:val="center"/>
                    <w:rPr>
                      <w:b/>
                      <w:kern w:val="0"/>
                      <w:szCs w:val="21"/>
                    </w:rPr>
                  </w:pPr>
                  <w:r>
                    <w:rPr>
                      <w:b/>
                      <w:kern w:val="0"/>
                      <w:szCs w:val="21"/>
                    </w:rPr>
                    <w:t>监测点位</w:t>
                  </w:r>
                </w:p>
              </w:tc>
              <w:tc>
                <w:tcPr>
                  <w:tcW w:w="1089" w:type="pct"/>
                  <w:tcBorders>
                    <w:tl2br w:val="nil"/>
                    <w:tr2bl w:val="nil"/>
                  </w:tcBorders>
                  <w:shd w:val="clear" w:color="auto" w:fill="auto"/>
                  <w:vAlign w:val="center"/>
                </w:tcPr>
                <w:p w14:paraId="48FE158C">
                  <w:pPr>
                    <w:widowControl/>
                    <w:jc w:val="center"/>
                    <w:rPr>
                      <w:b/>
                      <w:kern w:val="0"/>
                      <w:szCs w:val="21"/>
                    </w:rPr>
                  </w:pPr>
                  <w:r>
                    <w:rPr>
                      <w:b/>
                      <w:kern w:val="0"/>
                      <w:szCs w:val="21"/>
                    </w:rPr>
                    <w:t>监测项目</w:t>
                  </w:r>
                </w:p>
              </w:tc>
              <w:tc>
                <w:tcPr>
                  <w:tcW w:w="1468" w:type="pct"/>
                  <w:tcBorders>
                    <w:tl2br w:val="nil"/>
                    <w:tr2bl w:val="nil"/>
                  </w:tcBorders>
                  <w:shd w:val="clear" w:color="auto" w:fill="auto"/>
                  <w:vAlign w:val="center"/>
                </w:tcPr>
                <w:p w14:paraId="568D7326">
                  <w:pPr>
                    <w:widowControl/>
                    <w:jc w:val="center"/>
                    <w:rPr>
                      <w:b/>
                      <w:kern w:val="0"/>
                      <w:szCs w:val="21"/>
                    </w:rPr>
                  </w:pPr>
                  <w:r>
                    <w:rPr>
                      <w:b/>
                      <w:kern w:val="0"/>
                      <w:szCs w:val="21"/>
                    </w:rPr>
                    <w:t>最低监测频次</w:t>
                  </w:r>
                </w:p>
              </w:tc>
            </w:tr>
            <w:tr w14:paraId="00827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1" w:type="pct"/>
                  <w:tcBorders>
                    <w:tl2br w:val="nil"/>
                    <w:tr2bl w:val="nil"/>
                  </w:tcBorders>
                  <w:shd w:val="clear" w:color="auto" w:fill="auto"/>
                  <w:vAlign w:val="center"/>
                </w:tcPr>
                <w:p w14:paraId="64FE0D22">
                  <w:pPr>
                    <w:widowControl/>
                    <w:jc w:val="center"/>
                    <w:rPr>
                      <w:kern w:val="0"/>
                      <w:szCs w:val="21"/>
                    </w:rPr>
                  </w:pPr>
                  <w:r>
                    <w:rPr>
                      <w:kern w:val="0"/>
                      <w:szCs w:val="21"/>
                    </w:rPr>
                    <w:t>噪声</w:t>
                  </w:r>
                </w:p>
              </w:tc>
              <w:tc>
                <w:tcPr>
                  <w:tcW w:w="1942" w:type="pct"/>
                  <w:tcBorders>
                    <w:tl2br w:val="nil"/>
                    <w:tr2bl w:val="nil"/>
                  </w:tcBorders>
                  <w:shd w:val="clear" w:color="auto" w:fill="auto"/>
                  <w:vAlign w:val="center"/>
                </w:tcPr>
                <w:p w14:paraId="014AB935">
                  <w:pPr>
                    <w:widowControl/>
                    <w:jc w:val="center"/>
                    <w:rPr>
                      <w:kern w:val="0"/>
                      <w:szCs w:val="21"/>
                    </w:rPr>
                  </w:pPr>
                  <w:r>
                    <w:rPr>
                      <w:kern w:val="0"/>
                      <w:szCs w:val="21"/>
                    </w:rPr>
                    <w:t>项目四周厂界</w:t>
                  </w:r>
                </w:p>
              </w:tc>
              <w:tc>
                <w:tcPr>
                  <w:tcW w:w="1089" w:type="pct"/>
                  <w:tcBorders>
                    <w:tl2br w:val="nil"/>
                    <w:tr2bl w:val="nil"/>
                  </w:tcBorders>
                  <w:shd w:val="clear" w:color="auto" w:fill="auto"/>
                  <w:vAlign w:val="center"/>
                </w:tcPr>
                <w:p w14:paraId="2AAFD04A">
                  <w:pPr>
                    <w:widowControl/>
                    <w:jc w:val="center"/>
                    <w:rPr>
                      <w:kern w:val="0"/>
                      <w:szCs w:val="21"/>
                    </w:rPr>
                  </w:pPr>
                  <w:r>
                    <w:rPr>
                      <w:kern w:val="0"/>
                      <w:szCs w:val="21"/>
                    </w:rPr>
                    <w:t>等效连续A声级</w:t>
                  </w:r>
                </w:p>
              </w:tc>
              <w:tc>
                <w:tcPr>
                  <w:tcW w:w="1468" w:type="pct"/>
                  <w:tcBorders>
                    <w:tl2br w:val="nil"/>
                    <w:tr2bl w:val="nil"/>
                  </w:tcBorders>
                  <w:shd w:val="clear" w:color="auto" w:fill="auto"/>
                  <w:vAlign w:val="center"/>
                </w:tcPr>
                <w:p w14:paraId="35D67CE7">
                  <w:pPr>
                    <w:widowControl/>
                    <w:jc w:val="center"/>
                    <w:rPr>
                      <w:rFonts w:hint="default" w:eastAsia="宋体"/>
                      <w:kern w:val="0"/>
                      <w:szCs w:val="21"/>
                      <w:lang w:val="en-US" w:eastAsia="zh-CN"/>
                    </w:rPr>
                  </w:pPr>
                  <w:r>
                    <w:rPr>
                      <w:kern w:val="0"/>
                      <w:szCs w:val="21"/>
                    </w:rPr>
                    <w:t>季度</w:t>
                  </w:r>
                  <w:r>
                    <w:rPr>
                      <w:rFonts w:hint="eastAsia"/>
                      <w:kern w:val="0"/>
                      <w:szCs w:val="21"/>
                      <w:lang w:val="en-US" w:eastAsia="zh-CN"/>
                    </w:rPr>
                    <w:t>/次</w:t>
                  </w:r>
                </w:p>
              </w:tc>
            </w:tr>
          </w:tbl>
          <w:p w14:paraId="290156E4">
            <w:pPr>
              <w:keepNext/>
              <w:keepLines/>
              <w:spacing w:before="100" w:beforeAutospacing="1" w:line="360" w:lineRule="auto"/>
              <w:ind w:firstLine="482" w:firstLineChars="200"/>
              <w:outlineLvl w:val="2"/>
              <w:rPr>
                <w:b/>
                <w:bCs/>
                <w:sz w:val="24"/>
                <w:szCs w:val="32"/>
              </w:rPr>
            </w:pPr>
            <w:r>
              <w:rPr>
                <w:rFonts w:hint="eastAsia"/>
                <w:b/>
                <w:bCs/>
                <w:sz w:val="24"/>
                <w:szCs w:val="32"/>
              </w:rPr>
              <w:t>四、固体废物环境影响和保护措施</w:t>
            </w:r>
          </w:p>
          <w:p w14:paraId="37A6B826">
            <w:pPr>
              <w:snapToGrid w:val="0"/>
              <w:spacing w:line="360" w:lineRule="auto"/>
              <w:ind w:firstLine="482" w:firstLineChars="200"/>
              <w:outlineLvl w:val="3"/>
              <w:rPr>
                <w:b/>
                <w:bCs/>
                <w:sz w:val="24"/>
              </w:rPr>
            </w:pPr>
            <w:r>
              <w:rPr>
                <w:rFonts w:hint="eastAsia"/>
                <w:b/>
                <w:sz w:val="24"/>
              </w:rPr>
              <w:t>1、固体废物产生及处置情况</w:t>
            </w:r>
          </w:p>
          <w:p w14:paraId="336F3B07">
            <w:pPr>
              <w:spacing w:line="360" w:lineRule="auto"/>
              <w:ind w:firstLine="480" w:firstLineChars="200"/>
              <w:rPr>
                <w:kern w:val="0"/>
                <w:sz w:val="24"/>
              </w:rPr>
            </w:pPr>
            <w:r>
              <w:rPr>
                <w:kern w:val="0"/>
                <w:sz w:val="24"/>
              </w:rPr>
              <w:t>本项目产生的固体废物主要分为：一般工业固体废物、危险废物和生活垃圾。其中一般工业固体废物主要为</w:t>
            </w:r>
            <w:r>
              <w:rPr>
                <w:rFonts w:hint="eastAsia"/>
                <w:kern w:val="0"/>
                <w:sz w:val="24"/>
                <w:lang w:val="en-US" w:eastAsia="zh-CN"/>
              </w:rPr>
              <w:t>废金属边角料、不合格品、布袋除尘器收集的粉尘</w:t>
            </w:r>
            <w:r>
              <w:rPr>
                <w:kern w:val="0"/>
                <w:sz w:val="24"/>
              </w:rPr>
              <w:t>；危险废物主要为</w:t>
            </w:r>
            <w:r>
              <w:rPr>
                <w:rFonts w:hint="eastAsia"/>
                <w:sz w:val="24"/>
                <w:lang w:val="en-US" w:eastAsia="zh-CN"/>
              </w:rPr>
              <w:t>废拉延油</w:t>
            </w:r>
            <w:r>
              <w:rPr>
                <w:sz w:val="24"/>
              </w:rPr>
              <w:t>、废润滑油和废油桶</w:t>
            </w:r>
            <w:r>
              <w:rPr>
                <w:kern w:val="0"/>
                <w:sz w:val="24"/>
              </w:rPr>
              <w:t>。</w:t>
            </w:r>
          </w:p>
          <w:p w14:paraId="4D38447C">
            <w:pPr>
              <w:spacing w:line="360" w:lineRule="auto"/>
              <w:ind w:firstLine="480" w:firstLineChars="200"/>
              <w:rPr>
                <w:rFonts w:hint="default" w:ascii="Times New Roman" w:hAnsi="Times New Roman" w:cs="Times New Roman"/>
                <w:kern w:val="0"/>
                <w:sz w:val="24"/>
                <w:szCs w:val="20"/>
              </w:rPr>
            </w:pPr>
            <w:r>
              <w:rPr>
                <w:rFonts w:hint="default" w:ascii="Times New Roman" w:hAnsi="Times New Roman" w:cs="Times New Roman"/>
                <w:kern w:val="0"/>
                <w:sz w:val="24"/>
                <w:szCs w:val="20"/>
              </w:rPr>
              <w:t>（1）一般工业固废</w:t>
            </w:r>
          </w:p>
          <w:p w14:paraId="02A82F71">
            <w:pPr>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kern w:val="0"/>
                <w:sz w:val="24"/>
              </w:rPr>
              <w:fldChar w:fldCharType="begin"/>
            </w:r>
            <w:r>
              <w:rPr>
                <w:rFonts w:hint="default" w:ascii="Times New Roman" w:hAnsi="Times New Roman" w:cs="Times New Roman"/>
                <w:kern w:val="0"/>
                <w:sz w:val="24"/>
              </w:rPr>
              <w:instrText xml:space="preserve"> = 1 \* GB3 </w:instrText>
            </w:r>
            <w:r>
              <w:rPr>
                <w:rFonts w:hint="default" w:ascii="Times New Roman" w:hAnsi="Times New Roman" w:cs="Times New Roman"/>
                <w:kern w:val="0"/>
                <w:sz w:val="24"/>
              </w:rPr>
              <w:fldChar w:fldCharType="separate"/>
            </w:r>
            <w:r>
              <w:rPr>
                <w:rFonts w:hint="default" w:ascii="Times New Roman" w:hAnsi="Times New Roman" w:cs="Times New Roman"/>
                <w:kern w:val="0"/>
                <w:sz w:val="24"/>
              </w:rPr>
              <w:t>①</w:t>
            </w:r>
            <w:r>
              <w:rPr>
                <w:rFonts w:hint="default" w:ascii="Times New Roman" w:hAnsi="Times New Roman" w:cs="Times New Roman"/>
                <w:kern w:val="0"/>
                <w:sz w:val="24"/>
              </w:rPr>
              <w:fldChar w:fldCharType="end"/>
            </w:r>
            <w:r>
              <w:rPr>
                <w:rFonts w:hint="default" w:ascii="Times New Roman" w:hAnsi="Times New Roman" w:cs="Times New Roman"/>
                <w:sz w:val="24"/>
                <w:lang w:val="en-US" w:eastAsia="zh-CN"/>
              </w:rPr>
              <w:t>废金属边角料</w:t>
            </w:r>
            <w:r>
              <w:rPr>
                <w:rFonts w:hint="default" w:ascii="Times New Roman" w:hAnsi="Times New Roman" w:cs="Times New Roman"/>
                <w:sz w:val="24"/>
              </w:rPr>
              <w:t>：本项目</w:t>
            </w:r>
            <w:r>
              <w:rPr>
                <w:rFonts w:hint="default" w:ascii="Times New Roman" w:hAnsi="Times New Roman" w:cs="Times New Roman"/>
                <w:sz w:val="24"/>
                <w:lang w:val="en-US" w:eastAsia="zh-CN"/>
              </w:rPr>
              <w:t>冲压</w:t>
            </w:r>
            <w:r>
              <w:rPr>
                <w:rFonts w:hint="default" w:ascii="Times New Roman" w:hAnsi="Times New Roman" w:cs="Times New Roman"/>
                <w:sz w:val="24"/>
              </w:rPr>
              <w:t>等环节产生</w:t>
            </w:r>
            <w:r>
              <w:rPr>
                <w:rFonts w:hint="default" w:ascii="Times New Roman" w:hAnsi="Times New Roman" w:cs="Times New Roman"/>
                <w:sz w:val="24"/>
                <w:lang w:val="en-US" w:eastAsia="zh-CN"/>
              </w:rPr>
              <w:t>废金属</w:t>
            </w:r>
            <w:r>
              <w:rPr>
                <w:rFonts w:hint="default" w:ascii="Times New Roman" w:hAnsi="Times New Roman" w:cs="Times New Roman"/>
                <w:sz w:val="24"/>
              </w:rPr>
              <w:t>边角料，项目年使用钢板</w:t>
            </w:r>
            <w:r>
              <w:rPr>
                <w:rFonts w:hint="default" w:ascii="Times New Roman" w:hAnsi="Times New Roman" w:cs="Times New Roman"/>
                <w:sz w:val="24"/>
                <w:lang w:val="en-US" w:eastAsia="zh-CN"/>
              </w:rPr>
              <w:t>8</w:t>
            </w:r>
            <w:r>
              <w:rPr>
                <w:rFonts w:hint="default" w:ascii="Times New Roman" w:hAnsi="Times New Roman" w:cs="Times New Roman"/>
                <w:sz w:val="24"/>
              </w:rPr>
              <w:t>0000吨，废金属边角料产生量按使用量的</w:t>
            </w:r>
            <w:r>
              <w:rPr>
                <w:rFonts w:hint="default" w:ascii="Times New Roman" w:hAnsi="Times New Roman" w:cs="Times New Roman"/>
                <w:sz w:val="24"/>
                <w:lang w:val="en-US" w:eastAsia="zh-CN"/>
              </w:rPr>
              <w:t>1</w:t>
            </w:r>
            <w:r>
              <w:rPr>
                <w:rFonts w:hint="default" w:ascii="Times New Roman" w:hAnsi="Times New Roman" w:cs="Times New Roman"/>
                <w:sz w:val="24"/>
              </w:rPr>
              <w:t>%计，则切</w:t>
            </w:r>
            <w:r>
              <w:rPr>
                <w:rFonts w:hint="default" w:ascii="Times New Roman" w:hAnsi="Times New Roman" w:cs="Times New Roman"/>
                <w:sz w:val="24"/>
                <w:lang w:val="en-US" w:eastAsia="zh-CN"/>
              </w:rPr>
              <w:t>废金属边角料产生量</w:t>
            </w:r>
            <w:r>
              <w:rPr>
                <w:rFonts w:hint="default" w:ascii="Times New Roman" w:hAnsi="Times New Roman" w:cs="Times New Roman"/>
                <w:sz w:val="24"/>
              </w:rPr>
              <w:t xml:space="preserve">约 </w:t>
            </w:r>
            <w:r>
              <w:rPr>
                <w:rFonts w:hint="default" w:ascii="Times New Roman" w:hAnsi="Times New Roman" w:cs="Times New Roman"/>
                <w:sz w:val="24"/>
                <w:lang w:val="en-US" w:eastAsia="zh-CN"/>
              </w:rPr>
              <w:t>8</w:t>
            </w:r>
            <w:r>
              <w:rPr>
                <w:rFonts w:hint="default" w:ascii="Times New Roman" w:hAnsi="Times New Roman" w:cs="Times New Roman"/>
                <w:sz w:val="24"/>
              </w:rPr>
              <w:t>00t/a，收集暂存于一般固废仓库后外售。</w:t>
            </w:r>
          </w:p>
          <w:p w14:paraId="60F6CBB3">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2 \* GB3 </w:instrText>
            </w:r>
            <w:r>
              <w:rPr>
                <w:rFonts w:hint="default" w:ascii="Times New Roman" w:hAnsi="Times New Roman" w:cs="Times New Roman"/>
                <w:sz w:val="24"/>
              </w:rPr>
              <w:fldChar w:fldCharType="separate"/>
            </w:r>
            <w:r>
              <w:rPr>
                <w:rFonts w:hint="default" w:ascii="Times New Roman" w:hAnsi="Times New Roman" w:cs="Times New Roman"/>
                <w:sz w:val="24"/>
              </w:rPr>
              <w:t>②</w:t>
            </w:r>
            <w:r>
              <w:rPr>
                <w:rFonts w:hint="default" w:ascii="Times New Roman" w:hAnsi="Times New Roman" w:cs="Times New Roman"/>
                <w:sz w:val="24"/>
              </w:rPr>
              <w:fldChar w:fldCharType="end"/>
            </w:r>
            <w:r>
              <w:rPr>
                <w:rFonts w:hint="default" w:ascii="Times New Roman" w:hAnsi="Times New Roman" w:cs="Times New Roman"/>
                <w:sz w:val="24"/>
              </w:rPr>
              <w:t>不合格品：本项目检验工序会产生不合格品，产生量按</w:t>
            </w:r>
            <w:r>
              <w:rPr>
                <w:rFonts w:hint="default" w:ascii="Times New Roman" w:hAnsi="Times New Roman" w:cs="Times New Roman"/>
                <w:sz w:val="24"/>
                <w:lang w:val="en-US" w:eastAsia="zh-CN"/>
              </w:rPr>
              <w:t>产品产量</w:t>
            </w:r>
            <w:r>
              <w:rPr>
                <w:rFonts w:hint="default" w:ascii="Times New Roman" w:hAnsi="Times New Roman" w:cs="Times New Roman"/>
                <w:sz w:val="24"/>
              </w:rPr>
              <w:t>的0.</w:t>
            </w:r>
            <w:r>
              <w:rPr>
                <w:rFonts w:hint="default" w:ascii="Times New Roman" w:hAnsi="Times New Roman" w:cs="Times New Roman"/>
                <w:sz w:val="24"/>
                <w:lang w:val="en-US" w:eastAsia="zh-CN"/>
              </w:rPr>
              <w:t>1</w:t>
            </w:r>
            <w:r>
              <w:rPr>
                <w:rFonts w:hint="default" w:ascii="Times New Roman" w:hAnsi="Times New Roman" w:cs="Times New Roman"/>
                <w:sz w:val="24"/>
              </w:rPr>
              <w:t>%估算，因此不合格品产生量约为</w:t>
            </w:r>
            <w:r>
              <w:rPr>
                <w:rFonts w:hint="default" w:ascii="Times New Roman" w:hAnsi="Times New Roman" w:cs="Times New Roman"/>
                <w:sz w:val="24"/>
                <w:lang w:val="en-US" w:eastAsia="zh-CN"/>
              </w:rPr>
              <w:t>80</w:t>
            </w:r>
            <w:r>
              <w:rPr>
                <w:rFonts w:hint="default" w:ascii="Times New Roman" w:hAnsi="Times New Roman" w:cs="Times New Roman"/>
                <w:sz w:val="24"/>
              </w:rPr>
              <w:t>t/a，产生不合格品</w:t>
            </w:r>
            <w:r>
              <w:rPr>
                <w:rFonts w:hint="default" w:ascii="Times New Roman" w:hAnsi="Times New Roman" w:cs="Times New Roman"/>
                <w:sz w:val="24"/>
                <w:lang w:val="en-US" w:eastAsia="zh-CN"/>
              </w:rPr>
              <w:t>收集后外售</w:t>
            </w:r>
            <w:r>
              <w:rPr>
                <w:rFonts w:hint="default" w:ascii="Times New Roman" w:hAnsi="Times New Roman" w:cs="Times New Roman"/>
                <w:sz w:val="24"/>
              </w:rPr>
              <w:t>。</w:t>
            </w:r>
          </w:p>
          <w:p w14:paraId="2432FC33">
            <w:pPr>
              <w:spacing w:line="360" w:lineRule="auto"/>
              <w:ind w:firstLine="480" w:firstLineChars="200"/>
              <w:rPr>
                <w:rFonts w:hint="default" w:ascii="Times New Roman" w:hAnsi="Times New Roman" w:eastAsia="宋体" w:cs="Times New Roman"/>
                <w:kern w:val="0"/>
                <w:sz w:val="24"/>
                <w:szCs w:val="20"/>
                <w:lang w:val="en-US" w:eastAsia="zh-CN"/>
              </w:rPr>
            </w:pPr>
            <w:r>
              <w:rPr>
                <w:rFonts w:hint="default" w:ascii="Times New Roman" w:hAnsi="Times New Roman" w:eastAsia="宋体" w:cs="Times New Roman"/>
                <w:kern w:val="0"/>
                <w:sz w:val="24"/>
                <w:szCs w:val="20"/>
              </w:rPr>
              <w:t>③</w:t>
            </w:r>
            <w:r>
              <w:rPr>
                <w:rFonts w:hint="default" w:ascii="Times New Roman" w:hAnsi="Times New Roman" w:eastAsia="宋体" w:cs="Times New Roman"/>
                <w:kern w:val="0"/>
                <w:sz w:val="24"/>
                <w:szCs w:val="20"/>
                <w:lang w:val="en-US" w:eastAsia="zh-CN"/>
              </w:rPr>
              <w:t>收集的粉尘：项目产生除尘器收集粉尘0.489t/a，收集暂存于一般固废仓库后外售。</w:t>
            </w:r>
          </w:p>
          <w:p w14:paraId="22D74DC1">
            <w:pPr>
              <w:spacing w:line="360" w:lineRule="auto"/>
              <w:ind w:firstLine="480" w:firstLineChars="200"/>
              <w:rPr>
                <w:kern w:val="0"/>
                <w:sz w:val="24"/>
                <w:szCs w:val="20"/>
              </w:rPr>
            </w:pPr>
            <w:r>
              <w:rPr>
                <w:kern w:val="0"/>
                <w:sz w:val="24"/>
                <w:szCs w:val="20"/>
              </w:rPr>
              <w:t>（2）危险废物</w:t>
            </w:r>
          </w:p>
          <w:p w14:paraId="5972F2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sz w:val="24"/>
              </w:rPr>
              <w:t>废</w:t>
            </w:r>
            <w:r>
              <w:rPr>
                <w:rFonts w:hint="eastAsia"/>
                <w:sz w:val="24"/>
                <w:lang w:val="en-US" w:eastAsia="zh-CN"/>
              </w:rPr>
              <w:t>拉延油</w:t>
            </w:r>
            <w:r>
              <w:rPr>
                <w:sz w:val="24"/>
              </w:rPr>
              <w:t>：</w:t>
            </w:r>
            <w:r>
              <w:rPr>
                <w:rFonts w:hint="eastAsia"/>
                <w:sz w:val="24"/>
                <w:lang w:val="en-US" w:eastAsia="zh-CN"/>
              </w:rPr>
              <w:t>项目在冲压过程使用拉延油，产生量按使用量的30%计，因此废拉延油产生量为1.5t/a，</w:t>
            </w:r>
            <w:r>
              <w:rPr>
                <w:rFonts w:hint="default" w:ascii="Times New Roman" w:hAnsi="Times New Roman" w:cs="Times New Roman"/>
                <w:sz w:val="24"/>
              </w:rPr>
              <w:t>属于危险废物，危废代码为</w:t>
            </w:r>
            <w:r>
              <w:rPr>
                <w:rFonts w:hint="default" w:ascii="Times New Roman" w:hAnsi="Times New Roman" w:cs="Times New Roman"/>
                <w:kern w:val="0"/>
                <w:sz w:val="24"/>
                <w:szCs w:val="20"/>
                <w:lang w:val="zh-CN"/>
              </w:rPr>
              <w:t>HW</w:t>
            </w:r>
            <w:r>
              <w:rPr>
                <w:rFonts w:hint="eastAsia" w:cs="Times New Roman"/>
                <w:kern w:val="0"/>
                <w:sz w:val="24"/>
                <w:szCs w:val="20"/>
                <w:lang w:val="en-US" w:eastAsia="zh-CN"/>
              </w:rPr>
              <w:t>08</w:t>
            </w:r>
            <w:r>
              <w:rPr>
                <w:rFonts w:hint="default" w:ascii="Times New Roman" w:hAnsi="Times New Roman" w:cs="Times New Roman"/>
                <w:kern w:val="0"/>
                <w:sz w:val="24"/>
                <w:szCs w:val="20"/>
                <w:lang w:val="zh-CN"/>
              </w:rPr>
              <w:t xml:space="preserve"> 900-</w:t>
            </w:r>
            <w:r>
              <w:rPr>
                <w:rFonts w:hint="eastAsia" w:cs="Times New Roman"/>
                <w:kern w:val="0"/>
                <w:sz w:val="24"/>
                <w:szCs w:val="20"/>
                <w:lang w:val="en-US" w:eastAsia="zh-CN"/>
              </w:rPr>
              <w:t>214</w:t>
            </w:r>
            <w:r>
              <w:rPr>
                <w:rFonts w:hint="default" w:ascii="Times New Roman" w:hAnsi="Times New Roman" w:cs="Times New Roman"/>
                <w:kern w:val="0"/>
                <w:sz w:val="24"/>
                <w:szCs w:val="20"/>
                <w:lang w:val="zh-CN"/>
              </w:rPr>
              <w:t>-</w:t>
            </w:r>
            <w:r>
              <w:rPr>
                <w:rFonts w:hint="eastAsia" w:cs="Times New Roman"/>
                <w:kern w:val="0"/>
                <w:sz w:val="24"/>
                <w:szCs w:val="20"/>
                <w:lang w:val="en-US" w:eastAsia="zh-CN"/>
              </w:rPr>
              <w:t>08</w:t>
            </w:r>
            <w:r>
              <w:rPr>
                <w:rFonts w:hint="default" w:ascii="Times New Roman" w:hAnsi="Times New Roman" w:cs="Times New Roman"/>
                <w:sz w:val="24"/>
              </w:rPr>
              <w:t>，收集后暂存于厂区危废暂存库，定期交由有资质的单位接收处理。</w:t>
            </w:r>
          </w:p>
          <w:p w14:paraId="15DF1CA7">
            <w:pPr>
              <w:spacing w:line="336" w:lineRule="auto"/>
              <w:ind w:firstLine="420" w:firstLineChars="175"/>
              <w:jc w:val="left"/>
              <w:rPr>
                <w:sz w:val="24"/>
              </w:rPr>
            </w:pPr>
            <w:r>
              <w:rPr>
                <w:rFonts w:hint="default" w:ascii="Times New Roman" w:hAnsi="Times New Roman" w:eastAsia="微软雅黑" w:cs="Times New Roman"/>
                <w:sz w:val="24"/>
                <w:shd w:val="clear" w:color="auto" w:fill="FFFFFF"/>
              </w:rPr>
              <w:t>②</w:t>
            </w:r>
            <w:r>
              <w:rPr>
                <w:sz w:val="24"/>
                <w:shd w:val="clear" w:color="auto" w:fill="FFFFFF"/>
              </w:rPr>
              <w:t>废润滑油：本项目润滑油使用时会产生废润滑油，产生量按使用量的</w:t>
            </w:r>
            <w:r>
              <w:rPr>
                <w:rFonts w:hint="eastAsia"/>
                <w:sz w:val="24"/>
                <w:shd w:val="clear" w:color="auto" w:fill="FFFFFF"/>
              </w:rPr>
              <w:t>3</w:t>
            </w:r>
            <w:r>
              <w:rPr>
                <w:sz w:val="24"/>
                <w:shd w:val="clear" w:color="auto" w:fill="FFFFFF"/>
              </w:rPr>
              <w:t>0%计，因此废润滑油产生量为</w:t>
            </w:r>
            <w:r>
              <w:rPr>
                <w:rFonts w:hint="eastAsia"/>
                <w:sz w:val="24"/>
                <w:shd w:val="clear" w:color="auto" w:fill="FFFFFF"/>
              </w:rPr>
              <w:t>0</w:t>
            </w:r>
            <w:r>
              <w:rPr>
                <w:sz w:val="24"/>
                <w:shd w:val="clear" w:color="auto" w:fill="FFFFFF"/>
              </w:rPr>
              <w:t>.</w:t>
            </w:r>
            <w:r>
              <w:rPr>
                <w:rFonts w:hint="eastAsia"/>
                <w:sz w:val="24"/>
                <w:shd w:val="clear" w:color="auto" w:fill="FFFFFF"/>
                <w:lang w:val="en-US" w:eastAsia="zh-CN"/>
              </w:rPr>
              <w:t>3</w:t>
            </w:r>
            <w:r>
              <w:rPr>
                <w:sz w:val="24"/>
                <w:shd w:val="clear" w:color="auto" w:fill="FFFFFF"/>
              </w:rPr>
              <w:t>t/a。</w:t>
            </w:r>
            <w:r>
              <w:rPr>
                <w:sz w:val="24"/>
              </w:rPr>
              <w:t>产生的废润滑油属于危险废物，危废代码为HW08 900-214-08，收集后暂存于厂区危废暂存库，定期交由有资质的单位接收处理。</w:t>
            </w:r>
          </w:p>
          <w:p w14:paraId="3327761B">
            <w:pPr>
              <w:spacing w:line="336" w:lineRule="auto"/>
              <w:ind w:firstLine="420" w:firstLineChars="175"/>
              <w:jc w:val="left"/>
              <w:rPr>
                <w:sz w:val="24"/>
              </w:rPr>
            </w:pPr>
            <w:r>
              <w:rPr>
                <w:rFonts w:hint="default" w:ascii="Times New Roman" w:hAnsi="Times New Roman" w:eastAsia="微软雅黑" w:cs="Times New Roman"/>
                <w:sz w:val="24"/>
                <w:shd w:val="clear" w:color="auto" w:fill="FFFFFF"/>
              </w:rPr>
              <w:t>③</w:t>
            </w:r>
            <w:r>
              <w:rPr>
                <w:sz w:val="24"/>
                <w:shd w:val="clear" w:color="auto" w:fill="FFFFFF"/>
              </w:rPr>
              <w:t>废油桶：</w:t>
            </w:r>
            <w:r>
              <w:rPr>
                <w:sz w:val="24"/>
              </w:rPr>
              <w:t>项目润滑油</w:t>
            </w:r>
            <w:r>
              <w:rPr>
                <w:rFonts w:hint="eastAsia"/>
                <w:sz w:val="24"/>
                <w:lang w:eastAsia="zh-CN"/>
              </w:rPr>
              <w:t>、</w:t>
            </w:r>
            <w:r>
              <w:rPr>
                <w:rFonts w:hint="eastAsia"/>
                <w:sz w:val="24"/>
                <w:lang w:val="en-US" w:eastAsia="zh-CN"/>
              </w:rPr>
              <w:t>拉延油</w:t>
            </w:r>
            <w:r>
              <w:rPr>
                <w:sz w:val="24"/>
              </w:rPr>
              <w:t>使用过程中会产生废油桶，2</w:t>
            </w:r>
            <w:r>
              <w:rPr>
                <w:rFonts w:hint="eastAsia"/>
                <w:sz w:val="24"/>
                <w:lang w:val="en-US" w:eastAsia="zh-CN"/>
              </w:rPr>
              <w:t>5</w:t>
            </w:r>
            <w:r>
              <w:rPr>
                <w:bCs/>
                <w:sz w:val="24"/>
              </w:rPr>
              <w:t>kg包装桶产生量为</w:t>
            </w:r>
            <w:r>
              <w:rPr>
                <w:rFonts w:hint="eastAsia"/>
                <w:bCs/>
                <w:sz w:val="24"/>
                <w:lang w:val="en-US" w:eastAsia="zh-CN"/>
              </w:rPr>
              <w:t>200</w:t>
            </w:r>
            <w:r>
              <w:rPr>
                <w:bCs/>
                <w:sz w:val="24"/>
              </w:rPr>
              <w:t>个/a，按</w:t>
            </w:r>
            <w:r>
              <w:rPr>
                <w:sz w:val="24"/>
              </w:rPr>
              <w:t>1kg/个，2</w:t>
            </w:r>
            <w:r>
              <w:rPr>
                <w:rFonts w:hint="eastAsia"/>
                <w:sz w:val="24"/>
                <w:lang w:val="en-US" w:eastAsia="zh-CN"/>
              </w:rPr>
              <w:t>0</w:t>
            </w:r>
            <w:r>
              <w:rPr>
                <w:bCs/>
                <w:sz w:val="24"/>
              </w:rPr>
              <w:t>kg包装桶产生量为</w:t>
            </w:r>
            <w:r>
              <w:rPr>
                <w:rFonts w:hint="eastAsia"/>
                <w:bCs/>
                <w:sz w:val="24"/>
                <w:lang w:val="en-US" w:eastAsia="zh-CN"/>
              </w:rPr>
              <w:t>50</w:t>
            </w:r>
            <w:r>
              <w:rPr>
                <w:bCs/>
                <w:sz w:val="24"/>
              </w:rPr>
              <w:t>个/a，按</w:t>
            </w:r>
            <w:r>
              <w:rPr>
                <w:rFonts w:hint="eastAsia"/>
                <w:sz w:val="24"/>
                <w:lang w:val="en-US" w:eastAsia="zh-CN"/>
              </w:rPr>
              <w:t>0.8</w:t>
            </w:r>
            <w:r>
              <w:rPr>
                <w:sz w:val="24"/>
              </w:rPr>
              <w:t>kg/个，因此废包装桶产生量为</w:t>
            </w:r>
            <w:r>
              <w:rPr>
                <w:rFonts w:hint="eastAsia"/>
                <w:sz w:val="24"/>
                <w:lang w:val="en-US" w:eastAsia="zh-CN"/>
              </w:rPr>
              <w:t>0.204</w:t>
            </w:r>
            <w:r>
              <w:rPr>
                <w:sz w:val="24"/>
              </w:rPr>
              <w:t>t/a。产生的废包装桶属于危险废物，危废代码为HW</w:t>
            </w:r>
            <w:r>
              <w:rPr>
                <w:rFonts w:hint="eastAsia"/>
                <w:sz w:val="24"/>
                <w:lang w:val="en-US" w:eastAsia="zh-CN"/>
              </w:rPr>
              <w:t>08</w:t>
            </w:r>
            <w:r>
              <w:rPr>
                <w:sz w:val="24"/>
              </w:rPr>
              <w:t xml:space="preserve"> 900-</w:t>
            </w:r>
            <w:r>
              <w:rPr>
                <w:rFonts w:hint="eastAsia"/>
                <w:sz w:val="24"/>
                <w:lang w:val="en-US" w:eastAsia="zh-CN"/>
              </w:rPr>
              <w:t>249</w:t>
            </w:r>
            <w:r>
              <w:rPr>
                <w:sz w:val="24"/>
              </w:rPr>
              <w:t>-</w:t>
            </w:r>
            <w:r>
              <w:rPr>
                <w:rFonts w:hint="eastAsia"/>
                <w:sz w:val="24"/>
                <w:lang w:val="en-US" w:eastAsia="zh-CN"/>
              </w:rPr>
              <w:t>08</w:t>
            </w:r>
            <w:r>
              <w:rPr>
                <w:sz w:val="24"/>
              </w:rPr>
              <w:t>，收集后暂存于厂区危废暂存库，定期交由有资质的单位接收处理。</w:t>
            </w:r>
          </w:p>
          <w:p w14:paraId="6CB19D22">
            <w:pPr>
              <w:spacing w:line="360" w:lineRule="auto"/>
              <w:ind w:firstLine="420" w:firstLineChars="175"/>
              <w:jc w:val="left"/>
              <w:rPr>
                <w:sz w:val="24"/>
                <w:shd w:val="clear" w:color="auto" w:fill="FFFFFF"/>
              </w:rPr>
            </w:pPr>
            <w:r>
              <w:rPr>
                <w:sz w:val="24"/>
                <w:shd w:val="clear" w:color="auto" w:fill="FFFFFF"/>
              </w:rPr>
              <w:t>（</w:t>
            </w:r>
            <w:r>
              <w:rPr>
                <w:rFonts w:hint="eastAsia"/>
                <w:sz w:val="24"/>
                <w:shd w:val="clear" w:color="auto" w:fill="FFFFFF"/>
              </w:rPr>
              <w:t>3</w:t>
            </w:r>
            <w:r>
              <w:rPr>
                <w:sz w:val="24"/>
                <w:shd w:val="clear" w:color="auto" w:fill="FFFFFF"/>
              </w:rPr>
              <w:t>）生活垃圾</w:t>
            </w:r>
          </w:p>
          <w:p w14:paraId="74E6060D">
            <w:pPr>
              <w:spacing w:line="360" w:lineRule="auto"/>
              <w:ind w:firstLine="420" w:firstLineChars="175"/>
              <w:jc w:val="left"/>
              <w:rPr>
                <w:sz w:val="24"/>
              </w:rPr>
            </w:pPr>
            <w:r>
              <w:rPr>
                <w:sz w:val="24"/>
              </w:rPr>
              <w:t>本项目劳动定员</w:t>
            </w:r>
            <w:r>
              <w:rPr>
                <w:rFonts w:hint="eastAsia"/>
                <w:sz w:val="24"/>
                <w:lang w:val="en-US" w:eastAsia="zh-CN"/>
              </w:rPr>
              <w:t>300</w:t>
            </w:r>
            <w:r>
              <w:rPr>
                <w:sz w:val="24"/>
              </w:rPr>
              <w:t>人，</w:t>
            </w:r>
            <w:r>
              <w:rPr>
                <w:rFonts w:hint="eastAsia"/>
                <w:sz w:val="24"/>
              </w:rPr>
              <w:t>生活</w:t>
            </w:r>
            <w:r>
              <w:rPr>
                <w:sz w:val="24"/>
              </w:rPr>
              <w:t>垃圾产生量按0.5kg/d计，因此生活垃圾产生量为</w:t>
            </w:r>
            <w:r>
              <w:rPr>
                <w:rFonts w:hint="eastAsia"/>
                <w:sz w:val="24"/>
                <w:lang w:val="en-US" w:eastAsia="zh-CN"/>
              </w:rPr>
              <w:t>45</w:t>
            </w:r>
            <w:r>
              <w:rPr>
                <w:sz w:val="24"/>
              </w:rPr>
              <w:t>t/a</w:t>
            </w:r>
            <w:r>
              <w:rPr>
                <w:rFonts w:hint="default" w:ascii="Times New Roman" w:hAnsi="Times New Roman" w:eastAsia="宋体" w:cs="Times New Roman"/>
                <w:caps w:val="0"/>
                <w:color w:val="000000" w:themeColor="text1"/>
                <w:sz w:val="24"/>
                <w:highlight w:val="none"/>
                <w14:textFill>
                  <w14:solidFill>
                    <w14:schemeClr w14:val="tx1"/>
                  </w14:solidFill>
                </w14:textFill>
              </w:rPr>
              <w:t>（年工作日300天）</w:t>
            </w:r>
            <w:r>
              <w:rPr>
                <w:rFonts w:hint="eastAsia"/>
                <w:sz w:val="24"/>
              </w:rPr>
              <w:t>。</w:t>
            </w:r>
            <w:r>
              <w:rPr>
                <w:sz w:val="24"/>
              </w:rPr>
              <w:t>生活垃圾收集后交由环卫部门统一清运。</w:t>
            </w:r>
          </w:p>
          <w:p w14:paraId="378325B9">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textAlignment w:val="auto"/>
              <w:rPr>
                <w:kern w:val="0"/>
                <w:sz w:val="24"/>
              </w:rPr>
            </w:pPr>
            <w:r>
              <w:rPr>
                <w:kern w:val="0"/>
                <w:sz w:val="24"/>
                <w:szCs w:val="20"/>
              </w:rPr>
              <w:t>本项目固体废物处理措施见下表</w:t>
            </w:r>
            <w:r>
              <w:rPr>
                <w:rFonts w:hint="eastAsia"/>
                <w:kern w:val="0"/>
                <w:sz w:val="24"/>
              </w:rPr>
              <w:t>。</w:t>
            </w:r>
          </w:p>
          <w:p w14:paraId="3D4AED91">
            <w:pPr>
              <w:keepNext w:val="0"/>
              <w:keepLines w:val="0"/>
              <w:pageBreakBefore w:val="0"/>
              <w:widowControl w:val="0"/>
              <w:kinsoku/>
              <w:wordWrap/>
              <w:overflowPunct/>
              <w:topLinePunct w:val="0"/>
              <w:autoSpaceDE/>
              <w:autoSpaceDN/>
              <w:bidi w:val="0"/>
              <w:adjustRightInd/>
              <w:snapToGrid/>
              <w:spacing w:beforeAutospacing="0" w:line="240" w:lineRule="auto"/>
              <w:jc w:val="center"/>
              <w:textAlignment w:val="auto"/>
              <w:rPr>
                <w:b/>
                <w:kern w:val="0"/>
                <w:sz w:val="24"/>
                <w:szCs w:val="20"/>
              </w:rPr>
            </w:pPr>
            <w:r>
              <w:rPr>
                <w:b/>
                <w:kern w:val="0"/>
                <w:sz w:val="24"/>
                <w:szCs w:val="20"/>
              </w:rPr>
              <w:t>表4-</w:t>
            </w:r>
            <w:r>
              <w:rPr>
                <w:rFonts w:hint="eastAsia"/>
                <w:b/>
                <w:kern w:val="0"/>
                <w:sz w:val="24"/>
                <w:szCs w:val="20"/>
                <w:lang w:val="en-US" w:eastAsia="zh-CN"/>
              </w:rPr>
              <w:t>12</w:t>
            </w:r>
            <w:r>
              <w:rPr>
                <w:b/>
                <w:kern w:val="0"/>
                <w:sz w:val="24"/>
                <w:szCs w:val="20"/>
              </w:rPr>
              <w:t xml:space="preserve">  本项目固体废物处理措施一览表</w:t>
            </w:r>
          </w:p>
          <w:tbl>
            <w:tblPr>
              <w:tblStyle w:val="59"/>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63"/>
              <w:gridCol w:w="672"/>
              <w:gridCol w:w="902"/>
              <w:gridCol w:w="600"/>
              <w:gridCol w:w="657"/>
              <w:gridCol w:w="988"/>
              <w:gridCol w:w="633"/>
              <w:gridCol w:w="1189"/>
              <w:gridCol w:w="998"/>
              <w:gridCol w:w="713"/>
              <w:gridCol w:w="719"/>
            </w:tblGrid>
            <w:tr w14:paraId="2DB99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9" w:hRule="atLeast"/>
              </w:trPr>
              <w:tc>
                <w:tcPr>
                  <w:tcW w:w="215" w:type="pct"/>
                  <w:tcBorders>
                    <w:tl2br w:val="nil"/>
                    <w:tr2bl w:val="nil"/>
                  </w:tcBorders>
                  <w:vAlign w:val="center"/>
                </w:tcPr>
                <w:p w14:paraId="657A4062">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属性</w:t>
                  </w:r>
                </w:p>
              </w:tc>
              <w:tc>
                <w:tcPr>
                  <w:tcW w:w="398" w:type="pct"/>
                  <w:tcBorders>
                    <w:tl2br w:val="nil"/>
                    <w:tr2bl w:val="nil"/>
                  </w:tcBorders>
                  <w:vAlign w:val="center"/>
                </w:tcPr>
                <w:p w14:paraId="05DB7FC9">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产生工序</w:t>
                  </w:r>
                </w:p>
              </w:tc>
              <w:tc>
                <w:tcPr>
                  <w:tcW w:w="534" w:type="pct"/>
                  <w:tcBorders>
                    <w:tl2br w:val="nil"/>
                    <w:tr2bl w:val="nil"/>
                  </w:tcBorders>
                  <w:vAlign w:val="center"/>
                </w:tcPr>
                <w:p w14:paraId="3C6DC91B">
                  <w:pPr>
                    <w:jc w:val="center"/>
                    <w:textAlignment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b/>
                      <w:caps w:val="0"/>
                      <w:color w:val="000000" w:themeColor="text1"/>
                      <w:szCs w:val="21"/>
                      <w:highlight w:val="none"/>
                      <w:lang w:val="en-US" w:eastAsia="zh-CN"/>
                      <w14:textFill>
                        <w14:solidFill>
                          <w14:schemeClr w14:val="tx1"/>
                        </w14:solidFill>
                      </w14:textFill>
                    </w:rPr>
                    <w:t>废物名称</w:t>
                  </w:r>
                </w:p>
              </w:tc>
              <w:tc>
                <w:tcPr>
                  <w:tcW w:w="355" w:type="pct"/>
                  <w:tcBorders>
                    <w:tl2br w:val="nil"/>
                    <w:tr2bl w:val="nil"/>
                  </w:tcBorders>
                  <w:vAlign w:val="center"/>
                </w:tcPr>
                <w:p w14:paraId="5DE49977">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形态</w:t>
                  </w:r>
                </w:p>
              </w:tc>
              <w:tc>
                <w:tcPr>
                  <w:tcW w:w="389" w:type="pct"/>
                  <w:tcBorders>
                    <w:tl2br w:val="nil"/>
                    <w:tr2bl w:val="nil"/>
                  </w:tcBorders>
                  <w:vAlign w:val="center"/>
                </w:tcPr>
                <w:p w14:paraId="6E5C28A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主要成分</w:t>
                  </w:r>
                </w:p>
              </w:tc>
              <w:tc>
                <w:tcPr>
                  <w:tcW w:w="585" w:type="pct"/>
                  <w:tcBorders>
                    <w:tl2br w:val="nil"/>
                    <w:tr2bl w:val="nil"/>
                  </w:tcBorders>
                  <w:vAlign w:val="center"/>
                </w:tcPr>
                <w:p w14:paraId="697ABF13">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鉴别依据</w:t>
                  </w:r>
                </w:p>
              </w:tc>
              <w:tc>
                <w:tcPr>
                  <w:tcW w:w="375" w:type="pct"/>
                  <w:tcBorders>
                    <w:tl2br w:val="nil"/>
                    <w:tr2bl w:val="nil"/>
                  </w:tcBorders>
                  <w:vAlign w:val="center"/>
                </w:tcPr>
                <w:p w14:paraId="2633973D">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废物类别</w:t>
                  </w:r>
                </w:p>
              </w:tc>
              <w:tc>
                <w:tcPr>
                  <w:tcW w:w="704" w:type="pct"/>
                  <w:tcBorders>
                    <w:tl2br w:val="nil"/>
                    <w:tr2bl w:val="nil"/>
                  </w:tcBorders>
                  <w:vAlign w:val="center"/>
                </w:tcPr>
                <w:p w14:paraId="2E9FAE5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废物代码</w:t>
                  </w:r>
                </w:p>
              </w:tc>
              <w:tc>
                <w:tcPr>
                  <w:tcW w:w="591" w:type="pct"/>
                  <w:tcBorders>
                    <w:tl2br w:val="nil"/>
                    <w:tr2bl w:val="nil"/>
                  </w:tcBorders>
                  <w:vAlign w:val="center"/>
                </w:tcPr>
                <w:p w14:paraId="1131167D">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产生量（t/a）</w:t>
                  </w:r>
                </w:p>
              </w:tc>
              <w:tc>
                <w:tcPr>
                  <w:tcW w:w="422" w:type="pct"/>
                  <w:tcBorders>
                    <w:tl2br w:val="nil"/>
                    <w:tr2bl w:val="nil"/>
                  </w:tcBorders>
                  <w:vAlign w:val="center"/>
                </w:tcPr>
                <w:p w14:paraId="7B506656">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处理处置方式</w:t>
                  </w:r>
                </w:p>
              </w:tc>
              <w:tc>
                <w:tcPr>
                  <w:tcW w:w="426" w:type="pct"/>
                  <w:tcBorders>
                    <w:tl2br w:val="nil"/>
                    <w:tr2bl w:val="nil"/>
                  </w:tcBorders>
                  <w:vAlign w:val="center"/>
                </w:tcPr>
                <w:p w14:paraId="363F270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排放量（t/a）</w:t>
                  </w:r>
                </w:p>
              </w:tc>
            </w:tr>
            <w:tr w14:paraId="630780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42" w:hRule="atLeast"/>
              </w:trPr>
              <w:tc>
                <w:tcPr>
                  <w:tcW w:w="215" w:type="pct"/>
                  <w:vMerge w:val="restart"/>
                  <w:tcBorders>
                    <w:tl2br w:val="nil"/>
                    <w:tr2bl w:val="nil"/>
                  </w:tcBorders>
                  <w:vAlign w:val="center"/>
                </w:tcPr>
                <w:p w14:paraId="5F1AD89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一般固废</w:t>
                  </w:r>
                </w:p>
              </w:tc>
              <w:tc>
                <w:tcPr>
                  <w:tcW w:w="398" w:type="pct"/>
                  <w:tcBorders>
                    <w:tl2br w:val="nil"/>
                    <w:tr2bl w:val="nil"/>
                  </w:tcBorders>
                  <w:vAlign w:val="center"/>
                </w:tcPr>
                <w:p w14:paraId="4EE6771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冲压</w:t>
                  </w:r>
                </w:p>
              </w:tc>
              <w:tc>
                <w:tcPr>
                  <w:tcW w:w="534" w:type="pct"/>
                  <w:tcBorders>
                    <w:tl2br w:val="nil"/>
                    <w:tr2bl w:val="nil"/>
                  </w:tcBorders>
                  <w:vAlign w:val="center"/>
                </w:tcPr>
                <w:p w14:paraId="78234D9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szCs w:val="21"/>
                      <w:lang w:val="en-US" w:eastAsia="zh-CN"/>
                    </w:rPr>
                    <w:t>废金属边角料</w:t>
                  </w:r>
                </w:p>
              </w:tc>
              <w:tc>
                <w:tcPr>
                  <w:tcW w:w="355" w:type="pct"/>
                  <w:tcBorders>
                    <w:tl2br w:val="nil"/>
                    <w:tr2bl w:val="nil"/>
                  </w:tcBorders>
                  <w:vAlign w:val="center"/>
                </w:tcPr>
                <w:p w14:paraId="679FF74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6F9C0DF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钢</w:t>
                  </w:r>
                </w:p>
              </w:tc>
              <w:tc>
                <w:tcPr>
                  <w:tcW w:w="585" w:type="pct"/>
                  <w:vMerge w:val="restart"/>
                  <w:tcBorders>
                    <w:tl2br w:val="nil"/>
                    <w:tr2bl w:val="nil"/>
                  </w:tcBorders>
                  <w:vAlign w:val="center"/>
                </w:tcPr>
                <w:p w14:paraId="5B676132">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《固体废物分类与代码目录》</w:t>
                  </w:r>
                </w:p>
              </w:tc>
              <w:tc>
                <w:tcPr>
                  <w:tcW w:w="375" w:type="pct"/>
                  <w:tcBorders>
                    <w:tl2br w:val="nil"/>
                    <w:tr2bl w:val="nil"/>
                  </w:tcBorders>
                  <w:vAlign w:val="center"/>
                </w:tcPr>
                <w:p w14:paraId="11042C3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704" w:type="pct"/>
                  <w:tcBorders>
                    <w:tl2br w:val="nil"/>
                    <w:tr2bl w:val="nil"/>
                  </w:tcBorders>
                  <w:vAlign w:val="center"/>
                </w:tcPr>
                <w:p w14:paraId="4B82853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w:t>
                  </w:r>
                  <w:r>
                    <w:rPr>
                      <w:rFonts w:hint="eastAsia" w:cs="Times New Roman"/>
                      <w:caps w:val="0"/>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-S17</w:t>
                  </w:r>
                </w:p>
              </w:tc>
              <w:tc>
                <w:tcPr>
                  <w:tcW w:w="591" w:type="pct"/>
                  <w:tcBorders>
                    <w:tl2br w:val="nil"/>
                    <w:tr2bl w:val="nil"/>
                  </w:tcBorders>
                  <w:vAlign w:val="center"/>
                </w:tcPr>
                <w:p w14:paraId="199BA8BA">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800</w:t>
                  </w:r>
                </w:p>
              </w:tc>
              <w:tc>
                <w:tcPr>
                  <w:tcW w:w="422" w:type="pct"/>
                  <w:vMerge w:val="restart"/>
                  <w:tcBorders>
                    <w:tl2br w:val="nil"/>
                    <w:tr2bl w:val="nil"/>
                  </w:tcBorders>
                  <w:vAlign w:val="center"/>
                </w:tcPr>
                <w:p w14:paraId="574598A8">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厂内集中收集后外售</w:t>
                  </w:r>
                </w:p>
              </w:tc>
              <w:tc>
                <w:tcPr>
                  <w:tcW w:w="426" w:type="pct"/>
                  <w:tcBorders>
                    <w:tl2br w:val="nil"/>
                    <w:tr2bl w:val="nil"/>
                  </w:tcBorders>
                  <w:vAlign w:val="center"/>
                </w:tcPr>
                <w:p w14:paraId="5AEDD60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534B09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215" w:type="pct"/>
                  <w:vMerge w:val="continue"/>
                  <w:tcBorders>
                    <w:tl2br w:val="nil"/>
                    <w:tr2bl w:val="nil"/>
                  </w:tcBorders>
                  <w:vAlign w:val="center"/>
                </w:tcPr>
                <w:p w14:paraId="6116BBB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398" w:type="pct"/>
                  <w:tcBorders>
                    <w:tl2br w:val="nil"/>
                    <w:tr2bl w:val="nil"/>
                  </w:tcBorders>
                  <w:vAlign w:val="center"/>
                </w:tcPr>
                <w:p w14:paraId="6F09AD4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检验</w:t>
                  </w:r>
                </w:p>
              </w:tc>
              <w:tc>
                <w:tcPr>
                  <w:tcW w:w="534" w:type="pct"/>
                  <w:tcBorders>
                    <w:tl2br w:val="nil"/>
                    <w:tr2bl w:val="nil"/>
                  </w:tcBorders>
                  <w:vAlign w:val="center"/>
                </w:tcPr>
                <w:p w14:paraId="46A6E97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kern w:val="0"/>
                      <w:szCs w:val="21"/>
                      <w:lang w:val="en-US" w:eastAsia="zh-CN"/>
                    </w:rPr>
                    <w:t>不合格品</w:t>
                  </w:r>
                </w:p>
              </w:tc>
              <w:tc>
                <w:tcPr>
                  <w:tcW w:w="355" w:type="pct"/>
                  <w:tcBorders>
                    <w:tl2br w:val="nil"/>
                    <w:tr2bl w:val="nil"/>
                  </w:tcBorders>
                  <w:vAlign w:val="center"/>
                </w:tcPr>
                <w:p w14:paraId="0F78276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67B9502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钢</w:t>
                  </w:r>
                </w:p>
              </w:tc>
              <w:tc>
                <w:tcPr>
                  <w:tcW w:w="585" w:type="pct"/>
                  <w:vMerge w:val="continue"/>
                  <w:tcBorders>
                    <w:tl2br w:val="nil"/>
                    <w:tr2bl w:val="nil"/>
                  </w:tcBorders>
                  <w:vAlign w:val="center"/>
                </w:tcPr>
                <w:p w14:paraId="078425C8">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375" w:type="pct"/>
                  <w:tcBorders>
                    <w:tl2br w:val="nil"/>
                    <w:tr2bl w:val="nil"/>
                  </w:tcBorders>
                  <w:vAlign w:val="center"/>
                </w:tcPr>
                <w:p w14:paraId="4F7B71E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704" w:type="pct"/>
                  <w:tcBorders>
                    <w:tl2br w:val="nil"/>
                    <w:tr2bl w:val="nil"/>
                  </w:tcBorders>
                  <w:shd w:val="clear" w:color="auto" w:fill="auto"/>
                  <w:vAlign w:val="center"/>
                </w:tcPr>
                <w:p w14:paraId="195A508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w:t>
                  </w:r>
                  <w:r>
                    <w:rPr>
                      <w:rFonts w:hint="eastAsia" w:cs="Times New Roman"/>
                      <w:caps w:val="0"/>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-S17</w:t>
                  </w:r>
                </w:p>
              </w:tc>
              <w:tc>
                <w:tcPr>
                  <w:tcW w:w="591" w:type="pct"/>
                  <w:tcBorders>
                    <w:tl2br w:val="nil"/>
                    <w:tr2bl w:val="nil"/>
                  </w:tcBorders>
                  <w:shd w:val="clear" w:color="auto" w:fill="auto"/>
                  <w:vAlign w:val="center"/>
                </w:tcPr>
                <w:p w14:paraId="7DD452CF">
                  <w:pPr>
                    <w:jc w:val="center"/>
                    <w:textAlignment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80</w:t>
                  </w:r>
                </w:p>
              </w:tc>
              <w:tc>
                <w:tcPr>
                  <w:tcW w:w="422" w:type="pct"/>
                  <w:vMerge w:val="continue"/>
                  <w:tcBorders>
                    <w:tl2br w:val="nil"/>
                    <w:tr2bl w:val="nil"/>
                  </w:tcBorders>
                  <w:vAlign w:val="center"/>
                </w:tcPr>
                <w:p w14:paraId="2D38A19D">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26" w:type="pct"/>
                  <w:tcBorders>
                    <w:tl2br w:val="nil"/>
                    <w:tr2bl w:val="nil"/>
                  </w:tcBorders>
                  <w:vAlign w:val="center"/>
                </w:tcPr>
                <w:p w14:paraId="77A40B2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4A318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7" w:hRule="atLeast"/>
              </w:trPr>
              <w:tc>
                <w:tcPr>
                  <w:tcW w:w="215" w:type="pct"/>
                  <w:vMerge w:val="continue"/>
                  <w:tcBorders>
                    <w:tl2br w:val="nil"/>
                    <w:tr2bl w:val="nil"/>
                  </w:tcBorders>
                  <w:vAlign w:val="center"/>
                </w:tcPr>
                <w:p w14:paraId="49F4745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398" w:type="pct"/>
                  <w:tcBorders>
                    <w:tl2br w:val="nil"/>
                    <w:tr2bl w:val="nil"/>
                  </w:tcBorders>
                  <w:vAlign w:val="center"/>
                </w:tcPr>
                <w:p w14:paraId="2A21E8D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废气处理</w:t>
                  </w:r>
                </w:p>
              </w:tc>
              <w:tc>
                <w:tcPr>
                  <w:tcW w:w="534" w:type="pct"/>
                  <w:tcBorders>
                    <w:tl2br w:val="nil"/>
                    <w:tr2bl w:val="nil"/>
                  </w:tcBorders>
                  <w:vAlign w:val="center"/>
                </w:tcPr>
                <w:p w14:paraId="7501C9C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szCs w:val="21"/>
                      <w:lang w:val="en-US" w:eastAsia="zh-CN"/>
                    </w:rPr>
                    <w:t>废粉尘</w:t>
                  </w:r>
                </w:p>
              </w:tc>
              <w:tc>
                <w:tcPr>
                  <w:tcW w:w="355" w:type="pct"/>
                  <w:tcBorders>
                    <w:tl2br w:val="nil"/>
                    <w:tr2bl w:val="nil"/>
                  </w:tcBorders>
                  <w:vAlign w:val="center"/>
                </w:tcPr>
                <w:p w14:paraId="077F5D6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7DC1745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粉尘</w:t>
                  </w:r>
                </w:p>
              </w:tc>
              <w:tc>
                <w:tcPr>
                  <w:tcW w:w="585" w:type="pct"/>
                  <w:vMerge w:val="continue"/>
                  <w:tcBorders>
                    <w:tl2br w:val="nil"/>
                    <w:tr2bl w:val="nil"/>
                  </w:tcBorders>
                  <w:vAlign w:val="center"/>
                </w:tcPr>
                <w:p w14:paraId="49F721BB">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375" w:type="pct"/>
                  <w:tcBorders>
                    <w:tl2br w:val="nil"/>
                    <w:tr2bl w:val="nil"/>
                  </w:tcBorders>
                  <w:vAlign w:val="center"/>
                </w:tcPr>
                <w:p w14:paraId="13517F4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w:t>
                  </w:r>
                  <w:r>
                    <w:rPr>
                      <w:rFonts w:hint="eastAsia" w:cs="Times New Roman"/>
                      <w:caps w:val="0"/>
                      <w:color w:val="000000" w:themeColor="text1"/>
                      <w:szCs w:val="21"/>
                      <w:highlight w:val="none"/>
                      <w:lang w:val="en-US" w:eastAsia="zh-CN"/>
                      <w14:textFill>
                        <w14:solidFill>
                          <w14:schemeClr w14:val="tx1"/>
                        </w14:solidFill>
                      </w14:textFill>
                    </w:rPr>
                    <w:t>64</w:t>
                  </w:r>
                </w:p>
              </w:tc>
              <w:tc>
                <w:tcPr>
                  <w:tcW w:w="704" w:type="pct"/>
                  <w:tcBorders>
                    <w:tl2br w:val="nil"/>
                    <w:tr2bl w:val="nil"/>
                  </w:tcBorders>
                  <w:vAlign w:val="center"/>
                </w:tcPr>
                <w:p w14:paraId="24E395F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w:t>
                  </w:r>
                  <w:r>
                    <w:rPr>
                      <w:rFonts w:hint="eastAsia" w:cs="Times New Roman"/>
                      <w:caps w:val="0"/>
                      <w:color w:val="000000" w:themeColor="text1"/>
                      <w:szCs w:val="21"/>
                      <w:highlight w:val="none"/>
                      <w:lang w:val="en-US" w:eastAsia="zh-CN"/>
                      <w14:textFill>
                        <w14:solidFill>
                          <w14:schemeClr w14:val="tx1"/>
                        </w14:solidFill>
                      </w14:textFill>
                    </w:rPr>
                    <w:t>099</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-S</w:t>
                  </w:r>
                  <w:r>
                    <w:rPr>
                      <w:rFonts w:hint="eastAsia" w:cs="Times New Roman"/>
                      <w:caps w:val="0"/>
                      <w:color w:val="000000" w:themeColor="text1"/>
                      <w:szCs w:val="21"/>
                      <w:highlight w:val="none"/>
                      <w:lang w:val="en-US" w:eastAsia="zh-CN"/>
                      <w14:textFill>
                        <w14:solidFill>
                          <w14:schemeClr w14:val="tx1"/>
                        </w14:solidFill>
                      </w14:textFill>
                    </w:rPr>
                    <w:t>64</w:t>
                  </w:r>
                </w:p>
              </w:tc>
              <w:tc>
                <w:tcPr>
                  <w:tcW w:w="591" w:type="pct"/>
                  <w:tcBorders>
                    <w:tl2br w:val="nil"/>
                    <w:tr2bl w:val="nil"/>
                  </w:tcBorders>
                  <w:vAlign w:val="center"/>
                </w:tcPr>
                <w:p w14:paraId="10C272E5">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0.489</w:t>
                  </w:r>
                </w:p>
              </w:tc>
              <w:tc>
                <w:tcPr>
                  <w:tcW w:w="422" w:type="pct"/>
                  <w:vMerge w:val="continue"/>
                  <w:tcBorders>
                    <w:tl2br w:val="nil"/>
                    <w:tr2bl w:val="nil"/>
                  </w:tcBorders>
                  <w:vAlign w:val="center"/>
                </w:tcPr>
                <w:p w14:paraId="3BE53500">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26" w:type="pct"/>
                  <w:tcBorders>
                    <w:tl2br w:val="nil"/>
                    <w:tr2bl w:val="nil"/>
                  </w:tcBorders>
                  <w:vAlign w:val="center"/>
                </w:tcPr>
                <w:p w14:paraId="1532C98A">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4CE4C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215" w:type="pct"/>
                  <w:vMerge w:val="restart"/>
                  <w:tcBorders>
                    <w:tl2br w:val="nil"/>
                    <w:tr2bl w:val="nil"/>
                  </w:tcBorders>
                  <w:vAlign w:val="center"/>
                </w:tcPr>
                <w:p w14:paraId="30200C3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危险废物</w:t>
                  </w:r>
                </w:p>
              </w:tc>
              <w:tc>
                <w:tcPr>
                  <w:tcW w:w="398" w:type="pct"/>
                  <w:tcBorders>
                    <w:tl2br w:val="nil"/>
                    <w:tr2bl w:val="nil"/>
                  </w:tcBorders>
                  <w:vAlign w:val="center"/>
                </w:tcPr>
                <w:p w14:paraId="26545C79">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冲压</w:t>
                  </w:r>
                </w:p>
              </w:tc>
              <w:tc>
                <w:tcPr>
                  <w:tcW w:w="534" w:type="pct"/>
                  <w:tcBorders>
                    <w:tl2br w:val="nil"/>
                    <w:tr2bl w:val="nil"/>
                  </w:tcBorders>
                  <w:vAlign w:val="center"/>
                </w:tcPr>
                <w:p w14:paraId="3F384D43">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废拉延油</w:t>
                  </w:r>
                </w:p>
              </w:tc>
              <w:tc>
                <w:tcPr>
                  <w:tcW w:w="355" w:type="pct"/>
                  <w:tcBorders>
                    <w:tl2br w:val="nil"/>
                    <w:tr2bl w:val="nil"/>
                  </w:tcBorders>
                  <w:vAlign w:val="center"/>
                </w:tcPr>
                <w:p w14:paraId="3F99D31E">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液态</w:t>
                  </w:r>
                </w:p>
              </w:tc>
              <w:tc>
                <w:tcPr>
                  <w:tcW w:w="389" w:type="pct"/>
                  <w:tcBorders>
                    <w:tl2br w:val="nil"/>
                    <w:tr2bl w:val="nil"/>
                  </w:tcBorders>
                  <w:vAlign w:val="center"/>
                </w:tcPr>
                <w:p w14:paraId="4C04AEAA">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拉延油</w:t>
                  </w:r>
                </w:p>
              </w:tc>
              <w:tc>
                <w:tcPr>
                  <w:tcW w:w="585" w:type="pct"/>
                  <w:vMerge w:val="restart"/>
                  <w:tcBorders>
                    <w:tl2br w:val="nil"/>
                    <w:tr2bl w:val="nil"/>
                  </w:tcBorders>
                  <w:vAlign w:val="center"/>
                </w:tcPr>
                <w:p w14:paraId="18548AB4">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《国家危险废物名录》（20</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caps w:val="0"/>
                      <w:color w:val="000000" w:themeColor="text1"/>
                      <w:szCs w:val="21"/>
                      <w:highlight w:val="none"/>
                      <w14:textFill>
                        <w14:solidFill>
                          <w14:schemeClr w14:val="tx1"/>
                        </w14:solidFill>
                      </w14:textFill>
                    </w:rPr>
                    <w:t>年）</w:t>
                  </w:r>
                </w:p>
              </w:tc>
              <w:tc>
                <w:tcPr>
                  <w:tcW w:w="375" w:type="pct"/>
                  <w:tcBorders>
                    <w:tl2br w:val="nil"/>
                    <w:tr2bl w:val="nil"/>
                  </w:tcBorders>
                  <w:vAlign w:val="center"/>
                </w:tcPr>
                <w:p w14:paraId="4FBFA8B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04" w:type="pct"/>
                  <w:tcBorders>
                    <w:tl2br w:val="nil"/>
                    <w:tr2bl w:val="nil"/>
                  </w:tcBorders>
                  <w:vAlign w:val="center"/>
                </w:tcPr>
                <w:p w14:paraId="7832A4B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900-214-08</w:t>
                  </w:r>
                </w:p>
              </w:tc>
              <w:tc>
                <w:tcPr>
                  <w:tcW w:w="591" w:type="pct"/>
                  <w:tcBorders>
                    <w:tl2br w:val="nil"/>
                    <w:tr2bl w:val="nil"/>
                  </w:tcBorders>
                  <w:vAlign w:val="center"/>
                </w:tcPr>
                <w:p w14:paraId="263CBAA8">
                  <w:pPr>
                    <w:jc w:val="center"/>
                    <w:textAlignment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1.5</w:t>
                  </w:r>
                </w:p>
              </w:tc>
              <w:tc>
                <w:tcPr>
                  <w:tcW w:w="422" w:type="pct"/>
                  <w:vMerge w:val="restart"/>
                  <w:tcBorders>
                    <w:tl2br w:val="nil"/>
                    <w:tr2bl w:val="nil"/>
                  </w:tcBorders>
                  <w:vAlign w:val="center"/>
                </w:tcPr>
                <w:p w14:paraId="6BC45C23">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厂内集中收集，暂存在危废暂存库内，委托有资质单位处置</w:t>
                  </w:r>
                </w:p>
              </w:tc>
              <w:tc>
                <w:tcPr>
                  <w:tcW w:w="426" w:type="pct"/>
                  <w:tcBorders>
                    <w:tl2br w:val="nil"/>
                    <w:tr2bl w:val="nil"/>
                  </w:tcBorders>
                  <w:vAlign w:val="center"/>
                </w:tcPr>
                <w:p w14:paraId="6D638D97">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w:t>
                  </w:r>
                </w:p>
              </w:tc>
            </w:tr>
            <w:tr w14:paraId="63387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215" w:type="pct"/>
                  <w:vMerge w:val="continue"/>
                  <w:tcBorders>
                    <w:tl2br w:val="nil"/>
                    <w:tr2bl w:val="nil"/>
                  </w:tcBorders>
                  <w:vAlign w:val="center"/>
                </w:tcPr>
                <w:p w14:paraId="3042CA6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398" w:type="pct"/>
                  <w:tcBorders>
                    <w:tl2br w:val="nil"/>
                    <w:tr2bl w:val="nil"/>
                  </w:tcBorders>
                  <w:vAlign w:val="center"/>
                </w:tcPr>
                <w:p w14:paraId="092BF889">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维修保养</w:t>
                  </w:r>
                </w:p>
              </w:tc>
              <w:tc>
                <w:tcPr>
                  <w:tcW w:w="534" w:type="pct"/>
                  <w:tcBorders>
                    <w:tl2br w:val="nil"/>
                    <w:tr2bl w:val="nil"/>
                  </w:tcBorders>
                  <w:vAlign w:val="center"/>
                </w:tcPr>
                <w:p w14:paraId="3EF5CA9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w:t>
                  </w:r>
                </w:p>
              </w:tc>
              <w:tc>
                <w:tcPr>
                  <w:tcW w:w="355" w:type="pct"/>
                  <w:tcBorders>
                    <w:tl2br w:val="nil"/>
                    <w:tr2bl w:val="nil"/>
                  </w:tcBorders>
                  <w:vAlign w:val="center"/>
                </w:tcPr>
                <w:p w14:paraId="7AB321F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液态</w:t>
                  </w:r>
                </w:p>
              </w:tc>
              <w:tc>
                <w:tcPr>
                  <w:tcW w:w="389" w:type="pct"/>
                  <w:tcBorders>
                    <w:tl2br w:val="nil"/>
                    <w:tr2bl w:val="nil"/>
                  </w:tcBorders>
                  <w:vAlign w:val="center"/>
                </w:tcPr>
                <w:p w14:paraId="0B05FEC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585" w:type="pct"/>
                  <w:vMerge w:val="continue"/>
                  <w:tcBorders>
                    <w:tl2br w:val="nil"/>
                    <w:tr2bl w:val="nil"/>
                  </w:tcBorders>
                  <w:vAlign w:val="center"/>
                </w:tcPr>
                <w:p w14:paraId="05A03F6C">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375" w:type="pct"/>
                  <w:tcBorders>
                    <w:tl2br w:val="nil"/>
                    <w:tr2bl w:val="nil"/>
                  </w:tcBorders>
                  <w:vAlign w:val="center"/>
                </w:tcPr>
                <w:p w14:paraId="747689E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04" w:type="pct"/>
                  <w:tcBorders>
                    <w:tl2br w:val="nil"/>
                    <w:tr2bl w:val="nil"/>
                  </w:tcBorders>
                  <w:vAlign w:val="center"/>
                </w:tcPr>
                <w:p w14:paraId="3BB9ACF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900-214-08</w:t>
                  </w:r>
                </w:p>
              </w:tc>
              <w:tc>
                <w:tcPr>
                  <w:tcW w:w="591" w:type="pct"/>
                  <w:tcBorders>
                    <w:tl2br w:val="nil"/>
                    <w:tr2bl w:val="nil"/>
                  </w:tcBorders>
                  <w:vAlign w:val="center"/>
                </w:tcPr>
                <w:p w14:paraId="1B638ABB">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0.3</w:t>
                  </w:r>
                </w:p>
              </w:tc>
              <w:tc>
                <w:tcPr>
                  <w:tcW w:w="422" w:type="pct"/>
                  <w:vMerge w:val="continue"/>
                  <w:tcBorders>
                    <w:tl2br w:val="nil"/>
                    <w:tr2bl w:val="nil"/>
                  </w:tcBorders>
                  <w:vAlign w:val="center"/>
                </w:tcPr>
                <w:p w14:paraId="2A01851B">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26" w:type="pct"/>
                  <w:tcBorders>
                    <w:tl2br w:val="nil"/>
                    <w:tr2bl w:val="nil"/>
                  </w:tcBorders>
                  <w:vAlign w:val="center"/>
                </w:tcPr>
                <w:p w14:paraId="0080890F">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7285BC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215" w:type="pct"/>
                  <w:vMerge w:val="continue"/>
                  <w:tcBorders>
                    <w:tl2br w:val="nil"/>
                    <w:tr2bl w:val="nil"/>
                  </w:tcBorders>
                  <w:vAlign w:val="center"/>
                </w:tcPr>
                <w:p w14:paraId="25BEC34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398" w:type="pct"/>
                  <w:tcBorders>
                    <w:tl2br w:val="nil"/>
                    <w:tr2bl w:val="nil"/>
                  </w:tcBorders>
                  <w:vAlign w:val="center"/>
                </w:tcPr>
                <w:p w14:paraId="02B6A95E">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维修保养</w:t>
                  </w:r>
                </w:p>
              </w:tc>
              <w:tc>
                <w:tcPr>
                  <w:tcW w:w="534" w:type="pct"/>
                  <w:tcBorders>
                    <w:tl2br w:val="nil"/>
                    <w:tr2bl w:val="nil"/>
                  </w:tcBorders>
                  <w:vAlign w:val="center"/>
                </w:tcPr>
                <w:p w14:paraId="76D27DA5">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废润滑油桶</w:t>
                  </w:r>
                </w:p>
              </w:tc>
              <w:tc>
                <w:tcPr>
                  <w:tcW w:w="355" w:type="pct"/>
                  <w:tcBorders>
                    <w:tl2br w:val="nil"/>
                    <w:tr2bl w:val="nil"/>
                  </w:tcBorders>
                  <w:vAlign w:val="center"/>
                </w:tcPr>
                <w:p w14:paraId="7AA08FA8">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5AB0834B">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585" w:type="pct"/>
                  <w:vMerge w:val="continue"/>
                  <w:tcBorders>
                    <w:tl2br w:val="nil"/>
                    <w:tr2bl w:val="nil"/>
                  </w:tcBorders>
                  <w:vAlign w:val="center"/>
                </w:tcPr>
                <w:p w14:paraId="4A9FE29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375" w:type="pct"/>
                  <w:tcBorders>
                    <w:tl2br w:val="nil"/>
                    <w:tr2bl w:val="nil"/>
                  </w:tcBorders>
                  <w:vAlign w:val="center"/>
                </w:tcPr>
                <w:p w14:paraId="68AB7A3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04" w:type="pct"/>
                  <w:tcBorders>
                    <w:tl2br w:val="nil"/>
                    <w:tr2bl w:val="nil"/>
                  </w:tcBorders>
                  <w:vAlign w:val="center"/>
                </w:tcPr>
                <w:p w14:paraId="4121F87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49</w:t>
                  </w:r>
                  <w:r>
                    <w:rPr>
                      <w:rFonts w:hint="default" w:ascii="Times New Roman" w:hAnsi="Times New Roman" w:eastAsia="宋体" w:cs="Times New Roman"/>
                      <w:caps w:val="0"/>
                      <w:color w:val="000000" w:themeColor="text1"/>
                      <w:szCs w:val="21"/>
                      <w:highlight w:val="none"/>
                      <w14:textFill>
                        <w14:solidFill>
                          <w14:schemeClr w14:val="tx1"/>
                        </w14:solidFill>
                      </w14:textFill>
                    </w:rPr>
                    <w:t>-08</w:t>
                  </w:r>
                </w:p>
              </w:tc>
              <w:tc>
                <w:tcPr>
                  <w:tcW w:w="591" w:type="pct"/>
                  <w:tcBorders>
                    <w:tl2br w:val="nil"/>
                    <w:tr2bl w:val="nil"/>
                  </w:tcBorders>
                  <w:vAlign w:val="center"/>
                </w:tcPr>
                <w:p w14:paraId="42D60819">
                  <w:pPr>
                    <w:jc w:val="center"/>
                    <w:textAlignment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0.204</w:t>
                  </w:r>
                </w:p>
              </w:tc>
              <w:tc>
                <w:tcPr>
                  <w:tcW w:w="422" w:type="pct"/>
                  <w:vMerge w:val="continue"/>
                  <w:tcBorders>
                    <w:tl2br w:val="nil"/>
                    <w:tr2bl w:val="nil"/>
                  </w:tcBorders>
                  <w:vAlign w:val="center"/>
                </w:tcPr>
                <w:p w14:paraId="173A1FA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26" w:type="pct"/>
                  <w:tcBorders>
                    <w:tl2br w:val="nil"/>
                    <w:tr2bl w:val="nil"/>
                  </w:tcBorders>
                  <w:vAlign w:val="center"/>
                </w:tcPr>
                <w:p w14:paraId="68945DC1">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668A8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16" w:hRule="atLeast"/>
              </w:trPr>
              <w:tc>
                <w:tcPr>
                  <w:tcW w:w="215" w:type="pct"/>
                  <w:tcBorders>
                    <w:tl2br w:val="nil"/>
                    <w:tr2bl w:val="nil"/>
                  </w:tcBorders>
                  <w:vAlign w:val="center"/>
                </w:tcPr>
                <w:p w14:paraId="714371C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生活垃圾</w:t>
                  </w:r>
                </w:p>
              </w:tc>
              <w:tc>
                <w:tcPr>
                  <w:tcW w:w="398" w:type="pct"/>
                  <w:tcBorders>
                    <w:tl2br w:val="nil"/>
                    <w:tr2bl w:val="nil"/>
                  </w:tcBorders>
                  <w:vAlign w:val="center"/>
                </w:tcPr>
                <w:p w14:paraId="30747BC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办公生活</w:t>
                  </w:r>
                </w:p>
              </w:tc>
              <w:tc>
                <w:tcPr>
                  <w:tcW w:w="534" w:type="pct"/>
                  <w:tcBorders>
                    <w:tl2br w:val="nil"/>
                    <w:tr2bl w:val="nil"/>
                  </w:tcBorders>
                  <w:vAlign w:val="center"/>
                </w:tcPr>
                <w:p w14:paraId="3190668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生活垃圾</w:t>
                  </w:r>
                </w:p>
              </w:tc>
              <w:tc>
                <w:tcPr>
                  <w:tcW w:w="355" w:type="pct"/>
                  <w:tcBorders>
                    <w:tl2br w:val="nil"/>
                    <w:tr2bl w:val="nil"/>
                  </w:tcBorders>
                  <w:vAlign w:val="center"/>
                </w:tcPr>
                <w:p w14:paraId="6BC5CED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389" w:type="pct"/>
                  <w:tcBorders>
                    <w:tl2br w:val="nil"/>
                    <w:tr2bl w:val="nil"/>
                  </w:tcBorders>
                  <w:vAlign w:val="center"/>
                </w:tcPr>
                <w:p w14:paraId="3C9B1CD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果皮纸屑等</w:t>
                  </w:r>
                </w:p>
              </w:tc>
              <w:tc>
                <w:tcPr>
                  <w:tcW w:w="585" w:type="pct"/>
                  <w:tcBorders>
                    <w:tl2br w:val="nil"/>
                    <w:tr2bl w:val="nil"/>
                  </w:tcBorders>
                  <w:vAlign w:val="center"/>
                </w:tcPr>
                <w:p w14:paraId="0E04A61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《固体废物分类与代码目录》</w:t>
                  </w:r>
                </w:p>
              </w:tc>
              <w:tc>
                <w:tcPr>
                  <w:tcW w:w="375" w:type="pct"/>
                  <w:tcBorders>
                    <w:tl2br w:val="nil"/>
                    <w:tr2bl w:val="nil"/>
                  </w:tcBorders>
                  <w:shd w:val="clear" w:color="auto" w:fill="auto"/>
                  <w:vAlign w:val="center"/>
                </w:tcPr>
                <w:p w14:paraId="47D119C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SW62</w:t>
                  </w:r>
                </w:p>
              </w:tc>
              <w:tc>
                <w:tcPr>
                  <w:tcW w:w="704" w:type="pct"/>
                  <w:tcBorders>
                    <w:tl2br w:val="nil"/>
                    <w:tr2bl w:val="nil"/>
                  </w:tcBorders>
                  <w:shd w:val="clear" w:color="auto" w:fill="auto"/>
                  <w:vAlign w:val="center"/>
                </w:tcPr>
                <w:p w14:paraId="01B8CCE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900-002-S62</w:t>
                  </w:r>
                </w:p>
              </w:tc>
              <w:tc>
                <w:tcPr>
                  <w:tcW w:w="591" w:type="pct"/>
                  <w:tcBorders>
                    <w:tl2br w:val="nil"/>
                    <w:tr2bl w:val="nil"/>
                  </w:tcBorders>
                  <w:vAlign w:val="center"/>
                </w:tcPr>
                <w:p w14:paraId="7CDAE068">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45</w:t>
                  </w:r>
                </w:p>
              </w:tc>
              <w:tc>
                <w:tcPr>
                  <w:tcW w:w="422" w:type="pct"/>
                  <w:tcBorders>
                    <w:tl2br w:val="nil"/>
                    <w:tr2bl w:val="nil"/>
                  </w:tcBorders>
                  <w:vAlign w:val="center"/>
                </w:tcPr>
                <w:p w14:paraId="0B22C81B">
                  <w:pPr>
                    <w:jc w:val="center"/>
                    <w:textAlignment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交由环卫部门清运</w:t>
                  </w:r>
                </w:p>
              </w:tc>
              <w:tc>
                <w:tcPr>
                  <w:tcW w:w="426" w:type="pct"/>
                  <w:tcBorders>
                    <w:tl2br w:val="nil"/>
                    <w:tr2bl w:val="nil"/>
                  </w:tcBorders>
                  <w:vAlign w:val="center"/>
                </w:tcPr>
                <w:p w14:paraId="7186F798">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bl>
          <w:p w14:paraId="37976D4E">
            <w:pPr>
              <w:keepNext w:val="0"/>
              <w:keepLines w:val="0"/>
              <w:pageBreakBefore w:val="0"/>
              <w:widowControl w:val="0"/>
              <w:kinsoku/>
              <w:wordWrap/>
              <w:overflowPunct/>
              <w:topLinePunct w:val="0"/>
              <w:autoSpaceDE/>
              <w:autoSpaceDN/>
              <w:bidi w:val="0"/>
              <w:adjustRightInd/>
              <w:snapToGrid w:val="0"/>
              <w:spacing w:beforeAutospacing="0" w:line="360" w:lineRule="auto"/>
              <w:ind w:firstLine="482" w:firstLineChars="200"/>
              <w:textAlignment w:val="auto"/>
              <w:outlineLvl w:val="3"/>
              <w:rPr>
                <w:b/>
                <w:bCs/>
                <w:sz w:val="24"/>
              </w:rPr>
            </w:pPr>
            <w:bookmarkStart w:id="6" w:name="_Toc62011226"/>
            <w:bookmarkStart w:id="7" w:name="_Toc87096201"/>
            <w:bookmarkStart w:id="8" w:name="_Toc85978818"/>
            <w:r>
              <w:rPr>
                <w:rFonts w:hint="eastAsia"/>
                <w:b/>
                <w:sz w:val="24"/>
              </w:rPr>
              <w:t>2、一般固废</w:t>
            </w:r>
            <w:bookmarkEnd w:id="6"/>
            <w:bookmarkEnd w:id="7"/>
            <w:bookmarkEnd w:id="8"/>
            <w:r>
              <w:rPr>
                <w:rFonts w:hint="eastAsia"/>
                <w:b/>
                <w:sz w:val="24"/>
              </w:rPr>
              <w:t>环境影响分析</w:t>
            </w:r>
            <w:r>
              <w:rPr>
                <w:rFonts w:hint="eastAsia"/>
                <w:b/>
                <w:bCs/>
                <w:sz w:val="24"/>
              </w:rPr>
              <w:t>和保护措施</w:t>
            </w:r>
          </w:p>
          <w:p w14:paraId="47492BB7">
            <w:pPr>
              <w:widowControl/>
              <w:spacing w:line="360" w:lineRule="auto"/>
              <w:ind w:firstLine="480" w:firstLineChars="200"/>
              <w:jc w:val="left"/>
              <w:rPr>
                <w:kern w:val="0"/>
                <w:sz w:val="24"/>
              </w:rPr>
            </w:pPr>
            <w:r>
              <w:rPr>
                <w:kern w:val="0"/>
                <w:sz w:val="24"/>
              </w:rPr>
              <w:t>一般工业固废临时堆放场根据</w:t>
            </w:r>
            <w:r>
              <w:rPr>
                <w:sz w:val="24"/>
              </w:rPr>
              <w:t>《一般工业固体废物贮存</w:t>
            </w:r>
            <w:r>
              <w:rPr>
                <w:rFonts w:hint="eastAsia"/>
                <w:sz w:val="24"/>
              </w:rPr>
              <w:t>和填埋</w:t>
            </w:r>
            <w:r>
              <w:rPr>
                <w:sz w:val="24"/>
              </w:rPr>
              <w:t>污染控制标准》（GB18599-2020）</w:t>
            </w:r>
            <w:r>
              <w:rPr>
                <w:kern w:val="0"/>
                <w:sz w:val="24"/>
              </w:rPr>
              <w:t>中的要求规范化建设，固废临时贮存场满足如下要求：</w:t>
            </w:r>
          </w:p>
          <w:p w14:paraId="5D1EF846">
            <w:pPr>
              <w:autoSpaceDE w:val="0"/>
              <w:autoSpaceDN w:val="0"/>
              <w:adjustRightInd w:val="0"/>
              <w:spacing w:line="360" w:lineRule="auto"/>
              <w:ind w:firstLine="480" w:firstLineChars="200"/>
              <w:jc w:val="left"/>
              <w:rPr>
                <w:kern w:val="0"/>
                <w:sz w:val="24"/>
              </w:rPr>
            </w:pPr>
            <w:r>
              <w:rPr>
                <w:rFonts w:hint="eastAsia" w:cs="宋体"/>
                <w:kern w:val="0"/>
                <w:sz w:val="24"/>
              </w:rPr>
              <w:t>①</w:t>
            </w:r>
            <w:r>
              <w:rPr>
                <w:kern w:val="0"/>
                <w:sz w:val="24"/>
              </w:rPr>
              <w:t>临时堆放场应选在防渗性能好的地基上天然基础层地表距地下水位的距离不得小于1.5m。临时堆放场四周应建有围墙，防止固废流失以及造成粉尘污染。</w:t>
            </w:r>
          </w:p>
          <w:p w14:paraId="08278BBF">
            <w:pPr>
              <w:autoSpaceDE w:val="0"/>
              <w:autoSpaceDN w:val="0"/>
              <w:adjustRightInd w:val="0"/>
              <w:spacing w:line="360" w:lineRule="auto"/>
              <w:ind w:firstLine="480" w:firstLineChars="200"/>
              <w:jc w:val="left"/>
              <w:rPr>
                <w:kern w:val="0"/>
                <w:sz w:val="24"/>
              </w:rPr>
            </w:pPr>
            <w:r>
              <w:rPr>
                <w:rFonts w:hint="eastAsia" w:cs="宋体"/>
                <w:kern w:val="0"/>
                <w:sz w:val="24"/>
              </w:rPr>
              <w:t>②</w:t>
            </w:r>
            <w:r>
              <w:rPr>
                <w:kern w:val="0"/>
                <w:sz w:val="24"/>
              </w:rPr>
              <w:t>临时堆放场应建有防雨淋、防渗透措施。本项目储存在钢结构仓库内，地面进行硬化，可以满足防雨淋、防渗透要求。</w:t>
            </w:r>
          </w:p>
          <w:p w14:paraId="7028CA98">
            <w:pPr>
              <w:autoSpaceDE w:val="0"/>
              <w:autoSpaceDN w:val="0"/>
              <w:adjustRightInd w:val="0"/>
              <w:spacing w:line="360" w:lineRule="auto"/>
              <w:ind w:firstLine="480" w:firstLineChars="200"/>
              <w:jc w:val="left"/>
              <w:rPr>
                <w:kern w:val="0"/>
                <w:sz w:val="24"/>
              </w:rPr>
            </w:pPr>
            <w:r>
              <w:rPr>
                <w:rFonts w:hint="eastAsia" w:cs="宋体"/>
                <w:kern w:val="0"/>
                <w:sz w:val="24"/>
              </w:rPr>
              <w:t>③</w:t>
            </w:r>
            <w:r>
              <w:rPr>
                <w:kern w:val="0"/>
                <w:sz w:val="24"/>
              </w:rPr>
              <w:t>为了便于管理，临时堆放场应按《环境保护图形标识—固体废物贮存（处置）场》（GB15562.2-1995）设置环境保护图形标志。</w:t>
            </w:r>
          </w:p>
          <w:p w14:paraId="67F10980">
            <w:pPr>
              <w:autoSpaceDE w:val="0"/>
              <w:autoSpaceDN w:val="0"/>
              <w:adjustRightInd w:val="0"/>
              <w:spacing w:line="360" w:lineRule="auto"/>
              <w:ind w:firstLine="480" w:firstLineChars="200"/>
              <w:jc w:val="left"/>
              <w:rPr>
                <w:kern w:val="0"/>
                <w:sz w:val="24"/>
              </w:rPr>
            </w:pPr>
            <w:r>
              <w:rPr>
                <w:rFonts w:hint="eastAsia"/>
                <w:kern w:val="0"/>
                <w:sz w:val="24"/>
              </w:rPr>
              <w:t>本项目将建设一般固废暂存库，</w:t>
            </w:r>
            <w:r>
              <w:rPr>
                <w:rFonts w:hint="eastAsia"/>
                <w:kern w:val="0"/>
                <w:sz w:val="24"/>
                <w:lang w:val="en-US" w:eastAsia="zh-CN"/>
              </w:rPr>
              <w:t>位于车间南侧，占地面积约20</w:t>
            </w:r>
            <w:r>
              <w:rPr>
                <w:kern w:val="0"/>
                <w:sz w:val="24"/>
              </w:rPr>
              <w:t>m</w:t>
            </w:r>
            <w:r>
              <w:rPr>
                <w:kern w:val="0"/>
                <w:sz w:val="24"/>
                <w:vertAlign w:val="superscript"/>
              </w:rPr>
              <w:t>2</w:t>
            </w:r>
            <w:r>
              <w:rPr>
                <w:kern w:val="0"/>
                <w:sz w:val="24"/>
              </w:rPr>
              <w:t>。</w:t>
            </w:r>
            <w:r>
              <w:rPr>
                <w:rFonts w:hint="eastAsia"/>
                <w:kern w:val="0"/>
                <w:sz w:val="24"/>
              </w:rPr>
              <w:t>企业在生产过程中，应加强一般固废库的管理，定点收集堆存，并及时处理，不会对环境造成不利影响。</w:t>
            </w:r>
          </w:p>
          <w:p w14:paraId="25065D13">
            <w:pPr>
              <w:snapToGrid w:val="0"/>
              <w:spacing w:line="360" w:lineRule="auto"/>
              <w:ind w:firstLine="472" w:firstLineChars="196"/>
              <w:outlineLvl w:val="3"/>
              <w:rPr>
                <w:b/>
                <w:bCs/>
                <w:sz w:val="24"/>
              </w:rPr>
            </w:pPr>
            <w:r>
              <w:rPr>
                <w:rFonts w:hint="eastAsia"/>
                <w:b/>
                <w:sz w:val="24"/>
              </w:rPr>
              <w:t>3、危险废物环境影响分析</w:t>
            </w:r>
            <w:r>
              <w:rPr>
                <w:rFonts w:hint="eastAsia"/>
                <w:b/>
                <w:bCs/>
                <w:sz w:val="24"/>
              </w:rPr>
              <w:t>和保护措施</w:t>
            </w:r>
          </w:p>
          <w:p w14:paraId="002D7920">
            <w:pPr>
              <w:autoSpaceDE w:val="0"/>
              <w:autoSpaceDN w:val="0"/>
              <w:adjustRightInd w:val="0"/>
              <w:spacing w:line="360" w:lineRule="auto"/>
              <w:ind w:firstLine="480" w:firstLineChars="200"/>
              <w:jc w:val="left"/>
              <w:rPr>
                <w:kern w:val="0"/>
                <w:sz w:val="24"/>
              </w:rPr>
            </w:pPr>
            <w:r>
              <w:rPr>
                <w:sz w:val="24"/>
              </w:rPr>
              <w:t>本项目产生的危险废物分别按照废物特性</w:t>
            </w:r>
            <w:r>
              <w:rPr>
                <w:kern w:val="0"/>
                <w:sz w:val="24"/>
              </w:rPr>
              <w:t>采用专门的容器收集后暂存于项目危废暂存库。项目</w:t>
            </w:r>
            <w:r>
              <w:rPr>
                <w:rFonts w:hint="eastAsia"/>
                <w:kern w:val="0"/>
                <w:sz w:val="24"/>
              </w:rPr>
              <w:t>拟</w:t>
            </w:r>
            <w:r>
              <w:rPr>
                <w:kern w:val="0"/>
                <w:sz w:val="24"/>
              </w:rPr>
              <w:t>建设</w:t>
            </w:r>
            <w:r>
              <w:rPr>
                <w:rFonts w:hint="eastAsia"/>
                <w:kern w:val="0"/>
                <w:sz w:val="24"/>
              </w:rPr>
              <w:t>1</w:t>
            </w:r>
            <w:r>
              <w:rPr>
                <w:kern w:val="0"/>
                <w:sz w:val="24"/>
              </w:rPr>
              <w:t>间危废暂存库，位于</w:t>
            </w:r>
            <w:r>
              <w:rPr>
                <w:snapToGrid w:val="0"/>
                <w:sz w:val="24"/>
                <w:szCs w:val="21"/>
              </w:rPr>
              <w:t>车间</w:t>
            </w:r>
            <w:r>
              <w:rPr>
                <w:rFonts w:hint="eastAsia"/>
                <w:snapToGrid w:val="0"/>
                <w:sz w:val="24"/>
                <w:szCs w:val="21"/>
                <w:lang w:val="en-US" w:eastAsia="zh-CN"/>
              </w:rPr>
              <w:t>南</w:t>
            </w:r>
            <w:r>
              <w:rPr>
                <w:snapToGrid w:val="0"/>
                <w:sz w:val="24"/>
                <w:szCs w:val="21"/>
              </w:rPr>
              <w:t>侧</w:t>
            </w:r>
            <w:r>
              <w:rPr>
                <w:kern w:val="0"/>
                <w:sz w:val="24"/>
              </w:rPr>
              <w:t>，占地面积约</w:t>
            </w:r>
            <w:r>
              <w:rPr>
                <w:rFonts w:hint="eastAsia"/>
                <w:kern w:val="0"/>
                <w:sz w:val="24"/>
                <w:lang w:val="en-US" w:eastAsia="zh-CN"/>
              </w:rPr>
              <w:t>2</w:t>
            </w:r>
            <w:r>
              <w:rPr>
                <w:kern w:val="0"/>
                <w:sz w:val="24"/>
              </w:rPr>
              <w:t>0m</w:t>
            </w:r>
            <w:r>
              <w:rPr>
                <w:kern w:val="0"/>
                <w:sz w:val="24"/>
                <w:vertAlign w:val="superscript"/>
              </w:rPr>
              <w:t>2</w:t>
            </w:r>
            <w:r>
              <w:rPr>
                <w:kern w:val="0"/>
                <w:sz w:val="24"/>
              </w:rPr>
              <w:t>。</w:t>
            </w:r>
          </w:p>
          <w:p w14:paraId="6B8C5E38">
            <w:pPr>
              <w:autoSpaceDE w:val="0"/>
              <w:autoSpaceDN w:val="0"/>
              <w:adjustRightInd w:val="0"/>
              <w:spacing w:line="360" w:lineRule="auto"/>
              <w:ind w:firstLine="480" w:firstLineChars="200"/>
              <w:jc w:val="left"/>
              <w:rPr>
                <w:kern w:val="0"/>
                <w:sz w:val="24"/>
              </w:rPr>
            </w:pPr>
            <w:r>
              <w:rPr>
                <w:kern w:val="0"/>
                <w:sz w:val="24"/>
              </w:rPr>
              <w:t>（1）危险废物贮存环境影响</w:t>
            </w:r>
          </w:p>
          <w:p w14:paraId="030780E3">
            <w:pPr>
              <w:autoSpaceDE w:val="0"/>
              <w:autoSpaceDN w:val="0"/>
              <w:adjustRightInd w:val="0"/>
              <w:spacing w:line="360" w:lineRule="auto"/>
              <w:ind w:firstLine="480" w:firstLineChars="200"/>
              <w:jc w:val="left"/>
              <w:rPr>
                <w:sz w:val="24"/>
              </w:rPr>
            </w:pPr>
            <w:r>
              <w:rPr>
                <w:rFonts w:hint="eastAsia"/>
                <w:sz w:val="24"/>
              </w:rPr>
              <w:t>本项目危险废物贮存场所的名称、位置、占地面积、贮存方式、贮存容积、贮存周期等基本信息见下表。</w:t>
            </w:r>
          </w:p>
          <w:p w14:paraId="51E82D9A">
            <w:pPr>
              <w:keepNext w:val="0"/>
              <w:keepLines w:val="0"/>
              <w:pageBreakBefore w:val="0"/>
              <w:widowControl w:val="0"/>
              <w:kinsoku/>
              <w:wordWrap/>
              <w:overflowPunct/>
              <w:topLinePunct/>
              <w:autoSpaceDE/>
              <w:autoSpaceDN/>
              <w:bidi w:val="0"/>
              <w:adjustRightInd w:val="0"/>
              <w:snapToGrid w:val="0"/>
              <w:spacing w:beforeAutospacing="0" w:line="240" w:lineRule="auto"/>
              <w:jc w:val="center"/>
              <w:textAlignment w:val="auto"/>
              <w:rPr>
                <w:b/>
                <w:sz w:val="24"/>
              </w:rPr>
            </w:pPr>
            <w:r>
              <w:rPr>
                <w:b/>
                <w:sz w:val="24"/>
              </w:rPr>
              <w:t>表</w:t>
            </w:r>
            <w:r>
              <w:rPr>
                <w:rFonts w:hint="eastAsia"/>
                <w:b/>
                <w:sz w:val="24"/>
              </w:rPr>
              <w:t>4</w:t>
            </w:r>
            <w:r>
              <w:rPr>
                <w:b/>
                <w:sz w:val="24"/>
              </w:rPr>
              <w:t>-</w:t>
            </w:r>
            <w:r>
              <w:rPr>
                <w:rFonts w:hint="eastAsia"/>
                <w:b/>
                <w:sz w:val="24"/>
                <w:lang w:val="en-US" w:eastAsia="zh-CN"/>
              </w:rPr>
              <w:t>13</w:t>
            </w:r>
            <w:r>
              <w:rPr>
                <w:b/>
                <w:sz w:val="24"/>
              </w:rPr>
              <w:t xml:space="preserve">  建设项目危险废物贮存场所（设施）基本情况</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853"/>
              <w:gridCol w:w="1272"/>
              <w:gridCol w:w="941"/>
              <w:gridCol w:w="1199"/>
              <w:gridCol w:w="838"/>
              <w:gridCol w:w="1277"/>
              <w:gridCol w:w="865"/>
              <w:gridCol w:w="660"/>
            </w:tblGrid>
            <w:tr w14:paraId="1CEA7F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15" w:type="pct"/>
                  <w:vMerge w:val="restart"/>
                  <w:tcBorders>
                    <w:tl2br w:val="nil"/>
                    <w:tr2bl w:val="nil"/>
                  </w:tcBorders>
                  <w:vAlign w:val="center"/>
                </w:tcPr>
                <w:p w14:paraId="532A3C12">
                  <w:pPr>
                    <w:topLinePunct/>
                    <w:adjustRightInd w:val="0"/>
                    <w:snapToGrid w:val="0"/>
                    <w:ind w:left="-105" w:leftChars="-50" w:right="-105" w:rightChars="-50"/>
                    <w:jc w:val="center"/>
                    <w:rPr>
                      <w:b/>
                      <w:kern w:val="0"/>
                      <w:szCs w:val="21"/>
                    </w:rPr>
                  </w:pPr>
                  <w:r>
                    <w:rPr>
                      <w:b/>
                      <w:kern w:val="0"/>
                      <w:szCs w:val="21"/>
                    </w:rPr>
                    <w:t>贮存场所名称</w:t>
                  </w:r>
                </w:p>
              </w:tc>
              <w:tc>
                <w:tcPr>
                  <w:tcW w:w="505" w:type="pct"/>
                  <w:vMerge w:val="restart"/>
                  <w:tcBorders>
                    <w:tl2br w:val="nil"/>
                    <w:tr2bl w:val="nil"/>
                  </w:tcBorders>
                  <w:vAlign w:val="center"/>
                </w:tcPr>
                <w:p w14:paraId="164F6831">
                  <w:pPr>
                    <w:topLinePunct/>
                    <w:adjustRightInd w:val="0"/>
                    <w:snapToGrid w:val="0"/>
                    <w:ind w:left="-105" w:leftChars="-50" w:right="-105" w:rightChars="-50"/>
                    <w:jc w:val="center"/>
                    <w:rPr>
                      <w:b/>
                      <w:kern w:val="0"/>
                      <w:szCs w:val="21"/>
                    </w:rPr>
                  </w:pPr>
                  <w:r>
                    <w:rPr>
                      <w:b/>
                      <w:kern w:val="0"/>
                      <w:szCs w:val="21"/>
                    </w:rPr>
                    <w:t>占地</w:t>
                  </w:r>
                </w:p>
                <w:p w14:paraId="7F5CD79E">
                  <w:pPr>
                    <w:topLinePunct/>
                    <w:adjustRightInd w:val="0"/>
                    <w:snapToGrid w:val="0"/>
                    <w:ind w:left="-105" w:leftChars="-50" w:right="-105" w:rightChars="-50"/>
                    <w:jc w:val="center"/>
                    <w:rPr>
                      <w:b/>
                      <w:kern w:val="0"/>
                      <w:szCs w:val="21"/>
                    </w:rPr>
                  </w:pPr>
                  <w:r>
                    <w:rPr>
                      <w:b/>
                      <w:kern w:val="0"/>
                      <w:szCs w:val="21"/>
                    </w:rPr>
                    <w:t>面积（m</w:t>
                  </w:r>
                  <w:r>
                    <w:rPr>
                      <w:b/>
                      <w:kern w:val="0"/>
                      <w:szCs w:val="21"/>
                      <w:vertAlign w:val="superscript"/>
                    </w:rPr>
                    <w:t>2</w:t>
                  </w:r>
                  <w:r>
                    <w:rPr>
                      <w:b/>
                      <w:kern w:val="0"/>
                      <w:szCs w:val="21"/>
                    </w:rPr>
                    <w:t>）</w:t>
                  </w:r>
                </w:p>
              </w:tc>
              <w:tc>
                <w:tcPr>
                  <w:tcW w:w="753" w:type="pct"/>
                  <w:vMerge w:val="restart"/>
                  <w:tcBorders>
                    <w:tl2br w:val="nil"/>
                    <w:tr2bl w:val="nil"/>
                  </w:tcBorders>
                  <w:vAlign w:val="center"/>
                </w:tcPr>
                <w:p w14:paraId="27C8D4F7">
                  <w:pPr>
                    <w:topLinePunct/>
                    <w:adjustRightInd w:val="0"/>
                    <w:snapToGrid w:val="0"/>
                    <w:ind w:left="-105" w:leftChars="-50" w:right="-105" w:rightChars="-50"/>
                    <w:jc w:val="center"/>
                    <w:rPr>
                      <w:b/>
                      <w:kern w:val="0"/>
                      <w:szCs w:val="21"/>
                    </w:rPr>
                  </w:pPr>
                  <w:r>
                    <w:rPr>
                      <w:b/>
                      <w:kern w:val="0"/>
                      <w:szCs w:val="21"/>
                    </w:rPr>
                    <w:t>危险废</w:t>
                  </w:r>
                </w:p>
                <w:p w14:paraId="5E9ED847">
                  <w:pPr>
                    <w:topLinePunct/>
                    <w:adjustRightInd w:val="0"/>
                    <w:snapToGrid w:val="0"/>
                    <w:ind w:left="-105" w:leftChars="-50" w:right="-105" w:rightChars="-50"/>
                    <w:jc w:val="center"/>
                    <w:rPr>
                      <w:b/>
                      <w:kern w:val="0"/>
                      <w:szCs w:val="21"/>
                    </w:rPr>
                  </w:pPr>
                  <w:r>
                    <w:rPr>
                      <w:b/>
                      <w:kern w:val="0"/>
                      <w:szCs w:val="21"/>
                    </w:rPr>
                    <w:t>物名称</w:t>
                  </w:r>
                </w:p>
              </w:tc>
              <w:tc>
                <w:tcPr>
                  <w:tcW w:w="557" w:type="pct"/>
                  <w:vMerge w:val="restart"/>
                  <w:tcBorders>
                    <w:tl2br w:val="nil"/>
                    <w:tr2bl w:val="nil"/>
                  </w:tcBorders>
                  <w:vAlign w:val="center"/>
                </w:tcPr>
                <w:p w14:paraId="0EDBFFC0">
                  <w:pPr>
                    <w:topLinePunct/>
                    <w:adjustRightInd w:val="0"/>
                    <w:snapToGrid w:val="0"/>
                    <w:ind w:left="-105" w:leftChars="-50" w:right="-105" w:rightChars="-50"/>
                    <w:jc w:val="center"/>
                    <w:rPr>
                      <w:b/>
                      <w:kern w:val="0"/>
                      <w:szCs w:val="21"/>
                    </w:rPr>
                  </w:pPr>
                  <w:r>
                    <w:rPr>
                      <w:b/>
                      <w:kern w:val="0"/>
                      <w:szCs w:val="21"/>
                    </w:rPr>
                    <w:t>危险废</w:t>
                  </w:r>
                </w:p>
                <w:p w14:paraId="28EF2811">
                  <w:pPr>
                    <w:topLinePunct/>
                    <w:adjustRightInd w:val="0"/>
                    <w:snapToGrid w:val="0"/>
                    <w:ind w:left="-105" w:leftChars="-50" w:right="-105" w:rightChars="-50"/>
                    <w:jc w:val="center"/>
                    <w:rPr>
                      <w:b/>
                      <w:kern w:val="0"/>
                      <w:szCs w:val="21"/>
                    </w:rPr>
                  </w:pPr>
                  <w:r>
                    <w:rPr>
                      <w:b/>
                      <w:kern w:val="0"/>
                      <w:szCs w:val="21"/>
                    </w:rPr>
                    <w:t>物类别</w:t>
                  </w:r>
                </w:p>
              </w:tc>
              <w:tc>
                <w:tcPr>
                  <w:tcW w:w="710" w:type="pct"/>
                  <w:vMerge w:val="restart"/>
                  <w:tcBorders>
                    <w:tl2br w:val="nil"/>
                    <w:tr2bl w:val="nil"/>
                  </w:tcBorders>
                  <w:vAlign w:val="center"/>
                </w:tcPr>
                <w:p w14:paraId="79E0DA4E">
                  <w:pPr>
                    <w:topLinePunct/>
                    <w:adjustRightInd w:val="0"/>
                    <w:snapToGrid w:val="0"/>
                    <w:ind w:left="-105" w:leftChars="-50" w:right="-105" w:rightChars="-50"/>
                    <w:jc w:val="center"/>
                    <w:rPr>
                      <w:b/>
                      <w:kern w:val="0"/>
                      <w:szCs w:val="21"/>
                    </w:rPr>
                  </w:pPr>
                  <w:r>
                    <w:rPr>
                      <w:b/>
                      <w:kern w:val="0"/>
                      <w:szCs w:val="21"/>
                    </w:rPr>
                    <w:t>危险废</w:t>
                  </w:r>
                </w:p>
                <w:p w14:paraId="4223E323">
                  <w:pPr>
                    <w:topLinePunct/>
                    <w:adjustRightInd w:val="0"/>
                    <w:snapToGrid w:val="0"/>
                    <w:ind w:left="-105" w:leftChars="-50" w:right="-105" w:rightChars="-50"/>
                    <w:jc w:val="center"/>
                    <w:rPr>
                      <w:b/>
                      <w:kern w:val="0"/>
                      <w:szCs w:val="21"/>
                    </w:rPr>
                  </w:pPr>
                  <w:r>
                    <w:rPr>
                      <w:b/>
                      <w:kern w:val="0"/>
                      <w:szCs w:val="21"/>
                    </w:rPr>
                    <w:t>物代码</w:t>
                  </w:r>
                </w:p>
              </w:tc>
              <w:tc>
                <w:tcPr>
                  <w:tcW w:w="496" w:type="pct"/>
                  <w:vMerge w:val="restart"/>
                  <w:tcBorders>
                    <w:tl2br w:val="nil"/>
                    <w:tr2bl w:val="nil"/>
                  </w:tcBorders>
                  <w:vAlign w:val="center"/>
                </w:tcPr>
                <w:p w14:paraId="75CD98D8">
                  <w:pPr>
                    <w:topLinePunct/>
                    <w:adjustRightInd w:val="0"/>
                    <w:snapToGrid w:val="0"/>
                    <w:ind w:left="-105" w:leftChars="-50" w:right="-105" w:rightChars="-50"/>
                    <w:jc w:val="center"/>
                    <w:rPr>
                      <w:b/>
                      <w:kern w:val="0"/>
                      <w:szCs w:val="21"/>
                    </w:rPr>
                  </w:pPr>
                  <w:r>
                    <w:rPr>
                      <w:b/>
                      <w:kern w:val="0"/>
                      <w:szCs w:val="21"/>
                    </w:rPr>
                    <w:t>估算产生量（t/a）</w:t>
                  </w:r>
                </w:p>
              </w:tc>
              <w:tc>
                <w:tcPr>
                  <w:tcW w:w="756" w:type="pct"/>
                  <w:vMerge w:val="restart"/>
                  <w:tcBorders>
                    <w:tl2br w:val="nil"/>
                    <w:tr2bl w:val="nil"/>
                  </w:tcBorders>
                  <w:vAlign w:val="center"/>
                </w:tcPr>
                <w:p w14:paraId="6B6D7C38">
                  <w:pPr>
                    <w:topLinePunct/>
                    <w:adjustRightInd w:val="0"/>
                    <w:snapToGrid w:val="0"/>
                    <w:ind w:left="-105" w:leftChars="-50" w:right="-105" w:rightChars="-50"/>
                    <w:jc w:val="center"/>
                    <w:rPr>
                      <w:b/>
                      <w:kern w:val="0"/>
                      <w:szCs w:val="21"/>
                    </w:rPr>
                  </w:pPr>
                  <w:r>
                    <w:rPr>
                      <w:b/>
                      <w:kern w:val="0"/>
                      <w:szCs w:val="21"/>
                    </w:rPr>
                    <w:t>贮存方式</w:t>
                  </w:r>
                </w:p>
              </w:tc>
              <w:tc>
                <w:tcPr>
                  <w:tcW w:w="512" w:type="pct"/>
                  <w:vMerge w:val="restart"/>
                  <w:tcBorders>
                    <w:tl2br w:val="nil"/>
                    <w:tr2bl w:val="nil"/>
                  </w:tcBorders>
                  <w:vAlign w:val="center"/>
                </w:tcPr>
                <w:p w14:paraId="624363F5">
                  <w:pPr>
                    <w:topLinePunct/>
                    <w:adjustRightInd w:val="0"/>
                    <w:snapToGrid w:val="0"/>
                    <w:ind w:left="-105" w:leftChars="-50" w:right="-105" w:rightChars="-50"/>
                    <w:jc w:val="center"/>
                    <w:rPr>
                      <w:b/>
                      <w:kern w:val="0"/>
                      <w:szCs w:val="21"/>
                    </w:rPr>
                  </w:pPr>
                  <w:r>
                    <w:rPr>
                      <w:b/>
                      <w:kern w:val="0"/>
                      <w:szCs w:val="21"/>
                    </w:rPr>
                    <w:t>贮存</w:t>
                  </w:r>
                  <w:r>
                    <w:rPr>
                      <w:rFonts w:hint="eastAsia"/>
                      <w:b/>
                      <w:kern w:val="0"/>
                      <w:szCs w:val="21"/>
                    </w:rPr>
                    <w:t>量</w:t>
                  </w:r>
                </w:p>
                <w:p w14:paraId="4E5E9255">
                  <w:pPr>
                    <w:topLinePunct/>
                    <w:adjustRightInd w:val="0"/>
                    <w:snapToGrid w:val="0"/>
                    <w:jc w:val="center"/>
                    <w:rPr>
                      <w:b/>
                      <w:kern w:val="0"/>
                      <w:szCs w:val="21"/>
                    </w:rPr>
                  </w:pPr>
                  <w:r>
                    <w:rPr>
                      <w:rFonts w:hint="eastAsia"/>
                      <w:b/>
                      <w:kern w:val="0"/>
                      <w:szCs w:val="21"/>
                    </w:rPr>
                    <w:t>（t）</w:t>
                  </w:r>
                </w:p>
              </w:tc>
              <w:tc>
                <w:tcPr>
                  <w:tcW w:w="391" w:type="pct"/>
                  <w:vMerge w:val="restart"/>
                  <w:tcBorders>
                    <w:tl2br w:val="nil"/>
                    <w:tr2bl w:val="nil"/>
                  </w:tcBorders>
                  <w:vAlign w:val="center"/>
                </w:tcPr>
                <w:p w14:paraId="1D20A90A">
                  <w:pPr>
                    <w:topLinePunct/>
                    <w:adjustRightInd w:val="0"/>
                    <w:snapToGrid w:val="0"/>
                    <w:ind w:left="-105" w:leftChars="-50" w:right="-105" w:rightChars="-50"/>
                    <w:jc w:val="center"/>
                    <w:rPr>
                      <w:b/>
                      <w:kern w:val="0"/>
                      <w:szCs w:val="21"/>
                    </w:rPr>
                  </w:pPr>
                  <w:r>
                    <w:rPr>
                      <w:b/>
                      <w:kern w:val="0"/>
                      <w:szCs w:val="21"/>
                    </w:rPr>
                    <w:t>贮存</w:t>
                  </w:r>
                </w:p>
                <w:p w14:paraId="0901962A">
                  <w:pPr>
                    <w:topLinePunct/>
                    <w:adjustRightInd w:val="0"/>
                    <w:snapToGrid w:val="0"/>
                    <w:ind w:left="-105" w:leftChars="-50" w:right="-105" w:rightChars="-50"/>
                    <w:jc w:val="center"/>
                    <w:rPr>
                      <w:b/>
                      <w:kern w:val="0"/>
                      <w:szCs w:val="21"/>
                    </w:rPr>
                  </w:pPr>
                  <w:r>
                    <w:rPr>
                      <w:b/>
                      <w:kern w:val="0"/>
                      <w:szCs w:val="21"/>
                    </w:rPr>
                    <w:t>周期</w:t>
                  </w:r>
                </w:p>
              </w:tc>
            </w:tr>
            <w:tr w14:paraId="6494BA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15" w:type="pct"/>
                  <w:vMerge w:val="continue"/>
                  <w:tcBorders>
                    <w:tl2br w:val="nil"/>
                    <w:tr2bl w:val="nil"/>
                  </w:tcBorders>
                  <w:vAlign w:val="center"/>
                </w:tcPr>
                <w:p w14:paraId="6B1EE5B3">
                  <w:pPr>
                    <w:topLinePunct/>
                    <w:adjustRightInd w:val="0"/>
                    <w:snapToGrid w:val="0"/>
                    <w:ind w:left="-105" w:leftChars="-50" w:right="-105" w:rightChars="-50"/>
                    <w:jc w:val="center"/>
                    <w:rPr>
                      <w:b/>
                      <w:kern w:val="0"/>
                      <w:szCs w:val="21"/>
                    </w:rPr>
                  </w:pPr>
                </w:p>
              </w:tc>
              <w:tc>
                <w:tcPr>
                  <w:tcW w:w="505" w:type="pct"/>
                  <w:vMerge w:val="continue"/>
                  <w:tcBorders>
                    <w:tl2br w:val="nil"/>
                    <w:tr2bl w:val="nil"/>
                  </w:tcBorders>
                  <w:vAlign w:val="center"/>
                </w:tcPr>
                <w:p w14:paraId="1B5EEEE1">
                  <w:pPr>
                    <w:topLinePunct/>
                    <w:adjustRightInd w:val="0"/>
                    <w:snapToGrid w:val="0"/>
                    <w:ind w:left="-105" w:leftChars="-50" w:right="-105" w:rightChars="-50"/>
                    <w:jc w:val="center"/>
                    <w:rPr>
                      <w:b/>
                      <w:kern w:val="0"/>
                      <w:szCs w:val="21"/>
                    </w:rPr>
                  </w:pPr>
                </w:p>
              </w:tc>
              <w:tc>
                <w:tcPr>
                  <w:tcW w:w="753" w:type="pct"/>
                  <w:vMerge w:val="continue"/>
                  <w:tcBorders>
                    <w:tl2br w:val="nil"/>
                    <w:tr2bl w:val="nil"/>
                  </w:tcBorders>
                  <w:vAlign w:val="center"/>
                </w:tcPr>
                <w:p w14:paraId="23FEE21D">
                  <w:pPr>
                    <w:topLinePunct/>
                    <w:adjustRightInd w:val="0"/>
                    <w:snapToGrid w:val="0"/>
                    <w:ind w:left="-105" w:leftChars="-50" w:right="-105" w:rightChars="-50"/>
                    <w:jc w:val="center"/>
                    <w:rPr>
                      <w:b/>
                      <w:kern w:val="0"/>
                      <w:szCs w:val="21"/>
                    </w:rPr>
                  </w:pPr>
                </w:p>
              </w:tc>
              <w:tc>
                <w:tcPr>
                  <w:tcW w:w="557" w:type="pct"/>
                  <w:vMerge w:val="continue"/>
                  <w:tcBorders>
                    <w:tl2br w:val="nil"/>
                    <w:tr2bl w:val="nil"/>
                  </w:tcBorders>
                  <w:vAlign w:val="center"/>
                </w:tcPr>
                <w:p w14:paraId="04354B1B">
                  <w:pPr>
                    <w:topLinePunct/>
                    <w:adjustRightInd w:val="0"/>
                    <w:snapToGrid w:val="0"/>
                    <w:ind w:left="-105" w:leftChars="-50" w:right="-105" w:rightChars="-50"/>
                    <w:jc w:val="center"/>
                    <w:rPr>
                      <w:b/>
                      <w:kern w:val="0"/>
                      <w:szCs w:val="21"/>
                    </w:rPr>
                  </w:pPr>
                </w:p>
              </w:tc>
              <w:tc>
                <w:tcPr>
                  <w:tcW w:w="710" w:type="pct"/>
                  <w:vMerge w:val="continue"/>
                  <w:tcBorders>
                    <w:tl2br w:val="nil"/>
                    <w:tr2bl w:val="nil"/>
                  </w:tcBorders>
                  <w:vAlign w:val="center"/>
                </w:tcPr>
                <w:p w14:paraId="0B8EF2C0">
                  <w:pPr>
                    <w:topLinePunct/>
                    <w:adjustRightInd w:val="0"/>
                    <w:snapToGrid w:val="0"/>
                    <w:ind w:left="-105" w:leftChars="-50" w:right="-105" w:rightChars="-50"/>
                    <w:jc w:val="center"/>
                    <w:rPr>
                      <w:b/>
                      <w:kern w:val="0"/>
                      <w:szCs w:val="21"/>
                    </w:rPr>
                  </w:pPr>
                </w:p>
              </w:tc>
              <w:tc>
                <w:tcPr>
                  <w:tcW w:w="496" w:type="pct"/>
                  <w:vMerge w:val="continue"/>
                  <w:tcBorders>
                    <w:tl2br w:val="nil"/>
                    <w:tr2bl w:val="nil"/>
                  </w:tcBorders>
                  <w:vAlign w:val="center"/>
                </w:tcPr>
                <w:p w14:paraId="06035C1D">
                  <w:pPr>
                    <w:topLinePunct/>
                    <w:adjustRightInd w:val="0"/>
                    <w:snapToGrid w:val="0"/>
                    <w:ind w:left="-105" w:leftChars="-50" w:right="-105" w:rightChars="-50"/>
                    <w:jc w:val="center"/>
                    <w:rPr>
                      <w:b/>
                      <w:kern w:val="0"/>
                      <w:szCs w:val="21"/>
                    </w:rPr>
                  </w:pPr>
                </w:p>
              </w:tc>
              <w:tc>
                <w:tcPr>
                  <w:tcW w:w="756" w:type="pct"/>
                  <w:vMerge w:val="continue"/>
                  <w:tcBorders>
                    <w:tl2br w:val="nil"/>
                    <w:tr2bl w:val="nil"/>
                  </w:tcBorders>
                  <w:vAlign w:val="center"/>
                </w:tcPr>
                <w:p w14:paraId="49F16607">
                  <w:pPr>
                    <w:topLinePunct/>
                    <w:adjustRightInd w:val="0"/>
                    <w:snapToGrid w:val="0"/>
                    <w:ind w:left="-105" w:leftChars="-50" w:right="-105" w:rightChars="-50"/>
                    <w:jc w:val="center"/>
                    <w:rPr>
                      <w:b/>
                      <w:kern w:val="0"/>
                      <w:szCs w:val="21"/>
                    </w:rPr>
                  </w:pPr>
                </w:p>
              </w:tc>
              <w:tc>
                <w:tcPr>
                  <w:tcW w:w="512" w:type="pct"/>
                  <w:vMerge w:val="continue"/>
                  <w:tcBorders>
                    <w:tl2br w:val="nil"/>
                    <w:tr2bl w:val="nil"/>
                  </w:tcBorders>
                  <w:vAlign w:val="center"/>
                </w:tcPr>
                <w:p w14:paraId="4CE3FBCD">
                  <w:pPr>
                    <w:topLinePunct/>
                    <w:adjustRightInd w:val="0"/>
                    <w:snapToGrid w:val="0"/>
                    <w:ind w:left="-105" w:leftChars="-50" w:right="-105" w:rightChars="-50"/>
                    <w:jc w:val="center"/>
                    <w:rPr>
                      <w:b/>
                      <w:kern w:val="0"/>
                      <w:szCs w:val="21"/>
                    </w:rPr>
                  </w:pPr>
                </w:p>
              </w:tc>
              <w:tc>
                <w:tcPr>
                  <w:tcW w:w="391" w:type="pct"/>
                  <w:vMerge w:val="continue"/>
                  <w:tcBorders>
                    <w:tl2br w:val="nil"/>
                    <w:tr2bl w:val="nil"/>
                  </w:tcBorders>
                  <w:vAlign w:val="center"/>
                </w:tcPr>
                <w:p w14:paraId="613FB878">
                  <w:pPr>
                    <w:topLinePunct/>
                    <w:adjustRightInd w:val="0"/>
                    <w:snapToGrid w:val="0"/>
                    <w:ind w:left="-105" w:leftChars="-50" w:right="-105" w:rightChars="-50"/>
                    <w:jc w:val="center"/>
                    <w:rPr>
                      <w:b/>
                      <w:kern w:val="0"/>
                      <w:szCs w:val="21"/>
                    </w:rPr>
                  </w:pPr>
                </w:p>
              </w:tc>
            </w:tr>
            <w:tr w14:paraId="4F0D58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15" w:type="pct"/>
                  <w:vMerge w:val="restart"/>
                  <w:tcBorders>
                    <w:tl2br w:val="nil"/>
                    <w:tr2bl w:val="nil"/>
                  </w:tcBorders>
                  <w:vAlign w:val="center"/>
                </w:tcPr>
                <w:p w14:paraId="38D69597">
                  <w:pPr>
                    <w:topLinePunct/>
                    <w:adjustRightInd w:val="0"/>
                    <w:snapToGrid w:val="0"/>
                    <w:ind w:left="-105" w:leftChars="-50" w:right="-105" w:rightChars="-50"/>
                    <w:jc w:val="center"/>
                    <w:rPr>
                      <w:kern w:val="0"/>
                      <w:szCs w:val="21"/>
                    </w:rPr>
                  </w:pPr>
                  <w:r>
                    <w:rPr>
                      <w:kern w:val="0"/>
                      <w:szCs w:val="21"/>
                    </w:rPr>
                    <w:t>危险废物仓库</w:t>
                  </w:r>
                </w:p>
              </w:tc>
              <w:tc>
                <w:tcPr>
                  <w:tcW w:w="505" w:type="pct"/>
                  <w:tcBorders>
                    <w:tl2br w:val="nil"/>
                    <w:tr2bl w:val="nil"/>
                  </w:tcBorders>
                  <w:vAlign w:val="center"/>
                </w:tcPr>
                <w:p w14:paraId="1B358A3D">
                  <w:pPr>
                    <w:topLinePunct/>
                    <w:adjustRightInd w:val="0"/>
                    <w:snapToGrid w:val="0"/>
                    <w:ind w:left="-105" w:leftChars="-50" w:right="-105" w:rightChars="-50"/>
                    <w:jc w:val="center"/>
                    <w:rPr>
                      <w:rFonts w:hint="eastAsia" w:eastAsia="宋体"/>
                      <w:szCs w:val="21"/>
                      <w:lang w:eastAsia="zh-CN"/>
                    </w:rPr>
                  </w:pPr>
                  <w:r>
                    <w:rPr>
                      <w:rFonts w:hint="eastAsia"/>
                      <w:szCs w:val="21"/>
                      <w:lang w:val="en-US" w:eastAsia="zh-CN"/>
                    </w:rPr>
                    <w:t>4</w:t>
                  </w:r>
                </w:p>
              </w:tc>
              <w:tc>
                <w:tcPr>
                  <w:tcW w:w="753" w:type="pct"/>
                  <w:tcBorders>
                    <w:tl2br w:val="nil"/>
                    <w:tr2bl w:val="nil"/>
                  </w:tcBorders>
                  <w:vAlign w:val="center"/>
                </w:tcPr>
                <w:p w14:paraId="70050B77">
                  <w:pPr>
                    <w:jc w:val="center"/>
                    <w:rPr>
                      <w:szCs w:val="21"/>
                    </w:rPr>
                  </w:pPr>
                  <w:r>
                    <w:rPr>
                      <w:rFonts w:hint="eastAsia" w:cs="Times New Roman"/>
                      <w:caps w:val="0"/>
                      <w:color w:val="000000" w:themeColor="text1"/>
                      <w:szCs w:val="21"/>
                      <w:highlight w:val="none"/>
                      <w:lang w:val="en-US" w:eastAsia="zh-CN"/>
                      <w14:textFill>
                        <w14:solidFill>
                          <w14:schemeClr w14:val="tx1"/>
                        </w14:solidFill>
                      </w14:textFill>
                    </w:rPr>
                    <w:t>废拉延油</w:t>
                  </w:r>
                </w:p>
              </w:tc>
              <w:tc>
                <w:tcPr>
                  <w:tcW w:w="557" w:type="pct"/>
                  <w:tcBorders>
                    <w:tl2br w:val="nil"/>
                    <w:tr2bl w:val="nil"/>
                  </w:tcBorders>
                  <w:vAlign w:val="center"/>
                </w:tcPr>
                <w:p w14:paraId="0C95D51C">
                  <w:pPr>
                    <w:jc w:val="center"/>
                    <w:rPr>
                      <w:szCs w:val="21"/>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10" w:type="pct"/>
                  <w:tcBorders>
                    <w:tl2br w:val="nil"/>
                    <w:tr2bl w:val="nil"/>
                  </w:tcBorders>
                  <w:vAlign w:val="center"/>
                </w:tcPr>
                <w:p w14:paraId="6B1D56D4">
                  <w:pPr>
                    <w:jc w:val="center"/>
                    <w:rPr>
                      <w:rFonts w:hint="default" w:ascii="Times New Roman" w:hAnsi="Times New Roman" w:eastAsia="宋体" w:cs="Times New Roman"/>
                      <w:caps w:val="0"/>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900-214-08</w:t>
                  </w:r>
                </w:p>
              </w:tc>
              <w:tc>
                <w:tcPr>
                  <w:tcW w:w="496" w:type="pct"/>
                  <w:tcBorders>
                    <w:tl2br w:val="nil"/>
                    <w:tr2bl w:val="nil"/>
                  </w:tcBorders>
                  <w:vAlign w:val="center"/>
                </w:tcPr>
                <w:p w14:paraId="5F99040A">
                  <w:pPr>
                    <w:jc w:val="center"/>
                    <w:textAlignment w:val="center"/>
                    <w:rPr>
                      <w:szCs w:val="21"/>
                      <w:shd w:val="clear" w:color="auto" w:fill="FFFFFF"/>
                    </w:rPr>
                  </w:pPr>
                  <w:r>
                    <w:rPr>
                      <w:rFonts w:hint="eastAsia" w:cs="Times New Roman"/>
                      <w:caps w:val="0"/>
                      <w:color w:val="000000" w:themeColor="text1"/>
                      <w:szCs w:val="21"/>
                      <w:highlight w:val="none"/>
                      <w:lang w:val="en-US" w:eastAsia="zh-CN"/>
                      <w14:textFill>
                        <w14:solidFill>
                          <w14:schemeClr w14:val="tx1"/>
                        </w14:solidFill>
                      </w14:textFill>
                    </w:rPr>
                    <w:t>1.5</w:t>
                  </w:r>
                </w:p>
              </w:tc>
              <w:tc>
                <w:tcPr>
                  <w:tcW w:w="756" w:type="pct"/>
                  <w:tcBorders>
                    <w:tl2br w:val="nil"/>
                    <w:tr2bl w:val="nil"/>
                  </w:tcBorders>
                  <w:shd w:val="clear" w:color="auto" w:fill="auto"/>
                  <w:vAlign w:val="center"/>
                </w:tcPr>
                <w:p w14:paraId="0C3CEBBF">
                  <w:pPr>
                    <w:autoSpaceDE w:val="0"/>
                    <w:autoSpaceDN w:val="0"/>
                    <w:adjustRightInd w:val="0"/>
                    <w:snapToGrid w:val="0"/>
                    <w:ind w:left="-105" w:leftChars="-50" w:right="-105" w:rightChars="-5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吨桶2个</w:t>
                  </w:r>
                </w:p>
              </w:tc>
              <w:tc>
                <w:tcPr>
                  <w:tcW w:w="512" w:type="pct"/>
                  <w:tcBorders>
                    <w:tl2br w:val="nil"/>
                    <w:tr2bl w:val="nil"/>
                  </w:tcBorders>
                  <w:vAlign w:val="center"/>
                </w:tcPr>
                <w:p w14:paraId="182CB862">
                  <w:pPr>
                    <w:jc w:val="center"/>
                    <w:textAlignment w:val="center"/>
                    <w:rPr>
                      <w:szCs w:val="21"/>
                    </w:rPr>
                  </w:pPr>
                  <w:r>
                    <w:rPr>
                      <w:rFonts w:hint="eastAsia"/>
                    </w:rPr>
                    <w:t>6.24</w:t>
                  </w:r>
                </w:p>
              </w:tc>
              <w:tc>
                <w:tcPr>
                  <w:tcW w:w="391" w:type="pct"/>
                  <w:tcBorders>
                    <w:tl2br w:val="nil"/>
                    <w:tr2bl w:val="nil"/>
                  </w:tcBorders>
                  <w:vAlign w:val="center"/>
                </w:tcPr>
                <w:p w14:paraId="06AA51B6">
                  <w:pPr>
                    <w:topLinePunct/>
                    <w:adjustRightInd w:val="0"/>
                    <w:snapToGrid w:val="0"/>
                    <w:ind w:left="-105" w:leftChars="-50" w:right="-105" w:rightChars="-50"/>
                    <w:jc w:val="center"/>
                    <w:rPr>
                      <w:kern w:val="0"/>
                      <w:szCs w:val="21"/>
                    </w:rPr>
                  </w:pPr>
                  <w:r>
                    <w:rPr>
                      <w:rFonts w:hint="eastAsia"/>
                      <w:kern w:val="0"/>
                      <w:szCs w:val="21"/>
                    </w:rPr>
                    <w:t>＜</w:t>
                  </w:r>
                  <w:r>
                    <w:rPr>
                      <w:rFonts w:hint="eastAsia"/>
                      <w:kern w:val="0"/>
                      <w:szCs w:val="21"/>
                      <w:lang w:val="en-US" w:eastAsia="zh-CN"/>
                    </w:rPr>
                    <w:t>一</w:t>
                  </w:r>
                  <w:r>
                    <w:rPr>
                      <w:rFonts w:hint="eastAsia"/>
                      <w:kern w:val="0"/>
                      <w:szCs w:val="21"/>
                    </w:rPr>
                    <w:t>年</w:t>
                  </w:r>
                </w:p>
              </w:tc>
            </w:tr>
            <w:tr w14:paraId="195C54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15" w:type="pct"/>
                  <w:vMerge w:val="continue"/>
                  <w:tcBorders>
                    <w:tl2br w:val="nil"/>
                    <w:tr2bl w:val="nil"/>
                  </w:tcBorders>
                  <w:vAlign w:val="center"/>
                </w:tcPr>
                <w:p w14:paraId="39B4601B">
                  <w:pPr>
                    <w:topLinePunct/>
                    <w:adjustRightInd w:val="0"/>
                    <w:snapToGrid w:val="0"/>
                    <w:ind w:left="-105" w:leftChars="-50" w:right="-105" w:rightChars="-50"/>
                    <w:jc w:val="center"/>
                    <w:rPr>
                      <w:kern w:val="0"/>
                      <w:szCs w:val="21"/>
                    </w:rPr>
                  </w:pPr>
                </w:p>
              </w:tc>
              <w:tc>
                <w:tcPr>
                  <w:tcW w:w="505" w:type="pct"/>
                  <w:tcBorders>
                    <w:tl2br w:val="nil"/>
                    <w:tr2bl w:val="nil"/>
                  </w:tcBorders>
                  <w:vAlign w:val="center"/>
                </w:tcPr>
                <w:p w14:paraId="57D7C1C0">
                  <w:pPr>
                    <w:topLinePunct/>
                    <w:adjustRightInd w:val="0"/>
                    <w:snapToGrid w:val="0"/>
                    <w:ind w:left="-105" w:leftChars="-50" w:right="-105" w:rightChars="-50"/>
                    <w:jc w:val="center"/>
                    <w:rPr>
                      <w:rFonts w:hint="eastAsia" w:eastAsia="宋体"/>
                      <w:szCs w:val="21"/>
                      <w:lang w:eastAsia="zh-CN"/>
                    </w:rPr>
                  </w:pPr>
                  <w:r>
                    <w:rPr>
                      <w:rFonts w:hint="eastAsia"/>
                      <w:szCs w:val="21"/>
                      <w:lang w:val="en-US" w:eastAsia="zh-CN"/>
                    </w:rPr>
                    <w:t>3</w:t>
                  </w:r>
                </w:p>
              </w:tc>
              <w:tc>
                <w:tcPr>
                  <w:tcW w:w="753" w:type="pct"/>
                  <w:tcBorders>
                    <w:tl2br w:val="nil"/>
                    <w:tr2bl w:val="nil"/>
                  </w:tcBorders>
                  <w:vAlign w:val="center"/>
                </w:tcPr>
                <w:p w14:paraId="0B30C9B4">
                  <w:pPr>
                    <w:jc w:val="center"/>
                    <w:rPr>
                      <w:szCs w:val="21"/>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w:t>
                  </w:r>
                </w:p>
              </w:tc>
              <w:tc>
                <w:tcPr>
                  <w:tcW w:w="557" w:type="pct"/>
                  <w:tcBorders>
                    <w:tl2br w:val="nil"/>
                    <w:tr2bl w:val="nil"/>
                  </w:tcBorders>
                  <w:vAlign w:val="center"/>
                </w:tcPr>
                <w:p w14:paraId="69B6C7E5">
                  <w:pPr>
                    <w:jc w:val="center"/>
                    <w:rPr>
                      <w:szCs w:val="21"/>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10" w:type="pct"/>
                  <w:tcBorders>
                    <w:tl2br w:val="nil"/>
                    <w:tr2bl w:val="nil"/>
                  </w:tcBorders>
                  <w:vAlign w:val="center"/>
                </w:tcPr>
                <w:p w14:paraId="241F7D4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900-214-08</w:t>
                  </w:r>
                </w:p>
              </w:tc>
              <w:tc>
                <w:tcPr>
                  <w:tcW w:w="496" w:type="pct"/>
                  <w:tcBorders>
                    <w:tl2br w:val="nil"/>
                    <w:tr2bl w:val="nil"/>
                  </w:tcBorders>
                  <w:vAlign w:val="center"/>
                </w:tcPr>
                <w:p w14:paraId="6716B608">
                  <w:pPr>
                    <w:jc w:val="center"/>
                    <w:textAlignment w:val="center"/>
                    <w:rPr>
                      <w:bCs/>
                      <w:szCs w:val="21"/>
                    </w:rPr>
                  </w:pPr>
                  <w:r>
                    <w:rPr>
                      <w:rFonts w:hint="eastAsia" w:cs="Times New Roman"/>
                      <w:caps w:val="0"/>
                      <w:color w:val="000000" w:themeColor="text1"/>
                      <w:szCs w:val="21"/>
                      <w:highlight w:val="none"/>
                      <w:lang w:val="en-US" w:eastAsia="zh-CN"/>
                      <w14:textFill>
                        <w14:solidFill>
                          <w14:schemeClr w14:val="tx1"/>
                        </w14:solidFill>
                      </w14:textFill>
                    </w:rPr>
                    <w:t>0.3</w:t>
                  </w:r>
                </w:p>
              </w:tc>
              <w:tc>
                <w:tcPr>
                  <w:tcW w:w="756" w:type="pct"/>
                  <w:tcBorders>
                    <w:tl2br w:val="nil"/>
                    <w:tr2bl w:val="nil"/>
                  </w:tcBorders>
                  <w:shd w:val="clear" w:color="auto" w:fill="auto"/>
                  <w:vAlign w:val="center"/>
                </w:tcPr>
                <w:p w14:paraId="6D52408C">
                  <w:pPr>
                    <w:autoSpaceDE w:val="0"/>
                    <w:autoSpaceDN w:val="0"/>
                    <w:adjustRightInd w:val="0"/>
                    <w:snapToGrid w:val="0"/>
                    <w:ind w:left="-105" w:leftChars="-50" w:right="-105" w:rightChars="-50"/>
                    <w:jc w:val="center"/>
                    <w:rPr>
                      <w:rFonts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吨桶2个</w:t>
                  </w:r>
                </w:p>
              </w:tc>
              <w:tc>
                <w:tcPr>
                  <w:tcW w:w="512" w:type="pct"/>
                  <w:tcBorders>
                    <w:tl2br w:val="nil"/>
                    <w:tr2bl w:val="nil"/>
                  </w:tcBorders>
                  <w:vAlign w:val="center"/>
                </w:tcPr>
                <w:p w14:paraId="07832D6E">
                  <w:pPr>
                    <w:jc w:val="center"/>
                    <w:textAlignment w:val="center"/>
                    <w:rPr>
                      <w:bCs/>
                      <w:szCs w:val="21"/>
                    </w:rPr>
                  </w:pPr>
                  <w:r>
                    <w:rPr>
                      <w:rFonts w:hint="eastAsia"/>
                      <w:szCs w:val="21"/>
                      <w:shd w:val="clear" w:color="auto" w:fill="FFFFFF"/>
                    </w:rPr>
                    <w:t>0.03</w:t>
                  </w:r>
                </w:p>
              </w:tc>
              <w:tc>
                <w:tcPr>
                  <w:tcW w:w="391" w:type="pct"/>
                  <w:tcBorders>
                    <w:tl2br w:val="nil"/>
                    <w:tr2bl w:val="nil"/>
                  </w:tcBorders>
                  <w:vAlign w:val="center"/>
                </w:tcPr>
                <w:p w14:paraId="4E727E19">
                  <w:pPr>
                    <w:topLinePunct/>
                    <w:adjustRightInd w:val="0"/>
                    <w:snapToGrid w:val="0"/>
                    <w:ind w:left="-105" w:leftChars="-50" w:right="-105" w:rightChars="-50"/>
                    <w:jc w:val="center"/>
                    <w:rPr>
                      <w:kern w:val="0"/>
                      <w:szCs w:val="21"/>
                    </w:rPr>
                  </w:pPr>
                  <w:r>
                    <w:rPr>
                      <w:rFonts w:hint="eastAsia"/>
                      <w:kern w:val="0"/>
                      <w:szCs w:val="21"/>
                    </w:rPr>
                    <w:t>＜一年</w:t>
                  </w:r>
                </w:p>
              </w:tc>
            </w:tr>
            <w:tr w14:paraId="5FB3E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15" w:type="pct"/>
                  <w:vMerge w:val="continue"/>
                  <w:tcBorders>
                    <w:tl2br w:val="nil"/>
                    <w:tr2bl w:val="nil"/>
                  </w:tcBorders>
                  <w:vAlign w:val="center"/>
                </w:tcPr>
                <w:p w14:paraId="270F4C1F">
                  <w:pPr>
                    <w:topLinePunct/>
                    <w:adjustRightInd w:val="0"/>
                    <w:snapToGrid w:val="0"/>
                    <w:ind w:left="-105" w:leftChars="-50" w:right="-105" w:rightChars="-50"/>
                    <w:jc w:val="center"/>
                    <w:rPr>
                      <w:kern w:val="0"/>
                      <w:szCs w:val="21"/>
                    </w:rPr>
                  </w:pPr>
                </w:p>
              </w:tc>
              <w:tc>
                <w:tcPr>
                  <w:tcW w:w="505" w:type="pct"/>
                  <w:tcBorders>
                    <w:tl2br w:val="nil"/>
                    <w:tr2bl w:val="nil"/>
                  </w:tcBorders>
                  <w:vAlign w:val="center"/>
                </w:tcPr>
                <w:p w14:paraId="10E81733">
                  <w:pPr>
                    <w:topLinePunct/>
                    <w:adjustRightInd w:val="0"/>
                    <w:snapToGrid w:val="0"/>
                    <w:ind w:left="-105" w:leftChars="-50" w:right="-105" w:rightChars="-50"/>
                    <w:jc w:val="center"/>
                    <w:rPr>
                      <w:rFonts w:hint="eastAsia" w:eastAsia="宋体"/>
                      <w:szCs w:val="21"/>
                      <w:lang w:eastAsia="zh-CN"/>
                    </w:rPr>
                  </w:pPr>
                  <w:r>
                    <w:rPr>
                      <w:rFonts w:hint="eastAsia"/>
                      <w:szCs w:val="21"/>
                      <w:lang w:val="en-US" w:eastAsia="zh-CN"/>
                    </w:rPr>
                    <w:t>2</w:t>
                  </w:r>
                </w:p>
              </w:tc>
              <w:tc>
                <w:tcPr>
                  <w:tcW w:w="753" w:type="pct"/>
                  <w:tcBorders>
                    <w:tl2br w:val="nil"/>
                    <w:tr2bl w:val="nil"/>
                  </w:tcBorders>
                  <w:vAlign w:val="center"/>
                </w:tcPr>
                <w:p w14:paraId="32CEB0DE">
                  <w:pPr>
                    <w:jc w:val="center"/>
                    <w:rPr>
                      <w:szCs w:val="21"/>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废润滑油桶</w:t>
                  </w:r>
                </w:p>
              </w:tc>
              <w:tc>
                <w:tcPr>
                  <w:tcW w:w="557" w:type="pct"/>
                  <w:tcBorders>
                    <w:tl2br w:val="nil"/>
                    <w:tr2bl w:val="nil"/>
                  </w:tcBorders>
                  <w:vAlign w:val="center"/>
                </w:tcPr>
                <w:p w14:paraId="3E6412B9">
                  <w:pPr>
                    <w:jc w:val="center"/>
                    <w:rPr>
                      <w:szCs w:val="21"/>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710" w:type="pct"/>
                  <w:tcBorders>
                    <w:tl2br w:val="nil"/>
                    <w:tr2bl w:val="nil"/>
                  </w:tcBorders>
                  <w:vAlign w:val="center"/>
                </w:tcPr>
                <w:p w14:paraId="202F0BC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900-249-08</w:t>
                  </w:r>
                </w:p>
              </w:tc>
              <w:tc>
                <w:tcPr>
                  <w:tcW w:w="496" w:type="pct"/>
                  <w:tcBorders>
                    <w:tl2br w:val="nil"/>
                    <w:tr2bl w:val="nil"/>
                  </w:tcBorders>
                  <w:vAlign w:val="center"/>
                </w:tcPr>
                <w:p w14:paraId="47E394E1">
                  <w:pPr>
                    <w:jc w:val="center"/>
                    <w:textAlignment w:val="center"/>
                    <w:rPr>
                      <w:rFonts w:hint="eastAsia" w:eastAsia="宋体"/>
                      <w:bCs/>
                      <w:szCs w:val="21"/>
                      <w:lang w:eastAsia="zh-CN"/>
                    </w:rPr>
                  </w:pPr>
                  <w:r>
                    <w:rPr>
                      <w:rFonts w:hint="eastAsia" w:cs="Times New Roman"/>
                      <w:caps w:val="0"/>
                      <w:color w:val="000000" w:themeColor="text1"/>
                      <w:szCs w:val="21"/>
                      <w:highlight w:val="none"/>
                      <w:lang w:val="en-US" w:eastAsia="zh-CN"/>
                      <w14:textFill>
                        <w14:solidFill>
                          <w14:schemeClr w14:val="tx1"/>
                        </w14:solidFill>
                      </w14:textFill>
                    </w:rPr>
                    <w:t>0.204</w:t>
                  </w:r>
                </w:p>
              </w:tc>
              <w:tc>
                <w:tcPr>
                  <w:tcW w:w="756" w:type="pct"/>
                  <w:tcBorders>
                    <w:tl2br w:val="nil"/>
                    <w:tr2bl w:val="nil"/>
                  </w:tcBorders>
                  <w:vAlign w:val="center"/>
                </w:tcPr>
                <w:p w14:paraId="00D34F70">
                  <w:pPr>
                    <w:autoSpaceDE w:val="0"/>
                    <w:autoSpaceDN w:val="0"/>
                    <w:adjustRightInd w:val="0"/>
                    <w:snapToGrid w:val="0"/>
                    <w:ind w:left="-105" w:leftChars="-50" w:right="-105" w:rightChars="-50"/>
                    <w:jc w:val="center"/>
                    <w:rPr>
                      <w:rFonts w:hint="eastAsia" w:eastAsia="宋体"/>
                      <w:szCs w:val="21"/>
                      <w:lang w:eastAsia="zh-CN"/>
                    </w:rPr>
                  </w:pPr>
                  <w:r>
                    <w:rPr>
                      <w:rFonts w:hint="eastAsia"/>
                      <w:szCs w:val="21"/>
                      <w:lang w:val="en-US" w:eastAsia="zh-CN"/>
                    </w:rPr>
                    <w:t>/</w:t>
                  </w:r>
                </w:p>
              </w:tc>
              <w:tc>
                <w:tcPr>
                  <w:tcW w:w="512" w:type="pct"/>
                  <w:tcBorders>
                    <w:tl2br w:val="nil"/>
                    <w:tr2bl w:val="nil"/>
                  </w:tcBorders>
                  <w:vAlign w:val="center"/>
                </w:tcPr>
                <w:p w14:paraId="459B2B0B">
                  <w:pPr>
                    <w:jc w:val="center"/>
                    <w:textAlignment w:val="center"/>
                    <w:rPr>
                      <w:bCs/>
                      <w:szCs w:val="21"/>
                    </w:rPr>
                  </w:pPr>
                  <w:r>
                    <w:rPr>
                      <w:rFonts w:hint="eastAsia"/>
                      <w:bCs/>
                      <w:szCs w:val="21"/>
                    </w:rPr>
                    <w:t>0</w:t>
                  </w:r>
                  <w:r>
                    <w:rPr>
                      <w:bCs/>
                      <w:szCs w:val="21"/>
                    </w:rPr>
                    <w:t>.00</w:t>
                  </w:r>
                  <w:r>
                    <w:rPr>
                      <w:rFonts w:hint="eastAsia"/>
                      <w:bCs/>
                      <w:szCs w:val="21"/>
                      <w:lang w:val="en-US" w:eastAsia="zh-CN"/>
                    </w:rPr>
                    <w:t>5</w:t>
                  </w:r>
                </w:p>
              </w:tc>
              <w:tc>
                <w:tcPr>
                  <w:tcW w:w="391" w:type="pct"/>
                  <w:tcBorders>
                    <w:tl2br w:val="nil"/>
                    <w:tr2bl w:val="nil"/>
                  </w:tcBorders>
                  <w:vAlign w:val="center"/>
                </w:tcPr>
                <w:p w14:paraId="6CCF170B">
                  <w:pPr>
                    <w:topLinePunct/>
                    <w:adjustRightInd w:val="0"/>
                    <w:snapToGrid w:val="0"/>
                    <w:ind w:left="-105" w:leftChars="-50" w:right="-105" w:rightChars="-50"/>
                    <w:jc w:val="center"/>
                    <w:rPr>
                      <w:kern w:val="0"/>
                      <w:szCs w:val="21"/>
                    </w:rPr>
                  </w:pPr>
                  <w:r>
                    <w:rPr>
                      <w:rFonts w:hint="eastAsia"/>
                      <w:kern w:val="0"/>
                      <w:szCs w:val="21"/>
                    </w:rPr>
                    <w:t>＜一年</w:t>
                  </w:r>
                </w:p>
              </w:tc>
            </w:tr>
            <w:tr w14:paraId="0C76D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15" w:type="pct"/>
                  <w:tcBorders>
                    <w:tl2br w:val="nil"/>
                    <w:tr2bl w:val="nil"/>
                  </w:tcBorders>
                  <w:vAlign w:val="center"/>
                </w:tcPr>
                <w:p w14:paraId="4E179E8F">
                  <w:pPr>
                    <w:topLinePunct/>
                    <w:adjustRightInd w:val="0"/>
                    <w:snapToGrid w:val="0"/>
                    <w:ind w:left="-105" w:leftChars="-50" w:right="-105" w:rightChars="-50"/>
                    <w:jc w:val="center"/>
                    <w:rPr>
                      <w:szCs w:val="21"/>
                    </w:rPr>
                  </w:pPr>
                  <w:r>
                    <w:rPr>
                      <w:rFonts w:hint="eastAsia"/>
                      <w:szCs w:val="21"/>
                    </w:rPr>
                    <w:t>合计</w:t>
                  </w:r>
                </w:p>
              </w:tc>
              <w:tc>
                <w:tcPr>
                  <w:tcW w:w="505" w:type="pct"/>
                  <w:tcBorders>
                    <w:tl2br w:val="nil"/>
                    <w:tr2bl w:val="nil"/>
                  </w:tcBorders>
                  <w:vAlign w:val="center"/>
                </w:tcPr>
                <w:p w14:paraId="7B2AA039">
                  <w:pPr>
                    <w:topLinePunct/>
                    <w:adjustRightInd w:val="0"/>
                    <w:snapToGrid w:val="0"/>
                    <w:ind w:left="-105" w:leftChars="-50" w:right="-105" w:rightChars="-50"/>
                    <w:jc w:val="center"/>
                    <w:rPr>
                      <w:rFonts w:hint="default" w:eastAsia="宋体"/>
                      <w:szCs w:val="21"/>
                      <w:lang w:val="en-US" w:eastAsia="zh-CN"/>
                    </w:rPr>
                  </w:pPr>
                  <w:r>
                    <w:rPr>
                      <w:rFonts w:hint="eastAsia"/>
                      <w:szCs w:val="21"/>
                      <w:lang w:val="en-US" w:eastAsia="zh-CN"/>
                    </w:rPr>
                    <w:t>9</w:t>
                  </w:r>
                </w:p>
              </w:tc>
              <w:tc>
                <w:tcPr>
                  <w:tcW w:w="753" w:type="pct"/>
                  <w:tcBorders>
                    <w:tl2br w:val="nil"/>
                    <w:tr2bl w:val="nil"/>
                  </w:tcBorders>
                  <w:vAlign w:val="center"/>
                </w:tcPr>
                <w:p w14:paraId="2D51A777">
                  <w:pPr>
                    <w:autoSpaceDE w:val="0"/>
                    <w:autoSpaceDN w:val="0"/>
                    <w:adjustRightInd w:val="0"/>
                    <w:snapToGrid w:val="0"/>
                    <w:ind w:left="-105" w:leftChars="-50" w:right="-105" w:rightChars="-50"/>
                    <w:jc w:val="center"/>
                    <w:rPr>
                      <w:szCs w:val="21"/>
                    </w:rPr>
                  </w:pPr>
                  <w:r>
                    <w:rPr>
                      <w:rFonts w:hint="eastAsia"/>
                      <w:szCs w:val="21"/>
                    </w:rPr>
                    <w:t>/</w:t>
                  </w:r>
                </w:p>
              </w:tc>
              <w:tc>
                <w:tcPr>
                  <w:tcW w:w="557" w:type="pct"/>
                  <w:tcBorders>
                    <w:tl2br w:val="nil"/>
                    <w:tr2bl w:val="nil"/>
                  </w:tcBorders>
                  <w:vAlign w:val="center"/>
                </w:tcPr>
                <w:p w14:paraId="30924457">
                  <w:pPr>
                    <w:autoSpaceDE w:val="0"/>
                    <w:autoSpaceDN w:val="0"/>
                    <w:adjustRightInd w:val="0"/>
                    <w:snapToGrid w:val="0"/>
                    <w:ind w:left="-105" w:leftChars="-50" w:right="-105" w:rightChars="-50"/>
                    <w:jc w:val="center"/>
                    <w:rPr>
                      <w:szCs w:val="21"/>
                    </w:rPr>
                  </w:pPr>
                  <w:r>
                    <w:rPr>
                      <w:rFonts w:hint="eastAsia"/>
                      <w:szCs w:val="21"/>
                    </w:rPr>
                    <w:t>/</w:t>
                  </w:r>
                </w:p>
              </w:tc>
              <w:tc>
                <w:tcPr>
                  <w:tcW w:w="710" w:type="pct"/>
                  <w:tcBorders>
                    <w:tl2br w:val="nil"/>
                    <w:tr2bl w:val="nil"/>
                  </w:tcBorders>
                  <w:vAlign w:val="center"/>
                </w:tcPr>
                <w:p w14:paraId="76549BB6">
                  <w:pPr>
                    <w:snapToGrid w:val="0"/>
                    <w:ind w:left="-105" w:leftChars="-50" w:right="-105" w:rightChars="-50"/>
                    <w:jc w:val="center"/>
                    <w:rPr>
                      <w:szCs w:val="21"/>
                    </w:rPr>
                  </w:pPr>
                  <w:r>
                    <w:rPr>
                      <w:rFonts w:hint="eastAsia"/>
                      <w:szCs w:val="21"/>
                    </w:rPr>
                    <w:t>/</w:t>
                  </w:r>
                </w:p>
              </w:tc>
              <w:tc>
                <w:tcPr>
                  <w:tcW w:w="496" w:type="pct"/>
                  <w:tcBorders>
                    <w:tl2br w:val="nil"/>
                    <w:tr2bl w:val="nil"/>
                  </w:tcBorders>
                  <w:vAlign w:val="center"/>
                </w:tcPr>
                <w:p w14:paraId="26E69AB7">
                  <w:pPr>
                    <w:snapToGrid w:val="0"/>
                    <w:ind w:left="-105" w:leftChars="-50" w:right="-105" w:rightChars="-50"/>
                    <w:jc w:val="center"/>
                    <w:rPr>
                      <w:rFonts w:hint="default" w:eastAsia="宋体"/>
                      <w:szCs w:val="21"/>
                      <w:lang w:val="en-US" w:eastAsia="zh-CN"/>
                    </w:rPr>
                  </w:pPr>
                  <w:r>
                    <w:rPr>
                      <w:rFonts w:hint="eastAsia"/>
                      <w:szCs w:val="21"/>
                      <w:lang w:val="en-US" w:eastAsia="zh-CN"/>
                    </w:rPr>
                    <w:t>2.004</w:t>
                  </w:r>
                </w:p>
              </w:tc>
              <w:tc>
                <w:tcPr>
                  <w:tcW w:w="756" w:type="pct"/>
                  <w:tcBorders>
                    <w:tl2br w:val="nil"/>
                    <w:tr2bl w:val="nil"/>
                  </w:tcBorders>
                  <w:vAlign w:val="center"/>
                </w:tcPr>
                <w:p w14:paraId="77CA3339">
                  <w:pPr>
                    <w:topLinePunct/>
                    <w:adjustRightInd w:val="0"/>
                    <w:snapToGrid w:val="0"/>
                    <w:ind w:left="-105" w:leftChars="-50" w:right="-105" w:rightChars="-50"/>
                    <w:jc w:val="center"/>
                    <w:rPr>
                      <w:szCs w:val="21"/>
                    </w:rPr>
                  </w:pPr>
                  <w:r>
                    <w:rPr>
                      <w:rFonts w:hint="eastAsia"/>
                      <w:szCs w:val="21"/>
                    </w:rPr>
                    <w:t>/</w:t>
                  </w:r>
                </w:p>
              </w:tc>
              <w:tc>
                <w:tcPr>
                  <w:tcW w:w="512" w:type="pct"/>
                  <w:tcBorders>
                    <w:tl2br w:val="nil"/>
                    <w:tr2bl w:val="nil"/>
                  </w:tcBorders>
                  <w:vAlign w:val="center"/>
                </w:tcPr>
                <w:p w14:paraId="231BFC42">
                  <w:pPr>
                    <w:snapToGrid w:val="0"/>
                    <w:ind w:left="-105" w:leftChars="-50" w:right="-105" w:rightChars="-50"/>
                    <w:jc w:val="center"/>
                    <w:rPr>
                      <w:rFonts w:hint="default" w:eastAsia="宋体"/>
                      <w:szCs w:val="21"/>
                      <w:highlight w:val="yellow"/>
                      <w:lang w:val="en-US" w:eastAsia="zh-CN"/>
                    </w:rPr>
                  </w:pPr>
                  <w:r>
                    <w:rPr>
                      <w:rFonts w:hint="eastAsia"/>
                      <w:szCs w:val="21"/>
                      <w:lang w:val="en-US" w:eastAsia="zh-CN"/>
                    </w:rPr>
                    <w:t>6.275</w:t>
                  </w:r>
                </w:p>
              </w:tc>
              <w:tc>
                <w:tcPr>
                  <w:tcW w:w="391" w:type="pct"/>
                  <w:tcBorders>
                    <w:tl2br w:val="nil"/>
                    <w:tr2bl w:val="nil"/>
                  </w:tcBorders>
                  <w:vAlign w:val="center"/>
                </w:tcPr>
                <w:p w14:paraId="03A92ED8">
                  <w:pPr>
                    <w:topLinePunct/>
                    <w:adjustRightInd w:val="0"/>
                    <w:snapToGrid w:val="0"/>
                    <w:ind w:left="-105" w:leftChars="-50" w:right="-105" w:rightChars="-50"/>
                    <w:jc w:val="center"/>
                    <w:rPr>
                      <w:szCs w:val="21"/>
                    </w:rPr>
                  </w:pPr>
                  <w:r>
                    <w:rPr>
                      <w:rFonts w:hint="eastAsia"/>
                      <w:szCs w:val="21"/>
                    </w:rPr>
                    <w:t>/</w:t>
                  </w:r>
                </w:p>
              </w:tc>
            </w:tr>
          </w:tbl>
          <w:p w14:paraId="4628E655">
            <w:pPr>
              <w:spacing w:before="100" w:beforeAutospacing="1" w:line="360" w:lineRule="auto"/>
              <w:ind w:firstLine="480" w:firstLineChars="200"/>
              <w:rPr>
                <w:bCs/>
                <w:sz w:val="24"/>
                <w:szCs w:val="21"/>
              </w:rPr>
            </w:pPr>
            <w:r>
              <w:rPr>
                <w:rFonts w:hint="eastAsia"/>
                <w:bCs/>
                <w:sz w:val="24"/>
                <w:szCs w:val="21"/>
              </w:rPr>
              <w:t>本项目危险废物储存容器总占地</w:t>
            </w:r>
            <w:r>
              <w:rPr>
                <w:rFonts w:hint="eastAsia"/>
                <w:bCs/>
                <w:sz w:val="24"/>
                <w:szCs w:val="21"/>
                <w:lang w:val="en-US" w:eastAsia="zh-CN"/>
              </w:rPr>
              <w:t>9</w:t>
            </w:r>
            <w:r>
              <w:rPr>
                <w:rFonts w:hint="eastAsia"/>
                <w:bCs/>
                <w:sz w:val="24"/>
                <w:szCs w:val="21"/>
              </w:rPr>
              <w:t>m</w:t>
            </w:r>
            <w:r>
              <w:rPr>
                <w:rFonts w:hint="eastAsia"/>
                <w:bCs/>
                <w:sz w:val="24"/>
                <w:szCs w:val="21"/>
                <w:vertAlign w:val="superscript"/>
              </w:rPr>
              <w:t>2</w:t>
            </w:r>
            <w:r>
              <w:rPr>
                <w:rFonts w:hint="eastAsia"/>
                <w:bCs/>
                <w:sz w:val="24"/>
                <w:szCs w:val="21"/>
              </w:rPr>
              <w:t>，本项目建设</w:t>
            </w:r>
            <w:r>
              <w:rPr>
                <w:rFonts w:hint="eastAsia"/>
                <w:bCs/>
                <w:sz w:val="24"/>
                <w:szCs w:val="21"/>
                <w:lang w:val="en-US" w:eastAsia="zh-CN"/>
              </w:rPr>
              <w:t>2</w:t>
            </w:r>
            <w:r>
              <w:rPr>
                <w:bCs/>
                <w:sz w:val="24"/>
                <w:szCs w:val="21"/>
              </w:rPr>
              <w:t>0</w:t>
            </w:r>
            <w:r>
              <w:rPr>
                <w:rFonts w:hint="eastAsia"/>
                <w:bCs/>
                <w:sz w:val="24"/>
                <w:szCs w:val="21"/>
              </w:rPr>
              <w:t>m</w:t>
            </w:r>
            <w:r>
              <w:rPr>
                <w:rFonts w:hint="eastAsia"/>
                <w:bCs/>
                <w:sz w:val="24"/>
                <w:szCs w:val="21"/>
                <w:vertAlign w:val="superscript"/>
              </w:rPr>
              <w:t>2</w:t>
            </w:r>
            <w:r>
              <w:rPr>
                <w:rFonts w:hint="eastAsia"/>
                <w:bCs/>
                <w:sz w:val="24"/>
                <w:szCs w:val="21"/>
              </w:rPr>
              <w:t>的危废暂存库满足存放需求。</w:t>
            </w:r>
          </w:p>
          <w:p w14:paraId="2A192BB0">
            <w:pPr>
              <w:spacing w:line="360" w:lineRule="auto"/>
              <w:ind w:firstLine="480" w:firstLineChars="200"/>
              <w:rPr>
                <w:kern w:val="0"/>
                <w:sz w:val="24"/>
              </w:rPr>
            </w:pPr>
            <w:r>
              <w:rPr>
                <w:kern w:val="0"/>
                <w:sz w:val="24"/>
              </w:rPr>
              <w:t>（</w:t>
            </w:r>
            <w:r>
              <w:rPr>
                <w:rFonts w:hint="eastAsia"/>
                <w:kern w:val="0"/>
                <w:sz w:val="24"/>
              </w:rPr>
              <w:t>2</w:t>
            </w:r>
            <w:r>
              <w:rPr>
                <w:kern w:val="0"/>
                <w:sz w:val="24"/>
              </w:rPr>
              <w:t>）危险废物收集和贮存要求</w:t>
            </w:r>
          </w:p>
          <w:p w14:paraId="22ADCC7E">
            <w:pPr>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rFonts w:hint="eastAsia"/>
                <w:kern w:val="0"/>
                <w:sz w:val="24"/>
              </w:rPr>
              <w:t>项目产生的所有危险废物在未处理前均临时存储于厂区专设的</w:t>
            </w:r>
            <w:r>
              <w:rPr>
                <w:rFonts w:hint="eastAsia"/>
                <w:bCs/>
                <w:sz w:val="24"/>
                <w:szCs w:val="21"/>
              </w:rPr>
              <w:t>危废暂存库</w:t>
            </w:r>
            <w:r>
              <w:rPr>
                <w:rFonts w:hint="eastAsia"/>
                <w:kern w:val="0"/>
                <w:sz w:val="24"/>
              </w:rPr>
              <w:t>内，并要有防风、防雨淋、防渗、防漏等措施。将危废分类单独装入特定容器内，容器应根据危险废物的不同特性设计，要求不易破损、变形、老化且能有效防止渗漏、扩散。</w:t>
            </w:r>
          </w:p>
          <w:p w14:paraId="008AB12E">
            <w:pPr>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2 \* GB3</w:instrText>
            </w:r>
            <w:r>
              <w:rPr>
                <w:kern w:val="0"/>
                <w:sz w:val="24"/>
              </w:rPr>
              <w:instrText xml:space="preserve"> </w:instrText>
            </w:r>
            <w:r>
              <w:rPr>
                <w:kern w:val="0"/>
                <w:sz w:val="24"/>
              </w:rPr>
              <w:fldChar w:fldCharType="separate"/>
            </w:r>
            <w:r>
              <w:rPr>
                <w:rFonts w:hint="eastAsia"/>
                <w:kern w:val="0"/>
                <w:sz w:val="24"/>
              </w:rPr>
              <w:t>②</w:t>
            </w:r>
            <w:r>
              <w:rPr>
                <w:kern w:val="0"/>
                <w:sz w:val="24"/>
              </w:rPr>
              <w:fldChar w:fldCharType="end"/>
            </w:r>
            <w:r>
              <w:rPr>
                <w:rFonts w:hint="eastAsia"/>
                <w:kern w:val="0"/>
                <w:sz w:val="24"/>
              </w:rPr>
              <w:t>危险废物收集容器上应粘贴危险废物标签（表明的信息有：主要化学成分、或商品名称、数量、物理形态、危险类别、安全措施以及发生泄漏、扩散、污染事故时的应急措施和补救办法），并设置危险废物警告标识。</w:t>
            </w:r>
          </w:p>
          <w:p w14:paraId="63BBD60D">
            <w:pPr>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3 \* GB3</w:instrText>
            </w:r>
            <w:r>
              <w:rPr>
                <w:kern w:val="0"/>
                <w:sz w:val="24"/>
              </w:rPr>
              <w:instrText xml:space="preserve"> </w:instrText>
            </w:r>
            <w:r>
              <w:rPr>
                <w:kern w:val="0"/>
                <w:sz w:val="24"/>
              </w:rPr>
              <w:fldChar w:fldCharType="separate"/>
            </w:r>
            <w:r>
              <w:rPr>
                <w:rFonts w:hint="eastAsia"/>
                <w:kern w:val="0"/>
                <w:sz w:val="24"/>
              </w:rPr>
              <w:t>③</w:t>
            </w:r>
            <w:r>
              <w:rPr>
                <w:kern w:val="0"/>
                <w:sz w:val="24"/>
              </w:rPr>
              <w:fldChar w:fldCharType="end"/>
            </w:r>
            <w:r>
              <w:rPr>
                <w:rFonts w:hint="eastAsia"/>
                <w:kern w:val="0"/>
                <w:sz w:val="24"/>
              </w:rPr>
              <w:t>收集人员应经过培训，收集时须穿戴符合要求的个人防护设备。</w:t>
            </w:r>
          </w:p>
          <w:p w14:paraId="380F8E3C">
            <w:pPr>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4 \* GB3</w:instrText>
            </w:r>
            <w:r>
              <w:rPr>
                <w:kern w:val="0"/>
                <w:sz w:val="24"/>
              </w:rPr>
              <w:instrText xml:space="preserve"> </w:instrText>
            </w:r>
            <w:r>
              <w:rPr>
                <w:kern w:val="0"/>
                <w:sz w:val="24"/>
              </w:rPr>
              <w:fldChar w:fldCharType="separate"/>
            </w:r>
            <w:r>
              <w:rPr>
                <w:rFonts w:hint="eastAsia"/>
                <w:kern w:val="0"/>
                <w:sz w:val="24"/>
              </w:rPr>
              <w:t>④</w:t>
            </w:r>
            <w:r>
              <w:rPr>
                <w:kern w:val="0"/>
                <w:sz w:val="24"/>
              </w:rPr>
              <w:fldChar w:fldCharType="end"/>
            </w:r>
            <w:r>
              <w:rPr>
                <w:rFonts w:hint="eastAsia"/>
                <w:kern w:val="0"/>
                <w:sz w:val="24"/>
              </w:rPr>
              <w:t>临时危废暂存场所地面与裙脚要用坚固、防渗的材料建造，应有防渗、防漏、防雨淋等措施。建筑材料必须与危险废物相容，周围应设置围墙或其它防护栅栏，张贴警示标志。危废暂存场所应符合《危险废物贮存污染控制标准》（GB 18597-2023）中的相关要求。</w:t>
            </w:r>
          </w:p>
          <w:p w14:paraId="47D06D1C">
            <w:pPr>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5 \* GB3</w:instrText>
            </w:r>
            <w:r>
              <w:rPr>
                <w:kern w:val="0"/>
                <w:sz w:val="24"/>
              </w:rPr>
              <w:instrText xml:space="preserve"> </w:instrText>
            </w:r>
            <w:r>
              <w:rPr>
                <w:kern w:val="0"/>
                <w:sz w:val="24"/>
              </w:rPr>
              <w:fldChar w:fldCharType="separate"/>
            </w:r>
            <w:r>
              <w:rPr>
                <w:rFonts w:hint="eastAsia"/>
                <w:kern w:val="0"/>
                <w:sz w:val="24"/>
              </w:rPr>
              <w:t>⑤</w:t>
            </w:r>
            <w:r>
              <w:rPr>
                <w:kern w:val="0"/>
                <w:sz w:val="24"/>
              </w:rPr>
              <w:fldChar w:fldCharType="end"/>
            </w:r>
            <w:r>
              <w:rPr>
                <w:rFonts w:hint="eastAsia"/>
                <w:kern w:val="0"/>
                <w:sz w:val="24"/>
              </w:rPr>
              <w:t>按规定及时将产生的危险废物安全处置，严禁未经处理处置肆意排放危险废物的行为。从事收集、贮存、处置等危险废物经营活动的单位，必须获得安徽省生态环境厅核发的危险废物经营许可证书。</w:t>
            </w:r>
          </w:p>
          <w:p w14:paraId="21F6B8CB">
            <w:pPr>
              <w:spacing w:line="360" w:lineRule="auto"/>
              <w:ind w:firstLine="480"/>
              <w:jc w:val="left"/>
              <w:rPr>
                <w:kern w:val="0"/>
                <w:sz w:val="24"/>
              </w:rPr>
            </w:pPr>
            <w:r>
              <w:rPr>
                <w:rFonts w:hint="eastAsia"/>
                <w:kern w:val="0"/>
                <w:sz w:val="24"/>
              </w:rPr>
              <w:t>（</w:t>
            </w:r>
            <w:r>
              <w:rPr>
                <w:kern w:val="0"/>
                <w:sz w:val="24"/>
              </w:rPr>
              <w:t>2</w:t>
            </w:r>
            <w:r>
              <w:rPr>
                <w:rFonts w:hint="eastAsia"/>
                <w:kern w:val="0"/>
                <w:sz w:val="24"/>
              </w:rPr>
              <w:t>）危险废物运输及转移过程环境影响分析</w:t>
            </w:r>
          </w:p>
          <w:p w14:paraId="111C139F">
            <w:pPr>
              <w:spacing w:line="360" w:lineRule="auto"/>
              <w:ind w:firstLine="480"/>
              <w:jc w:val="left"/>
              <w:rPr>
                <w:kern w:val="0"/>
                <w:sz w:val="24"/>
              </w:rPr>
            </w:pPr>
            <w:r>
              <w:rPr>
                <w:rFonts w:hint="eastAsia"/>
                <w:kern w:val="0"/>
                <w:sz w:val="24"/>
              </w:rPr>
              <w:t>危险废物外运时严格按照生态环境部、公安部、交通运输部令第23号文件《危险废物转移管理办法》的相关规定报批危险废物转移计划，转移危险废物时按照规定填报危险废物电子转移联单，并依照国家有关规定公开危险废物转移相关污染环境防治信息。运输危险废物的人员应具有相应经营范围的有效危险货物运输许可证件。移出入、承运人、接受人应当依法制定突发环境事件的防范措施和应急预案，并报有关部门报告；发生危险废物突发环境事件时，应当立即采取有效措施消除或者减轻对环境的污染危害，并按相关规定向事故发生地有关部门报告，接受调查。运输过程中应当采取防扬散、防流失、防渗漏或者其他防止污染环境的措施，不得擅自倾倒、堆放、丢弃、遗撒危险废物，并对所造成的环境污染及生态破坏依法承担责任。做到妥善包装，设置相应的识别标志。</w:t>
            </w:r>
          </w:p>
          <w:p w14:paraId="7D29865C">
            <w:pPr>
              <w:spacing w:line="360" w:lineRule="auto"/>
              <w:ind w:firstLine="480"/>
              <w:jc w:val="left"/>
              <w:rPr>
                <w:kern w:val="0"/>
                <w:sz w:val="24"/>
              </w:rPr>
            </w:pPr>
            <w:r>
              <w:rPr>
                <w:rFonts w:hint="eastAsia"/>
                <w:kern w:val="0"/>
                <w:sz w:val="24"/>
              </w:rPr>
              <w:t>综上所述，项目运输过程做好相关工作对外环境的影响是可以控制的。</w:t>
            </w:r>
          </w:p>
          <w:p w14:paraId="3D148231">
            <w:pPr>
              <w:spacing w:line="360" w:lineRule="auto"/>
              <w:ind w:firstLine="480"/>
              <w:jc w:val="left"/>
              <w:rPr>
                <w:kern w:val="0"/>
                <w:sz w:val="24"/>
              </w:rPr>
            </w:pPr>
            <w:r>
              <w:rPr>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kern w:val="0"/>
                <w:sz w:val="24"/>
              </w:rPr>
              <w:t>。</w:t>
            </w:r>
          </w:p>
          <w:p w14:paraId="56D35490">
            <w:pPr>
              <w:autoSpaceDE w:val="0"/>
              <w:autoSpaceDN w:val="0"/>
              <w:adjustRightInd w:val="0"/>
              <w:spacing w:line="360" w:lineRule="auto"/>
              <w:ind w:firstLine="480" w:firstLineChars="200"/>
              <w:jc w:val="left"/>
              <w:rPr>
                <w:kern w:val="0"/>
                <w:sz w:val="24"/>
              </w:rPr>
            </w:pPr>
            <w:r>
              <w:rPr>
                <w:rFonts w:hint="eastAsia"/>
                <w:kern w:val="0"/>
                <w:sz w:val="24"/>
              </w:rPr>
              <w:t>（3）委托利用或者处置的环境影响分析</w:t>
            </w:r>
          </w:p>
          <w:p w14:paraId="045FEC16">
            <w:pPr>
              <w:autoSpaceDE w:val="0"/>
              <w:autoSpaceDN w:val="0"/>
              <w:adjustRightInd w:val="0"/>
              <w:spacing w:line="360" w:lineRule="auto"/>
              <w:ind w:firstLine="480" w:firstLineChars="200"/>
              <w:jc w:val="left"/>
              <w:rPr>
                <w:kern w:val="0"/>
                <w:sz w:val="24"/>
              </w:rPr>
            </w:pPr>
            <w:r>
              <w:rPr>
                <w:kern w:val="0"/>
                <w:sz w:val="24"/>
              </w:rPr>
              <w:t>根据安徽省生态环境厅公布的《安徽省危险废物经营许可证汇总统计表》，本次评价分析项目产生的危险废物有资质单位有能力接纳并利用、处置的部分单位如下</w:t>
            </w:r>
            <w:r>
              <w:rPr>
                <w:rFonts w:hint="eastAsia"/>
                <w:kern w:val="0"/>
                <w:sz w:val="24"/>
              </w:rPr>
              <w:t>。</w:t>
            </w:r>
          </w:p>
          <w:p w14:paraId="6EF0BE50">
            <w:pPr>
              <w:keepNext w:val="0"/>
              <w:keepLines w:val="0"/>
              <w:pageBreakBefore w:val="0"/>
              <w:widowControl w:val="0"/>
              <w:kinsoku/>
              <w:wordWrap/>
              <w:overflowPunct/>
              <w:topLinePunct w:val="0"/>
              <w:autoSpaceDE w:val="0"/>
              <w:autoSpaceDN w:val="0"/>
              <w:bidi w:val="0"/>
              <w:adjustRightInd w:val="0"/>
              <w:snapToGrid/>
              <w:spacing w:beforeAutospacing="0" w:line="240" w:lineRule="auto"/>
              <w:ind w:firstLine="482" w:firstLineChars="200"/>
              <w:jc w:val="center"/>
              <w:textAlignment w:val="auto"/>
              <w:rPr>
                <w:b/>
                <w:kern w:val="0"/>
                <w:sz w:val="24"/>
              </w:rPr>
            </w:pPr>
            <w:r>
              <w:rPr>
                <w:rFonts w:hint="eastAsia"/>
                <w:b/>
                <w:kern w:val="0"/>
                <w:sz w:val="24"/>
              </w:rPr>
              <w:t>表4</w:t>
            </w:r>
            <w:r>
              <w:rPr>
                <w:b/>
                <w:kern w:val="0"/>
                <w:sz w:val="24"/>
              </w:rPr>
              <w:t>-</w:t>
            </w:r>
            <w:r>
              <w:rPr>
                <w:rFonts w:hint="eastAsia"/>
                <w:b/>
                <w:kern w:val="0"/>
                <w:sz w:val="24"/>
                <w:lang w:val="en-US" w:eastAsia="zh-CN"/>
              </w:rPr>
              <w:t>14</w:t>
            </w:r>
            <w:r>
              <w:rPr>
                <w:b/>
                <w:kern w:val="0"/>
                <w:sz w:val="24"/>
              </w:rPr>
              <w:t xml:space="preserve"> </w:t>
            </w:r>
            <w:r>
              <w:rPr>
                <w:rFonts w:hint="eastAsia"/>
                <w:b/>
                <w:kern w:val="0"/>
                <w:sz w:val="24"/>
              </w:rPr>
              <w:t xml:space="preserve"> 本项目危险废物安徽省内资质单位情况</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749"/>
              <w:gridCol w:w="893"/>
              <w:gridCol w:w="2744"/>
              <w:gridCol w:w="1381"/>
              <w:gridCol w:w="749"/>
              <w:gridCol w:w="1060"/>
            </w:tblGrid>
            <w:tr w14:paraId="536CB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pct"/>
                  <w:tcBorders>
                    <w:tl2br w:val="nil"/>
                    <w:tr2bl w:val="nil"/>
                  </w:tcBorders>
                  <w:shd w:val="clear" w:color="auto" w:fill="auto"/>
                  <w:vAlign w:val="center"/>
                </w:tcPr>
                <w:p w14:paraId="24C1F75A">
                  <w:pPr>
                    <w:autoSpaceDE w:val="0"/>
                    <w:autoSpaceDN w:val="0"/>
                    <w:adjustRightInd w:val="0"/>
                    <w:ind w:left="-105" w:leftChars="-50" w:right="-105" w:rightChars="-50"/>
                    <w:jc w:val="center"/>
                    <w:rPr>
                      <w:b/>
                      <w:kern w:val="0"/>
                      <w:szCs w:val="21"/>
                    </w:rPr>
                  </w:pPr>
                  <w:r>
                    <w:rPr>
                      <w:rFonts w:hint="eastAsia"/>
                      <w:b/>
                      <w:kern w:val="0"/>
                      <w:szCs w:val="21"/>
                    </w:rPr>
                    <w:t>建议处置单位</w:t>
                  </w:r>
                </w:p>
              </w:tc>
              <w:tc>
                <w:tcPr>
                  <w:tcW w:w="444" w:type="pct"/>
                  <w:tcBorders>
                    <w:tl2br w:val="nil"/>
                    <w:tr2bl w:val="nil"/>
                  </w:tcBorders>
                  <w:shd w:val="clear" w:color="auto" w:fill="auto"/>
                  <w:vAlign w:val="center"/>
                </w:tcPr>
                <w:p w14:paraId="403B0DF0">
                  <w:pPr>
                    <w:autoSpaceDE w:val="0"/>
                    <w:autoSpaceDN w:val="0"/>
                    <w:adjustRightInd w:val="0"/>
                    <w:ind w:left="-105" w:leftChars="-50" w:right="-105" w:rightChars="-50"/>
                    <w:jc w:val="center"/>
                    <w:rPr>
                      <w:b/>
                      <w:kern w:val="0"/>
                      <w:szCs w:val="21"/>
                    </w:rPr>
                  </w:pPr>
                  <w:r>
                    <w:rPr>
                      <w:rFonts w:hint="eastAsia"/>
                      <w:b/>
                      <w:kern w:val="0"/>
                      <w:szCs w:val="21"/>
                    </w:rPr>
                    <w:t>建议处置单位地点</w:t>
                  </w:r>
                </w:p>
              </w:tc>
              <w:tc>
                <w:tcPr>
                  <w:tcW w:w="529" w:type="pct"/>
                  <w:tcBorders>
                    <w:tl2br w:val="nil"/>
                    <w:tr2bl w:val="nil"/>
                  </w:tcBorders>
                  <w:shd w:val="clear" w:color="auto" w:fill="auto"/>
                  <w:vAlign w:val="center"/>
                </w:tcPr>
                <w:p w14:paraId="34928CA6">
                  <w:pPr>
                    <w:autoSpaceDE w:val="0"/>
                    <w:autoSpaceDN w:val="0"/>
                    <w:adjustRightInd w:val="0"/>
                    <w:ind w:left="-105" w:leftChars="-50" w:right="-105" w:rightChars="-50"/>
                    <w:jc w:val="center"/>
                    <w:rPr>
                      <w:b/>
                      <w:kern w:val="0"/>
                      <w:szCs w:val="21"/>
                    </w:rPr>
                  </w:pPr>
                  <w:r>
                    <w:rPr>
                      <w:rFonts w:hint="eastAsia"/>
                      <w:b/>
                      <w:kern w:val="0"/>
                      <w:szCs w:val="21"/>
                    </w:rPr>
                    <w:t>设计处</w:t>
                  </w:r>
                </w:p>
                <w:p w14:paraId="752A9BAF">
                  <w:pPr>
                    <w:autoSpaceDE w:val="0"/>
                    <w:autoSpaceDN w:val="0"/>
                    <w:adjustRightInd w:val="0"/>
                    <w:ind w:left="-105" w:leftChars="-50" w:right="-105" w:rightChars="-50"/>
                    <w:jc w:val="center"/>
                    <w:rPr>
                      <w:b/>
                      <w:kern w:val="0"/>
                      <w:szCs w:val="21"/>
                    </w:rPr>
                  </w:pPr>
                  <w:r>
                    <w:rPr>
                      <w:rFonts w:hint="eastAsia"/>
                      <w:b/>
                      <w:kern w:val="0"/>
                      <w:szCs w:val="21"/>
                    </w:rPr>
                    <w:t>理规模</w:t>
                  </w:r>
                </w:p>
                <w:p w14:paraId="7EA3918A">
                  <w:pPr>
                    <w:autoSpaceDE w:val="0"/>
                    <w:autoSpaceDN w:val="0"/>
                    <w:adjustRightInd w:val="0"/>
                    <w:ind w:left="-105" w:leftChars="-50" w:right="-105" w:rightChars="-50"/>
                    <w:jc w:val="center"/>
                    <w:rPr>
                      <w:b/>
                      <w:kern w:val="0"/>
                      <w:szCs w:val="21"/>
                    </w:rPr>
                  </w:pPr>
                  <w:r>
                    <w:rPr>
                      <w:b/>
                      <w:kern w:val="0"/>
                      <w:szCs w:val="21"/>
                    </w:rPr>
                    <w:t>t/a</w:t>
                  </w:r>
                </w:p>
              </w:tc>
              <w:tc>
                <w:tcPr>
                  <w:tcW w:w="1626" w:type="pct"/>
                  <w:tcBorders>
                    <w:tl2br w:val="nil"/>
                    <w:tr2bl w:val="nil"/>
                  </w:tcBorders>
                  <w:shd w:val="clear" w:color="auto" w:fill="auto"/>
                  <w:vAlign w:val="center"/>
                </w:tcPr>
                <w:p w14:paraId="64135CD5">
                  <w:pPr>
                    <w:autoSpaceDE w:val="0"/>
                    <w:autoSpaceDN w:val="0"/>
                    <w:adjustRightInd w:val="0"/>
                    <w:ind w:left="-105" w:leftChars="-50" w:right="-105" w:rightChars="-50"/>
                    <w:jc w:val="center"/>
                    <w:rPr>
                      <w:b/>
                      <w:kern w:val="0"/>
                      <w:szCs w:val="21"/>
                    </w:rPr>
                  </w:pPr>
                  <w:r>
                    <w:rPr>
                      <w:rFonts w:hint="eastAsia"/>
                      <w:b/>
                      <w:kern w:val="0"/>
                      <w:szCs w:val="21"/>
                    </w:rPr>
                    <w:t>危废资质类别</w:t>
                  </w:r>
                </w:p>
              </w:tc>
              <w:tc>
                <w:tcPr>
                  <w:tcW w:w="818" w:type="pct"/>
                  <w:tcBorders>
                    <w:tl2br w:val="nil"/>
                    <w:tr2bl w:val="nil"/>
                  </w:tcBorders>
                  <w:shd w:val="clear" w:color="auto" w:fill="auto"/>
                  <w:vAlign w:val="center"/>
                </w:tcPr>
                <w:p w14:paraId="55DD4167">
                  <w:pPr>
                    <w:autoSpaceDE w:val="0"/>
                    <w:autoSpaceDN w:val="0"/>
                    <w:adjustRightInd w:val="0"/>
                    <w:ind w:left="-105" w:leftChars="-50" w:right="-105" w:rightChars="-50"/>
                    <w:jc w:val="center"/>
                    <w:rPr>
                      <w:b/>
                      <w:kern w:val="0"/>
                      <w:szCs w:val="21"/>
                    </w:rPr>
                  </w:pPr>
                  <w:r>
                    <w:rPr>
                      <w:rFonts w:hint="eastAsia"/>
                      <w:b/>
                      <w:kern w:val="0"/>
                      <w:szCs w:val="21"/>
                    </w:rPr>
                    <w:t>证书编号</w:t>
                  </w:r>
                </w:p>
              </w:tc>
              <w:tc>
                <w:tcPr>
                  <w:tcW w:w="444" w:type="pct"/>
                  <w:tcBorders>
                    <w:tl2br w:val="nil"/>
                    <w:tr2bl w:val="nil"/>
                  </w:tcBorders>
                  <w:shd w:val="clear" w:color="auto" w:fill="auto"/>
                  <w:vAlign w:val="center"/>
                </w:tcPr>
                <w:p w14:paraId="2422E715">
                  <w:pPr>
                    <w:autoSpaceDE w:val="0"/>
                    <w:autoSpaceDN w:val="0"/>
                    <w:adjustRightInd w:val="0"/>
                    <w:ind w:left="-105" w:leftChars="-50" w:right="-105" w:rightChars="-50"/>
                    <w:jc w:val="center"/>
                    <w:rPr>
                      <w:b/>
                      <w:kern w:val="0"/>
                      <w:szCs w:val="21"/>
                    </w:rPr>
                  </w:pPr>
                  <w:r>
                    <w:rPr>
                      <w:rFonts w:hint="eastAsia"/>
                      <w:b/>
                      <w:kern w:val="0"/>
                      <w:szCs w:val="21"/>
                    </w:rPr>
                    <w:t>是否</w:t>
                  </w:r>
                </w:p>
                <w:p w14:paraId="6A07E239">
                  <w:pPr>
                    <w:autoSpaceDE w:val="0"/>
                    <w:autoSpaceDN w:val="0"/>
                    <w:adjustRightInd w:val="0"/>
                    <w:ind w:left="-105" w:leftChars="-50" w:right="-105" w:rightChars="-50"/>
                    <w:jc w:val="center"/>
                    <w:rPr>
                      <w:b/>
                      <w:kern w:val="0"/>
                      <w:szCs w:val="21"/>
                    </w:rPr>
                  </w:pPr>
                  <w:r>
                    <w:rPr>
                      <w:rFonts w:hint="eastAsia"/>
                      <w:b/>
                      <w:kern w:val="0"/>
                      <w:szCs w:val="21"/>
                    </w:rPr>
                    <w:t>有效</w:t>
                  </w:r>
                </w:p>
              </w:tc>
              <w:tc>
                <w:tcPr>
                  <w:tcW w:w="628" w:type="pct"/>
                  <w:tcBorders>
                    <w:tl2br w:val="nil"/>
                    <w:tr2bl w:val="nil"/>
                  </w:tcBorders>
                  <w:shd w:val="clear" w:color="auto" w:fill="auto"/>
                  <w:vAlign w:val="center"/>
                </w:tcPr>
                <w:p w14:paraId="4B7E9D7E">
                  <w:pPr>
                    <w:autoSpaceDE w:val="0"/>
                    <w:autoSpaceDN w:val="0"/>
                    <w:adjustRightInd w:val="0"/>
                    <w:ind w:left="-105" w:leftChars="-50" w:right="-105" w:rightChars="-50"/>
                    <w:jc w:val="center"/>
                    <w:rPr>
                      <w:b/>
                      <w:kern w:val="0"/>
                      <w:szCs w:val="21"/>
                    </w:rPr>
                  </w:pPr>
                  <w:r>
                    <w:rPr>
                      <w:rFonts w:hint="eastAsia"/>
                      <w:b/>
                      <w:kern w:val="0"/>
                      <w:szCs w:val="21"/>
                    </w:rPr>
                    <w:t>对应项目危险废物类别</w:t>
                  </w:r>
                </w:p>
              </w:tc>
            </w:tr>
            <w:tr w14:paraId="081497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10" w:type="pct"/>
                  <w:tcBorders>
                    <w:tl2br w:val="nil"/>
                    <w:tr2bl w:val="nil"/>
                  </w:tcBorders>
                  <w:shd w:val="clear" w:color="auto" w:fill="auto"/>
                  <w:vAlign w:val="center"/>
                </w:tcPr>
                <w:p w14:paraId="0DA019A5">
                  <w:pPr>
                    <w:autoSpaceDE w:val="0"/>
                    <w:autoSpaceDN w:val="0"/>
                    <w:adjustRightInd w:val="0"/>
                    <w:jc w:val="center"/>
                    <w:rPr>
                      <w:kern w:val="0"/>
                      <w:szCs w:val="21"/>
                    </w:rPr>
                  </w:pPr>
                  <w:r>
                    <w:rPr>
                      <w:rFonts w:hint="eastAsia"/>
                      <w:kern w:val="0"/>
                      <w:szCs w:val="21"/>
                    </w:rPr>
                    <w:t>芜湖海创环保科技有限责任公司</w:t>
                  </w:r>
                </w:p>
              </w:tc>
              <w:tc>
                <w:tcPr>
                  <w:tcW w:w="444" w:type="pct"/>
                  <w:tcBorders>
                    <w:tl2br w:val="nil"/>
                    <w:tr2bl w:val="nil"/>
                  </w:tcBorders>
                  <w:shd w:val="clear" w:color="auto" w:fill="auto"/>
                  <w:vAlign w:val="center"/>
                </w:tcPr>
                <w:p w14:paraId="52047814">
                  <w:pPr>
                    <w:autoSpaceDE w:val="0"/>
                    <w:autoSpaceDN w:val="0"/>
                    <w:adjustRightInd w:val="0"/>
                    <w:ind w:left="-105" w:leftChars="-50" w:right="-105" w:rightChars="-50"/>
                    <w:jc w:val="center"/>
                    <w:rPr>
                      <w:kern w:val="0"/>
                      <w:szCs w:val="21"/>
                    </w:rPr>
                  </w:pPr>
                  <w:r>
                    <w:rPr>
                      <w:rFonts w:hint="eastAsia"/>
                      <w:kern w:val="0"/>
                      <w:szCs w:val="21"/>
                    </w:rPr>
                    <w:t>芜湖市繁昌区</w:t>
                  </w:r>
                </w:p>
              </w:tc>
              <w:tc>
                <w:tcPr>
                  <w:tcW w:w="529" w:type="pct"/>
                  <w:tcBorders>
                    <w:tl2br w:val="nil"/>
                    <w:tr2bl w:val="nil"/>
                  </w:tcBorders>
                  <w:shd w:val="clear" w:color="auto" w:fill="auto"/>
                  <w:vAlign w:val="center"/>
                </w:tcPr>
                <w:p w14:paraId="107F6665">
                  <w:pPr>
                    <w:autoSpaceDE w:val="0"/>
                    <w:autoSpaceDN w:val="0"/>
                    <w:adjustRightInd w:val="0"/>
                    <w:ind w:left="-105" w:leftChars="-50" w:right="-105" w:rightChars="-50"/>
                    <w:jc w:val="center"/>
                    <w:rPr>
                      <w:kern w:val="0"/>
                      <w:szCs w:val="21"/>
                    </w:rPr>
                  </w:pPr>
                  <w:r>
                    <w:rPr>
                      <w:kern w:val="0"/>
                      <w:szCs w:val="21"/>
                    </w:rPr>
                    <w:t>68000</w:t>
                  </w:r>
                </w:p>
              </w:tc>
              <w:tc>
                <w:tcPr>
                  <w:tcW w:w="1626" w:type="pct"/>
                  <w:tcBorders>
                    <w:tl2br w:val="nil"/>
                    <w:tr2bl w:val="nil"/>
                  </w:tcBorders>
                  <w:shd w:val="clear" w:color="auto" w:fill="auto"/>
                  <w:vAlign w:val="center"/>
                </w:tcPr>
                <w:p w14:paraId="0287DCFA">
                  <w:pPr>
                    <w:autoSpaceDE w:val="0"/>
                    <w:autoSpaceDN w:val="0"/>
                    <w:adjustRightInd w:val="0"/>
                    <w:jc w:val="center"/>
                    <w:rPr>
                      <w:kern w:val="0"/>
                      <w:szCs w:val="21"/>
                    </w:rPr>
                  </w:pPr>
                  <w:r>
                    <w:rPr>
                      <w:kern w:val="0"/>
                      <w:szCs w:val="21"/>
                    </w:rPr>
                    <w:t>HW02</w:t>
                  </w:r>
                  <w:r>
                    <w:rPr>
                      <w:rFonts w:hint="eastAsia"/>
                      <w:kern w:val="0"/>
                      <w:szCs w:val="21"/>
                    </w:rPr>
                    <w:t>、</w:t>
                  </w:r>
                  <w:r>
                    <w:rPr>
                      <w:kern w:val="0"/>
                      <w:szCs w:val="21"/>
                    </w:rPr>
                    <w:t>HW04</w:t>
                  </w:r>
                  <w:r>
                    <w:rPr>
                      <w:rFonts w:hint="eastAsia"/>
                      <w:kern w:val="0"/>
                      <w:szCs w:val="21"/>
                    </w:rPr>
                    <w:t>、</w:t>
                  </w:r>
                  <w:r>
                    <w:rPr>
                      <w:kern w:val="0"/>
                      <w:szCs w:val="21"/>
                    </w:rPr>
                    <w:t>HW06</w:t>
                  </w:r>
                  <w:r>
                    <w:rPr>
                      <w:rFonts w:hint="eastAsia"/>
                      <w:kern w:val="0"/>
                      <w:szCs w:val="21"/>
                    </w:rPr>
                    <w:t>、</w:t>
                  </w:r>
                  <w:r>
                    <w:rPr>
                      <w:kern w:val="0"/>
                      <w:szCs w:val="21"/>
                    </w:rPr>
                    <w:t>HW08</w:t>
                  </w:r>
                  <w:r>
                    <w:rPr>
                      <w:rFonts w:hint="eastAsia"/>
                      <w:kern w:val="0"/>
                      <w:szCs w:val="21"/>
                    </w:rPr>
                    <w:t>、</w:t>
                  </w:r>
                  <w:r>
                    <w:rPr>
                      <w:kern w:val="0"/>
                      <w:szCs w:val="21"/>
                    </w:rPr>
                    <w:t>HW09</w:t>
                  </w:r>
                  <w:r>
                    <w:rPr>
                      <w:rFonts w:hint="eastAsia"/>
                      <w:kern w:val="0"/>
                      <w:szCs w:val="21"/>
                    </w:rPr>
                    <w:t>、</w:t>
                  </w:r>
                  <w:r>
                    <w:rPr>
                      <w:kern w:val="0"/>
                      <w:szCs w:val="21"/>
                    </w:rPr>
                    <w:t>HW11</w:t>
                  </w:r>
                  <w:r>
                    <w:rPr>
                      <w:rFonts w:hint="eastAsia"/>
                      <w:kern w:val="0"/>
                      <w:szCs w:val="21"/>
                    </w:rPr>
                    <w:t>、</w:t>
                  </w:r>
                  <w:r>
                    <w:rPr>
                      <w:kern w:val="0"/>
                      <w:szCs w:val="21"/>
                    </w:rPr>
                    <w:t>HW12</w:t>
                  </w:r>
                  <w:r>
                    <w:rPr>
                      <w:rFonts w:hint="eastAsia"/>
                      <w:kern w:val="0"/>
                      <w:szCs w:val="21"/>
                    </w:rPr>
                    <w:t>、</w:t>
                  </w:r>
                  <w:r>
                    <w:rPr>
                      <w:kern w:val="0"/>
                      <w:szCs w:val="21"/>
                    </w:rPr>
                    <w:t>HW13</w:t>
                  </w:r>
                  <w:r>
                    <w:rPr>
                      <w:rFonts w:hint="eastAsia"/>
                      <w:kern w:val="0"/>
                      <w:szCs w:val="21"/>
                    </w:rPr>
                    <w:t>、</w:t>
                  </w:r>
                  <w:r>
                    <w:rPr>
                      <w:kern w:val="0"/>
                      <w:szCs w:val="21"/>
                    </w:rPr>
                    <w:t>HW17</w:t>
                  </w:r>
                  <w:r>
                    <w:rPr>
                      <w:rFonts w:hint="eastAsia"/>
                      <w:kern w:val="0"/>
                      <w:szCs w:val="21"/>
                    </w:rPr>
                    <w:t>、</w:t>
                  </w:r>
                  <w:r>
                    <w:rPr>
                      <w:kern w:val="0"/>
                      <w:szCs w:val="21"/>
                    </w:rPr>
                    <w:t>HW18</w:t>
                  </w:r>
                  <w:r>
                    <w:rPr>
                      <w:rFonts w:hint="eastAsia"/>
                      <w:kern w:val="0"/>
                      <w:szCs w:val="21"/>
                    </w:rPr>
                    <w:t>、</w:t>
                  </w:r>
                  <w:r>
                    <w:rPr>
                      <w:kern w:val="0"/>
                      <w:szCs w:val="21"/>
                    </w:rPr>
                    <w:t>HW22</w:t>
                  </w:r>
                  <w:r>
                    <w:rPr>
                      <w:rFonts w:hint="eastAsia"/>
                      <w:kern w:val="0"/>
                      <w:szCs w:val="21"/>
                    </w:rPr>
                    <w:t>、</w:t>
                  </w:r>
                  <w:r>
                    <w:rPr>
                      <w:kern w:val="0"/>
                      <w:szCs w:val="21"/>
                    </w:rPr>
                    <w:t>HW34</w:t>
                  </w:r>
                  <w:r>
                    <w:rPr>
                      <w:rFonts w:hint="eastAsia"/>
                      <w:kern w:val="0"/>
                      <w:szCs w:val="21"/>
                    </w:rPr>
                    <w:t>、</w:t>
                  </w:r>
                  <w:r>
                    <w:rPr>
                      <w:kern w:val="0"/>
                      <w:szCs w:val="21"/>
                    </w:rPr>
                    <w:t>HW39</w:t>
                  </w:r>
                  <w:r>
                    <w:rPr>
                      <w:rFonts w:hint="eastAsia"/>
                      <w:kern w:val="0"/>
                      <w:szCs w:val="21"/>
                    </w:rPr>
                    <w:t>、</w:t>
                  </w:r>
                  <w:r>
                    <w:rPr>
                      <w:kern w:val="0"/>
                      <w:szCs w:val="21"/>
                    </w:rPr>
                    <w:t>HW45</w:t>
                  </w:r>
                  <w:r>
                    <w:rPr>
                      <w:rFonts w:hint="eastAsia"/>
                      <w:kern w:val="0"/>
                      <w:szCs w:val="21"/>
                    </w:rPr>
                    <w:t>、</w:t>
                  </w:r>
                  <w:r>
                    <w:rPr>
                      <w:kern w:val="0"/>
                      <w:szCs w:val="21"/>
                    </w:rPr>
                    <w:t>HW48</w:t>
                  </w:r>
                  <w:r>
                    <w:rPr>
                      <w:rFonts w:hint="eastAsia"/>
                      <w:kern w:val="0"/>
                      <w:szCs w:val="21"/>
                    </w:rPr>
                    <w:t>、</w:t>
                  </w:r>
                  <w:r>
                    <w:rPr>
                      <w:kern w:val="0"/>
                      <w:szCs w:val="21"/>
                    </w:rPr>
                    <w:t>HW49</w:t>
                  </w:r>
                  <w:r>
                    <w:rPr>
                      <w:rFonts w:hint="eastAsia"/>
                      <w:kern w:val="0"/>
                      <w:szCs w:val="21"/>
                    </w:rPr>
                    <w:t>等</w:t>
                  </w:r>
                  <w:r>
                    <w:rPr>
                      <w:kern w:val="0"/>
                      <w:szCs w:val="21"/>
                    </w:rPr>
                    <w:t>16</w:t>
                  </w:r>
                  <w:r>
                    <w:rPr>
                      <w:rFonts w:hint="eastAsia"/>
                      <w:kern w:val="0"/>
                      <w:szCs w:val="21"/>
                    </w:rPr>
                    <w:t>大类，</w:t>
                  </w:r>
                  <w:r>
                    <w:rPr>
                      <w:kern w:val="0"/>
                      <w:szCs w:val="21"/>
                    </w:rPr>
                    <w:t>280</w:t>
                  </w:r>
                  <w:r>
                    <w:rPr>
                      <w:rFonts w:hint="eastAsia"/>
                      <w:kern w:val="0"/>
                      <w:szCs w:val="21"/>
                    </w:rPr>
                    <w:t>小类</w:t>
                  </w:r>
                </w:p>
              </w:tc>
              <w:tc>
                <w:tcPr>
                  <w:tcW w:w="818" w:type="pct"/>
                  <w:tcBorders>
                    <w:tl2br w:val="nil"/>
                    <w:tr2bl w:val="nil"/>
                  </w:tcBorders>
                  <w:shd w:val="clear" w:color="auto" w:fill="auto"/>
                  <w:vAlign w:val="center"/>
                </w:tcPr>
                <w:p w14:paraId="313523B6">
                  <w:pPr>
                    <w:autoSpaceDE w:val="0"/>
                    <w:autoSpaceDN w:val="0"/>
                    <w:adjustRightInd w:val="0"/>
                    <w:ind w:left="-105" w:leftChars="-50" w:right="-105" w:rightChars="-50"/>
                    <w:jc w:val="center"/>
                    <w:rPr>
                      <w:kern w:val="0"/>
                      <w:szCs w:val="21"/>
                    </w:rPr>
                  </w:pPr>
                  <w:r>
                    <w:rPr>
                      <w:kern w:val="0"/>
                      <w:szCs w:val="21"/>
                    </w:rPr>
                    <w:t>340222002</w:t>
                  </w:r>
                </w:p>
              </w:tc>
              <w:tc>
                <w:tcPr>
                  <w:tcW w:w="444" w:type="pct"/>
                  <w:tcBorders>
                    <w:tl2br w:val="nil"/>
                    <w:tr2bl w:val="nil"/>
                  </w:tcBorders>
                  <w:shd w:val="clear" w:color="auto" w:fill="auto"/>
                  <w:vAlign w:val="center"/>
                </w:tcPr>
                <w:p w14:paraId="5EA7BC22">
                  <w:pPr>
                    <w:autoSpaceDE w:val="0"/>
                    <w:autoSpaceDN w:val="0"/>
                    <w:adjustRightInd w:val="0"/>
                    <w:ind w:left="-105" w:leftChars="-50" w:right="-105" w:rightChars="-50"/>
                    <w:jc w:val="center"/>
                    <w:rPr>
                      <w:kern w:val="0"/>
                      <w:szCs w:val="21"/>
                    </w:rPr>
                  </w:pPr>
                  <w:r>
                    <w:rPr>
                      <w:kern w:val="0"/>
                      <w:szCs w:val="21"/>
                    </w:rPr>
                    <w:t>有效</w:t>
                  </w:r>
                </w:p>
              </w:tc>
              <w:tc>
                <w:tcPr>
                  <w:tcW w:w="628" w:type="pct"/>
                  <w:tcBorders>
                    <w:tl2br w:val="nil"/>
                    <w:tr2bl w:val="nil"/>
                  </w:tcBorders>
                  <w:shd w:val="clear" w:color="auto" w:fill="auto"/>
                  <w:vAlign w:val="center"/>
                </w:tcPr>
                <w:p w14:paraId="506DC6AA">
                  <w:pPr>
                    <w:autoSpaceDE w:val="0"/>
                    <w:autoSpaceDN w:val="0"/>
                    <w:adjustRightInd w:val="0"/>
                    <w:ind w:left="-105" w:leftChars="-50" w:right="-105" w:rightChars="-50"/>
                    <w:jc w:val="center"/>
                    <w:rPr>
                      <w:szCs w:val="21"/>
                    </w:rPr>
                  </w:pPr>
                  <w:r>
                    <w:rPr>
                      <w:szCs w:val="21"/>
                    </w:rPr>
                    <w:t>HW08</w:t>
                  </w:r>
                </w:p>
                <w:p w14:paraId="63E94BFA">
                  <w:pPr>
                    <w:autoSpaceDE w:val="0"/>
                    <w:autoSpaceDN w:val="0"/>
                    <w:adjustRightInd w:val="0"/>
                    <w:ind w:left="-105" w:leftChars="-50" w:right="-105" w:rightChars="-50"/>
                    <w:jc w:val="center"/>
                    <w:rPr>
                      <w:kern w:val="0"/>
                      <w:szCs w:val="21"/>
                    </w:rPr>
                  </w:pPr>
                  <w:r>
                    <w:rPr>
                      <w:szCs w:val="21"/>
                    </w:rPr>
                    <w:t>HW</w:t>
                  </w:r>
                  <w:r>
                    <w:rPr>
                      <w:rFonts w:hint="eastAsia"/>
                      <w:szCs w:val="21"/>
                    </w:rPr>
                    <w:t>49</w:t>
                  </w:r>
                </w:p>
              </w:tc>
            </w:tr>
            <w:tr w14:paraId="7A659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0" w:type="pct"/>
                  <w:tcBorders>
                    <w:tl2br w:val="nil"/>
                    <w:tr2bl w:val="nil"/>
                  </w:tcBorders>
                  <w:shd w:val="clear" w:color="auto" w:fill="auto"/>
                  <w:vAlign w:val="center"/>
                </w:tcPr>
                <w:p w14:paraId="190BAA3B">
                  <w:pPr>
                    <w:autoSpaceDE w:val="0"/>
                    <w:autoSpaceDN w:val="0"/>
                    <w:adjustRightInd w:val="0"/>
                    <w:jc w:val="center"/>
                    <w:rPr>
                      <w:kern w:val="0"/>
                      <w:szCs w:val="21"/>
                    </w:rPr>
                  </w:pPr>
                  <w:r>
                    <w:rPr>
                      <w:rFonts w:hint="eastAsia"/>
                      <w:kern w:val="0"/>
                      <w:szCs w:val="21"/>
                    </w:rPr>
                    <w:t>马鞍山澳新环保科技有限公司</w:t>
                  </w:r>
                </w:p>
              </w:tc>
              <w:tc>
                <w:tcPr>
                  <w:tcW w:w="444" w:type="pct"/>
                  <w:tcBorders>
                    <w:tl2br w:val="nil"/>
                    <w:tr2bl w:val="nil"/>
                  </w:tcBorders>
                  <w:shd w:val="clear" w:color="auto" w:fill="auto"/>
                  <w:vAlign w:val="center"/>
                </w:tcPr>
                <w:p w14:paraId="6F8E5FDD">
                  <w:pPr>
                    <w:autoSpaceDE w:val="0"/>
                    <w:autoSpaceDN w:val="0"/>
                    <w:adjustRightInd w:val="0"/>
                    <w:ind w:left="-105" w:leftChars="-50" w:right="-105" w:rightChars="-50"/>
                    <w:jc w:val="center"/>
                    <w:rPr>
                      <w:kern w:val="0"/>
                      <w:szCs w:val="21"/>
                    </w:rPr>
                  </w:pPr>
                  <w:r>
                    <w:rPr>
                      <w:rFonts w:hint="eastAsia"/>
                      <w:kern w:val="0"/>
                      <w:szCs w:val="21"/>
                    </w:rPr>
                    <w:t>马鞍山市雨山区</w:t>
                  </w:r>
                </w:p>
              </w:tc>
              <w:tc>
                <w:tcPr>
                  <w:tcW w:w="529" w:type="pct"/>
                  <w:tcBorders>
                    <w:tl2br w:val="nil"/>
                    <w:tr2bl w:val="nil"/>
                  </w:tcBorders>
                  <w:shd w:val="clear" w:color="auto" w:fill="auto"/>
                  <w:vAlign w:val="center"/>
                </w:tcPr>
                <w:p w14:paraId="44009799">
                  <w:pPr>
                    <w:autoSpaceDE w:val="0"/>
                    <w:autoSpaceDN w:val="0"/>
                    <w:adjustRightInd w:val="0"/>
                    <w:ind w:left="-105" w:leftChars="-50" w:right="-105" w:rightChars="-50"/>
                    <w:jc w:val="center"/>
                    <w:rPr>
                      <w:kern w:val="0"/>
                      <w:szCs w:val="21"/>
                    </w:rPr>
                  </w:pPr>
                  <w:r>
                    <w:rPr>
                      <w:kern w:val="0"/>
                      <w:szCs w:val="21"/>
                    </w:rPr>
                    <w:t>33100</w:t>
                  </w:r>
                </w:p>
              </w:tc>
              <w:tc>
                <w:tcPr>
                  <w:tcW w:w="1626" w:type="pct"/>
                  <w:tcBorders>
                    <w:tl2br w:val="nil"/>
                    <w:tr2bl w:val="nil"/>
                  </w:tcBorders>
                  <w:shd w:val="clear" w:color="auto" w:fill="auto"/>
                  <w:vAlign w:val="center"/>
                </w:tcPr>
                <w:p w14:paraId="65C49B3A">
                  <w:pPr>
                    <w:autoSpaceDE w:val="0"/>
                    <w:autoSpaceDN w:val="0"/>
                    <w:adjustRightInd w:val="0"/>
                    <w:jc w:val="center"/>
                    <w:rPr>
                      <w:kern w:val="0"/>
                      <w:szCs w:val="21"/>
                    </w:rPr>
                  </w:pPr>
                  <w:r>
                    <w:rPr>
                      <w:kern w:val="0"/>
                      <w:szCs w:val="21"/>
                    </w:rPr>
                    <w:t>HW01- HW06</w:t>
                  </w:r>
                  <w:r>
                    <w:rPr>
                      <w:rFonts w:hint="eastAsia"/>
                      <w:kern w:val="0"/>
                      <w:szCs w:val="21"/>
                    </w:rPr>
                    <w:t>、</w:t>
                  </w:r>
                  <w:r>
                    <w:rPr>
                      <w:kern w:val="0"/>
                      <w:szCs w:val="21"/>
                    </w:rPr>
                    <w:t>HW08</w:t>
                  </w:r>
                  <w:r>
                    <w:rPr>
                      <w:rFonts w:hint="eastAsia"/>
                      <w:kern w:val="0"/>
                      <w:szCs w:val="21"/>
                    </w:rPr>
                    <w:t>、</w:t>
                  </w:r>
                  <w:r>
                    <w:rPr>
                      <w:kern w:val="0"/>
                      <w:szCs w:val="21"/>
                    </w:rPr>
                    <w:t>HW09</w:t>
                  </w:r>
                  <w:r>
                    <w:rPr>
                      <w:rFonts w:hint="eastAsia"/>
                      <w:kern w:val="0"/>
                      <w:szCs w:val="21"/>
                    </w:rPr>
                    <w:t>、</w:t>
                  </w:r>
                  <w:r>
                    <w:rPr>
                      <w:kern w:val="0"/>
                      <w:szCs w:val="21"/>
                    </w:rPr>
                    <w:t>HW11- HW14</w:t>
                  </w:r>
                  <w:r>
                    <w:rPr>
                      <w:rFonts w:hint="eastAsia"/>
                      <w:kern w:val="0"/>
                      <w:szCs w:val="21"/>
                    </w:rPr>
                    <w:t>、</w:t>
                  </w:r>
                  <w:r>
                    <w:rPr>
                      <w:kern w:val="0"/>
                      <w:szCs w:val="21"/>
                    </w:rPr>
                    <w:t>HW14- HW18</w:t>
                  </w:r>
                  <w:r>
                    <w:rPr>
                      <w:rFonts w:hint="eastAsia"/>
                      <w:kern w:val="0"/>
                      <w:szCs w:val="21"/>
                    </w:rPr>
                    <w:t>、</w:t>
                  </w:r>
                  <w:r>
                    <w:rPr>
                      <w:kern w:val="0"/>
                      <w:szCs w:val="21"/>
                    </w:rPr>
                    <w:t>HW21- HW23</w:t>
                  </w:r>
                  <w:r>
                    <w:rPr>
                      <w:rFonts w:hint="eastAsia"/>
                      <w:kern w:val="0"/>
                      <w:szCs w:val="21"/>
                    </w:rPr>
                    <w:t>、</w:t>
                  </w:r>
                  <w:r>
                    <w:rPr>
                      <w:kern w:val="0"/>
                      <w:szCs w:val="21"/>
                    </w:rPr>
                    <w:t>HW29</w:t>
                  </w:r>
                  <w:r>
                    <w:rPr>
                      <w:rFonts w:hint="eastAsia"/>
                      <w:kern w:val="0"/>
                      <w:szCs w:val="21"/>
                    </w:rPr>
                    <w:t>、</w:t>
                  </w:r>
                  <w:r>
                    <w:rPr>
                      <w:kern w:val="0"/>
                      <w:szCs w:val="21"/>
                    </w:rPr>
                    <w:t>HW31- HW40</w:t>
                  </w:r>
                  <w:r>
                    <w:rPr>
                      <w:rFonts w:hint="eastAsia"/>
                      <w:kern w:val="0"/>
                      <w:szCs w:val="21"/>
                    </w:rPr>
                    <w:t>、</w:t>
                  </w:r>
                  <w:r>
                    <w:rPr>
                      <w:kern w:val="0"/>
                      <w:szCs w:val="21"/>
                    </w:rPr>
                    <w:t>HW45</w:t>
                  </w:r>
                  <w:r>
                    <w:rPr>
                      <w:rFonts w:hint="eastAsia"/>
                      <w:kern w:val="0"/>
                      <w:szCs w:val="21"/>
                    </w:rPr>
                    <w:t>、</w:t>
                  </w:r>
                  <w:r>
                    <w:rPr>
                      <w:kern w:val="0"/>
                      <w:szCs w:val="21"/>
                    </w:rPr>
                    <w:t>HW46</w:t>
                  </w:r>
                  <w:r>
                    <w:rPr>
                      <w:rFonts w:hint="eastAsia"/>
                      <w:kern w:val="0"/>
                      <w:szCs w:val="21"/>
                    </w:rPr>
                    <w:t>、</w:t>
                  </w:r>
                  <w:r>
                    <w:rPr>
                      <w:kern w:val="0"/>
                      <w:szCs w:val="21"/>
                    </w:rPr>
                    <w:t>HW48- HW50</w:t>
                  </w:r>
                  <w:r>
                    <w:rPr>
                      <w:rFonts w:hint="eastAsia"/>
                      <w:kern w:val="0"/>
                      <w:szCs w:val="21"/>
                    </w:rPr>
                    <w:t>焚烧</w:t>
                  </w:r>
                  <w:r>
                    <w:rPr>
                      <w:kern w:val="0"/>
                      <w:szCs w:val="21"/>
                    </w:rPr>
                    <w:t>10000</w:t>
                  </w:r>
                  <w:r>
                    <w:rPr>
                      <w:rFonts w:hint="eastAsia"/>
                      <w:kern w:val="0"/>
                      <w:szCs w:val="21"/>
                    </w:rPr>
                    <w:t>吨</w:t>
                  </w:r>
                  <w:r>
                    <w:rPr>
                      <w:kern w:val="0"/>
                      <w:szCs w:val="21"/>
                    </w:rPr>
                    <w:t>/</w:t>
                  </w:r>
                  <w:r>
                    <w:rPr>
                      <w:rFonts w:hint="eastAsia"/>
                      <w:kern w:val="0"/>
                      <w:szCs w:val="21"/>
                    </w:rPr>
                    <w:t>年（含医疗废物</w:t>
                  </w:r>
                  <w:r>
                    <w:rPr>
                      <w:kern w:val="0"/>
                      <w:szCs w:val="21"/>
                    </w:rPr>
                    <w:t>1000</w:t>
                  </w:r>
                  <w:r>
                    <w:rPr>
                      <w:rFonts w:hint="eastAsia"/>
                      <w:kern w:val="0"/>
                      <w:szCs w:val="21"/>
                    </w:rPr>
                    <w:t>吨）、物化处理</w:t>
                  </w:r>
                  <w:r>
                    <w:rPr>
                      <w:kern w:val="0"/>
                      <w:szCs w:val="21"/>
                    </w:rPr>
                    <w:t>13000</w:t>
                  </w:r>
                  <w:r>
                    <w:rPr>
                      <w:rFonts w:hint="eastAsia"/>
                      <w:kern w:val="0"/>
                      <w:szCs w:val="21"/>
                    </w:rPr>
                    <w:t>吨</w:t>
                  </w:r>
                  <w:r>
                    <w:rPr>
                      <w:kern w:val="0"/>
                      <w:szCs w:val="21"/>
                    </w:rPr>
                    <w:t>/</w:t>
                  </w:r>
                  <w:r>
                    <w:rPr>
                      <w:rFonts w:hint="eastAsia"/>
                      <w:kern w:val="0"/>
                      <w:szCs w:val="21"/>
                    </w:rPr>
                    <w:t>年、固化、稳定化及安全填埋</w:t>
                  </w:r>
                  <w:r>
                    <w:rPr>
                      <w:kern w:val="0"/>
                      <w:szCs w:val="21"/>
                    </w:rPr>
                    <w:t>10100</w:t>
                  </w:r>
                  <w:r>
                    <w:rPr>
                      <w:rFonts w:hint="eastAsia"/>
                      <w:kern w:val="0"/>
                      <w:szCs w:val="21"/>
                    </w:rPr>
                    <w:t>吨</w:t>
                  </w:r>
                  <w:r>
                    <w:rPr>
                      <w:kern w:val="0"/>
                      <w:szCs w:val="21"/>
                    </w:rPr>
                    <w:t>/</w:t>
                  </w:r>
                  <w:r>
                    <w:rPr>
                      <w:rFonts w:hint="eastAsia"/>
                      <w:kern w:val="0"/>
                      <w:szCs w:val="21"/>
                    </w:rPr>
                    <w:t>年。</w:t>
                  </w:r>
                </w:p>
              </w:tc>
              <w:tc>
                <w:tcPr>
                  <w:tcW w:w="818" w:type="pct"/>
                  <w:tcBorders>
                    <w:tl2br w:val="nil"/>
                    <w:tr2bl w:val="nil"/>
                  </w:tcBorders>
                  <w:shd w:val="clear" w:color="auto" w:fill="auto"/>
                  <w:vAlign w:val="center"/>
                </w:tcPr>
                <w:p w14:paraId="4283E752">
                  <w:pPr>
                    <w:autoSpaceDE w:val="0"/>
                    <w:autoSpaceDN w:val="0"/>
                    <w:adjustRightInd w:val="0"/>
                    <w:ind w:left="-105" w:leftChars="-50" w:right="-105" w:rightChars="-50"/>
                    <w:jc w:val="center"/>
                    <w:rPr>
                      <w:kern w:val="0"/>
                      <w:szCs w:val="21"/>
                    </w:rPr>
                  </w:pPr>
                  <w:r>
                    <w:rPr>
                      <w:kern w:val="0"/>
                      <w:szCs w:val="21"/>
                    </w:rPr>
                    <w:t>340504001</w:t>
                  </w:r>
                </w:p>
              </w:tc>
              <w:tc>
                <w:tcPr>
                  <w:tcW w:w="444" w:type="pct"/>
                  <w:tcBorders>
                    <w:tl2br w:val="nil"/>
                    <w:tr2bl w:val="nil"/>
                  </w:tcBorders>
                  <w:shd w:val="clear" w:color="auto" w:fill="auto"/>
                  <w:vAlign w:val="center"/>
                </w:tcPr>
                <w:p w14:paraId="594E1A2A">
                  <w:pPr>
                    <w:autoSpaceDE w:val="0"/>
                    <w:autoSpaceDN w:val="0"/>
                    <w:adjustRightInd w:val="0"/>
                    <w:ind w:left="-105" w:leftChars="-50" w:right="-105" w:rightChars="-50"/>
                    <w:jc w:val="center"/>
                    <w:rPr>
                      <w:kern w:val="0"/>
                      <w:szCs w:val="21"/>
                    </w:rPr>
                  </w:pPr>
                  <w:r>
                    <w:rPr>
                      <w:kern w:val="0"/>
                      <w:szCs w:val="21"/>
                    </w:rPr>
                    <w:t>有效</w:t>
                  </w:r>
                </w:p>
              </w:tc>
              <w:tc>
                <w:tcPr>
                  <w:tcW w:w="628" w:type="pct"/>
                  <w:tcBorders>
                    <w:tl2br w:val="nil"/>
                    <w:tr2bl w:val="nil"/>
                  </w:tcBorders>
                  <w:shd w:val="clear" w:color="auto" w:fill="auto"/>
                  <w:vAlign w:val="center"/>
                </w:tcPr>
                <w:p w14:paraId="16BA19FC">
                  <w:pPr>
                    <w:autoSpaceDE w:val="0"/>
                    <w:autoSpaceDN w:val="0"/>
                    <w:adjustRightInd w:val="0"/>
                    <w:ind w:left="-105" w:leftChars="-50" w:right="-105" w:rightChars="-50"/>
                    <w:jc w:val="center"/>
                    <w:rPr>
                      <w:szCs w:val="21"/>
                    </w:rPr>
                  </w:pPr>
                  <w:r>
                    <w:rPr>
                      <w:szCs w:val="21"/>
                    </w:rPr>
                    <w:t>HW08</w:t>
                  </w:r>
                </w:p>
                <w:p w14:paraId="244EB43F">
                  <w:pPr>
                    <w:autoSpaceDE w:val="0"/>
                    <w:autoSpaceDN w:val="0"/>
                    <w:adjustRightInd w:val="0"/>
                    <w:ind w:left="-105" w:leftChars="-50" w:right="-105" w:rightChars="-50"/>
                    <w:jc w:val="center"/>
                    <w:rPr>
                      <w:kern w:val="0"/>
                      <w:szCs w:val="21"/>
                    </w:rPr>
                  </w:pPr>
                  <w:r>
                    <w:rPr>
                      <w:szCs w:val="21"/>
                    </w:rPr>
                    <w:t>HW</w:t>
                  </w:r>
                  <w:r>
                    <w:rPr>
                      <w:rFonts w:hint="eastAsia"/>
                      <w:szCs w:val="21"/>
                    </w:rPr>
                    <w:t>49</w:t>
                  </w:r>
                </w:p>
              </w:tc>
            </w:tr>
          </w:tbl>
          <w:p w14:paraId="26BC8BF9">
            <w:pPr>
              <w:keepNext w:val="0"/>
              <w:keepLines w:val="0"/>
              <w:pageBreakBefore w:val="0"/>
              <w:kinsoku/>
              <w:wordWrap/>
              <w:overflowPunct/>
              <w:topLinePunct w:val="0"/>
              <w:autoSpaceDE w:val="0"/>
              <w:autoSpaceDN w:val="0"/>
              <w:bidi w:val="0"/>
              <w:adjustRightInd w:val="0"/>
              <w:snapToGrid/>
              <w:spacing w:line="360" w:lineRule="auto"/>
              <w:ind w:firstLine="420" w:firstLineChars="200"/>
              <w:jc w:val="left"/>
              <w:textAlignment w:val="auto"/>
              <w:rPr>
                <w:kern w:val="0"/>
                <w:szCs w:val="21"/>
              </w:rPr>
            </w:pPr>
            <w:r>
              <w:rPr>
                <w:rFonts w:hint="eastAsia"/>
                <w:kern w:val="0"/>
                <w:szCs w:val="21"/>
              </w:rPr>
              <w:t>注：仅为安徽省内部分有资质处置企业。</w:t>
            </w:r>
          </w:p>
          <w:p w14:paraId="2A52961E">
            <w:pPr>
              <w:keepNext w:val="0"/>
              <w:keepLines w:val="0"/>
              <w:pageBreakBefore w:val="0"/>
              <w:widowControl w:val="0"/>
              <w:kinsoku/>
              <w:wordWrap/>
              <w:overflowPunct/>
              <w:topLinePunct w:val="0"/>
              <w:autoSpaceDE w:val="0"/>
              <w:autoSpaceDN w:val="0"/>
              <w:bidi w:val="0"/>
              <w:adjustRightInd w:val="0"/>
              <w:snapToGrid/>
              <w:spacing w:beforeAutospacing="0" w:line="360" w:lineRule="auto"/>
              <w:ind w:firstLine="480" w:firstLineChars="200"/>
              <w:jc w:val="left"/>
              <w:textAlignment w:val="auto"/>
              <w:rPr>
                <w:kern w:val="0"/>
                <w:sz w:val="24"/>
              </w:rPr>
            </w:pPr>
            <w:r>
              <w:rPr>
                <w:rFonts w:hint="eastAsia"/>
                <w:kern w:val="0"/>
                <w:sz w:val="24"/>
              </w:rPr>
              <w:t>从上表可以看出，本项目产生的危险固体废物在安徽省内有多家适合的资质单位进行处理处置。</w:t>
            </w:r>
          </w:p>
          <w:p w14:paraId="3D55BB64">
            <w:pPr>
              <w:keepNext w:val="0"/>
              <w:keepLines w:val="0"/>
              <w:pageBreakBefore w:val="0"/>
              <w:widowControl/>
              <w:kinsoku/>
              <w:wordWrap/>
              <w:overflowPunct/>
              <w:topLinePunct w:val="0"/>
              <w:bidi w:val="0"/>
              <w:snapToGrid/>
              <w:spacing w:line="360" w:lineRule="auto"/>
              <w:ind w:firstLine="480" w:firstLineChars="200"/>
              <w:jc w:val="left"/>
              <w:textAlignment w:val="auto"/>
              <w:rPr>
                <w:kern w:val="0"/>
                <w:sz w:val="24"/>
              </w:rPr>
            </w:pPr>
            <w:r>
              <w:rPr>
                <w:rFonts w:hint="eastAsia"/>
                <w:kern w:val="0"/>
                <w:sz w:val="24"/>
              </w:rPr>
              <w:t>综上所述，本评价认为，在落实上述危险废物管理要求后，项目各类危废从收集、转运、运输、处理处置环节均可以得到有效的控制，能够确保妥善处置，不会对区域环境造成较大不利影响</w:t>
            </w:r>
            <w:r>
              <w:rPr>
                <w:kern w:val="0"/>
                <w:sz w:val="24"/>
              </w:rPr>
              <w:t>。</w:t>
            </w:r>
          </w:p>
          <w:p w14:paraId="1D02B18A">
            <w:pPr>
              <w:autoSpaceDE w:val="0"/>
              <w:autoSpaceDN w:val="0"/>
              <w:adjustRightInd w:val="0"/>
              <w:spacing w:line="360" w:lineRule="auto"/>
              <w:ind w:firstLine="482" w:firstLineChars="200"/>
              <w:jc w:val="left"/>
              <w:rPr>
                <w:b/>
                <w:bCs/>
                <w:sz w:val="24"/>
                <w:szCs w:val="32"/>
              </w:rPr>
            </w:pPr>
            <w:r>
              <w:rPr>
                <w:rFonts w:hint="eastAsia" w:cs="宋体"/>
                <w:b/>
                <w:bCs/>
                <w:sz w:val="24"/>
              </w:rPr>
              <w:t>五、地下水、土壤</w:t>
            </w:r>
            <w:r>
              <w:rPr>
                <w:rFonts w:hint="eastAsia"/>
                <w:b/>
                <w:bCs/>
                <w:sz w:val="24"/>
                <w:szCs w:val="32"/>
              </w:rPr>
              <w:t>环境影响和保护措施</w:t>
            </w:r>
          </w:p>
          <w:p w14:paraId="0B61B62E">
            <w:pPr>
              <w:adjustRightInd w:val="0"/>
              <w:spacing w:line="360" w:lineRule="auto"/>
              <w:ind w:firstLine="482" w:firstLineChars="200"/>
              <w:jc w:val="left"/>
              <w:textAlignment w:val="baseline"/>
              <w:rPr>
                <w:rFonts w:eastAsiaTheme="minorEastAsia"/>
                <w:b/>
                <w:sz w:val="24"/>
                <w:lang w:val="zh-CN"/>
              </w:rPr>
            </w:pPr>
            <w:r>
              <w:rPr>
                <w:rFonts w:eastAsiaTheme="minorEastAsia"/>
                <w:b/>
                <w:sz w:val="24"/>
                <w:lang w:val="zh-CN"/>
              </w:rPr>
              <w:t>1、地下水、土壤污染途径</w:t>
            </w:r>
          </w:p>
          <w:p w14:paraId="3E96BB48">
            <w:pPr>
              <w:adjustRightInd w:val="0"/>
              <w:spacing w:line="360" w:lineRule="auto"/>
              <w:ind w:firstLine="480" w:firstLineChars="200"/>
              <w:jc w:val="left"/>
              <w:textAlignment w:val="baseline"/>
              <w:rPr>
                <w:rFonts w:eastAsiaTheme="minorEastAsia"/>
                <w:sz w:val="24"/>
                <w:lang w:val="zh-CN"/>
              </w:rPr>
            </w:pPr>
            <w:r>
              <w:rPr>
                <w:rFonts w:eastAsiaTheme="minorEastAsia"/>
                <w:sz w:val="24"/>
                <w:lang w:val="zh-CN"/>
              </w:rPr>
              <w:t>根据工程分析可知，本项目施工期主要为设备安装，不涉及地下水污染影响。</w:t>
            </w:r>
          </w:p>
          <w:p w14:paraId="379B9851">
            <w:pPr>
              <w:adjustRightInd w:val="0"/>
              <w:spacing w:line="360" w:lineRule="auto"/>
              <w:ind w:firstLine="480" w:firstLineChars="200"/>
              <w:jc w:val="left"/>
              <w:textAlignment w:val="baseline"/>
              <w:rPr>
                <w:rFonts w:eastAsiaTheme="minorEastAsia"/>
                <w:sz w:val="24"/>
              </w:rPr>
            </w:pPr>
            <w:r>
              <w:rPr>
                <w:rFonts w:eastAsiaTheme="minorEastAsia"/>
                <w:sz w:val="24"/>
              </w:rPr>
              <w:t>本项目</w:t>
            </w:r>
            <w:r>
              <w:rPr>
                <w:rFonts w:eastAsiaTheme="minorEastAsia"/>
                <w:sz w:val="24"/>
                <w:lang w:val="zh-CN"/>
              </w:rPr>
              <w:t>营运期废气主要为</w:t>
            </w:r>
            <w:r>
              <w:rPr>
                <w:rFonts w:hint="eastAsia" w:eastAsiaTheme="minorEastAsia"/>
                <w:sz w:val="24"/>
                <w:lang w:val="en-US" w:eastAsia="zh-CN"/>
              </w:rPr>
              <w:t>焊接</w:t>
            </w:r>
            <w:r>
              <w:rPr>
                <w:rFonts w:hint="eastAsia"/>
                <w:sz w:val="24"/>
              </w:rPr>
              <w:t>废气。</w:t>
            </w:r>
            <w:r>
              <w:rPr>
                <w:rFonts w:eastAsiaTheme="minorEastAsia"/>
                <w:sz w:val="24"/>
              </w:rPr>
              <w:t>对地下水环境影响途径主要为受大气沉降影响。本项目</w:t>
            </w:r>
            <w:r>
              <w:rPr>
                <w:rFonts w:eastAsiaTheme="minorEastAsia"/>
                <w:sz w:val="24"/>
                <w:szCs w:val="21"/>
              </w:rPr>
              <w:t>危废暂存库</w:t>
            </w:r>
            <w:r>
              <w:rPr>
                <w:rFonts w:eastAsiaTheme="minorEastAsia"/>
                <w:sz w:val="24"/>
              </w:rPr>
              <w:t>对地下水环境的潜在影响主要是垂直入渗透。</w:t>
            </w:r>
          </w:p>
          <w:p w14:paraId="672F2920">
            <w:pPr>
              <w:spacing w:line="360" w:lineRule="auto"/>
              <w:ind w:firstLine="480"/>
              <w:jc w:val="left"/>
              <w:rPr>
                <w:rFonts w:eastAsiaTheme="minorEastAsia"/>
                <w:b/>
                <w:sz w:val="24"/>
              </w:rPr>
            </w:pPr>
            <w:r>
              <w:rPr>
                <w:rFonts w:eastAsiaTheme="minorEastAsia"/>
                <w:b/>
                <w:sz w:val="24"/>
              </w:rPr>
              <w:t>2、污染防治措施</w:t>
            </w:r>
          </w:p>
          <w:p w14:paraId="17499854">
            <w:pPr>
              <w:keepNext/>
              <w:keepLines/>
              <w:spacing w:line="360" w:lineRule="auto"/>
              <w:ind w:firstLine="354" w:firstLineChars="147"/>
              <w:outlineLvl w:val="2"/>
              <w:rPr>
                <w:rFonts w:eastAsiaTheme="minorEastAsia"/>
                <w:b/>
                <w:bCs/>
                <w:sz w:val="24"/>
                <w:szCs w:val="32"/>
              </w:rPr>
            </w:pPr>
            <w:r>
              <w:rPr>
                <w:rFonts w:eastAsiaTheme="minorEastAsia"/>
                <w:b/>
                <w:bCs/>
                <w:sz w:val="24"/>
                <w:szCs w:val="32"/>
              </w:rPr>
              <w:t>（1）源头控制措施</w:t>
            </w:r>
          </w:p>
          <w:p w14:paraId="7D6590F9">
            <w:pPr>
              <w:spacing w:line="360" w:lineRule="auto"/>
              <w:ind w:firstLine="480"/>
              <w:jc w:val="left"/>
              <w:rPr>
                <w:rFonts w:eastAsiaTheme="minorEastAsia"/>
                <w:sz w:val="24"/>
              </w:rPr>
            </w:pPr>
            <w:r>
              <w:rPr>
                <w:rFonts w:eastAsiaTheme="minorEastAsia"/>
                <w:sz w:val="24"/>
              </w:rPr>
              <w:fldChar w:fldCharType="begin"/>
            </w:r>
            <w:r>
              <w:rPr>
                <w:rFonts w:eastAsiaTheme="minorEastAsia"/>
                <w:sz w:val="24"/>
              </w:rPr>
              <w:instrText xml:space="preserve"> = 1 \* GB3 </w:instrText>
            </w:r>
            <w:r>
              <w:rPr>
                <w:rFonts w:eastAsiaTheme="minorEastAsia"/>
                <w:sz w:val="24"/>
              </w:rPr>
              <w:fldChar w:fldCharType="separate"/>
            </w:r>
            <w:r>
              <w:rPr>
                <w:rFonts w:hint="eastAsia" w:ascii="宋体" w:hAnsi="宋体" w:cs="宋体"/>
                <w:sz w:val="24"/>
              </w:rPr>
              <w:t>①</w:t>
            </w:r>
            <w:r>
              <w:rPr>
                <w:rFonts w:eastAsiaTheme="minorEastAsia"/>
                <w:sz w:val="24"/>
              </w:rPr>
              <w:fldChar w:fldCharType="end"/>
            </w:r>
            <w:r>
              <w:rPr>
                <w:rFonts w:eastAsiaTheme="minorEastAsia"/>
                <w:sz w:val="24"/>
              </w:rPr>
              <w:t>严格按照国家相关规范要求，对</w:t>
            </w:r>
            <w:r>
              <w:rPr>
                <w:rFonts w:eastAsiaTheme="minorEastAsia"/>
                <w:sz w:val="24"/>
                <w:szCs w:val="21"/>
              </w:rPr>
              <w:t>危废暂存库</w:t>
            </w:r>
            <w:r>
              <w:rPr>
                <w:rFonts w:eastAsiaTheme="minorEastAsia"/>
                <w:sz w:val="24"/>
              </w:rPr>
              <w:t>采取相应措施，以防止和降低污染物的跑、冒、滴、漏，将污染物泄漏的环境风险事故降到最低程度。</w:t>
            </w:r>
          </w:p>
          <w:p w14:paraId="3C77A515">
            <w:pPr>
              <w:spacing w:line="360" w:lineRule="auto"/>
              <w:ind w:firstLine="480"/>
              <w:jc w:val="left"/>
              <w:rPr>
                <w:rFonts w:eastAsiaTheme="minorEastAsia"/>
                <w:sz w:val="24"/>
              </w:rPr>
            </w:pPr>
            <w:r>
              <w:rPr>
                <w:rFonts w:eastAsiaTheme="minorEastAsia"/>
                <w:sz w:val="24"/>
              </w:rPr>
              <w:fldChar w:fldCharType="begin"/>
            </w:r>
            <w:r>
              <w:rPr>
                <w:rFonts w:eastAsiaTheme="minorEastAsia"/>
                <w:sz w:val="24"/>
              </w:rPr>
              <w:instrText xml:space="preserve"> = 2 \* GB3 </w:instrText>
            </w:r>
            <w:r>
              <w:rPr>
                <w:rFonts w:eastAsiaTheme="minorEastAsia"/>
                <w:sz w:val="24"/>
              </w:rPr>
              <w:fldChar w:fldCharType="separate"/>
            </w:r>
            <w:r>
              <w:rPr>
                <w:rFonts w:hint="eastAsia" w:ascii="宋体" w:hAnsi="宋体" w:cs="宋体"/>
                <w:sz w:val="24"/>
              </w:rPr>
              <w:t>②</w:t>
            </w:r>
            <w:r>
              <w:rPr>
                <w:rFonts w:eastAsiaTheme="minorEastAsia"/>
                <w:sz w:val="24"/>
              </w:rPr>
              <w:fldChar w:fldCharType="end"/>
            </w:r>
            <w:r>
              <w:rPr>
                <w:rFonts w:eastAsiaTheme="minorEastAsia"/>
                <w:sz w:val="24"/>
              </w:rPr>
              <w:t>严格固体废物管理，不接触外界降水，使其不产生淋滤液，严防污染物泄漏到地下水中。</w:t>
            </w:r>
          </w:p>
          <w:p w14:paraId="5504DD96">
            <w:pPr>
              <w:keepNext/>
              <w:keepLines/>
              <w:spacing w:line="360" w:lineRule="auto"/>
              <w:ind w:firstLine="354" w:firstLineChars="147"/>
              <w:outlineLvl w:val="2"/>
              <w:rPr>
                <w:rFonts w:eastAsiaTheme="minorEastAsia"/>
                <w:b/>
                <w:bCs/>
                <w:sz w:val="24"/>
                <w:szCs w:val="32"/>
              </w:rPr>
            </w:pPr>
            <w:r>
              <w:rPr>
                <w:rFonts w:eastAsiaTheme="minorEastAsia"/>
                <w:b/>
                <w:bCs/>
                <w:sz w:val="24"/>
                <w:szCs w:val="32"/>
              </w:rPr>
              <w:t>（2）分区防渗措施</w:t>
            </w:r>
          </w:p>
          <w:p w14:paraId="36B59DDB">
            <w:pPr>
              <w:adjustRightInd w:val="0"/>
              <w:snapToGrid w:val="0"/>
              <w:spacing w:line="360" w:lineRule="auto"/>
              <w:ind w:firstLine="480" w:firstLineChars="200"/>
              <w:jc w:val="left"/>
              <w:rPr>
                <w:rFonts w:eastAsiaTheme="minorEastAsia"/>
                <w:kern w:val="0"/>
                <w:sz w:val="24"/>
              </w:rPr>
            </w:pPr>
            <w:r>
              <w:rPr>
                <w:rFonts w:eastAsiaTheme="minorEastAsia"/>
                <w:kern w:val="0"/>
                <w:sz w:val="24"/>
              </w:rPr>
              <w:t>企业针对可能对地下水造成影响的各环节，按照</w:t>
            </w:r>
            <w:r>
              <w:rPr>
                <w:rFonts w:eastAsiaTheme="minorEastAsia"/>
                <w:sz w:val="24"/>
              </w:rPr>
              <w:t>《一般工业固体废物贮存和填埋污染控制标准》（GB18599-2020）</w:t>
            </w:r>
            <w:r>
              <w:rPr>
                <w:rFonts w:eastAsiaTheme="minorEastAsia"/>
                <w:kern w:val="0"/>
                <w:sz w:val="24"/>
              </w:rPr>
              <w:t>、</w:t>
            </w:r>
            <w:r>
              <w:rPr>
                <w:rFonts w:hint="eastAsia"/>
                <w:sz w:val="24"/>
                <w:szCs w:val="21"/>
              </w:rPr>
              <w:t>《危险废物贮存污染控制标准》（GB 18597-2023）</w:t>
            </w:r>
            <w:r>
              <w:rPr>
                <w:rFonts w:eastAsiaTheme="minorEastAsia"/>
                <w:kern w:val="0"/>
                <w:sz w:val="24"/>
              </w:rPr>
              <w:t>和《危险废物填埋污染控制标准》（GB18598-2019）等标准，将本项目划分为重点防渗区、</w:t>
            </w:r>
            <w:r>
              <w:rPr>
                <w:rFonts w:hint="eastAsia" w:eastAsiaTheme="minorEastAsia"/>
                <w:kern w:val="0"/>
                <w:sz w:val="24"/>
              </w:rPr>
              <w:t>一般</w:t>
            </w:r>
            <w:r>
              <w:rPr>
                <w:rFonts w:eastAsiaTheme="minorEastAsia"/>
                <w:kern w:val="0"/>
                <w:sz w:val="24"/>
              </w:rPr>
              <w:t>防渗区。</w:t>
            </w:r>
            <w:r>
              <w:rPr>
                <w:rFonts w:eastAsiaTheme="minorEastAsia"/>
                <w:sz w:val="24"/>
              </w:rPr>
              <w:t>本项目地下水、土壤分区防渗措施见下表。</w:t>
            </w:r>
          </w:p>
          <w:p w14:paraId="7075B6A5">
            <w:pPr>
              <w:keepNext w:val="0"/>
              <w:keepLines w:val="0"/>
              <w:pageBreakBefore w:val="0"/>
              <w:widowControl w:val="0"/>
              <w:kinsoku/>
              <w:wordWrap/>
              <w:overflowPunct/>
              <w:topLinePunct w:val="0"/>
              <w:autoSpaceDE w:val="0"/>
              <w:autoSpaceDN w:val="0"/>
              <w:bidi w:val="0"/>
              <w:adjustRightInd w:val="0"/>
              <w:snapToGrid/>
              <w:spacing w:beforeAutospacing="0" w:line="240" w:lineRule="auto"/>
              <w:jc w:val="center"/>
              <w:textAlignment w:val="auto"/>
              <w:rPr>
                <w:rFonts w:eastAsiaTheme="minorEastAsia"/>
                <w:b/>
                <w:sz w:val="24"/>
              </w:rPr>
            </w:pPr>
            <w:r>
              <w:rPr>
                <w:rFonts w:eastAsiaTheme="minorEastAsia"/>
                <w:b/>
                <w:sz w:val="24"/>
              </w:rPr>
              <w:t>表4-</w:t>
            </w:r>
            <w:r>
              <w:rPr>
                <w:rFonts w:hint="eastAsia" w:eastAsiaTheme="minorEastAsia"/>
                <w:b/>
                <w:sz w:val="24"/>
                <w:lang w:val="en-US" w:eastAsia="zh-CN"/>
              </w:rPr>
              <w:t>15</w:t>
            </w:r>
            <w:r>
              <w:rPr>
                <w:rFonts w:eastAsiaTheme="minorEastAsia"/>
                <w:b/>
                <w:sz w:val="24"/>
              </w:rPr>
              <w:t xml:space="preserve">  分区防渗措施一览表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3839"/>
              <w:gridCol w:w="3572"/>
            </w:tblGrid>
            <w:tr w14:paraId="629DB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08" w:type="pct"/>
                  <w:tcBorders>
                    <w:tl2br w:val="nil"/>
                    <w:tr2bl w:val="nil"/>
                  </w:tcBorders>
                  <w:shd w:val="clear" w:color="auto" w:fill="auto"/>
                  <w:noWrap/>
                  <w:vAlign w:val="center"/>
                </w:tcPr>
                <w:p w14:paraId="6EECBAD8">
                  <w:pPr>
                    <w:widowControl/>
                    <w:jc w:val="center"/>
                    <w:rPr>
                      <w:rFonts w:eastAsiaTheme="minorEastAsia"/>
                      <w:b/>
                      <w:kern w:val="0"/>
                      <w:szCs w:val="21"/>
                    </w:rPr>
                  </w:pPr>
                  <w:r>
                    <w:rPr>
                      <w:rFonts w:eastAsiaTheme="minorEastAsia"/>
                      <w:b/>
                      <w:kern w:val="0"/>
                      <w:szCs w:val="21"/>
                    </w:rPr>
                    <w:t>污染区</w:t>
                  </w:r>
                </w:p>
              </w:tc>
              <w:tc>
                <w:tcPr>
                  <w:tcW w:w="2275" w:type="pct"/>
                  <w:tcBorders>
                    <w:tl2br w:val="nil"/>
                    <w:tr2bl w:val="nil"/>
                  </w:tcBorders>
                  <w:shd w:val="clear" w:color="auto" w:fill="auto"/>
                  <w:noWrap/>
                  <w:vAlign w:val="center"/>
                </w:tcPr>
                <w:p w14:paraId="0AC8E7AF">
                  <w:pPr>
                    <w:widowControl/>
                    <w:jc w:val="center"/>
                    <w:rPr>
                      <w:rFonts w:eastAsiaTheme="minorEastAsia"/>
                      <w:b/>
                      <w:kern w:val="0"/>
                      <w:szCs w:val="21"/>
                    </w:rPr>
                  </w:pPr>
                  <w:r>
                    <w:rPr>
                      <w:rFonts w:eastAsiaTheme="minorEastAsia"/>
                      <w:b/>
                      <w:kern w:val="0"/>
                      <w:szCs w:val="21"/>
                    </w:rPr>
                    <w:t>构筑物名称</w:t>
                  </w:r>
                </w:p>
              </w:tc>
              <w:tc>
                <w:tcPr>
                  <w:tcW w:w="2117" w:type="pct"/>
                  <w:tcBorders>
                    <w:tl2br w:val="nil"/>
                    <w:tr2bl w:val="nil"/>
                  </w:tcBorders>
                  <w:vAlign w:val="center"/>
                </w:tcPr>
                <w:p w14:paraId="586CD7C0">
                  <w:pPr>
                    <w:widowControl/>
                    <w:jc w:val="center"/>
                    <w:rPr>
                      <w:rFonts w:eastAsiaTheme="minorEastAsia"/>
                      <w:b/>
                      <w:kern w:val="0"/>
                      <w:szCs w:val="21"/>
                    </w:rPr>
                  </w:pPr>
                  <w:r>
                    <w:rPr>
                      <w:rFonts w:eastAsiaTheme="minorEastAsia"/>
                      <w:b/>
                      <w:kern w:val="0"/>
                      <w:szCs w:val="21"/>
                    </w:rPr>
                    <w:t>防渗技术要求</w:t>
                  </w:r>
                </w:p>
              </w:tc>
            </w:tr>
            <w:tr w14:paraId="6C6CB0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08" w:type="pct"/>
                  <w:tcBorders>
                    <w:tl2br w:val="nil"/>
                    <w:tr2bl w:val="nil"/>
                  </w:tcBorders>
                  <w:shd w:val="clear" w:color="auto" w:fill="auto"/>
                  <w:noWrap/>
                  <w:vAlign w:val="center"/>
                </w:tcPr>
                <w:p w14:paraId="58652084">
                  <w:pPr>
                    <w:widowControl/>
                    <w:jc w:val="center"/>
                    <w:rPr>
                      <w:szCs w:val="21"/>
                    </w:rPr>
                  </w:pPr>
                  <w:r>
                    <w:rPr>
                      <w:rFonts w:hint="eastAsia"/>
                      <w:szCs w:val="21"/>
                    </w:rPr>
                    <w:t>一般</w:t>
                  </w:r>
                </w:p>
                <w:p w14:paraId="3A9D5B0B">
                  <w:pPr>
                    <w:widowControl/>
                    <w:jc w:val="center"/>
                    <w:rPr>
                      <w:rFonts w:eastAsiaTheme="minorEastAsia"/>
                      <w:b/>
                      <w:kern w:val="0"/>
                      <w:szCs w:val="21"/>
                    </w:rPr>
                  </w:pPr>
                  <w:r>
                    <w:rPr>
                      <w:rFonts w:hint="eastAsia"/>
                      <w:szCs w:val="21"/>
                    </w:rPr>
                    <w:t>防渗区</w:t>
                  </w:r>
                </w:p>
              </w:tc>
              <w:tc>
                <w:tcPr>
                  <w:tcW w:w="2275" w:type="pct"/>
                  <w:tcBorders>
                    <w:tl2br w:val="nil"/>
                    <w:tr2bl w:val="nil"/>
                  </w:tcBorders>
                  <w:shd w:val="clear" w:color="auto" w:fill="auto"/>
                  <w:noWrap/>
                  <w:vAlign w:val="center"/>
                </w:tcPr>
                <w:p w14:paraId="41BA8ED6">
                  <w:pPr>
                    <w:widowControl/>
                    <w:jc w:val="center"/>
                    <w:rPr>
                      <w:rFonts w:eastAsiaTheme="minorEastAsia"/>
                      <w:b/>
                      <w:kern w:val="0"/>
                      <w:szCs w:val="21"/>
                    </w:rPr>
                  </w:pPr>
                  <w:r>
                    <w:rPr>
                      <w:rFonts w:hint="eastAsia" w:eastAsiaTheme="minorEastAsia"/>
                      <w:szCs w:val="21"/>
                    </w:rPr>
                    <w:t>生产区、其他仓库区域</w:t>
                  </w:r>
                </w:p>
              </w:tc>
              <w:tc>
                <w:tcPr>
                  <w:tcW w:w="2117" w:type="pct"/>
                  <w:tcBorders>
                    <w:tl2br w:val="nil"/>
                    <w:tr2bl w:val="nil"/>
                  </w:tcBorders>
                  <w:vAlign w:val="center"/>
                </w:tcPr>
                <w:p w14:paraId="2D06796A">
                  <w:pPr>
                    <w:widowControl/>
                    <w:jc w:val="center"/>
                    <w:rPr>
                      <w:rFonts w:eastAsiaTheme="minorEastAsia"/>
                      <w:b/>
                      <w:kern w:val="0"/>
                      <w:szCs w:val="21"/>
                    </w:rPr>
                  </w:pPr>
                  <w:r>
                    <w:rPr>
                      <w:rFonts w:eastAsiaTheme="minorEastAsia"/>
                      <w:kern w:val="0"/>
                      <w:szCs w:val="21"/>
                    </w:rPr>
                    <w:t>等效黏土防渗层Mb≥1.5m，K≤10</w:t>
                  </w:r>
                  <w:r>
                    <w:rPr>
                      <w:rFonts w:eastAsiaTheme="minorEastAsia"/>
                      <w:kern w:val="0"/>
                      <w:szCs w:val="21"/>
                      <w:vertAlign w:val="superscript"/>
                    </w:rPr>
                    <w:t>-7</w:t>
                  </w:r>
                  <w:r>
                    <w:rPr>
                      <w:rFonts w:eastAsiaTheme="minorEastAsia"/>
                      <w:kern w:val="0"/>
                      <w:szCs w:val="21"/>
                    </w:rPr>
                    <w:t>cm/s；或参照GB16889执行</w:t>
                  </w:r>
                </w:p>
              </w:tc>
            </w:tr>
            <w:tr w14:paraId="0151E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08" w:type="pct"/>
                  <w:tcBorders>
                    <w:tl2br w:val="nil"/>
                    <w:tr2bl w:val="nil"/>
                  </w:tcBorders>
                  <w:shd w:val="clear" w:color="auto" w:fill="auto"/>
                  <w:noWrap/>
                  <w:vAlign w:val="center"/>
                </w:tcPr>
                <w:p w14:paraId="20CB35C8">
                  <w:pPr>
                    <w:jc w:val="center"/>
                    <w:rPr>
                      <w:rFonts w:eastAsiaTheme="minorEastAsia"/>
                      <w:szCs w:val="21"/>
                    </w:rPr>
                  </w:pPr>
                  <w:r>
                    <w:rPr>
                      <w:rFonts w:eastAsiaTheme="minorEastAsia"/>
                      <w:szCs w:val="21"/>
                    </w:rPr>
                    <w:t>重点</w:t>
                  </w:r>
                </w:p>
                <w:p w14:paraId="2EDB0569">
                  <w:pPr>
                    <w:jc w:val="center"/>
                    <w:rPr>
                      <w:rFonts w:eastAsiaTheme="minorEastAsia"/>
                      <w:kern w:val="0"/>
                      <w:szCs w:val="21"/>
                    </w:rPr>
                  </w:pPr>
                  <w:r>
                    <w:rPr>
                      <w:rFonts w:eastAsiaTheme="minorEastAsia"/>
                      <w:szCs w:val="21"/>
                    </w:rPr>
                    <w:t>防渗区</w:t>
                  </w:r>
                </w:p>
              </w:tc>
              <w:tc>
                <w:tcPr>
                  <w:tcW w:w="2275" w:type="pct"/>
                  <w:tcBorders>
                    <w:tl2br w:val="nil"/>
                    <w:tr2bl w:val="nil"/>
                  </w:tcBorders>
                  <w:shd w:val="clear" w:color="auto" w:fill="auto"/>
                  <w:noWrap/>
                  <w:vAlign w:val="center"/>
                </w:tcPr>
                <w:p w14:paraId="236B5920">
                  <w:pPr>
                    <w:adjustRightInd w:val="0"/>
                    <w:jc w:val="center"/>
                    <w:rPr>
                      <w:rFonts w:hint="default" w:eastAsiaTheme="minorEastAsia"/>
                      <w:szCs w:val="21"/>
                      <w:lang w:val="en-US" w:eastAsia="zh-CN"/>
                    </w:rPr>
                  </w:pPr>
                  <w:r>
                    <w:rPr>
                      <w:rFonts w:hint="eastAsia" w:eastAsiaTheme="minorEastAsia"/>
                      <w:szCs w:val="21"/>
                    </w:rPr>
                    <w:t>危废暂存库、</w:t>
                  </w:r>
                  <w:r>
                    <w:rPr>
                      <w:rFonts w:hint="eastAsia" w:eastAsiaTheme="minorEastAsia"/>
                      <w:szCs w:val="21"/>
                      <w:lang w:val="en-US" w:eastAsia="zh-CN"/>
                    </w:rPr>
                    <w:t>原料区</w:t>
                  </w:r>
                </w:p>
              </w:tc>
              <w:tc>
                <w:tcPr>
                  <w:tcW w:w="2117" w:type="pct"/>
                  <w:tcBorders>
                    <w:tl2br w:val="nil"/>
                    <w:tr2bl w:val="nil"/>
                  </w:tcBorders>
                  <w:vAlign w:val="center"/>
                </w:tcPr>
                <w:p w14:paraId="6846DB24">
                  <w:pPr>
                    <w:jc w:val="center"/>
                    <w:rPr>
                      <w:rFonts w:eastAsiaTheme="minorEastAsia"/>
                      <w:kern w:val="0"/>
                      <w:szCs w:val="21"/>
                    </w:rPr>
                  </w:pPr>
                  <w:r>
                    <w:rPr>
                      <w:rFonts w:eastAsiaTheme="minorEastAsia"/>
                      <w:kern w:val="0"/>
                      <w:szCs w:val="21"/>
                    </w:rPr>
                    <w:t>等效黏土防渗层Mb≥6.0m，K≤10</w:t>
                  </w:r>
                  <w:r>
                    <w:rPr>
                      <w:rFonts w:eastAsiaTheme="minorEastAsia"/>
                      <w:kern w:val="0"/>
                      <w:szCs w:val="21"/>
                      <w:vertAlign w:val="superscript"/>
                    </w:rPr>
                    <w:t>-7</w:t>
                  </w:r>
                  <w:r>
                    <w:rPr>
                      <w:rFonts w:eastAsiaTheme="minorEastAsia"/>
                      <w:kern w:val="0"/>
                      <w:szCs w:val="21"/>
                    </w:rPr>
                    <w:t>cm/s；或参照GB18598执行</w:t>
                  </w:r>
                </w:p>
              </w:tc>
            </w:tr>
          </w:tbl>
          <w:p w14:paraId="3F492903">
            <w:pPr>
              <w:keepNext w:val="0"/>
              <w:keepLines w:val="0"/>
              <w:pageBreakBefore w:val="0"/>
              <w:widowControl/>
              <w:kinsoku/>
              <w:wordWrap/>
              <w:overflowPunct/>
              <w:topLinePunct w:val="0"/>
              <w:autoSpaceDE/>
              <w:autoSpaceDN/>
              <w:bidi w:val="0"/>
              <w:adjustRightInd/>
              <w:snapToGrid/>
              <w:spacing w:beforeAutospacing="0" w:line="360" w:lineRule="auto"/>
              <w:ind w:firstLine="480" w:firstLineChars="200"/>
              <w:textAlignment w:val="auto"/>
              <w:rPr>
                <w:rFonts w:eastAsiaTheme="minorEastAsia"/>
                <w:sz w:val="24"/>
              </w:rPr>
            </w:pPr>
            <w:r>
              <w:rPr>
                <w:rFonts w:eastAsiaTheme="minorEastAsia"/>
                <w:sz w:val="24"/>
              </w:rPr>
              <w:t>在采取以上分区防渗措施后，可有效预防项目对地下水和土壤污染的发生。</w:t>
            </w:r>
          </w:p>
          <w:p w14:paraId="74B7232B">
            <w:pPr>
              <w:widowControl/>
              <w:spacing w:line="360" w:lineRule="auto"/>
              <w:ind w:firstLine="482" w:firstLineChars="200"/>
              <w:rPr>
                <w:b/>
                <w:kern w:val="0"/>
                <w:sz w:val="24"/>
              </w:rPr>
            </w:pPr>
            <w:r>
              <w:rPr>
                <w:rFonts w:hint="eastAsia" w:cs="宋体"/>
                <w:b/>
                <w:bCs/>
                <w:sz w:val="24"/>
              </w:rPr>
              <w:t>六、</w:t>
            </w:r>
            <w:r>
              <w:rPr>
                <w:rFonts w:hint="eastAsia"/>
                <w:b/>
                <w:kern w:val="0"/>
                <w:sz w:val="24"/>
              </w:rPr>
              <w:t>环境风险分析</w:t>
            </w:r>
          </w:p>
          <w:p w14:paraId="30CD0E13">
            <w:pPr>
              <w:keepNext/>
              <w:keepLines/>
              <w:spacing w:line="360" w:lineRule="auto"/>
              <w:ind w:firstLine="590" w:firstLineChars="245"/>
              <w:outlineLvl w:val="2"/>
              <w:rPr>
                <w:b/>
                <w:bCs/>
                <w:sz w:val="24"/>
                <w:szCs w:val="32"/>
              </w:rPr>
            </w:pPr>
            <w:r>
              <w:rPr>
                <w:rFonts w:hint="eastAsia"/>
                <w:b/>
                <w:bCs/>
                <w:sz w:val="24"/>
                <w:szCs w:val="32"/>
              </w:rPr>
              <w:t>1、</w:t>
            </w:r>
            <w:r>
              <w:rPr>
                <w:b/>
                <w:bCs/>
                <w:sz w:val="24"/>
                <w:szCs w:val="32"/>
              </w:rPr>
              <w:t>风险</w:t>
            </w:r>
            <w:r>
              <w:rPr>
                <w:rFonts w:hint="eastAsia"/>
                <w:b/>
                <w:bCs/>
                <w:sz w:val="24"/>
                <w:szCs w:val="32"/>
              </w:rPr>
              <w:t>源调查</w:t>
            </w:r>
          </w:p>
          <w:p w14:paraId="45A1C6A5">
            <w:pPr>
              <w:autoSpaceDE w:val="0"/>
              <w:autoSpaceDN w:val="0"/>
              <w:spacing w:line="360" w:lineRule="auto"/>
              <w:ind w:firstLine="480" w:firstLineChars="200"/>
              <w:jc w:val="left"/>
              <w:rPr>
                <w:rFonts w:eastAsiaTheme="minorEastAsia"/>
                <w:sz w:val="24"/>
              </w:rPr>
            </w:pPr>
            <w:r>
              <w:rPr>
                <w:rFonts w:eastAsiaTheme="minorEastAsia"/>
                <w:sz w:val="24"/>
              </w:rPr>
              <w:t>本次评价将针对本项目涉及的原辅材料、三废、产品等进行物质危险性识别，根据《建设项目环境风险评价技术导则》（HJ/T169-2018）附录B，本项目存在危险性的主要物质为</w:t>
            </w:r>
            <w:r>
              <w:rPr>
                <w:rFonts w:hint="eastAsia" w:eastAsiaTheme="minorEastAsia"/>
                <w:sz w:val="24"/>
                <w:lang w:val="en-US" w:eastAsia="zh-CN"/>
              </w:rPr>
              <w:t>拉延油、</w:t>
            </w:r>
            <w:r>
              <w:rPr>
                <w:sz w:val="24"/>
              </w:rPr>
              <w:t>润滑油和</w:t>
            </w:r>
            <w:r>
              <w:rPr>
                <w:rFonts w:hint="eastAsia"/>
                <w:sz w:val="24"/>
                <w:lang w:val="en-US" w:eastAsia="zh-CN"/>
              </w:rPr>
              <w:t>危险废物等</w:t>
            </w:r>
            <w:r>
              <w:rPr>
                <w:rFonts w:eastAsiaTheme="minorEastAsia"/>
                <w:sz w:val="24"/>
              </w:rPr>
              <w:t>。</w:t>
            </w:r>
          </w:p>
          <w:p w14:paraId="6A4E7650">
            <w:pPr>
              <w:keepNext/>
              <w:spacing w:line="360" w:lineRule="auto"/>
              <w:ind w:firstLine="475" w:firstLineChars="197"/>
              <w:outlineLvl w:val="1"/>
              <w:rPr>
                <w:b/>
                <w:bCs/>
                <w:sz w:val="24"/>
              </w:rPr>
            </w:pPr>
            <w:bookmarkStart w:id="9" w:name="_Toc60652801"/>
            <w:bookmarkStart w:id="10" w:name="_Toc63415121"/>
            <w:r>
              <w:rPr>
                <w:rFonts w:hint="eastAsia"/>
                <w:b/>
                <w:bCs/>
                <w:sz w:val="24"/>
              </w:rPr>
              <w:t>2、</w:t>
            </w:r>
            <w:r>
              <w:rPr>
                <w:b/>
                <w:bCs/>
                <w:sz w:val="24"/>
              </w:rPr>
              <w:t>风险潜势初判</w:t>
            </w:r>
            <w:bookmarkEnd w:id="9"/>
            <w:bookmarkEnd w:id="10"/>
          </w:p>
          <w:p w14:paraId="5F1DDB1D">
            <w:pPr>
              <w:autoSpaceDE w:val="0"/>
              <w:autoSpaceDN w:val="0"/>
              <w:spacing w:line="360" w:lineRule="auto"/>
              <w:ind w:firstLine="480" w:firstLineChars="200"/>
              <w:jc w:val="left"/>
              <w:rPr>
                <w:sz w:val="24"/>
              </w:rPr>
            </w:pPr>
            <w:r>
              <w:rPr>
                <w:sz w:val="24"/>
              </w:rPr>
              <w:t>（1）危险物质数量与临界量比值（Q）</w:t>
            </w:r>
          </w:p>
          <w:p w14:paraId="176BD1A3">
            <w:pPr>
              <w:autoSpaceDE w:val="0"/>
              <w:autoSpaceDN w:val="0"/>
              <w:spacing w:line="360" w:lineRule="auto"/>
              <w:ind w:firstLine="480" w:firstLineChars="200"/>
              <w:jc w:val="left"/>
              <w:rPr>
                <w:sz w:val="24"/>
              </w:rPr>
            </w:pPr>
            <w:r>
              <w:rPr>
                <w:sz w:val="24"/>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1E56157C">
            <w:pPr>
              <w:autoSpaceDE w:val="0"/>
              <w:autoSpaceDN w:val="0"/>
              <w:spacing w:line="360" w:lineRule="auto"/>
              <w:ind w:firstLine="480" w:firstLineChars="200"/>
              <w:jc w:val="left"/>
              <w:rPr>
                <w:sz w:val="24"/>
              </w:rPr>
            </w:pPr>
            <w:r>
              <w:rPr>
                <w:sz w:val="24"/>
              </w:rPr>
              <w:t>当只涉及一种危险物质时，计算该物质的总量与其临界量比值，即为Q；</w:t>
            </w:r>
          </w:p>
          <w:p w14:paraId="67830385">
            <w:pPr>
              <w:autoSpaceDE w:val="0"/>
              <w:autoSpaceDN w:val="0"/>
              <w:spacing w:line="360" w:lineRule="auto"/>
              <w:ind w:firstLine="480" w:firstLineChars="200"/>
              <w:jc w:val="left"/>
              <w:rPr>
                <w:kern w:val="0"/>
                <w:sz w:val="24"/>
              </w:rPr>
            </w:pPr>
            <w:r>
              <w:rPr>
                <w:kern w:val="0"/>
                <w:sz w:val="24"/>
              </w:rPr>
              <w:pict>
                <v:shape id="_x0000_s1037" o:spid="_x0000_s1037" o:spt="75" type="#_x0000_t75" style="position:absolute;left:0pt;margin-left:145.65pt;margin-top:25.7pt;height:39.7pt;width:141.25pt;mso-wrap-distance-bottom:0pt;mso-wrap-distance-top:0pt;z-index:251660288;mso-width-relative:page;mso-height-relative:page;" o:ole="t" filled="f" o:preferrelative="t" stroked="f" coordsize="21600,21600">
                  <v:path/>
                  <v:fill on="f" focussize="0,0"/>
                  <v:stroke on="f" joinstyle="miter"/>
                  <v:imagedata r:id="rId20" o:title=""/>
                  <o:lock v:ext="edit" aspectratio="t"/>
                  <w10:wrap type="topAndBottom"/>
                </v:shape>
                <o:OLEObject Type="Embed" ProgID="Equation.DSMT4" ShapeID="_x0000_s1037" DrawAspect="Content" ObjectID="_1468075727" r:id="rId19">
                  <o:LockedField>false</o:LockedField>
                </o:OLEObject>
              </w:pict>
            </w:r>
            <w:r>
              <w:rPr>
                <w:sz w:val="24"/>
              </w:rPr>
              <w:t>当存在多种危险物质时，则按式下式计算物质总量与其临界量比值(Q)：</w:t>
            </w:r>
          </w:p>
          <w:p w14:paraId="282AFE7A">
            <w:pPr>
              <w:spacing w:before="120" w:beforeLines="50" w:line="360" w:lineRule="auto"/>
              <w:ind w:firstLine="482"/>
              <w:rPr>
                <w:sz w:val="24"/>
              </w:rPr>
            </w:pPr>
            <w:r>
              <w:rPr>
                <w:sz w:val="24"/>
              </w:rPr>
              <w:t>式中：q</w:t>
            </w:r>
            <w:r>
              <w:rPr>
                <w:sz w:val="24"/>
                <w:vertAlign w:val="subscript"/>
              </w:rPr>
              <w:t>1</w:t>
            </w:r>
            <w:r>
              <w:rPr>
                <w:sz w:val="24"/>
              </w:rPr>
              <w:t>，q</w:t>
            </w:r>
            <w:r>
              <w:rPr>
                <w:sz w:val="24"/>
                <w:vertAlign w:val="subscript"/>
              </w:rPr>
              <w:t>2</w:t>
            </w:r>
            <w:r>
              <w:rPr>
                <w:sz w:val="24"/>
              </w:rPr>
              <w:t>…，q</w:t>
            </w:r>
            <w:r>
              <w:rPr>
                <w:sz w:val="24"/>
                <w:vertAlign w:val="subscript"/>
              </w:rPr>
              <w:t>n</w:t>
            </w:r>
            <w:r>
              <w:rPr>
                <w:sz w:val="24"/>
              </w:rPr>
              <w:t>为每种危险物质的最大存在总量，t。</w:t>
            </w:r>
          </w:p>
          <w:p w14:paraId="14715D26">
            <w:pPr>
              <w:spacing w:line="360" w:lineRule="auto"/>
              <w:ind w:firstLine="1200" w:firstLineChars="500"/>
              <w:rPr>
                <w:sz w:val="24"/>
              </w:rPr>
            </w:pPr>
            <w:r>
              <w:rPr>
                <w:sz w:val="24"/>
              </w:rPr>
              <w:t>Q</w:t>
            </w:r>
            <w:r>
              <w:rPr>
                <w:sz w:val="24"/>
                <w:vertAlign w:val="subscript"/>
              </w:rPr>
              <w:t>1</w:t>
            </w:r>
            <w:r>
              <w:rPr>
                <w:sz w:val="24"/>
              </w:rPr>
              <w:t>，Q</w:t>
            </w:r>
            <w:r>
              <w:rPr>
                <w:sz w:val="24"/>
                <w:vertAlign w:val="subscript"/>
              </w:rPr>
              <w:t>2</w:t>
            </w:r>
            <w:r>
              <w:rPr>
                <w:sz w:val="24"/>
              </w:rPr>
              <w:t>…Q</w:t>
            </w:r>
            <w:r>
              <w:rPr>
                <w:sz w:val="24"/>
                <w:vertAlign w:val="subscript"/>
              </w:rPr>
              <w:t>n</w:t>
            </w:r>
            <w:r>
              <w:rPr>
                <w:sz w:val="24"/>
              </w:rPr>
              <w:t>为每种危险物质的临界量，t。</w:t>
            </w:r>
          </w:p>
          <w:p w14:paraId="5C0F3193">
            <w:pPr>
              <w:spacing w:line="360" w:lineRule="auto"/>
              <w:ind w:firstLine="482"/>
              <w:rPr>
                <w:sz w:val="24"/>
              </w:rPr>
            </w:pPr>
            <w:r>
              <w:rPr>
                <w:sz w:val="24"/>
              </w:rPr>
              <w:t>当Q＜1时，该项目环境风险潜势为</w:t>
            </w:r>
            <w:r>
              <w:rPr>
                <w:sz w:val="24"/>
              </w:rPr>
              <w:fldChar w:fldCharType="begin"/>
            </w:r>
            <w:r>
              <w:rPr>
                <w:sz w:val="24"/>
              </w:rPr>
              <w:instrText xml:space="preserve"> = 1 \* ROMAN </w:instrText>
            </w:r>
            <w:r>
              <w:rPr>
                <w:sz w:val="24"/>
              </w:rPr>
              <w:fldChar w:fldCharType="separate"/>
            </w:r>
            <w:r>
              <w:rPr>
                <w:sz w:val="24"/>
              </w:rPr>
              <w:t>I</w:t>
            </w:r>
            <w:r>
              <w:rPr>
                <w:sz w:val="24"/>
              </w:rPr>
              <w:fldChar w:fldCharType="end"/>
            </w:r>
            <w:r>
              <w:rPr>
                <w:sz w:val="24"/>
              </w:rPr>
              <w:t>。</w:t>
            </w:r>
          </w:p>
          <w:p w14:paraId="4DEDCC23">
            <w:pPr>
              <w:autoSpaceDE w:val="0"/>
              <w:autoSpaceDN w:val="0"/>
              <w:adjustRightInd w:val="0"/>
              <w:spacing w:line="360" w:lineRule="auto"/>
              <w:ind w:firstLine="480" w:firstLineChars="200"/>
              <w:jc w:val="left"/>
              <w:rPr>
                <w:sz w:val="24"/>
              </w:rPr>
            </w:pPr>
            <w:r>
              <w:rPr>
                <w:sz w:val="24"/>
              </w:rPr>
              <w:t>当Q≥1时，将Q值划分为（1）1≤Q＜10；（2）10≤Q＜100；（3）Q≥100。</w:t>
            </w:r>
          </w:p>
          <w:p w14:paraId="36BD3E98">
            <w:pPr>
              <w:autoSpaceDE w:val="0"/>
              <w:autoSpaceDN w:val="0"/>
              <w:adjustRightInd w:val="0"/>
              <w:spacing w:line="360" w:lineRule="auto"/>
              <w:ind w:firstLine="480" w:firstLineChars="200"/>
              <w:jc w:val="left"/>
              <w:rPr>
                <w:sz w:val="24"/>
              </w:rPr>
            </w:pPr>
            <w:r>
              <w:rPr>
                <w:rFonts w:hint="eastAsia"/>
                <w:sz w:val="24"/>
              </w:rPr>
              <w:t>根据《建设项目环境风险评价技术导则》相关要求，结合本项目涉及的突发环境事件风险物质及临界量，其中</w:t>
            </w:r>
            <w:r>
              <w:rPr>
                <w:sz w:val="24"/>
              </w:rPr>
              <w:t xml:space="preserve"> Qi </w:t>
            </w:r>
            <w:r>
              <w:rPr>
                <w:rFonts w:hint="eastAsia"/>
                <w:sz w:val="24"/>
              </w:rPr>
              <w:t>值取值来源《建设项目环境风险评价技术导则》（</w:t>
            </w:r>
            <w:r>
              <w:rPr>
                <w:sz w:val="24"/>
              </w:rPr>
              <w:t>HJ/T169-2018</w:t>
            </w:r>
            <w:r>
              <w:rPr>
                <w:rFonts w:hint="eastAsia"/>
                <w:sz w:val="24"/>
              </w:rPr>
              <w:t>）附录</w:t>
            </w:r>
            <w:r>
              <w:rPr>
                <w:sz w:val="24"/>
              </w:rPr>
              <w:t>B</w:t>
            </w:r>
            <w:r>
              <w:rPr>
                <w:rFonts w:hint="eastAsia"/>
                <w:sz w:val="24"/>
              </w:rPr>
              <w:t>，表</w:t>
            </w:r>
            <w:r>
              <w:rPr>
                <w:sz w:val="24"/>
              </w:rPr>
              <w:t xml:space="preserve">B.1 </w:t>
            </w:r>
            <w:r>
              <w:rPr>
                <w:rFonts w:hint="eastAsia"/>
                <w:sz w:val="24"/>
              </w:rPr>
              <w:t>突发环境风险物质及临界量。拟建项目生产过程中所需各种物料的贮存量、临界量及危险识别结果见下表所示。</w:t>
            </w:r>
          </w:p>
          <w:p w14:paraId="15172BEE">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16</w:t>
            </w:r>
            <w:r>
              <w:rPr>
                <w:b/>
                <w:kern w:val="0"/>
                <w:sz w:val="24"/>
              </w:rPr>
              <w:t xml:space="preserve"> </w:t>
            </w:r>
            <w:r>
              <w:rPr>
                <w:rFonts w:hint="eastAsia"/>
                <w:b/>
                <w:kern w:val="0"/>
                <w:sz w:val="24"/>
              </w:rPr>
              <w:t xml:space="preserve"> 本项目Q值确定</w:t>
            </w:r>
            <w:r>
              <w:rPr>
                <w:b/>
                <w:kern w:val="0"/>
                <w:sz w:val="24"/>
              </w:rPr>
              <w:t>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1423"/>
              <w:gridCol w:w="919"/>
              <w:gridCol w:w="1350"/>
              <w:gridCol w:w="970"/>
              <w:gridCol w:w="1273"/>
              <w:gridCol w:w="876"/>
              <w:gridCol w:w="1111"/>
            </w:tblGrid>
            <w:tr w14:paraId="6CBD3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14" w:type="dxa"/>
                  <w:tcBorders>
                    <w:tl2br w:val="nil"/>
                    <w:tr2bl w:val="nil"/>
                  </w:tcBorders>
                  <w:shd w:val="clear" w:color="auto" w:fill="auto"/>
                  <w:vAlign w:val="center"/>
                </w:tcPr>
                <w:p w14:paraId="34FD13B7">
                  <w:pPr>
                    <w:pStyle w:val="178"/>
                    <w:spacing w:line="240" w:lineRule="auto"/>
                    <w:rPr>
                      <w:b/>
                      <w:lang w:val="zh-CN"/>
                    </w:rPr>
                  </w:pPr>
                  <w:r>
                    <w:rPr>
                      <w:b/>
                      <w:lang w:val="zh-CN"/>
                    </w:rPr>
                    <w:t>序号</w:t>
                  </w:r>
                </w:p>
              </w:tc>
              <w:tc>
                <w:tcPr>
                  <w:tcW w:w="1421" w:type="dxa"/>
                  <w:tcBorders>
                    <w:tl2br w:val="nil"/>
                    <w:tr2bl w:val="nil"/>
                  </w:tcBorders>
                  <w:shd w:val="clear" w:color="auto" w:fill="auto"/>
                  <w:vAlign w:val="center"/>
                </w:tcPr>
                <w:p w14:paraId="6BEA2D8B">
                  <w:pPr>
                    <w:pStyle w:val="178"/>
                    <w:spacing w:line="240" w:lineRule="auto"/>
                    <w:rPr>
                      <w:b/>
                      <w:lang w:val="zh-CN"/>
                    </w:rPr>
                  </w:pPr>
                  <w:r>
                    <w:rPr>
                      <w:b/>
                      <w:lang w:val="zh-CN"/>
                    </w:rPr>
                    <w:t>危险物质名称</w:t>
                  </w:r>
                </w:p>
              </w:tc>
              <w:tc>
                <w:tcPr>
                  <w:tcW w:w="918" w:type="dxa"/>
                  <w:tcBorders>
                    <w:tl2br w:val="nil"/>
                    <w:tr2bl w:val="nil"/>
                  </w:tcBorders>
                  <w:shd w:val="clear" w:color="auto" w:fill="auto"/>
                  <w:vAlign w:val="center"/>
                </w:tcPr>
                <w:p w14:paraId="11E21413">
                  <w:pPr>
                    <w:pStyle w:val="178"/>
                    <w:spacing w:line="240" w:lineRule="auto"/>
                    <w:rPr>
                      <w:b/>
                      <w:lang w:val="zh-CN"/>
                    </w:rPr>
                  </w:pPr>
                  <w:r>
                    <w:rPr>
                      <w:b/>
                      <w:lang w:val="zh-CN"/>
                    </w:rPr>
                    <w:t>CAS号</w:t>
                  </w:r>
                </w:p>
              </w:tc>
              <w:tc>
                <w:tcPr>
                  <w:tcW w:w="1348" w:type="dxa"/>
                  <w:tcBorders>
                    <w:tl2br w:val="nil"/>
                    <w:tr2bl w:val="nil"/>
                  </w:tcBorders>
                  <w:shd w:val="clear" w:color="auto" w:fill="auto"/>
                  <w:vAlign w:val="center"/>
                </w:tcPr>
                <w:p w14:paraId="2928EA01">
                  <w:pPr>
                    <w:pStyle w:val="178"/>
                    <w:spacing w:line="240" w:lineRule="auto"/>
                    <w:rPr>
                      <w:b/>
                      <w:lang w:val="zh-CN"/>
                    </w:rPr>
                  </w:pPr>
                  <w:r>
                    <w:rPr>
                      <w:b/>
                      <w:lang w:val="zh-CN"/>
                    </w:rPr>
                    <w:t>贮存区最大暂存总量t</w:t>
                  </w:r>
                </w:p>
              </w:tc>
              <w:tc>
                <w:tcPr>
                  <w:tcW w:w="969" w:type="dxa"/>
                  <w:tcBorders>
                    <w:tl2br w:val="nil"/>
                    <w:tr2bl w:val="nil"/>
                  </w:tcBorders>
                  <w:shd w:val="clear" w:color="auto" w:fill="auto"/>
                  <w:vAlign w:val="center"/>
                </w:tcPr>
                <w:p w14:paraId="21A5FEAF">
                  <w:pPr>
                    <w:pStyle w:val="178"/>
                    <w:spacing w:line="240" w:lineRule="auto"/>
                    <w:rPr>
                      <w:b/>
                      <w:lang w:val="zh-CN"/>
                    </w:rPr>
                  </w:pPr>
                  <w:r>
                    <w:rPr>
                      <w:b/>
                      <w:lang w:val="zh-CN"/>
                    </w:rPr>
                    <w:t>最大在线量t</w:t>
                  </w:r>
                </w:p>
              </w:tc>
              <w:tc>
                <w:tcPr>
                  <w:tcW w:w="1271" w:type="dxa"/>
                  <w:tcBorders>
                    <w:tl2br w:val="nil"/>
                    <w:tr2bl w:val="nil"/>
                  </w:tcBorders>
                  <w:shd w:val="clear" w:color="auto" w:fill="auto"/>
                  <w:vAlign w:val="center"/>
                </w:tcPr>
                <w:p w14:paraId="78283CA3">
                  <w:pPr>
                    <w:pStyle w:val="178"/>
                    <w:spacing w:line="240" w:lineRule="auto"/>
                    <w:rPr>
                      <w:b/>
                    </w:rPr>
                  </w:pPr>
                  <w:r>
                    <w:rPr>
                      <w:b/>
                      <w:lang w:val="zh-CN"/>
                    </w:rPr>
                    <w:t>厂区最大存在量qn/t</w:t>
                  </w:r>
                </w:p>
              </w:tc>
              <w:tc>
                <w:tcPr>
                  <w:tcW w:w="875" w:type="dxa"/>
                  <w:tcBorders>
                    <w:tl2br w:val="nil"/>
                    <w:tr2bl w:val="nil"/>
                  </w:tcBorders>
                  <w:shd w:val="clear" w:color="auto" w:fill="auto"/>
                  <w:vAlign w:val="center"/>
                </w:tcPr>
                <w:p w14:paraId="3AAB3AD7">
                  <w:pPr>
                    <w:pStyle w:val="178"/>
                    <w:spacing w:line="240" w:lineRule="auto"/>
                    <w:rPr>
                      <w:b/>
                    </w:rPr>
                  </w:pPr>
                  <w:r>
                    <w:rPr>
                      <w:b/>
                    </w:rPr>
                    <w:t>临界量Qn/t</w:t>
                  </w:r>
                </w:p>
              </w:tc>
              <w:tc>
                <w:tcPr>
                  <w:tcW w:w="1109" w:type="dxa"/>
                  <w:tcBorders>
                    <w:tl2br w:val="nil"/>
                    <w:tr2bl w:val="nil"/>
                  </w:tcBorders>
                  <w:shd w:val="clear" w:color="auto" w:fill="auto"/>
                  <w:vAlign w:val="center"/>
                </w:tcPr>
                <w:p w14:paraId="55FD2D3C">
                  <w:pPr>
                    <w:pStyle w:val="178"/>
                    <w:spacing w:line="240" w:lineRule="auto"/>
                    <w:rPr>
                      <w:rFonts w:eastAsia="等线"/>
                      <w:b/>
                    </w:rPr>
                  </w:pPr>
                  <w:r>
                    <w:rPr>
                      <w:rFonts w:eastAsia="等线"/>
                      <w:b/>
                    </w:rPr>
                    <w:t>Q</w:t>
                  </w:r>
                  <w:r>
                    <w:rPr>
                      <w:b/>
                    </w:rPr>
                    <w:t>值</w:t>
                  </w:r>
                </w:p>
              </w:tc>
            </w:tr>
            <w:tr w14:paraId="13148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14" w:type="dxa"/>
                  <w:tcBorders>
                    <w:tl2br w:val="nil"/>
                    <w:tr2bl w:val="nil"/>
                  </w:tcBorders>
                  <w:shd w:val="clear" w:color="auto" w:fill="auto"/>
                  <w:vAlign w:val="center"/>
                </w:tcPr>
                <w:p w14:paraId="557CF400">
                  <w:pPr>
                    <w:pStyle w:val="178"/>
                    <w:spacing w:line="240" w:lineRule="auto"/>
                    <w:rPr>
                      <w:rFonts w:hint="default"/>
                      <w:lang w:val="en-US" w:eastAsia="zh-CN"/>
                    </w:rPr>
                  </w:pPr>
                  <w:r>
                    <w:rPr>
                      <w:rFonts w:hint="eastAsia"/>
                      <w:lang w:val="en-US" w:eastAsia="zh-CN"/>
                    </w:rPr>
                    <w:t>1</w:t>
                  </w:r>
                </w:p>
              </w:tc>
              <w:tc>
                <w:tcPr>
                  <w:tcW w:w="1421" w:type="dxa"/>
                  <w:tcBorders>
                    <w:tl2br w:val="nil"/>
                    <w:tr2bl w:val="nil"/>
                  </w:tcBorders>
                  <w:shd w:val="clear" w:color="auto" w:fill="auto"/>
                  <w:vAlign w:val="center"/>
                </w:tcPr>
                <w:p w14:paraId="683F88BE">
                  <w:pPr>
                    <w:pStyle w:val="178"/>
                    <w:spacing w:line="240" w:lineRule="auto"/>
                    <w:rPr>
                      <w:rFonts w:hint="eastAsia" w:eastAsia="宋体"/>
                      <w:bCs/>
                      <w:lang w:val="en-US" w:eastAsia="zh-CN"/>
                    </w:rPr>
                  </w:pPr>
                  <w:r>
                    <w:rPr>
                      <w:rFonts w:hint="eastAsia"/>
                      <w:bCs/>
                      <w:lang w:val="en-US" w:eastAsia="zh-CN"/>
                    </w:rPr>
                    <w:t>拉延油</w:t>
                  </w:r>
                </w:p>
              </w:tc>
              <w:tc>
                <w:tcPr>
                  <w:tcW w:w="918" w:type="dxa"/>
                  <w:tcBorders>
                    <w:tl2br w:val="nil"/>
                    <w:tr2bl w:val="nil"/>
                  </w:tcBorders>
                  <w:shd w:val="clear" w:color="auto" w:fill="auto"/>
                  <w:vAlign w:val="center"/>
                </w:tcPr>
                <w:p w14:paraId="3BD51458">
                  <w:pPr>
                    <w:pStyle w:val="178"/>
                    <w:spacing w:line="240" w:lineRule="auto"/>
                    <w:rPr>
                      <w:rFonts w:hint="eastAsia" w:eastAsia="宋体"/>
                      <w:lang w:val="en-US" w:eastAsia="zh-CN"/>
                    </w:rPr>
                  </w:pPr>
                  <w:r>
                    <w:rPr>
                      <w:rFonts w:hint="eastAsia"/>
                      <w:lang w:val="en-US" w:eastAsia="zh-CN"/>
                    </w:rPr>
                    <w:t>/</w:t>
                  </w:r>
                </w:p>
              </w:tc>
              <w:tc>
                <w:tcPr>
                  <w:tcW w:w="1348" w:type="dxa"/>
                  <w:tcBorders>
                    <w:tl2br w:val="nil"/>
                    <w:tr2bl w:val="nil"/>
                  </w:tcBorders>
                  <w:shd w:val="clear" w:color="auto" w:fill="auto"/>
                  <w:vAlign w:val="center"/>
                </w:tcPr>
                <w:p w14:paraId="374D2F45">
                  <w:pPr>
                    <w:jc w:val="center"/>
                    <w:rPr>
                      <w:rFonts w:hint="eastAsia"/>
                      <w:lang w:val="zh-CN"/>
                    </w:rPr>
                  </w:pPr>
                  <w:r>
                    <w:rPr>
                      <w:rFonts w:hint="eastAsia"/>
                      <w:szCs w:val="21"/>
                      <w:lang w:val="en-US" w:eastAsia="zh-CN"/>
                    </w:rPr>
                    <w:t>1</w:t>
                  </w:r>
                </w:p>
              </w:tc>
              <w:tc>
                <w:tcPr>
                  <w:tcW w:w="969" w:type="dxa"/>
                  <w:tcBorders>
                    <w:tl2br w:val="nil"/>
                    <w:tr2bl w:val="nil"/>
                  </w:tcBorders>
                  <w:shd w:val="clear" w:color="auto" w:fill="auto"/>
                  <w:vAlign w:val="center"/>
                </w:tcPr>
                <w:p w14:paraId="2865F81F">
                  <w:pPr>
                    <w:widowControl/>
                    <w:jc w:val="center"/>
                    <w:rPr>
                      <w:rFonts w:hint="eastAsia" w:eastAsia="宋体"/>
                      <w:szCs w:val="21"/>
                      <w:lang w:val="en-US" w:eastAsia="zh-CN"/>
                    </w:rPr>
                  </w:pPr>
                  <w:r>
                    <w:rPr>
                      <w:rFonts w:hint="eastAsia"/>
                      <w:szCs w:val="21"/>
                      <w:lang w:val="en-US" w:eastAsia="zh-CN"/>
                    </w:rPr>
                    <w:t>/</w:t>
                  </w:r>
                </w:p>
              </w:tc>
              <w:tc>
                <w:tcPr>
                  <w:tcW w:w="1271" w:type="dxa"/>
                  <w:tcBorders>
                    <w:tl2br w:val="nil"/>
                    <w:tr2bl w:val="nil"/>
                  </w:tcBorders>
                  <w:shd w:val="clear" w:color="auto" w:fill="auto"/>
                  <w:vAlign w:val="center"/>
                </w:tcPr>
                <w:p w14:paraId="3A66A5C1">
                  <w:pPr>
                    <w:jc w:val="center"/>
                    <w:rPr>
                      <w:rFonts w:hint="eastAsia"/>
                      <w:lang w:val="en-US" w:eastAsia="zh-CN"/>
                    </w:rPr>
                  </w:pPr>
                  <w:r>
                    <w:rPr>
                      <w:rFonts w:hint="eastAsia"/>
                      <w:szCs w:val="21"/>
                      <w:lang w:val="en-US" w:eastAsia="zh-CN"/>
                    </w:rPr>
                    <w:t>1</w:t>
                  </w:r>
                </w:p>
              </w:tc>
              <w:tc>
                <w:tcPr>
                  <w:tcW w:w="875" w:type="dxa"/>
                  <w:tcBorders>
                    <w:tl2br w:val="nil"/>
                    <w:tr2bl w:val="nil"/>
                  </w:tcBorders>
                  <w:shd w:val="clear" w:color="auto" w:fill="auto"/>
                  <w:vAlign w:val="center"/>
                </w:tcPr>
                <w:p w14:paraId="0DFB4E25">
                  <w:pPr>
                    <w:pStyle w:val="178"/>
                    <w:spacing w:line="240" w:lineRule="auto"/>
                    <w:rPr>
                      <w:rFonts w:hint="default" w:eastAsia="宋体"/>
                      <w:lang w:val="en-US" w:eastAsia="zh-CN"/>
                    </w:rPr>
                  </w:pPr>
                  <w:r>
                    <w:rPr>
                      <w:rFonts w:hint="eastAsia"/>
                      <w:lang w:val="en-US" w:eastAsia="zh-CN"/>
                    </w:rPr>
                    <w:t>2500</w:t>
                  </w:r>
                </w:p>
              </w:tc>
              <w:tc>
                <w:tcPr>
                  <w:tcW w:w="1109" w:type="dxa"/>
                  <w:tcBorders>
                    <w:tl2br w:val="nil"/>
                    <w:tr2bl w:val="nil"/>
                  </w:tcBorders>
                  <w:shd w:val="clear" w:color="auto" w:fill="auto"/>
                  <w:vAlign w:val="center"/>
                </w:tcPr>
                <w:p w14:paraId="7065E4E6">
                  <w:pPr>
                    <w:keepNext w:val="0"/>
                    <w:keepLines w:val="0"/>
                    <w:widowControl/>
                    <w:suppressLineNumbers w:val="0"/>
                    <w:jc w:val="center"/>
                    <w:textAlignment w:val="cente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0.0004</w:t>
                  </w:r>
                </w:p>
              </w:tc>
            </w:tr>
            <w:tr w14:paraId="4C22C8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14" w:type="dxa"/>
                  <w:tcBorders>
                    <w:tl2br w:val="nil"/>
                    <w:tr2bl w:val="nil"/>
                  </w:tcBorders>
                  <w:shd w:val="clear" w:color="auto" w:fill="auto"/>
                  <w:vAlign w:val="center"/>
                </w:tcPr>
                <w:p w14:paraId="538E38A4">
                  <w:pPr>
                    <w:pStyle w:val="178"/>
                    <w:spacing w:line="240" w:lineRule="auto"/>
                    <w:rPr>
                      <w:rFonts w:hint="eastAsia" w:eastAsia="宋体"/>
                      <w:lang w:val="zh-CN" w:eastAsia="zh-CN"/>
                    </w:rPr>
                  </w:pPr>
                  <w:r>
                    <w:rPr>
                      <w:rFonts w:hint="eastAsia"/>
                      <w:lang w:val="en-US" w:eastAsia="zh-CN"/>
                    </w:rPr>
                    <w:t>2</w:t>
                  </w:r>
                </w:p>
              </w:tc>
              <w:tc>
                <w:tcPr>
                  <w:tcW w:w="1421" w:type="dxa"/>
                  <w:tcBorders>
                    <w:tl2br w:val="nil"/>
                    <w:tr2bl w:val="nil"/>
                  </w:tcBorders>
                  <w:shd w:val="clear" w:color="auto" w:fill="auto"/>
                  <w:vAlign w:val="center"/>
                </w:tcPr>
                <w:p w14:paraId="121FD741">
                  <w:pPr>
                    <w:pStyle w:val="178"/>
                    <w:spacing w:line="240" w:lineRule="auto"/>
                    <w:rPr>
                      <w:bCs/>
                    </w:rPr>
                  </w:pPr>
                  <w:r>
                    <w:rPr>
                      <w:bCs/>
                    </w:rPr>
                    <w:t>润滑油</w:t>
                  </w:r>
                </w:p>
              </w:tc>
              <w:tc>
                <w:tcPr>
                  <w:tcW w:w="918" w:type="dxa"/>
                  <w:tcBorders>
                    <w:tl2br w:val="nil"/>
                    <w:tr2bl w:val="nil"/>
                  </w:tcBorders>
                  <w:shd w:val="clear" w:color="auto" w:fill="auto"/>
                  <w:vAlign w:val="center"/>
                </w:tcPr>
                <w:p w14:paraId="6A918CC3">
                  <w:pPr>
                    <w:pStyle w:val="178"/>
                    <w:spacing w:line="240" w:lineRule="auto"/>
                    <w:rPr>
                      <w:lang w:val="zh-CN"/>
                    </w:rPr>
                  </w:pPr>
                  <w:r>
                    <w:rPr>
                      <w:rFonts w:hint="eastAsia"/>
                      <w:lang w:val="zh-CN"/>
                    </w:rPr>
                    <w:t>/</w:t>
                  </w:r>
                </w:p>
              </w:tc>
              <w:tc>
                <w:tcPr>
                  <w:tcW w:w="1348" w:type="dxa"/>
                  <w:tcBorders>
                    <w:tl2br w:val="nil"/>
                    <w:tr2bl w:val="nil"/>
                  </w:tcBorders>
                  <w:shd w:val="clear" w:color="auto" w:fill="auto"/>
                  <w:vAlign w:val="center"/>
                </w:tcPr>
                <w:p w14:paraId="6CD1FEDC">
                  <w:pPr>
                    <w:jc w:val="center"/>
                    <w:rPr>
                      <w:rFonts w:hint="eastAsia" w:eastAsia="宋体"/>
                      <w:lang w:val="zh-CN" w:eastAsia="zh-CN"/>
                    </w:rPr>
                  </w:pPr>
                  <w:r>
                    <w:rPr>
                      <w:rFonts w:hint="eastAsia"/>
                      <w:szCs w:val="21"/>
                      <w:lang w:val="en-US" w:eastAsia="zh-CN"/>
                    </w:rPr>
                    <w:t>0.1</w:t>
                  </w:r>
                </w:p>
              </w:tc>
              <w:tc>
                <w:tcPr>
                  <w:tcW w:w="969" w:type="dxa"/>
                  <w:tcBorders>
                    <w:tl2br w:val="nil"/>
                    <w:tr2bl w:val="nil"/>
                  </w:tcBorders>
                  <w:shd w:val="clear" w:color="auto" w:fill="auto"/>
                  <w:vAlign w:val="center"/>
                </w:tcPr>
                <w:p w14:paraId="4F2B3EF3">
                  <w:pPr>
                    <w:widowControl/>
                    <w:jc w:val="center"/>
                    <w:rPr>
                      <w:szCs w:val="21"/>
                    </w:rPr>
                  </w:pPr>
                  <w:r>
                    <w:rPr>
                      <w:rFonts w:hint="eastAsia"/>
                      <w:szCs w:val="21"/>
                    </w:rPr>
                    <w:t>/</w:t>
                  </w:r>
                </w:p>
              </w:tc>
              <w:tc>
                <w:tcPr>
                  <w:tcW w:w="1271" w:type="dxa"/>
                  <w:tcBorders>
                    <w:tl2br w:val="nil"/>
                    <w:tr2bl w:val="nil"/>
                  </w:tcBorders>
                  <w:shd w:val="clear" w:color="auto" w:fill="auto"/>
                  <w:vAlign w:val="center"/>
                </w:tcPr>
                <w:p w14:paraId="491AC206">
                  <w:pPr>
                    <w:jc w:val="center"/>
                    <w:rPr>
                      <w:rFonts w:hint="default" w:eastAsia="宋体"/>
                      <w:szCs w:val="21"/>
                      <w:lang w:val="en-US" w:eastAsia="zh-CN"/>
                    </w:rPr>
                  </w:pPr>
                  <w:r>
                    <w:rPr>
                      <w:rFonts w:hint="eastAsia"/>
                      <w:szCs w:val="21"/>
                      <w:lang w:val="en-US" w:eastAsia="zh-CN"/>
                    </w:rPr>
                    <w:t>0.1</w:t>
                  </w:r>
                </w:p>
              </w:tc>
              <w:tc>
                <w:tcPr>
                  <w:tcW w:w="875" w:type="dxa"/>
                  <w:tcBorders>
                    <w:tl2br w:val="nil"/>
                    <w:tr2bl w:val="nil"/>
                  </w:tcBorders>
                  <w:shd w:val="clear" w:color="auto" w:fill="auto"/>
                  <w:vAlign w:val="center"/>
                </w:tcPr>
                <w:p w14:paraId="2292408A">
                  <w:pPr>
                    <w:pStyle w:val="178"/>
                    <w:spacing w:line="240" w:lineRule="auto"/>
                    <w:rPr>
                      <w:lang w:val="zh-CN"/>
                    </w:rPr>
                  </w:pPr>
                  <w:r>
                    <w:rPr>
                      <w:rFonts w:hint="eastAsia"/>
                      <w:lang w:val="zh-CN"/>
                    </w:rPr>
                    <w:t>2</w:t>
                  </w:r>
                  <w:r>
                    <w:rPr>
                      <w:lang w:val="zh-CN"/>
                    </w:rPr>
                    <w:t>500</w:t>
                  </w:r>
                </w:p>
              </w:tc>
              <w:tc>
                <w:tcPr>
                  <w:tcW w:w="1109" w:type="dxa"/>
                  <w:tcBorders>
                    <w:tl2br w:val="nil"/>
                    <w:tr2bl w:val="nil"/>
                  </w:tcBorders>
                  <w:shd w:val="clear" w:color="auto" w:fill="auto"/>
                  <w:vAlign w:val="center"/>
                </w:tcPr>
                <w:p w14:paraId="5FC2B83C">
                  <w:pPr>
                    <w:keepNext w:val="0"/>
                    <w:keepLines w:val="0"/>
                    <w:widowControl/>
                    <w:suppressLineNumbers w:val="0"/>
                    <w:jc w:val="center"/>
                    <w:textAlignment w:val="center"/>
                    <w:rPr>
                      <w:rFonts w:hint="eastAsia" w:ascii="Times New Roman" w:hAnsi="Times New Roman" w:eastAsia="宋体" w:cs="Times New Roman"/>
                      <w:kern w:val="2"/>
                      <w:sz w:val="21"/>
                      <w:szCs w:val="20"/>
                      <w:lang w:val="zh-CN" w:eastAsia="zh-CN" w:bidi="ar-SA"/>
                    </w:rPr>
                  </w:pPr>
                  <w:r>
                    <w:rPr>
                      <w:rFonts w:hint="eastAsia" w:ascii="Times New Roman" w:hAnsi="Times New Roman" w:eastAsia="宋体" w:cs="Times New Roman"/>
                      <w:kern w:val="2"/>
                      <w:sz w:val="21"/>
                      <w:szCs w:val="20"/>
                      <w:lang w:val="en-US" w:eastAsia="zh-CN" w:bidi="ar-SA"/>
                    </w:rPr>
                    <w:t>0.00004</w:t>
                  </w:r>
                </w:p>
              </w:tc>
            </w:tr>
            <w:tr w14:paraId="3B28F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14" w:type="dxa"/>
                  <w:tcBorders>
                    <w:tl2br w:val="nil"/>
                    <w:tr2bl w:val="nil"/>
                  </w:tcBorders>
                  <w:shd w:val="clear" w:color="auto" w:fill="auto"/>
                  <w:vAlign w:val="center"/>
                </w:tcPr>
                <w:p w14:paraId="0C095739">
                  <w:pPr>
                    <w:pStyle w:val="178"/>
                    <w:spacing w:line="240" w:lineRule="auto"/>
                    <w:rPr>
                      <w:rFonts w:hint="eastAsia" w:eastAsia="宋体"/>
                      <w:lang w:val="zh-CN" w:eastAsia="zh-CN"/>
                    </w:rPr>
                  </w:pPr>
                  <w:r>
                    <w:rPr>
                      <w:rFonts w:hint="eastAsia"/>
                      <w:lang w:val="en-US" w:eastAsia="zh-CN"/>
                    </w:rPr>
                    <w:t>3</w:t>
                  </w:r>
                </w:p>
              </w:tc>
              <w:tc>
                <w:tcPr>
                  <w:tcW w:w="1421" w:type="dxa"/>
                  <w:tcBorders>
                    <w:tl2br w:val="nil"/>
                    <w:tr2bl w:val="nil"/>
                  </w:tcBorders>
                  <w:shd w:val="clear" w:color="auto" w:fill="auto"/>
                  <w:vAlign w:val="center"/>
                </w:tcPr>
                <w:p w14:paraId="5D63D4E9">
                  <w:pPr>
                    <w:pStyle w:val="178"/>
                    <w:spacing w:line="240" w:lineRule="auto"/>
                    <w:rPr>
                      <w:rFonts w:hint="eastAsia" w:eastAsia="宋体"/>
                      <w:bCs/>
                      <w:lang w:eastAsia="zh-CN"/>
                    </w:rPr>
                  </w:pPr>
                  <w:r>
                    <w:rPr>
                      <w:rFonts w:hint="eastAsia"/>
                      <w:bCs/>
                      <w:lang w:val="en-US" w:eastAsia="zh-CN"/>
                    </w:rPr>
                    <w:t>危险废物</w:t>
                  </w:r>
                </w:p>
              </w:tc>
              <w:tc>
                <w:tcPr>
                  <w:tcW w:w="918" w:type="dxa"/>
                  <w:tcBorders>
                    <w:tl2br w:val="nil"/>
                    <w:tr2bl w:val="nil"/>
                  </w:tcBorders>
                  <w:shd w:val="clear" w:color="auto" w:fill="auto"/>
                  <w:vAlign w:val="center"/>
                </w:tcPr>
                <w:p w14:paraId="59EBD91E">
                  <w:pPr>
                    <w:pStyle w:val="178"/>
                    <w:spacing w:line="240" w:lineRule="auto"/>
                    <w:rPr>
                      <w:lang w:val="zh-CN"/>
                    </w:rPr>
                  </w:pPr>
                  <w:r>
                    <w:rPr>
                      <w:rFonts w:hint="eastAsia"/>
                      <w:lang w:val="zh-CN"/>
                    </w:rPr>
                    <w:t>/</w:t>
                  </w:r>
                </w:p>
              </w:tc>
              <w:tc>
                <w:tcPr>
                  <w:tcW w:w="1348" w:type="dxa"/>
                  <w:tcBorders>
                    <w:tl2br w:val="nil"/>
                    <w:tr2bl w:val="nil"/>
                  </w:tcBorders>
                  <w:shd w:val="clear" w:color="auto" w:fill="auto"/>
                  <w:vAlign w:val="center"/>
                </w:tcPr>
                <w:p w14:paraId="47F53202">
                  <w:pPr>
                    <w:jc w:val="center"/>
                    <w:textAlignment w:val="center"/>
                    <w:rPr>
                      <w:lang w:val="zh-CN"/>
                    </w:rPr>
                  </w:pPr>
                  <w:r>
                    <w:rPr>
                      <w:rFonts w:hint="eastAsia" w:cs="Times New Roman"/>
                      <w:caps w:val="0"/>
                      <w:color w:val="000000" w:themeColor="text1"/>
                      <w:szCs w:val="21"/>
                      <w:highlight w:val="none"/>
                      <w:lang w:val="en-US" w:eastAsia="zh-CN"/>
                      <w14:textFill>
                        <w14:solidFill>
                          <w14:schemeClr w14:val="tx1"/>
                        </w14:solidFill>
                      </w14:textFill>
                    </w:rPr>
                    <w:t>2.004</w:t>
                  </w:r>
                </w:p>
              </w:tc>
              <w:tc>
                <w:tcPr>
                  <w:tcW w:w="969" w:type="dxa"/>
                  <w:tcBorders>
                    <w:tl2br w:val="nil"/>
                    <w:tr2bl w:val="nil"/>
                  </w:tcBorders>
                  <w:shd w:val="clear" w:color="auto" w:fill="auto"/>
                  <w:vAlign w:val="center"/>
                </w:tcPr>
                <w:p w14:paraId="248C55F6">
                  <w:pPr>
                    <w:widowControl/>
                    <w:jc w:val="center"/>
                    <w:rPr>
                      <w:szCs w:val="21"/>
                    </w:rPr>
                  </w:pPr>
                  <w:r>
                    <w:rPr>
                      <w:rFonts w:hint="eastAsia"/>
                      <w:szCs w:val="21"/>
                    </w:rPr>
                    <w:t>/</w:t>
                  </w:r>
                </w:p>
              </w:tc>
              <w:tc>
                <w:tcPr>
                  <w:tcW w:w="1271" w:type="dxa"/>
                  <w:tcBorders>
                    <w:tl2br w:val="nil"/>
                    <w:tr2bl w:val="nil"/>
                  </w:tcBorders>
                  <w:shd w:val="clear" w:color="auto" w:fill="auto"/>
                  <w:vAlign w:val="center"/>
                </w:tcPr>
                <w:p w14:paraId="36CA9309">
                  <w:pPr>
                    <w:jc w:val="center"/>
                    <w:textAlignment w:val="center"/>
                    <w:rPr>
                      <w:szCs w:val="21"/>
                    </w:rPr>
                  </w:pPr>
                  <w:r>
                    <w:rPr>
                      <w:rFonts w:hint="eastAsia" w:cs="Times New Roman"/>
                      <w:caps w:val="0"/>
                      <w:color w:val="000000" w:themeColor="text1"/>
                      <w:szCs w:val="21"/>
                      <w:highlight w:val="none"/>
                      <w:lang w:val="en-US" w:eastAsia="zh-CN"/>
                      <w14:textFill>
                        <w14:solidFill>
                          <w14:schemeClr w14:val="tx1"/>
                        </w14:solidFill>
                      </w14:textFill>
                    </w:rPr>
                    <w:t>2.004</w:t>
                  </w:r>
                </w:p>
              </w:tc>
              <w:tc>
                <w:tcPr>
                  <w:tcW w:w="875" w:type="dxa"/>
                  <w:tcBorders>
                    <w:tl2br w:val="nil"/>
                    <w:tr2bl w:val="nil"/>
                  </w:tcBorders>
                  <w:shd w:val="clear" w:color="auto" w:fill="auto"/>
                  <w:vAlign w:val="center"/>
                </w:tcPr>
                <w:p w14:paraId="1477A3DA">
                  <w:pPr>
                    <w:pStyle w:val="178"/>
                    <w:spacing w:line="240" w:lineRule="auto"/>
                    <w:rPr>
                      <w:rFonts w:hint="default" w:eastAsia="宋体"/>
                      <w:lang w:val="en-US" w:eastAsia="zh-CN"/>
                    </w:rPr>
                  </w:pPr>
                  <w:r>
                    <w:rPr>
                      <w:rFonts w:hint="eastAsia"/>
                      <w:lang w:val="en-US" w:eastAsia="zh-CN"/>
                    </w:rPr>
                    <w:t>50</w:t>
                  </w:r>
                </w:p>
              </w:tc>
              <w:tc>
                <w:tcPr>
                  <w:tcW w:w="1109" w:type="dxa"/>
                  <w:tcBorders>
                    <w:tl2br w:val="nil"/>
                    <w:tr2bl w:val="nil"/>
                  </w:tcBorders>
                  <w:shd w:val="clear" w:color="auto" w:fill="auto"/>
                  <w:vAlign w:val="center"/>
                </w:tcPr>
                <w:p w14:paraId="4CD5A508">
                  <w:pPr>
                    <w:keepNext w:val="0"/>
                    <w:keepLines w:val="0"/>
                    <w:widowControl/>
                    <w:suppressLineNumbers w:val="0"/>
                    <w:jc w:val="center"/>
                    <w:textAlignment w:val="center"/>
                    <w:rPr>
                      <w:rFonts w:hint="eastAsia" w:ascii="Times New Roman" w:hAnsi="Times New Roman" w:eastAsia="宋体" w:cs="Times New Roman"/>
                      <w:kern w:val="2"/>
                      <w:sz w:val="21"/>
                      <w:szCs w:val="20"/>
                      <w:lang w:val="zh-CN" w:eastAsia="zh-CN" w:bidi="ar-SA"/>
                    </w:rPr>
                  </w:pPr>
                  <w:r>
                    <w:rPr>
                      <w:rFonts w:hint="eastAsia" w:ascii="Times New Roman" w:hAnsi="Times New Roman" w:eastAsia="宋体" w:cs="Times New Roman"/>
                      <w:kern w:val="2"/>
                      <w:sz w:val="21"/>
                      <w:szCs w:val="20"/>
                      <w:lang w:val="en-US" w:eastAsia="zh-CN" w:bidi="ar-SA"/>
                    </w:rPr>
                    <w:t>0.04008</w:t>
                  </w:r>
                </w:p>
              </w:tc>
            </w:tr>
            <w:tr w14:paraId="252DA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7316" w:type="dxa"/>
                  <w:gridSpan w:val="7"/>
                  <w:tcBorders>
                    <w:tl2br w:val="nil"/>
                    <w:tr2bl w:val="nil"/>
                  </w:tcBorders>
                  <w:shd w:val="clear" w:color="auto" w:fill="auto"/>
                  <w:vAlign w:val="center"/>
                </w:tcPr>
                <w:p w14:paraId="5502A9F5">
                  <w:pPr>
                    <w:pStyle w:val="178"/>
                    <w:spacing w:line="240" w:lineRule="auto"/>
                    <w:rPr>
                      <w:lang w:val="zh-CN"/>
                    </w:rPr>
                  </w:pPr>
                  <w:r>
                    <w:rPr>
                      <w:i/>
                      <w:szCs w:val="22"/>
                    </w:rPr>
                    <w:t>Q</w:t>
                  </w:r>
                  <w:r>
                    <w:rPr>
                      <w:szCs w:val="22"/>
                    </w:rPr>
                    <w:t>值合计</w:t>
                  </w:r>
                </w:p>
              </w:tc>
              <w:tc>
                <w:tcPr>
                  <w:tcW w:w="1109" w:type="dxa"/>
                  <w:tcBorders>
                    <w:tl2br w:val="nil"/>
                    <w:tr2bl w:val="nil"/>
                  </w:tcBorders>
                  <w:shd w:val="clear" w:color="auto" w:fill="auto"/>
                  <w:vAlign w:val="center"/>
                </w:tcPr>
                <w:p w14:paraId="623EFAF0">
                  <w:pPr>
                    <w:widowControl/>
                    <w:jc w:val="center"/>
                    <w:rPr>
                      <w:rFonts w:hint="default" w:eastAsia="宋体"/>
                      <w:lang w:val="en-US" w:eastAsia="zh-CN"/>
                    </w:rPr>
                  </w:pPr>
                  <w:r>
                    <w:rPr>
                      <w:rFonts w:hint="eastAsia"/>
                      <w:sz w:val="22"/>
                      <w:szCs w:val="22"/>
                      <w:lang w:val="en-US" w:eastAsia="zh-CN"/>
                    </w:rPr>
                    <w:t>0.04052</w:t>
                  </w:r>
                </w:p>
              </w:tc>
            </w:tr>
          </w:tbl>
          <w:p w14:paraId="63A02C08">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sz w:val="24"/>
              </w:rPr>
            </w:pPr>
            <w:r>
              <w:rPr>
                <w:rFonts w:hint="eastAsia"/>
                <w:sz w:val="24"/>
              </w:rPr>
              <w:t>根据上表内容，本项目涉及各种物料的存储量均不超过相应的临界量，对照《建设项目环境风险评价技术导则》（</w:t>
            </w:r>
            <w:r>
              <w:rPr>
                <w:sz w:val="24"/>
              </w:rPr>
              <w:t>HJ/T169-2018</w:t>
            </w:r>
            <w:r>
              <w:rPr>
                <w:rFonts w:hint="eastAsia"/>
                <w:sz w:val="24"/>
              </w:rPr>
              <w:t>）中相关要求，</w:t>
            </w:r>
            <w:r>
              <w:rPr>
                <w:sz w:val="24"/>
              </w:rPr>
              <w:t>q1/Q1+q2/Q2</w:t>
            </w:r>
            <w:r>
              <w:rPr>
                <w:rFonts w:hint="eastAsia"/>
                <w:sz w:val="24"/>
              </w:rPr>
              <w:t>……</w:t>
            </w:r>
            <w:r>
              <w:rPr>
                <w:sz w:val="24"/>
              </w:rPr>
              <w:t>+ qn/Qn=</w:t>
            </w:r>
            <w:r>
              <w:rPr>
                <w:rFonts w:hint="eastAsia"/>
                <w:sz w:val="24"/>
                <w:lang w:val="en-US" w:eastAsia="zh-CN"/>
              </w:rPr>
              <w:t>0.12554</w:t>
            </w:r>
            <w:r>
              <w:rPr>
                <w:rFonts w:hint="eastAsia"/>
                <w:sz w:val="24"/>
              </w:rPr>
              <w:t>，</w:t>
            </w:r>
            <w:r>
              <w:rPr>
                <w:sz w:val="24"/>
              </w:rPr>
              <w:t>Q</w:t>
            </w:r>
            <w:r>
              <w:rPr>
                <w:rFonts w:hint="eastAsia"/>
                <w:sz w:val="24"/>
              </w:rPr>
              <w:t>＜</w:t>
            </w:r>
            <w:r>
              <w:rPr>
                <w:sz w:val="24"/>
              </w:rPr>
              <w:t>1</w:t>
            </w:r>
            <w:r>
              <w:rPr>
                <w:rFonts w:hint="eastAsia"/>
                <w:sz w:val="24"/>
              </w:rPr>
              <w:t>，项目环境风险潜势为</w:t>
            </w:r>
            <w:r>
              <w:rPr>
                <w:sz w:val="24"/>
              </w:rPr>
              <w:t>Ⅰ。</w:t>
            </w:r>
          </w:p>
          <w:p w14:paraId="12C6169C">
            <w:pPr>
              <w:keepNext/>
              <w:keepLines/>
              <w:spacing w:line="360" w:lineRule="auto"/>
              <w:ind w:firstLine="352" w:firstLineChars="147"/>
              <w:outlineLvl w:val="2"/>
              <w:rPr>
                <w:bCs/>
                <w:sz w:val="24"/>
                <w:szCs w:val="32"/>
              </w:rPr>
            </w:pPr>
            <w:bookmarkStart w:id="11" w:name="_Toc55981026"/>
            <w:r>
              <w:rPr>
                <w:rFonts w:hint="eastAsia"/>
                <w:bCs/>
                <w:sz w:val="24"/>
                <w:szCs w:val="32"/>
              </w:rPr>
              <w:t>（2）</w:t>
            </w:r>
            <w:r>
              <w:rPr>
                <w:bCs/>
                <w:sz w:val="24"/>
                <w:szCs w:val="32"/>
              </w:rPr>
              <w:t>评价工作等级</w:t>
            </w:r>
            <w:bookmarkEnd w:id="11"/>
          </w:p>
          <w:p w14:paraId="545E2122">
            <w:pPr>
              <w:autoSpaceDE w:val="0"/>
              <w:autoSpaceDN w:val="0"/>
              <w:spacing w:line="360" w:lineRule="auto"/>
              <w:ind w:firstLine="480" w:firstLineChars="200"/>
              <w:jc w:val="left"/>
              <w:rPr>
                <w:sz w:val="24"/>
              </w:rPr>
            </w:pPr>
            <w:r>
              <w:rPr>
                <w:sz w:val="24"/>
              </w:rPr>
              <w:t>根据《建设项目环境风险评价技术导则》（HJ/T169-2018），环境风险评价工作等级划分为一级、二级、三级。根据建设项目涉及的物质及工艺系统危险性和所在地的环境敏感性确定环境风险潜势，确定评价工作等级。风险潜势为IV及以上，进行一级评价；风险潜势为II，进行二级评价；风险潜势为II，进行三级评价；风险潜势为I，可开展简单分析。</w:t>
            </w:r>
          </w:p>
          <w:p w14:paraId="3A29F39D">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17</w:t>
            </w:r>
            <w:r>
              <w:rPr>
                <w:b/>
                <w:kern w:val="0"/>
                <w:sz w:val="24"/>
              </w:rPr>
              <w:t xml:space="preserve">  环境风险评价工作等级</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05"/>
              <w:gridCol w:w="1605"/>
              <w:gridCol w:w="1605"/>
              <w:gridCol w:w="1605"/>
            </w:tblGrid>
            <w:tr w14:paraId="1A863C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tcBorders>
                    <w:tl2br w:val="nil"/>
                    <w:tr2bl w:val="nil"/>
                  </w:tcBorders>
                  <w:vAlign w:val="center"/>
                </w:tcPr>
                <w:p w14:paraId="767394D7">
                  <w:pPr>
                    <w:widowControl/>
                    <w:adjustRightInd w:val="0"/>
                    <w:snapToGrid w:val="0"/>
                    <w:jc w:val="center"/>
                    <w:rPr>
                      <w:b/>
                      <w:kern w:val="0"/>
                    </w:rPr>
                  </w:pPr>
                  <w:r>
                    <w:rPr>
                      <w:b/>
                      <w:kern w:val="0"/>
                    </w:rPr>
                    <w:t>环境风险潜势</w:t>
                  </w:r>
                </w:p>
              </w:tc>
              <w:tc>
                <w:tcPr>
                  <w:tcW w:w="951" w:type="pct"/>
                  <w:tcBorders>
                    <w:tl2br w:val="nil"/>
                    <w:tr2bl w:val="nil"/>
                  </w:tcBorders>
                  <w:vAlign w:val="center"/>
                </w:tcPr>
                <w:p w14:paraId="4B21EEE5">
                  <w:pPr>
                    <w:widowControl/>
                    <w:adjustRightInd w:val="0"/>
                    <w:snapToGrid w:val="0"/>
                    <w:jc w:val="center"/>
                    <w:rPr>
                      <w:kern w:val="0"/>
                    </w:rPr>
                  </w:pPr>
                  <w:r>
                    <w:rPr>
                      <w:kern w:val="0"/>
                    </w:rPr>
                    <w:fldChar w:fldCharType="begin"/>
                  </w:r>
                  <w:r>
                    <w:rPr>
                      <w:kern w:val="0"/>
                    </w:rPr>
                    <w:instrText xml:space="preserve"> = 4 \* ROMAN </w:instrText>
                  </w:r>
                  <w:r>
                    <w:rPr>
                      <w:kern w:val="0"/>
                    </w:rPr>
                    <w:fldChar w:fldCharType="separate"/>
                  </w:r>
                  <w:r>
                    <w:rPr>
                      <w:kern w:val="0"/>
                    </w:rPr>
                    <w:t>IV</w:t>
                  </w:r>
                  <w:r>
                    <w:rPr>
                      <w:kern w:val="0"/>
                    </w:rPr>
                    <w:fldChar w:fldCharType="end"/>
                  </w:r>
                  <w:r>
                    <w:rPr>
                      <w:kern w:val="0"/>
                    </w:rPr>
                    <w:t>、</w:t>
                  </w:r>
                  <w:r>
                    <w:rPr>
                      <w:kern w:val="0"/>
                    </w:rPr>
                    <w:fldChar w:fldCharType="begin"/>
                  </w:r>
                  <w:r>
                    <w:rPr>
                      <w:kern w:val="0"/>
                    </w:rPr>
                    <w:instrText xml:space="preserve"> = 4 \* ROMAN </w:instrText>
                  </w:r>
                  <w:r>
                    <w:rPr>
                      <w:kern w:val="0"/>
                    </w:rPr>
                    <w:fldChar w:fldCharType="separate"/>
                  </w:r>
                  <w:r>
                    <w:rPr>
                      <w:kern w:val="0"/>
                    </w:rPr>
                    <w:t>IV</w:t>
                  </w:r>
                  <w:r>
                    <w:rPr>
                      <w:kern w:val="0"/>
                    </w:rPr>
                    <w:fldChar w:fldCharType="end"/>
                  </w:r>
                  <w:r>
                    <w:rPr>
                      <w:kern w:val="0"/>
                      <w:vertAlign w:val="superscript"/>
                    </w:rPr>
                    <w:t>+</w:t>
                  </w:r>
                </w:p>
              </w:tc>
              <w:tc>
                <w:tcPr>
                  <w:tcW w:w="951" w:type="pct"/>
                  <w:tcBorders>
                    <w:tl2br w:val="nil"/>
                    <w:tr2bl w:val="nil"/>
                  </w:tcBorders>
                  <w:vAlign w:val="center"/>
                </w:tcPr>
                <w:p w14:paraId="6FD6AB85">
                  <w:pPr>
                    <w:widowControl/>
                    <w:adjustRightInd w:val="0"/>
                    <w:snapToGrid w:val="0"/>
                    <w:jc w:val="center"/>
                    <w:rPr>
                      <w:kern w:val="0"/>
                    </w:rPr>
                  </w:pPr>
                  <w:r>
                    <w:rPr>
                      <w:kern w:val="0"/>
                    </w:rPr>
                    <w:fldChar w:fldCharType="begin"/>
                  </w:r>
                  <w:r>
                    <w:rPr>
                      <w:kern w:val="0"/>
                    </w:rPr>
                    <w:instrText xml:space="preserve"> = 3 \* ROMAN </w:instrText>
                  </w:r>
                  <w:r>
                    <w:rPr>
                      <w:kern w:val="0"/>
                    </w:rPr>
                    <w:fldChar w:fldCharType="separate"/>
                  </w:r>
                  <w:r>
                    <w:rPr>
                      <w:kern w:val="0"/>
                    </w:rPr>
                    <w:t>III</w:t>
                  </w:r>
                  <w:r>
                    <w:rPr>
                      <w:kern w:val="0"/>
                    </w:rPr>
                    <w:fldChar w:fldCharType="end"/>
                  </w:r>
                </w:p>
              </w:tc>
              <w:tc>
                <w:tcPr>
                  <w:tcW w:w="951" w:type="pct"/>
                  <w:tcBorders>
                    <w:tl2br w:val="nil"/>
                    <w:tr2bl w:val="nil"/>
                  </w:tcBorders>
                  <w:vAlign w:val="center"/>
                </w:tcPr>
                <w:p w14:paraId="197EEF7A">
                  <w:pPr>
                    <w:widowControl/>
                    <w:adjustRightInd w:val="0"/>
                    <w:snapToGrid w:val="0"/>
                    <w:jc w:val="center"/>
                    <w:rPr>
                      <w:kern w:val="0"/>
                    </w:rPr>
                  </w:pPr>
                  <w:r>
                    <w:rPr>
                      <w:kern w:val="0"/>
                    </w:rPr>
                    <w:fldChar w:fldCharType="begin"/>
                  </w:r>
                  <w:r>
                    <w:rPr>
                      <w:kern w:val="0"/>
                    </w:rPr>
                    <w:instrText xml:space="preserve"> = 2 \* ROMAN </w:instrText>
                  </w:r>
                  <w:r>
                    <w:rPr>
                      <w:kern w:val="0"/>
                    </w:rPr>
                    <w:fldChar w:fldCharType="separate"/>
                  </w:r>
                  <w:r>
                    <w:rPr>
                      <w:kern w:val="0"/>
                    </w:rPr>
                    <w:t>II</w:t>
                  </w:r>
                  <w:r>
                    <w:rPr>
                      <w:kern w:val="0"/>
                    </w:rPr>
                    <w:fldChar w:fldCharType="end"/>
                  </w:r>
                </w:p>
              </w:tc>
              <w:tc>
                <w:tcPr>
                  <w:tcW w:w="951" w:type="pct"/>
                  <w:tcBorders>
                    <w:tl2br w:val="nil"/>
                    <w:tr2bl w:val="nil"/>
                  </w:tcBorders>
                  <w:shd w:val="clear" w:color="auto" w:fill="BFBFBF"/>
                  <w:vAlign w:val="center"/>
                </w:tcPr>
                <w:p w14:paraId="35B5CD00">
                  <w:pPr>
                    <w:widowControl/>
                    <w:adjustRightInd w:val="0"/>
                    <w:snapToGrid w:val="0"/>
                    <w:jc w:val="center"/>
                    <w:rPr>
                      <w:kern w:val="0"/>
                    </w:rPr>
                  </w:pPr>
                  <w:r>
                    <w:rPr>
                      <w:kern w:val="0"/>
                    </w:rPr>
                    <w:fldChar w:fldCharType="begin"/>
                  </w:r>
                  <w:r>
                    <w:rPr>
                      <w:kern w:val="0"/>
                    </w:rPr>
                    <w:instrText xml:space="preserve"> = 1 \* ROMAN </w:instrText>
                  </w:r>
                  <w:r>
                    <w:rPr>
                      <w:kern w:val="0"/>
                    </w:rPr>
                    <w:fldChar w:fldCharType="separate"/>
                  </w:r>
                  <w:r>
                    <w:rPr>
                      <w:kern w:val="0"/>
                    </w:rPr>
                    <w:t>I</w:t>
                  </w:r>
                  <w:r>
                    <w:rPr>
                      <w:kern w:val="0"/>
                    </w:rPr>
                    <w:fldChar w:fldCharType="end"/>
                  </w:r>
                </w:p>
              </w:tc>
            </w:tr>
            <w:tr w14:paraId="6532E1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tcBorders>
                    <w:tl2br w:val="nil"/>
                    <w:tr2bl w:val="nil"/>
                  </w:tcBorders>
                  <w:vAlign w:val="center"/>
                </w:tcPr>
                <w:p w14:paraId="2ADA99AC">
                  <w:pPr>
                    <w:widowControl/>
                    <w:adjustRightInd w:val="0"/>
                    <w:snapToGrid w:val="0"/>
                    <w:jc w:val="center"/>
                    <w:rPr>
                      <w:b/>
                      <w:kern w:val="0"/>
                    </w:rPr>
                  </w:pPr>
                  <w:r>
                    <w:rPr>
                      <w:b/>
                      <w:kern w:val="0"/>
                    </w:rPr>
                    <w:t>评价工作等级</w:t>
                  </w:r>
                </w:p>
              </w:tc>
              <w:tc>
                <w:tcPr>
                  <w:tcW w:w="951" w:type="pct"/>
                  <w:tcBorders>
                    <w:tl2br w:val="nil"/>
                    <w:tr2bl w:val="nil"/>
                  </w:tcBorders>
                  <w:vAlign w:val="center"/>
                </w:tcPr>
                <w:p w14:paraId="1F4620B8">
                  <w:pPr>
                    <w:widowControl/>
                    <w:adjustRightInd w:val="0"/>
                    <w:snapToGrid w:val="0"/>
                    <w:jc w:val="center"/>
                    <w:rPr>
                      <w:kern w:val="0"/>
                    </w:rPr>
                  </w:pPr>
                  <w:r>
                    <w:rPr>
                      <w:kern w:val="0"/>
                    </w:rPr>
                    <w:t>一</w:t>
                  </w:r>
                </w:p>
              </w:tc>
              <w:tc>
                <w:tcPr>
                  <w:tcW w:w="951" w:type="pct"/>
                  <w:tcBorders>
                    <w:tl2br w:val="nil"/>
                    <w:tr2bl w:val="nil"/>
                  </w:tcBorders>
                  <w:vAlign w:val="center"/>
                </w:tcPr>
                <w:p w14:paraId="60620663">
                  <w:pPr>
                    <w:widowControl/>
                    <w:adjustRightInd w:val="0"/>
                    <w:snapToGrid w:val="0"/>
                    <w:jc w:val="center"/>
                    <w:rPr>
                      <w:kern w:val="0"/>
                    </w:rPr>
                  </w:pPr>
                  <w:r>
                    <w:rPr>
                      <w:kern w:val="0"/>
                    </w:rPr>
                    <w:t>二</w:t>
                  </w:r>
                </w:p>
              </w:tc>
              <w:tc>
                <w:tcPr>
                  <w:tcW w:w="951" w:type="pct"/>
                  <w:tcBorders>
                    <w:tl2br w:val="nil"/>
                    <w:tr2bl w:val="nil"/>
                  </w:tcBorders>
                  <w:vAlign w:val="center"/>
                </w:tcPr>
                <w:p w14:paraId="2B9BF21C">
                  <w:pPr>
                    <w:widowControl/>
                    <w:adjustRightInd w:val="0"/>
                    <w:snapToGrid w:val="0"/>
                    <w:jc w:val="center"/>
                    <w:rPr>
                      <w:kern w:val="0"/>
                    </w:rPr>
                  </w:pPr>
                  <w:r>
                    <w:rPr>
                      <w:kern w:val="0"/>
                    </w:rPr>
                    <w:t>三</w:t>
                  </w:r>
                </w:p>
              </w:tc>
              <w:tc>
                <w:tcPr>
                  <w:tcW w:w="951" w:type="pct"/>
                  <w:tcBorders>
                    <w:tl2br w:val="nil"/>
                    <w:tr2bl w:val="nil"/>
                  </w:tcBorders>
                  <w:shd w:val="clear" w:color="auto" w:fill="BFBFBF"/>
                  <w:vAlign w:val="center"/>
                </w:tcPr>
                <w:p w14:paraId="18A3F677">
                  <w:pPr>
                    <w:widowControl/>
                    <w:adjustRightInd w:val="0"/>
                    <w:snapToGrid w:val="0"/>
                    <w:jc w:val="center"/>
                    <w:rPr>
                      <w:kern w:val="0"/>
                    </w:rPr>
                  </w:pPr>
                  <w:r>
                    <w:rPr>
                      <w:kern w:val="0"/>
                    </w:rPr>
                    <w:t>简单分析</w:t>
                  </w:r>
                </w:p>
              </w:tc>
            </w:tr>
          </w:tbl>
          <w:p w14:paraId="6C146792">
            <w:pPr>
              <w:spacing w:before="120" w:beforeLines="50" w:line="360" w:lineRule="auto"/>
              <w:ind w:firstLine="480" w:firstLineChars="200"/>
              <w:rPr>
                <w:sz w:val="24"/>
              </w:rPr>
            </w:pPr>
            <w:r>
              <w:rPr>
                <w:sz w:val="24"/>
              </w:rPr>
              <w:t>因此，项目风险评价等级定为简单分析，根据导则要求，环境风险评价作简单分析，在描述危险物质、环境影响途径、环境危害后果、风险防范措施等方面给出定性的说明。</w:t>
            </w:r>
          </w:p>
          <w:p w14:paraId="65D642E0">
            <w:pPr>
              <w:keepNext/>
              <w:spacing w:line="360" w:lineRule="auto"/>
              <w:ind w:firstLine="482" w:firstLineChars="200"/>
              <w:outlineLvl w:val="1"/>
              <w:rPr>
                <w:b/>
                <w:bCs/>
                <w:sz w:val="24"/>
              </w:rPr>
            </w:pPr>
            <w:bookmarkStart w:id="12" w:name="_Toc474855796"/>
            <w:bookmarkStart w:id="13" w:name="_Toc481505277"/>
            <w:bookmarkStart w:id="14" w:name="_Toc60652802"/>
            <w:bookmarkStart w:id="15" w:name="_Toc63415122"/>
            <w:r>
              <w:rPr>
                <w:rFonts w:hint="eastAsia"/>
                <w:b/>
                <w:bCs/>
                <w:sz w:val="24"/>
              </w:rPr>
              <w:t>3、</w:t>
            </w:r>
            <w:r>
              <w:rPr>
                <w:b/>
                <w:bCs/>
                <w:sz w:val="24"/>
              </w:rPr>
              <w:t>环境风险</w:t>
            </w:r>
            <w:bookmarkEnd w:id="12"/>
            <w:bookmarkEnd w:id="13"/>
            <w:r>
              <w:rPr>
                <w:b/>
                <w:bCs/>
                <w:sz w:val="24"/>
              </w:rPr>
              <w:t>识别</w:t>
            </w:r>
            <w:bookmarkEnd w:id="14"/>
            <w:bookmarkEnd w:id="15"/>
          </w:p>
          <w:p w14:paraId="67D06882">
            <w:pPr>
              <w:snapToGrid w:val="0"/>
              <w:spacing w:line="360" w:lineRule="auto"/>
              <w:ind w:firstLine="480"/>
              <w:rPr>
                <w:sz w:val="24"/>
              </w:rPr>
            </w:pPr>
            <w:r>
              <w:rPr>
                <w:rFonts w:hint="eastAsia"/>
                <w:sz w:val="24"/>
              </w:rPr>
              <w:t>根据</w:t>
            </w:r>
            <w:r>
              <w:rPr>
                <w:rFonts w:hint="eastAsia"/>
                <w:kern w:val="0"/>
                <w:sz w:val="24"/>
              </w:rPr>
              <w:t>《建设项目环境风险评价技术导则》（</w:t>
            </w:r>
            <w:r>
              <w:rPr>
                <w:kern w:val="0"/>
                <w:sz w:val="24"/>
              </w:rPr>
              <w:t>HJ169-2018</w:t>
            </w:r>
            <w:r>
              <w:rPr>
                <w:rFonts w:hint="eastAsia"/>
                <w:kern w:val="0"/>
                <w:sz w:val="24"/>
              </w:rPr>
              <w:t>）</w:t>
            </w:r>
            <w:r>
              <w:rPr>
                <w:rFonts w:hint="eastAsia"/>
                <w:sz w:val="24"/>
              </w:rPr>
              <w:t>，风险识别内容主要包括物质危险性识别、生产系统危险性识别和危险物质向环境转移的途径识别。</w:t>
            </w:r>
          </w:p>
          <w:p w14:paraId="41463AF6">
            <w:pPr>
              <w:snapToGrid w:val="0"/>
              <w:spacing w:line="360" w:lineRule="auto"/>
              <w:ind w:firstLine="480"/>
              <w:rPr>
                <w:sz w:val="24"/>
              </w:rPr>
            </w:pPr>
            <w:r>
              <w:rPr>
                <w:rFonts w:hint="eastAsia"/>
                <w:sz w:val="24"/>
              </w:rPr>
              <w:t>物质危险性识别：包括主要原辅材料、燃料、中间产品、副产品、最终产品、污染物、火灾和爆炸伴生</w:t>
            </w:r>
            <w:r>
              <w:rPr>
                <w:sz w:val="24"/>
              </w:rPr>
              <w:t>/</w:t>
            </w:r>
            <w:r>
              <w:rPr>
                <w:rFonts w:hint="eastAsia"/>
                <w:sz w:val="24"/>
              </w:rPr>
              <w:t>次生物等。</w:t>
            </w:r>
          </w:p>
          <w:p w14:paraId="3E50D33F">
            <w:pPr>
              <w:snapToGrid w:val="0"/>
              <w:spacing w:line="360" w:lineRule="auto"/>
              <w:ind w:firstLine="480"/>
              <w:rPr>
                <w:sz w:val="24"/>
              </w:rPr>
            </w:pPr>
            <w:r>
              <w:rPr>
                <w:rFonts w:hint="eastAsia"/>
                <w:sz w:val="24"/>
              </w:rPr>
              <w:t>生产系统危险性识别：包括主要生产装置、储运设施、公用工程和辅助生产设施，以及环境保护设施。</w:t>
            </w:r>
          </w:p>
          <w:p w14:paraId="3DC4F699">
            <w:pPr>
              <w:snapToGrid w:val="0"/>
              <w:spacing w:line="360" w:lineRule="auto"/>
              <w:ind w:firstLine="480"/>
              <w:rPr>
                <w:sz w:val="24"/>
              </w:rPr>
            </w:pPr>
            <w:r>
              <w:rPr>
                <w:rFonts w:hint="eastAsia"/>
                <w:sz w:val="24"/>
              </w:rPr>
              <w:t>危险物质向环境转移的途径识别：包括分析危险物质特性及可能的环境风险类型，识别危险物质影响环境的途径，分析可能影响的环境敏感目标。</w:t>
            </w:r>
          </w:p>
          <w:p w14:paraId="483515D6">
            <w:pPr>
              <w:keepNext/>
              <w:keepLines/>
              <w:spacing w:line="360" w:lineRule="auto"/>
              <w:ind w:firstLine="352" w:firstLineChars="147"/>
              <w:outlineLvl w:val="2"/>
              <w:rPr>
                <w:bCs/>
                <w:sz w:val="24"/>
                <w:szCs w:val="32"/>
              </w:rPr>
            </w:pPr>
            <w:r>
              <w:rPr>
                <w:rFonts w:hint="eastAsia"/>
                <w:bCs/>
                <w:sz w:val="24"/>
                <w:szCs w:val="32"/>
              </w:rPr>
              <w:t>（1）物质危险性识别</w:t>
            </w:r>
          </w:p>
          <w:p w14:paraId="328DA16A">
            <w:pPr>
              <w:autoSpaceDE w:val="0"/>
              <w:autoSpaceDN w:val="0"/>
              <w:adjustRightInd w:val="0"/>
              <w:spacing w:line="360" w:lineRule="auto"/>
              <w:ind w:firstLine="480" w:firstLineChars="200"/>
              <w:jc w:val="left"/>
              <w:rPr>
                <w:kern w:val="0"/>
                <w:sz w:val="24"/>
              </w:rPr>
            </w:pPr>
            <w:r>
              <w:rPr>
                <w:rFonts w:hint="eastAsia"/>
                <w:kern w:val="0"/>
                <w:sz w:val="24"/>
              </w:rPr>
              <w:t>参考《建设项目环境风险评价技术导则》（</w:t>
            </w:r>
            <w:r>
              <w:rPr>
                <w:kern w:val="0"/>
                <w:sz w:val="24"/>
              </w:rPr>
              <w:t>HJ169-2018</w:t>
            </w:r>
            <w:r>
              <w:rPr>
                <w:rFonts w:hint="eastAsia"/>
                <w:kern w:val="0"/>
                <w:sz w:val="24"/>
              </w:rPr>
              <w:t>）、《环境风险评价实用技术和方法》（胡二邦主编）、《国家安全监管总局办公厅关于印发首批重点监管的危险化学品安全措施和应急处置原则的通知》（安监总厅管三〔</w:t>
            </w:r>
            <w:r>
              <w:rPr>
                <w:kern w:val="0"/>
                <w:sz w:val="24"/>
              </w:rPr>
              <w:t>2011</w:t>
            </w:r>
            <w:r>
              <w:rPr>
                <w:rFonts w:hint="eastAsia"/>
                <w:kern w:val="0"/>
                <w:sz w:val="24"/>
              </w:rPr>
              <w:t>〕</w:t>
            </w:r>
            <w:r>
              <w:rPr>
                <w:kern w:val="0"/>
                <w:sz w:val="24"/>
              </w:rPr>
              <w:t>142</w:t>
            </w:r>
            <w:r>
              <w:rPr>
                <w:rFonts w:hint="eastAsia"/>
                <w:kern w:val="0"/>
                <w:sz w:val="24"/>
              </w:rPr>
              <w:t>号）、《危险化学品安全技术全书》（化学工业出版社）、《职业性接触毒物危害程度分级》（</w:t>
            </w:r>
            <w:r>
              <w:rPr>
                <w:kern w:val="0"/>
                <w:sz w:val="24"/>
              </w:rPr>
              <w:t>GBZ230-2010</w:t>
            </w:r>
            <w:r>
              <w:rPr>
                <w:rFonts w:hint="eastAsia"/>
                <w:kern w:val="0"/>
                <w:sz w:val="24"/>
              </w:rPr>
              <w:t>）等技术资料，对拟建项目涉及危险物质的特性进行分析</w:t>
            </w:r>
            <w:r>
              <w:rPr>
                <w:kern w:val="0"/>
                <w:sz w:val="24"/>
              </w:rPr>
              <w:t>。</w:t>
            </w:r>
            <w:r>
              <w:rPr>
                <w:rFonts w:hint="eastAsia"/>
                <w:kern w:val="0"/>
                <w:sz w:val="24"/>
              </w:rPr>
              <w:t>项目主要危险物质理化性质及毒理学特性参数见下表。</w:t>
            </w:r>
          </w:p>
          <w:p w14:paraId="49CF95F7">
            <w:pPr>
              <w:widowControl/>
              <w:ind w:firstLine="482" w:firstLineChars="200"/>
              <w:jc w:val="cente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表4-</w:t>
            </w:r>
            <w:r>
              <w:rPr>
                <w:rFonts w:hint="eastAsia" w:cs="Times New Roman"/>
                <w:b/>
                <w:caps w:val="0"/>
                <w:color w:val="000000" w:themeColor="text1"/>
                <w:kern w:val="0"/>
                <w:sz w:val="24"/>
                <w:szCs w:val="20"/>
                <w:highlight w:val="none"/>
                <w:lang w:val="en-US" w:eastAsia="zh-CN"/>
                <w14:textFill>
                  <w14:solidFill>
                    <w14:schemeClr w14:val="tx1"/>
                  </w14:solidFill>
                </w14:textFill>
              </w:rPr>
              <w:t>18</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 xml:space="preserve">  </w:t>
            </w:r>
            <w:r>
              <w:rPr>
                <w:rFonts w:hint="default" w:ascii="Times New Roman" w:hAnsi="Times New Roman" w:eastAsia="宋体" w:cs="Times New Roman"/>
                <w:b/>
                <w:caps w:val="0"/>
                <w:color w:val="000000" w:themeColor="text1"/>
                <w:kern w:val="0"/>
                <w:sz w:val="24"/>
                <w:szCs w:val="20"/>
                <w:highlight w:val="none"/>
                <w:lang w:val="en-US" w:eastAsia="zh-CN"/>
                <w14:textFill>
                  <w14:solidFill>
                    <w14:schemeClr w14:val="tx1"/>
                  </w14:solidFill>
                </w14:textFill>
              </w:rPr>
              <w:t>厂区</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环境风险识别表</w:t>
            </w:r>
          </w:p>
          <w:tbl>
            <w:tblPr>
              <w:tblStyle w:val="59"/>
              <w:tblW w:w="843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423"/>
              <w:gridCol w:w="829"/>
              <w:gridCol w:w="1628"/>
              <w:gridCol w:w="1729"/>
              <w:gridCol w:w="1584"/>
              <w:gridCol w:w="2244"/>
            </w:tblGrid>
            <w:tr w14:paraId="556EBC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18" w:hRule="atLeast"/>
                <w:tblHeader/>
              </w:trPr>
              <w:tc>
                <w:tcPr>
                  <w:tcW w:w="251" w:type="pct"/>
                  <w:tcBorders>
                    <w:tl2br w:val="nil"/>
                    <w:tr2bl w:val="nil"/>
                  </w:tcBorders>
                  <w:vAlign w:val="center"/>
                </w:tcPr>
                <w:p w14:paraId="18CE23D6">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序号</w:t>
                  </w:r>
                </w:p>
              </w:tc>
              <w:tc>
                <w:tcPr>
                  <w:tcW w:w="491" w:type="pct"/>
                  <w:tcBorders>
                    <w:tl2br w:val="nil"/>
                    <w:tr2bl w:val="nil"/>
                  </w:tcBorders>
                  <w:vAlign w:val="center"/>
                </w:tcPr>
                <w:p w14:paraId="4537B3F1">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风险单元</w:t>
                  </w:r>
                </w:p>
              </w:tc>
              <w:tc>
                <w:tcPr>
                  <w:tcW w:w="964" w:type="pct"/>
                  <w:tcBorders>
                    <w:tl2br w:val="nil"/>
                    <w:tr2bl w:val="nil"/>
                  </w:tcBorders>
                  <w:vAlign w:val="center"/>
                </w:tcPr>
                <w:p w14:paraId="4B6C29BD">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主要危险物质</w:t>
                  </w:r>
                </w:p>
              </w:tc>
              <w:tc>
                <w:tcPr>
                  <w:tcW w:w="1024" w:type="pct"/>
                  <w:tcBorders>
                    <w:tl2br w:val="nil"/>
                    <w:tr2bl w:val="nil"/>
                  </w:tcBorders>
                  <w:vAlign w:val="center"/>
                </w:tcPr>
                <w:p w14:paraId="59348A1C">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环境风险类型</w:t>
                  </w:r>
                </w:p>
              </w:tc>
              <w:tc>
                <w:tcPr>
                  <w:tcW w:w="938" w:type="pct"/>
                  <w:tcBorders>
                    <w:tl2br w:val="nil"/>
                    <w:tr2bl w:val="nil"/>
                  </w:tcBorders>
                  <w:vAlign w:val="center"/>
                </w:tcPr>
                <w:p w14:paraId="00D9F8E7">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环境影响途径</w:t>
                  </w:r>
                </w:p>
              </w:tc>
              <w:tc>
                <w:tcPr>
                  <w:tcW w:w="1329" w:type="pct"/>
                  <w:tcBorders>
                    <w:tl2br w:val="nil"/>
                    <w:tr2bl w:val="nil"/>
                  </w:tcBorders>
                  <w:vAlign w:val="center"/>
                </w:tcPr>
                <w:p w14:paraId="5EE31D53">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可能受影响的环境敏感</w:t>
                  </w:r>
                </w:p>
              </w:tc>
            </w:tr>
            <w:tr w14:paraId="4B93ED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96" w:hRule="atLeast"/>
              </w:trPr>
              <w:tc>
                <w:tcPr>
                  <w:tcW w:w="251" w:type="pct"/>
                  <w:tcBorders>
                    <w:tl2br w:val="nil"/>
                    <w:tr2bl w:val="nil"/>
                  </w:tcBorders>
                  <w:vAlign w:val="center"/>
                </w:tcPr>
                <w:p w14:paraId="3339F015">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1</w:t>
                  </w:r>
                </w:p>
              </w:tc>
              <w:tc>
                <w:tcPr>
                  <w:tcW w:w="491" w:type="pct"/>
                  <w:tcBorders>
                    <w:tl2br w:val="nil"/>
                    <w:tr2bl w:val="nil"/>
                  </w:tcBorders>
                  <w:vAlign w:val="center"/>
                </w:tcPr>
                <w:p w14:paraId="2E2E7B2E">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cs="Times New Roman"/>
                      <w:caps w:val="0"/>
                      <w:color w:val="000000" w:themeColor="text1"/>
                      <w:kern w:val="0"/>
                      <w:szCs w:val="21"/>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库</w:t>
                  </w:r>
                </w:p>
              </w:tc>
              <w:tc>
                <w:tcPr>
                  <w:tcW w:w="964" w:type="pct"/>
                  <w:tcBorders>
                    <w:tl2br w:val="nil"/>
                    <w:tr2bl w:val="nil"/>
                  </w:tcBorders>
                  <w:vAlign w:val="center"/>
                </w:tcPr>
                <w:p w14:paraId="4D205148">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拉延油、</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1024" w:type="pct"/>
                  <w:tcBorders>
                    <w:tl2br w:val="nil"/>
                    <w:tr2bl w:val="nil"/>
                  </w:tcBorders>
                  <w:vAlign w:val="center"/>
                </w:tcPr>
                <w:p w14:paraId="7CDA833F">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938" w:type="pct"/>
                  <w:tcBorders>
                    <w:tl2br w:val="nil"/>
                    <w:tr2bl w:val="nil"/>
                  </w:tcBorders>
                  <w:vAlign w:val="center"/>
                </w:tcPr>
                <w:p w14:paraId="402AFC88">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1329" w:type="pct"/>
                  <w:tcBorders>
                    <w:tl2br w:val="nil"/>
                    <w:tr2bl w:val="nil"/>
                  </w:tcBorders>
                  <w:vAlign w:val="center"/>
                </w:tcPr>
                <w:p w14:paraId="7803360A">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周围环境空气、地下水环境、土壤环境</w:t>
                  </w:r>
                </w:p>
              </w:tc>
            </w:tr>
            <w:tr w14:paraId="5DA43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29" w:hRule="atLeast"/>
              </w:trPr>
              <w:tc>
                <w:tcPr>
                  <w:tcW w:w="251" w:type="pct"/>
                  <w:tcBorders>
                    <w:tl2br w:val="nil"/>
                    <w:tr2bl w:val="nil"/>
                  </w:tcBorders>
                  <w:vAlign w:val="center"/>
                </w:tcPr>
                <w:p w14:paraId="6CB92806">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2</w:t>
                  </w:r>
                </w:p>
              </w:tc>
              <w:tc>
                <w:tcPr>
                  <w:tcW w:w="491" w:type="pct"/>
                  <w:tcBorders>
                    <w:tl2br w:val="nil"/>
                    <w:tr2bl w:val="nil"/>
                  </w:tcBorders>
                  <w:vAlign w:val="center"/>
                </w:tcPr>
                <w:p w14:paraId="4F848399">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危废暂存库</w:t>
                  </w:r>
                </w:p>
              </w:tc>
              <w:tc>
                <w:tcPr>
                  <w:tcW w:w="964" w:type="pct"/>
                  <w:tcBorders>
                    <w:tl2br w:val="nil"/>
                    <w:tr2bl w:val="nil"/>
                  </w:tcBorders>
                  <w:vAlign w:val="center"/>
                </w:tcPr>
                <w:p w14:paraId="5F4BD580">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危险废物</w:t>
                  </w:r>
                </w:p>
              </w:tc>
              <w:tc>
                <w:tcPr>
                  <w:tcW w:w="1024" w:type="pct"/>
                  <w:tcBorders>
                    <w:tl2br w:val="nil"/>
                    <w:tr2bl w:val="nil"/>
                  </w:tcBorders>
                  <w:vAlign w:val="center"/>
                </w:tcPr>
                <w:p w14:paraId="2FC373D2">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938" w:type="pct"/>
                  <w:tcBorders>
                    <w:tl2br w:val="nil"/>
                    <w:tr2bl w:val="nil"/>
                  </w:tcBorders>
                  <w:vAlign w:val="center"/>
                </w:tcPr>
                <w:p w14:paraId="0263219E">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1329" w:type="pct"/>
                  <w:tcBorders>
                    <w:tl2br w:val="nil"/>
                    <w:tr2bl w:val="nil"/>
                  </w:tcBorders>
                  <w:vAlign w:val="center"/>
                </w:tcPr>
                <w:p w14:paraId="732BA37F">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周围环境空气、地下水环境、土壤环境</w:t>
                  </w:r>
                </w:p>
              </w:tc>
            </w:tr>
          </w:tbl>
          <w:p w14:paraId="3EA78041">
            <w:pPr>
              <w:keepNext/>
              <w:keepLines/>
              <w:pageBreakBefore w:val="0"/>
              <w:widowControl w:val="0"/>
              <w:kinsoku/>
              <w:wordWrap/>
              <w:overflowPunct/>
              <w:topLinePunct w:val="0"/>
              <w:autoSpaceDE/>
              <w:autoSpaceDN/>
              <w:bidi w:val="0"/>
              <w:adjustRightInd/>
              <w:snapToGrid/>
              <w:spacing w:beforeAutospacing="0" w:line="360" w:lineRule="auto"/>
              <w:ind w:firstLine="480" w:firstLineChars="200"/>
              <w:textAlignment w:val="auto"/>
              <w:outlineLvl w:val="2"/>
              <w:rPr>
                <w:bCs/>
                <w:sz w:val="24"/>
                <w:szCs w:val="32"/>
              </w:rPr>
            </w:pPr>
            <w:r>
              <w:rPr>
                <w:rFonts w:hint="eastAsia"/>
                <w:bCs/>
                <w:sz w:val="24"/>
                <w:szCs w:val="32"/>
              </w:rPr>
              <w:t>（2）</w:t>
            </w:r>
            <w:r>
              <w:rPr>
                <w:bCs/>
                <w:sz w:val="24"/>
                <w:szCs w:val="32"/>
              </w:rPr>
              <w:t>生产系统风险性识别</w:t>
            </w:r>
          </w:p>
          <w:p w14:paraId="3AF00193">
            <w:pPr>
              <w:autoSpaceDE w:val="0"/>
              <w:autoSpaceDN w:val="0"/>
              <w:adjustRightInd w:val="0"/>
              <w:spacing w:line="360" w:lineRule="auto"/>
              <w:ind w:firstLine="480" w:firstLineChars="200"/>
              <w:jc w:val="left"/>
              <w:rPr>
                <w:sz w:val="24"/>
              </w:rPr>
            </w:pPr>
            <w:r>
              <w:rPr>
                <w:sz w:val="24"/>
              </w:rPr>
              <w:t>本次评价主要针对拟建项目生产系统风险进行识别主要包括拟建项目生产装置、全厂储运系统、公用工程和环保工程。</w:t>
            </w:r>
          </w:p>
          <w:p w14:paraId="24793494">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rPr>
            </w:pPr>
            <w:r>
              <w:rPr>
                <w:b/>
                <w:kern w:val="0"/>
                <w:sz w:val="24"/>
              </w:rPr>
              <w:t>表</w:t>
            </w:r>
            <w:r>
              <w:rPr>
                <w:rFonts w:hint="eastAsia"/>
                <w:b/>
                <w:kern w:val="0"/>
                <w:sz w:val="24"/>
              </w:rPr>
              <w:t>4</w:t>
            </w:r>
            <w:r>
              <w:rPr>
                <w:b/>
                <w:kern w:val="0"/>
                <w:sz w:val="24"/>
              </w:rPr>
              <w:t>-</w:t>
            </w:r>
            <w:r>
              <w:rPr>
                <w:rFonts w:hint="eastAsia"/>
                <w:b/>
                <w:kern w:val="0"/>
                <w:sz w:val="24"/>
                <w:lang w:val="en-US" w:eastAsia="zh-CN"/>
              </w:rPr>
              <w:t>19</w:t>
            </w:r>
            <w:r>
              <w:rPr>
                <w:b/>
                <w:kern w:val="0"/>
                <w:sz w:val="24"/>
              </w:rPr>
              <w:t xml:space="preserve">  生产系统风险性识别情况一览表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219"/>
              <w:gridCol w:w="1134"/>
              <w:gridCol w:w="2014"/>
              <w:gridCol w:w="1301"/>
              <w:gridCol w:w="2109"/>
            </w:tblGrid>
            <w:tr w14:paraId="7C314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58E2D2E1">
                  <w:pPr>
                    <w:snapToGrid w:val="0"/>
                    <w:jc w:val="center"/>
                    <w:rPr>
                      <w:b/>
                      <w:kern w:val="0"/>
                      <w:szCs w:val="21"/>
                    </w:rPr>
                  </w:pPr>
                  <w:r>
                    <w:rPr>
                      <w:b/>
                      <w:kern w:val="0"/>
                      <w:szCs w:val="21"/>
                    </w:rPr>
                    <w:t>序号</w:t>
                  </w:r>
                </w:p>
              </w:tc>
              <w:tc>
                <w:tcPr>
                  <w:tcW w:w="722" w:type="pct"/>
                  <w:tcBorders>
                    <w:tl2br w:val="nil"/>
                    <w:tr2bl w:val="nil"/>
                  </w:tcBorders>
                  <w:vAlign w:val="center"/>
                </w:tcPr>
                <w:p w14:paraId="10C0D5A9">
                  <w:pPr>
                    <w:snapToGrid w:val="0"/>
                    <w:jc w:val="center"/>
                    <w:rPr>
                      <w:b/>
                      <w:kern w:val="0"/>
                      <w:szCs w:val="21"/>
                    </w:rPr>
                  </w:pPr>
                  <w:r>
                    <w:rPr>
                      <w:b/>
                      <w:kern w:val="0"/>
                      <w:szCs w:val="21"/>
                    </w:rPr>
                    <w:t>设施</w:t>
                  </w:r>
                </w:p>
              </w:tc>
              <w:tc>
                <w:tcPr>
                  <w:tcW w:w="672" w:type="pct"/>
                  <w:tcBorders>
                    <w:tl2br w:val="nil"/>
                    <w:tr2bl w:val="nil"/>
                  </w:tcBorders>
                  <w:vAlign w:val="center"/>
                </w:tcPr>
                <w:p w14:paraId="50D178A7">
                  <w:pPr>
                    <w:snapToGrid w:val="0"/>
                    <w:jc w:val="center"/>
                    <w:rPr>
                      <w:b/>
                      <w:kern w:val="0"/>
                      <w:szCs w:val="21"/>
                    </w:rPr>
                  </w:pPr>
                  <w:r>
                    <w:rPr>
                      <w:b/>
                      <w:kern w:val="0"/>
                      <w:szCs w:val="21"/>
                    </w:rPr>
                    <w:t>危险单元</w:t>
                  </w:r>
                </w:p>
              </w:tc>
              <w:tc>
                <w:tcPr>
                  <w:tcW w:w="1193" w:type="pct"/>
                  <w:tcBorders>
                    <w:tl2br w:val="nil"/>
                    <w:tr2bl w:val="nil"/>
                  </w:tcBorders>
                  <w:vAlign w:val="center"/>
                </w:tcPr>
                <w:p w14:paraId="0F0E8AB8">
                  <w:pPr>
                    <w:snapToGrid w:val="0"/>
                    <w:jc w:val="center"/>
                    <w:rPr>
                      <w:b/>
                      <w:kern w:val="0"/>
                      <w:szCs w:val="21"/>
                    </w:rPr>
                  </w:pPr>
                  <w:r>
                    <w:rPr>
                      <w:b/>
                      <w:kern w:val="0"/>
                      <w:szCs w:val="21"/>
                    </w:rPr>
                    <w:t>主要危险物质</w:t>
                  </w:r>
                </w:p>
              </w:tc>
              <w:tc>
                <w:tcPr>
                  <w:tcW w:w="771" w:type="pct"/>
                  <w:tcBorders>
                    <w:tl2br w:val="nil"/>
                    <w:tr2bl w:val="nil"/>
                  </w:tcBorders>
                  <w:vAlign w:val="center"/>
                </w:tcPr>
                <w:p w14:paraId="3BEC6579">
                  <w:pPr>
                    <w:snapToGrid w:val="0"/>
                    <w:jc w:val="center"/>
                    <w:rPr>
                      <w:b/>
                      <w:kern w:val="0"/>
                      <w:szCs w:val="21"/>
                    </w:rPr>
                  </w:pPr>
                  <w:r>
                    <w:rPr>
                      <w:b/>
                      <w:kern w:val="0"/>
                      <w:szCs w:val="21"/>
                    </w:rPr>
                    <w:t>事故类型</w:t>
                  </w:r>
                </w:p>
              </w:tc>
              <w:tc>
                <w:tcPr>
                  <w:tcW w:w="1249" w:type="pct"/>
                  <w:tcBorders>
                    <w:tl2br w:val="nil"/>
                    <w:tr2bl w:val="nil"/>
                  </w:tcBorders>
                  <w:vAlign w:val="center"/>
                </w:tcPr>
                <w:p w14:paraId="76FDA85F">
                  <w:pPr>
                    <w:snapToGrid w:val="0"/>
                    <w:jc w:val="center"/>
                    <w:rPr>
                      <w:b/>
                      <w:kern w:val="0"/>
                      <w:szCs w:val="21"/>
                    </w:rPr>
                  </w:pPr>
                  <w:r>
                    <w:rPr>
                      <w:b/>
                      <w:kern w:val="0"/>
                      <w:szCs w:val="21"/>
                    </w:rPr>
                    <w:t>原因</w:t>
                  </w:r>
                </w:p>
              </w:tc>
            </w:tr>
            <w:tr w14:paraId="3A5E9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098D6D93">
                  <w:pPr>
                    <w:snapToGrid w:val="0"/>
                    <w:jc w:val="center"/>
                    <w:rPr>
                      <w:kern w:val="0"/>
                      <w:szCs w:val="21"/>
                    </w:rPr>
                  </w:pPr>
                  <w:r>
                    <w:rPr>
                      <w:kern w:val="0"/>
                      <w:szCs w:val="21"/>
                    </w:rPr>
                    <w:t>1</w:t>
                  </w:r>
                </w:p>
              </w:tc>
              <w:tc>
                <w:tcPr>
                  <w:tcW w:w="722" w:type="pct"/>
                  <w:tcBorders>
                    <w:tl2br w:val="nil"/>
                    <w:tr2bl w:val="nil"/>
                  </w:tcBorders>
                  <w:vAlign w:val="center"/>
                </w:tcPr>
                <w:p w14:paraId="11B15F92">
                  <w:pPr>
                    <w:snapToGrid w:val="0"/>
                    <w:jc w:val="center"/>
                    <w:rPr>
                      <w:kern w:val="0"/>
                      <w:szCs w:val="21"/>
                    </w:rPr>
                  </w:pPr>
                  <w:r>
                    <w:rPr>
                      <w:kern w:val="0"/>
                      <w:szCs w:val="21"/>
                    </w:rPr>
                    <w:t>环保系统</w:t>
                  </w:r>
                </w:p>
              </w:tc>
              <w:tc>
                <w:tcPr>
                  <w:tcW w:w="672" w:type="pct"/>
                  <w:tcBorders>
                    <w:tl2br w:val="nil"/>
                    <w:tr2bl w:val="nil"/>
                  </w:tcBorders>
                  <w:vAlign w:val="center"/>
                </w:tcPr>
                <w:p w14:paraId="5CAC1C3C">
                  <w:pPr>
                    <w:snapToGrid w:val="0"/>
                    <w:jc w:val="center"/>
                    <w:rPr>
                      <w:kern w:val="0"/>
                      <w:szCs w:val="21"/>
                    </w:rPr>
                  </w:pPr>
                  <w:r>
                    <w:rPr>
                      <w:kern w:val="0"/>
                      <w:szCs w:val="21"/>
                    </w:rPr>
                    <w:t>废气处理</w:t>
                  </w:r>
                </w:p>
              </w:tc>
              <w:tc>
                <w:tcPr>
                  <w:tcW w:w="1193" w:type="pct"/>
                  <w:tcBorders>
                    <w:tl2br w:val="nil"/>
                    <w:tr2bl w:val="nil"/>
                  </w:tcBorders>
                  <w:vAlign w:val="center"/>
                </w:tcPr>
                <w:p w14:paraId="51C40C7A">
                  <w:pPr>
                    <w:snapToGrid w:val="0"/>
                    <w:jc w:val="center"/>
                    <w:rPr>
                      <w:rFonts w:hint="eastAsia" w:eastAsia="宋体"/>
                      <w:kern w:val="0"/>
                      <w:szCs w:val="21"/>
                      <w:lang w:eastAsia="zh-CN"/>
                    </w:rPr>
                  </w:pPr>
                  <w:r>
                    <w:rPr>
                      <w:rFonts w:hint="eastAsia"/>
                      <w:szCs w:val="21"/>
                      <w:lang w:val="en-US" w:eastAsia="zh-CN"/>
                    </w:rPr>
                    <w:t>颗粒物</w:t>
                  </w:r>
                </w:p>
              </w:tc>
              <w:tc>
                <w:tcPr>
                  <w:tcW w:w="771" w:type="pct"/>
                  <w:tcBorders>
                    <w:tl2br w:val="nil"/>
                    <w:tr2bl w:val="nil"/>
                  </w:tcBorders>
                  <w:vAlign w:val="center"/>
                </w:tcPr>
                <w:p w14:paraId="691F86A0">
                  <w:pPr>
                    <w:snapToGrid w:val="0"/>
                    <w:jc w:val="center"/>
                    <w:rPr>
                      <w:kern w:val="0"/>
                      <w:szCs w:val="21"/>
                    </w:rPr>
                  </w:pPr>
                  <w:r>
                    <w:rPr>
                      <w:kern w:val="0"/>
                      <w:szCs w:val="21"/>
                    </w:rPr>
                    <w:t>超标排放</w:t>
                  </w:r>
                </w:p>
              </w:tc>
              <w:tc>
                <w:tcPr>
                  <w:tcW w:w="1249" w:type="pct"/>
                  <w:tcBorders>
                    <w:tl2br w:val="nil"/>
                    <w:tr2bl w:val="nil"/>
                  </w:tcBorders>
                  <w:vAlign w:val="center"/>
                </w:tcPr>
                <w:p w14:paraId="797C8DF3">
                  <w:pPr>
                    <w:snapToGrid w:val="0"/>
                    <w:ind w:left="-105" w:leftChars="-50" w:right="-105" w:rightChars="-50"/>
                    <w:jc w:val="center"/>
                    <w:rPr>
                      <w:kern w:val="0"/>
                      <w:szCs w:val="21"/>
                    </w:rPr>
                  </w:pPr>
                  <w:r>
                    <w:rPr>
                      <w:kern w:val="0"/>
                      <w:szCs w:val="21"/>
                    </w:rPr>
                    <w:t>事故性排放、误操作等</w:t>
                  </w:r>
                </w:p>
              </w:tc>
            </w:tr>
            <w:tr w14:paraId="716F0B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619B2046">
                  <w:pPr>
                    <w:snapToGrid w:val="0"/>
                    <w:jc w:val="center"/>
                    <w:rPr>
                      <w:rFonts w:hint="eastAsia" w:eastAsia="宋体"/>
                      <w:kern w:val="0"/>
                      <w:szCs w:val="21"/>
                      <w:lang w:eastAsia="zh-CN"/>
                    </w:rPr>
                  </w:pPr>
                  <w:r>
                    <w:rPr>
                      <w:rFonts w:hint="eastAsia"/>
                      <w:kern w:val="0"/>
                      <w:szCs w:val="21"/>
                      <w:lang w:val="en-US" w:eastAsia="zh-CN"/>
                    </w:rPr>
                    <w:t>2</w:t>
                  </w:r>
                </w:p>
              </w:tc>
              <w:tc>
                <w:tcPr>
                  <w:tcW w:w="722" w:type="pct"/>
                  <w:tcBorders>
                    <w:tl2br w:val="nil"/>
                    <w:tr2bl w:val="nil"/>
                  </w:tcBorders>
                  <w:vAlign w:val="center"/>
                </w:tcPr>
                <w:p w14:paraId="1731FA0B">
                  <w:pPr>
                    <w:snapToGrid w:val="0"/>
                    <w:jc w:val="center"/>
                    <w:rPr>
                      <w:kern w:val="0"/>
                      <w:szCs w:val="21"/>
                    </w:rPr>
                  </w:pPr>
                  <w:r>
                    <w:rPr>
                      <w:kern w:val="0"/>
                      <w:szCs w:val="21"/>
                    </w:rPr>
                    <w:t>原料区</w:t>
                  </w:r>
                </w:p>
              </w:tc>
              <w:tc>
                <w:tcPr>
                  <w:tcW w:w="672" w:type="pct"/>
                  <w:tcBorders>
                    <w:tl2br w:val="nil"/>
                    <w:tr2bl w:val="nil"/>
                  </w:tcBorders>
                  <w:vAlign w:val="center"/>
                </w:tcPr>
                <w:p w14:paraId="73523EF3">
                  <w:pPr>
                    <w:snapToGrid w:val="0"/>
                    <w:jc w:val="center"/>
                    <w:rPr>
                      <w:kern w:val="0"/>
                      <w:szCs w:val="21"/>
                    </w:rPr>
                  </w:pPr>
                  <w:r>
                    <w:rPr>
                      <w:rFonts w:hint="eastAsia"/>
                      <w:kern w:val="0"/>
                      <w:szCs w:val="21"/>
                      <w:lang w:val="en-US" w:eastAsia="zh-CN"/>
                    </w:rPr>
                    <w:t>拉延油、</w:t>
                  </w:r>
                  <w:r>
                    <w:rPr>
                      <w:kern w:val="0"/>
                      <w:szCs w:val="21"/>
                    </w:rPr>
                    <w:t>润滑油暂存处</w:t>
                  </w:r>
                </w:p>
              </w:tc>
              <w:tc>
                <w:tcPr>
                  <w:tcW w:w="1193" w:type="pct"/>
                  <w:tcBorders>
                    <w:tl2br w:val="nil"/>
                    <w:tr2bl w:val="nil"/>
                  </w:tcBorders>
                  <w:vAlign w:val="center"/>
                </w:tcPr>
                <w:p w14:paraId="3545F101">
                  <w:pPr>
                    <w:snapToGrid w:val="0"/>
                    <w:jc w:val="center"/>
                    <w:rPr>
                      <w:kern w:val="0"/>
                      <w:szCs w:val="21"/>
                    </w:rPr>
                  </w:pPr>
                  <w:r>
                    <w:rPr>
                      <w:rFonts w:hint="eastAsia"/>
                      <w:kern w:val="0"/>
                      <w:szCs w:val="21"/>
                      <w:lang w:val="en-US" w:eastAsia="zh-CN"/>
                    </w:rPr>
                    <w:t>拉延油、</w:t>
                  </w:r>
                  <w:r>
                    <w:rPr>
                      <w:kern w:val="0"/>
                      <w:szCs w:val="21"/>
                    </w:rPr>
                    <w:t>润滑油</w:t>
                  </w:r>
                </w:p>
              </w:tc>
              <w:tc>
                <w:tcPr>
                  <w:tcW w:w="771" w:type="pct"/>
                  <w:tcBorders>
                    <w:tl2br w:val="nil"/>
                    <w:tr2bl w:val="nil"/>
                  </w:tcBorders>
                  <w:vAlign w:val="center"/>
                </w:tcPr>
                <w:p w14:paraId="573B8F99">
                  <w:pPr>
                    <w:snapToGrid w:val="0"/>
                    <w:jc w:val="center"/>
                    <w:rPr>
                      <w:rFonts w:hint="eastAsia" w:eastAsia="宋体"/>
                      <w:kern w:val="0"/>
                      <w:szCs w:val="21"/>
                      <w:lang w:eastAsia="zh-CN"/>
                    </w:rPr>
                  </w:pPr>
                  <w:r>
                    <w:rPr>
                      <w:kern w:val="0"/>
                      <w:szCs w:val="21"/>
                    </w:rPr>
                    <w:t>泄</w:t>
                  </w:r>
                  <w:r>
                    <w:rPr>
                      <w:rFonts w:hint="eastAsia"/>
                      <w:kern w:val="0"/>
                      <w:szCs w:val="21"/>
                      <w:lang w:val="en-US" w:eastAsia="zh-CN"/>
                    </w:rPr>
                    <w:t>漏</w:t>
                  </w:r>
                </w:p>
              </w:tc>
              <w:tc>
                <w:tcPr>
                  <w:tcW w:w="1249" w:type="pct"/>
                  <w:tcBorders>
                    <w:tl2br w:val="nil"/>
                    <w:tr2bl w:val="nil"/>
                  </w:tcBorders>
                  <w:vAlign w:val="center"/>
                </w:tcPr>
                <w:p w14:paraId="2300D16D">
                  <w:pPr>
                    <w:snapToGrid w:val="0"/>
                    <w:jc w:val="center"/>
                    <w:rPr>
                      <w:kern w:val="0"/>
                      <w:szCs w:val="21"/>
                    </w:rPr>
                  </w:pPr>
                  <w:r>
                    <w:rPr>
                      <w:kern w:val="0"/>
                      <w:szCs w:val="21"/>
                    </w:rPr>
                    <w:t>包装桶损坏</w:t>
                  </w:r>
                </w:p>
              </w:tc>
            </w:tr>
            <w:tr w14:paraId="13E9CD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1" w:type="pct"/>
                  <w:tcBorders>
                    <w:tl2br w:val="nil"/>
                    <w:tr2bl w:val="nil"/>
                  </w:tcBorders>
                  <w:vAlign w:val="center"/>
                </w:tcPr>
                <w:p w14:paraId="66897ADE">
                  <w:pPr>
                    <w:snapToGrid w:val="0"/>
                    <w:jc w:val="center"/>
                    <w:rPr>
                      <w:rFonts w:hint="eastAsia" w:eastAsia="宋体"/>
                      <w:kern w:val="0"/>
                      <w:szCs w:val="21"/>
                      <w:lang w:eastAsia="zh-CN"/>
                    </w:rPr>
                  </w:pPr>
                  <w:r>
                    <w:rPr>
                      <w:rFonts w:hint="eastAsia"/>
                      <w:kern w:val="0"/>
                      <w:szCs w:val="21"/>
                      <w:lang w:val="en-US" w:eastAsia="zh-CN"/>
                    </w:rPr>
                    <w:t>3</w:t>
                  </w:r>
                </w:p>
              </w:tc>
              <w:tc>
                <w:tcPr>
                  <w:tcW w:w="722" w:type="pct"/>
                  <w:tcBorders>
                    <w:tl2br w:val="nil"/>
                    <w:tr2bl w:val="nil"/>
                  </w:tcBorders>
                  <w:vAlign w:val="center"/>
                </w:tcPr>
                <w:p w14:paraId="433B767B">
                  <w:pPr>
                    <w:snapToGrid w:val="0"/>
                    <w:jc w:val="center"/>
                    <w:rPr>
                      <w:kern w:val="0"/>
                      <w:szCs w:val="21"/>
                    </w:rPr>
                  </w:pPr>
                  <w:r>
                    <w:rPr>
                      <w:kern w:val="0"/>
                      <w:szCs w:val="21"/>
                    </w:rPr>
                    <w:t>危废暂存库</w:t>
                  </w:r>
                </w:p>
              </w:tc>
              <w:tc>
                <w:tcPr>
                  <w:tcW w:w="672" w:type="pct"/>
                  <w:tcBorders>
                    <w:tl2br w:val="nil"/>
                    <w:tr2bl w:val="nil"/>
                  </w:tcBorders>
                  <w:vAlign w:val="center"/>
                </w:tcPr>
                <w:p w14:paraId="5B3D32BC">
                  <w:pPr>
                    <w:snapToGrid w:val="0"/>
                    <w:jc w:val="center"/>
                    <w:rPr>
                      <w:kern w:val="0"/>
                      <w:szCs w:val="21"/>
                    </w:rPr>
                  </w:pPr>
                  <w:r>
                    <w:rPr>
                      <w:kern w:val="0"/>
                      <w:szCs w:val="21"/>
                    </w:rPr>
                    <w:t>危废暂存库</w:t>
                  </w:r>
                </w:p>
              </w:tc>
              <w:tc>
                <w:tcPr>
                  <w:tcW w:w="1193" w:type="pct"/>
                  <w:tcBorders>
                    <w:tl2br w:val="nil"/>
                    <w:tr2bl w:val="nil"/>
                  </w:tcBorders>
                  <w:vAlign w:val="center"/>
                </w:tcPr>
                <w:p w14:paraId="55D03F45">
                  <w:pPr>
                    <w:snapToGrid w:val="0"/>
                    <w:jc w:val="center"/>
                    <w:rPr>
                      <w:rFonts w:hint="eastAsia" w:eastAsia="宋体"/>
                      <w:kern w:val="0"/>
                      <w:szCs w:val="21"/>
                      <w:lang w:eastAsia="zh-CN"/>
                    </w:rPr>
                  </w:pPr>
                  <w:r>
                    <w:rPr>
                      <w:rFonts w:hint="eastAsia"/>
                      <w:kern w:val="0"/>
                      <w:szCs w:val="21"/>
                      <w:lang w:val="en-US" w:eastAsia="zh-CN"/>
                    </w:rPr>
                    <w:t>危险废物</w:t>
                  </w:r>
                </w:p>
              </w:tc>
              <w:tc>
                <w:tcPr>
                  <w:tcW w:w="771" w:type="pct"/>
                  <w:tcBorders>
                    <w:tl2br w:val="nil"/>
                    <w:tr2bl w:val="nil"/>
                  </w:tcBorders>
                  <w:vAlign w:val="center"/>
                </w:tcPr>
                <w:p w14:paraId="31182644">
                  <w:pPr>
                    <w:snapToGrid w:val="0"/>
                    <w:jc w:val="center"/>
                    <w:rPr>
                      <w:kern w:val="0"/>
                      <w:szCs w:val="21"/>
                    </w:rPr>
                  </w:pPr>
                  <w:r>
                    <w:rPr>
                      <w:kern w:val="0"/>
                      <w:szCs w:val="21"/>
                    </w:rPr>
                    <w:t>泄</w:t>
                  </w:r>
                  <w:r>
                    <w:rPr>
                      <w:rFonts w:hint="eastAsia"/>
                      <w:kern w:val="0"/>
                      <w:szCs w:val="21"/>
                      <w:lang w:val="en-US" w:eastAsia="zh-CN"/>
                    </w:rPr>
                    <w:t>漏</w:t>
                  </w:r>
                </w:p>
              </w:tc>
              <w:tc>
                <w:tcPr>
                  <w:tcW w:w="1249" w:type="pct"/>
                  <w:tcBorders>
                    <w:tl2br w:val="nil"/>
                    <w:tr2bl w:val="nil"/>
                  </w:tcBorders>
                  <w:vAlign w:val="center"/>
                </w:tcPr>
                <w:p w14:paraId="0680BD46">
                  <w:pPr>
                    <w:snapToGrid w:val="0"/>
                    <w:jc w:val="center"/>
                    <w:rPr>
                      <w:kern w:val="0"/>
                      <w:szCs w:val="21"/>
                    </w:rPr>
                  </w:pPr>
                  <w:r>
                    <w:rPr>
                      <w:kern w:val="0"/>
                      <w:szCs w:val="21"/>
                    </w:rPr>
                    <w:t>包装损坏</w:t>
                  </w:r>
                </w:p>
              </w:tc>
            </w:tr>
          </w:tbl>
          <w:p w14:paraId="4E42FC34">
            <w:pPr>
              <w:keepNext/>
              <w:keepLines/>
              <w:pageBreakBefore w:val="0"/>
              <w:widowControl w:val="0"/>
              <w:kinsoku/>
              <w:wordWrap/>
              <w:overflowPunct/>
              <w:topLinePunct w:val="0"/>
              <w:autoSpaceDE/>
              <w:autoSpaceDN/>
              <w:bidi w:val="0"/>
              <w:adjustRightInd/>
              <w:snapToGrid/>
              <w:spacing w:beforeAutospacing="0" w:line="240" w:lineRule="auto"/>
              <w:ind w:firstLine="480" w:firstLineChars="200"/>
              <w:textAlignment w:val="auto"/>
              <w:outlineLvl w:val="2"/>
              <w:rPr>
                <w:rFonts w:hint="eastAsia"/>
                <w:bCs/>
                <w:sz w:val="24"/>
                <w:szCs w:val="32"/>
              </w:rPr>
            </w:pPr>
          </w:p>
          <w:p w14:paraId="30247BF0">
            <w:pPr>
              <w:keepNext/>
              <w:keepLines/>
              <w:pageBreakBefore w:val="0"/>
              <w:widowControl w:val="0"/>
              <w:kinsoku/>
              <w:wordWrap/>
              <w:overflowPunct/>
              <w:topLinePunct w:val="0"/>
              <w:autoSpaceDE/>
              <w:autoSpaceDN/>
              <w:bidi w:val="0"/>
              <w:adjustRightInd/>
              <w:snapToGrid/>
              <w:spacing w:beforeAutospacing="0" w:line="240" w:lineRule="auto"/>
              <w:ind w:firstLine="480" w:firstLineChars="200"/>
              <w:textAlignment w:val="auto"/>
              <w:outlineLvl w:val="2"/>
              <w:rPr>
                <w:rFonts w:hint="eastAsia"/>
                <w:bCs/>
                <w:sz w:val="24"/>
                <w:szCs w:val="32"/>
              </w:rPr>
            </w:pPr>
          </w:p>
          <w:p w14:paraId="7A709831">
            <w:pPr>
              <w:keepNext/>
              <w:keepLines/>
              <w:pageBreakBefore w:val="0"/>
              <w:widowControl w:val="0"/>
              <w:kinsoku/>
              <w:wordWrap/>
              <w:overflowPunct/>
              <w:topLinePunct w:val="0"/>
              <w:autoSpaceDE/>
              <w:autoSpaceDN/>
              <w:bidi w:val="0"/>
              <w:adjustRightInd/>
              <w:snapToGrid/>
              <w:spacing w:beforeAutospacing="0" w:line="360" w:lineRule="auto"/>
              <w:ind w:firstLine="480" w:firstLineChars="200"/>
              <w:textAlignment w:val="auto"/>
              <w:outlineLvl w:val="2"/>
              <w:rPr>
                <w:bCs/>
                <w:sz w:val="24"/>
                <w:szCs w:val="32"/>
              </w:rPr>
            </w:pPr>
            <w:r>
              <w:rPr>
                <w:rFonts w:hint="eastAsia"/>
                <w:bCs/>
                <w:sz w:val="24"/>
                <w:szCs w:val="32"/>
              </w:rPr>
              <w:t>（3）</w:t>
            </w:r>
            <w:r>
              <w:rPr>
                <w:bCs/>
                <w:sz w:val="24"/>
                <w:szCs w:val="32"/>
              </w:rPr>
              <w:t>环境风险类型及危害分析</w:t>
            </w:r>
          </w:p>
          <w:p w14:paraId="4C8B7AB9">
            <w:pPr>
              <w:spacing w:line="360" w:lineRule="auto"/>
              <w:ind w:firstLine="480" w:firstLineChars="200"/>
              <w:rPr>
                <w:kern w:val="0"/>
                <w:sz w:val="24"/>
              </w:rPr>
            </w:pPr>
            <w:r>
              <w:rPr>
                <w:kern w:val="0"/>
                <w:sz w:val="24"/>
              </w:rPr>
              <w:t>本项目在生产及贮运过程中存在发生泄漏、火灾等风险事故的可能性，主要环境风险事故类型及可能产生的后果见下表。</w:t>
            </w:r>
          </w:p>
          <w:p w14:paraId="1DEFECD7">
            <w:pPr>
              <w:keepNext w:val="0"/>
              <w:keepLines w:val="0"/>
              <w:pageBreakBefore w:val="0"/>
              <w:widowControl/>
              <w:kinsoku/>
              <w:wordWrap/>
              <w:overflowPunct/>
              <w:topLinePunct w:val="0"/>
              <w:autoSpaceDE/>
              <w:autoSpaceDN/>
              <w:bidi w:val="0"/>
              <w:adjustRightInd/>
              <w:snapToGrid/>
              <w:spacing w:beforeAutospacing="0" w:line="240" w:lineRule="auto"/>
              <w:jc w:val="center"/>
              <w:textAlignment w:val="auto"/>
              <w:rPr>
                <w:b/>
                <w:kern w:val="0"/>
                <w:sz w:val="24"/>
              </w:rPr>
            </w:pPr>
            <w:r>
              <w:rPr>
                <w:b/>
                <w:kern w:val="0"/>
                <w:sz w:val="24"/>
              </w:rPr>
              <w:t>表</w:t>
            </w:r>
            <w:r>
              <w:rPr>
                <w:rFonts w:hint="eastAsia"/>
                <w:b/>
                <w:kern w:val="0"/>
                <w:sz w:val="24"/>
              </w:rPr>
              <w:t>4</w:t>
            </w:r>
            <w:r>
              <w:rPr>
                <w:b/>
                <w:kern w:val="0"/>
                <w:sz w:val="24"/>
              </w:rPr>
              <w:t>-2</w:t>
            </w:r>
            <w:r>
              <w:rPr>
                <w:rFonts w:hint="eastAsia"/>
                <w:b/>
                <w:kern w:val="0"/>
                <w:sz w:val="24"/>
                <w:lang w:val="en-US" w:eastAsia="zh-CN"/>
              </w:rPr>
              <w:t>0</w:t>
            </w:r>
            <w:r>
              <w:rPr>
                <w:b/>
                <w:kern w:val="0"/>
                <w:sz w:val="24"/>
              </w:rPr>
              <w:t xml:space="preserve">  本项目环境风险类型及危害分析一览表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35"/>
              <w:gridCol w:w="1809"/>
              <w:gridCol w:w="4993"/>
            </w:tblGrid>
            <w:tr w14:paraId="0F2D9F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969" w:type="pct"/>
                  <w:tcBorders>
                    <w:tl2br w:val="nil"/>
                    <w:tr2bl w:val="nil"/>
                  </w:tcBorders>
                  <w:vAlign w:val="center"/>
                </w:tcPr>
                <w:p w14:paraId="185DC196">
                  <w:pPr>
                    <w:autoSpaceDE w:val="0"/>
                    <w:autoSpaceDN w:val="0"/>
                    <w:adjustRightInd w:val="0"/>
                    <w:jc w:val="center"/>
                    <w:rPr>
                      <w:b/>
                      <w:kern w:val="0"/>
                      <w:szCs w:val="21"/>
                    </w:rPr>
                  </w:pPr>
                  <w:r>
                    <w:rPr>
                      <w:b/>
                      <w:kern w:val="0"/>
                      <w:szCs w:val="21"/>
                    </w:rPr>
                    <w:t>风险类型</w:t>
                  </w:r>
                </w:p>
              </w:tc>
              <w:tc>
                <w:tcPr>
                  <w:tcW w:w="1072" w:type="pct"/>
                  <w:tcBorders>
                    <w:tl2br w:val="nil"/>
                    <w:tr2bl w:val="nil"/>
                  </w:tcBorders>
                  <w:vAlign w:val="center"/>
                </w:tcPr>
                <w:p w14:paraId="5FD843EC">
                  <w:pPr>
                    <w:autoSpaceDE w:val="0"/>
                    <w:autoSpaceDN w:val="0"/>
                    <w:adjustRightInd w:val="0"/>
                    <w:jc w:val="center"/>
                    <w:rPr>
                      <w:b/>
                      <w:kern w:val="0"/>
                      <w:szCs w:val="21"/>
                    </w:rPr>
                  </w:pPr>
                  <w:r>
                    <w:rPr>
                      <w:b/>
                      <w:kern w:val="0"/>
                      <w:szCs w:val="21"/>
                    </w:rPr>
                    <w:t>产生原因</w:t>
                  </w:r>
                </w:p>
              </w:tc>
              <w:tc>
                <w:tcPr>
                  <w:tcW w:w="2959" w:type="pct"/>
                  <w:tcBorders>
                    <w:tl2br w:val="nil"/>
                    <w:tr2bl w:val="nil"/>
                  </w:tcBorders>
                  <w:vAlign w:val="center"/>
                </w:tcPr>
                <w:p w14:paraId="06B2A9ED">
                  <w:pPr>
                    <w:autoSpaceDE w:val="0"/>
                    <w:autoSpaceDN w:val="0"/>
                    <w:adjustRightInd w:val="0"/>
                    <w:jc w:val="center"/>
                    <w:rPr>
                      <w:b/>
                      <w:kern w:val="0"/>
                      <w:szCs w:val="21"/>
                    </w:rPr>
                  </w:pPr>
                  <w:r>
                    <w:rPr>
                      <w:b/>
                      <w:kern w:val="0"/>
                      <w:szCs w:val="21"/>
                    </w:rPr>
                    <w:t>可能产生的后果</w:t>
                  </w:r>
                </w:p>
              </w:tc>
            </w:tr>
            <w:tr w14:paraId="26154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69" w:type="pct"/>
                  <w:tcBorders>
                    <w:tl2br w:val="nil"/>
                    <w:tr2bl w:val="nil"/>
                  </w:tcBorders>
                  <w:vAlign w:val="center"/>
                </w:tcPr>
                <w:p w14:paraId="645AFF62">
                  <w:pPr>
                    <w:autoSpaceDE w:val="0"/>
                    <w:autoSpaceDN w:val="0"/>
                    <w:adjustRightInd w:val="0"/>
                    <w:jc w:val="center"/>
                    <w:rPr>
                      <w:kern w:val="0"/>
                      <w:szCs w:val="21"/>
                    </w:rPr>
                  </w:pPr>
                  <w:r>
                    <w:rPr>
                      <w:kern w:val="0"/>
                      <w:szCs w:val="21"/>
                    </w:rPr>
                    <w:t>火灾等引发的伴生/次生污染物排放</w:t>
                  </w:r>
                </w:p>
              </w:tc>
              <w:tc>
                <w:tcPr>
                  <w:tcW w:w="1072" w:type="pct"/>
                  <w:tcBorders>
                    <w:tl2br w:val="nil"/>
                    <w:tr2bl w:val="nil"/>
                  </w:tcBorders>
                  <w:vAlign w:val="center"/>
                </w:tcPr>
                <w:p w14:paraId="1204367C">
                  <w:pPr>
                    <w:autoSpaceDE w:val="0"/>
                    <w:autoSpaceDN w:val="0"/>
                    <w:adjustRightInd w:val="0"/>
                    <w:jc w:val="center"/>
                    <w:rPr>
                      <w:kern w:val="0"/>
                      <w:szCs w:val="21"/>
                    </w:rPr>
                  </w:pPr>
                  <w:r>
                    <w:rPr>
                      <w:kern w:val="0"/>
                      <w:szCs w:val="21"/>
                    </w:rPr>
                    <w:t>遇高温或明火</w:t>
                  </w:r>
                </w:p>
              </w:tc>
              <w:tc>
                <w:tcPr>
                  <w:tcW w:w="2959" w:type="pct"/>
                  <w:tcBorders>
                    <w:tl2br w:val="nil"/>
                    <w:tr2bl w:val="nil"/>
                  </w:tcBorders>
                  <w:vAlign w:val="center"/>
                </w:tcPr>
                <w:p w14:paraId="46AAEB65">
                  <w:pPr>
                    <w:autoSpaceDE w:val="0"/>
                    <w:autoSpaceDN w:val="0"/>
                    <w:adjustRightInd w:val="0"/>
                    <w:jc w:val="center"/>
                    <w:rPr>
                      <w:kern w:val="0"/>
                      <w:szCs w:val="21"/>
                    </w:rPr>
                  </w:pPr>
                  <w:r>
                    <w:rPr>
                      <w:kern w:val="0"/>
                      <w:szCs w:val="21"/>
                    </w:rPr>
                    <w:t>火灾会产生大量的消防废水，消防废水不能及时处理或应急措施不当时，事故废水如不及时进行收集，可能通过雨水管网，进入厂界外环境，将对周边水体造成影响</w:t>
                  </w:r>
                </w:p>
              </w:tc>
            </w:tr>
            <w:tr w14:paraId="4EC6A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69" w:type="pct"/>
                  <w:tcBorders>
                    <w:tl2br w:val="nil"/>
                    <w:tr2bl w:val="nil"/>
                  </w:tcBorders>
                  <w:vAlign w:val="center"/>
                </w:tcPr>
                <w:p w14:paraId="7F668520">
                  <w:pPr>
                    <w:autoSpaceDE w:val="0"/>
                    <w:autoSpaceDN w:val="0"/>
                    <w:adjustRightInd w:val="0"/>
                    <w:jc w:val="center"/>
                    <w:rPr>
                      <w:kern w:val="0"/>
                      <w:szCs w:val="21"/>
                    </w:rPr>
                  </w:pPr>
                  <w:r>
                    <w:rPr>
                      <w:kern w:val="0"/>
                      <w:szCs w:val="21"/>
                    </w:rPr>
                    <w:t>危险物质泄漏</w:t>
                  </w:r>
                </w:p>
              </w:tc>
              <w:tc>
                <w:tcPr>
                  <w:tcW w:w="1072" w:type="pct"/>
                  <w:tcBorders>
                    <w:tl2br w:val="nil"/>
                    <w:tr2bl w:val="nil"/>
                  </w:tcBorders>
                  <w:vAlign w:val="center"/>
                </w:tcPr>
                <w:p w14:paraId="1B0E1B08">
                  <w:pPr>
                    <w:autoSpaceDE w:val="0"/>
                    <w:autoSpaceDN w:val="0"/>
                    <w:adjustRightInd w:val="0"/>
                    <w:jc w:val="center"/>
                    <w:rPr>
                      <w:kern w:val="0"/>
                      <w:szCs w:val="21"/>
                    </w:rPr>
                  </w:pPr>
                  <w:r>
                    <w:rPr>
                      <w:kern w:val="0"/>
                      <w:szCs w:val="21"/>
                    </w:rPr>
                    <w:t>人为操作不当；设备缺陷或故障；系统故障等</w:t>
                  </w:r>
                </w:p>
              </w:tc>
              <w:tc>
                <w:tcPr>
                  <w:tcW w:w="2959" w:type="pct"/>
                  <w:tcBorders>
                    <w:tl2br w:val="nil"/>
                    <w:tr2bl w:val="nil"/>
                  </w:tcBorders>
                  <w:vAlign w:val="center"/>
                </w:tcPr>
                <w:p w14:paraId="072FC5DF">
                  <w:pPr>
                    <w:autoSpaceDE w:val="0"/>
                    <w:autoSpaceDN w:val="0"/>
                    <w:adjustRightInd w:val="0"/>
                    <w:jc w:val="center"/>
                    <w:rPr>
                      <w:kern w:val="0"/>
                      <w:szCs w:val="21"/>
                    </w:rPr>
                  </w:pPr>
                  <w:r>
                    <w:rPr>
                      <w:kern w:val="0"/>
                      <w:szCs w:val="21"/>
                    </w:rPr>
                    <w:t>泄露出来的</w:t>
                  </w:r>
                  <w:r>
                    <w:rPr>
                      <w:szCs w:val="21"/>
                    </w:rPr>
                    <w:t>润滑油</w:t>
                  </w:r>
                  <w:r>
                    <w:rPr>
                      <w:kern w:val="0"/>
                      <w:szCs w:val="21"/>
                    </w:rPr>
                    <w:t>等污染物事故性排放，对地表水及土壤环境不利影响将增加。</w:t>
                  </w:r>
                </w:p>
              </w:tc>
            </w:tr>
          </w:tbl>
          <w:p w14:paraId="1A0F5CFB">
            <w:pPr>
              <w:keepNext/>
              <w:spacing w:before="100" w:beforeAutospacing="1" w:line="360" w:lineRule="auto"/>
              <w:ind w:firstLine="482" w:firstLineChars="200"/>
              <w:outlineLvl w:val="1"/>
              <w:rPr>
                <w:b/>
                <w:bCs/>
                <w:sz w:val="24"/>
              </w:rPr>
            </w:pPr>
            <w:bookmarkStart w:id="16" w:name="_Toc474855797"/>
            <w:bookmarkStart w:id="17" w:name="_Toc60652804"/>
            <w:bookmarkStart w:id="18" w:name="_Toc63415124"/>
            <w:r>
              <w:rPr>
                <w:rFonts w:hint="eastAsia"/>
                <w:b/>
                <w:bCs/>
                <w:sz w:val="24"/>
              </w:rPr>
              <w:t>4、</w:t>
            </w:r>
            <w:r>
              <w:rPr>
                <w:b/>
                <w:bCs/>
                <w:sz w:val="24"/>
              </w:rPr>
              <w:t>环境风险</w:t>
            </w:r>
            <w:bookmarkEnd w:id="16"/>
            <w:r>
              <w:rPr>
                <w:b/>
                <w:bCs/>
                <w:sz w:val="24"/>
              </w:rPr>
              <w:t>防范</w:t>
            </w:r>
            <w:bookmarkEnd w:id="17"/>
            <w:bookmarkEnd w:id="18"/>
          </w:p>
          <w:p w14:paraId="5A6EC965">
            <w:pPr>
              <w:widowControl/>
              <w:spacing w:line="360" w:lineRule="auto"/>
              <w:ind w:firstLine="480" w:firstLineChars="200"/>
              <w:jc w:val="left"/>
              <w:rPr>
                <w:kern w:val="0"/>
                <w:sz w:val="24"/>
              </w:rPr>
            </w:pPr>
            <w:r>
              <w:rPr>
                <w:kern w:val="0"/>
                <w:sz w:val="24"/>
              </w:rPr>
              <w:fldChar w:fldCharType="begin"/>
            </w:r>
            <w:r>
              <w:rPr>
                <w:kern w:val="0"/>
                <w:sz w:val="24"/>
              </w:rPr>
              <w:instrText xml:space="preserve"> </w:instrText>
            </w:r>
            <w:r>
              <w:rPr>
                <w:rFonts w:hint="eastAsia"/>
                <w:kern w:val="0"/>
                <w:sz w:val="24"/>
              </w:rPr>
              <w:instrText xml:space="preserve">= 1 \* GB3</w:instrText>
            </w:r>
            <w:r>
              <w:rPr>
                <w:kern w:val="0"/>
                <w:sz w:val="24"/>
              </w:rPr>
              <w:instrText xml:space="preserve"> </w:instrText>
            </w:r>
            <w:r>
              <w:rPr>
                <w:kern w:val="0"/>
                <w:sz w:val="24"/>
              </w:rPr>
              <w:fldChar w:fldCharType="separate"/>
            </w:r>
            <w:r>
              <w:rPr>
                <w:rFonts w:hint="eastAsia"/>
                <w:kern w:val="0"/>
                <w:sz w:val="24"/>
              </w:rPr>
              <w:t>①</w:t>
            </w:r>
            <w:r>
              <w:rPr>
                <w:kern w:val="0"/>
                <w:sz w:val="24"/>
              </w:rPr>
              <w:fldChar w:fldCharType="end"/>
            </w:r>
            <w:r>
              <w:rPr>
                <w:rFonts w:hint="eastAsia"/>
                <w:kern w:val="0"/>
                <w:sz w:val="24"/>
              </w:rPr>
              <w:t>火灾事故的防范措施</w:t>
            </w:r>
          </w:p>
          <w:p w14:paraId="67311B14">
            <w:pPr>
              <w:widowControl/>
              <w:spacing w:line="360" w:lineRule="auto"/>
              <w:ind w:firstLine="480" w:firstLineChars="200"/>
              <w:jc w:val="left"/>
              <w:rPr>
                <w:kern w:val="0"/>
                <w:sz w:val="24"/>
              </w:rPr>
            </w:pPr>
            <w:r>
              <w:rPr>
                <w:rFonts w:hint="eastAsia"/>
                <w:kern w:val="0"/>
                <w:sz w:val="24"/>
              </w:rPr>
              <w:t>生产过程必须严格按照相关防火设计要求进行，并配备相应的保护工程；加强工艺系统的自动控制的应用，同时应加强对系统设备的维护保养；加强对全厂员工教育，使员工了解防火知识；配备足够的救灾防毒器具、消防器及防护用品。</w:t>
            </w:r>
          </w:p>
          <w:p w14:paraId="61E8C3FA">
            <w:pPr>
              <w:spacing w:line="360" w:lineRule="auto"/>
              <w:ind w:firstLine="470" w:firstLineChars="196"/>
              <w:outlineLvl w:val="3"/>
              <w:rPr>
                <w:kern w:val="0"/>
                <w:sz w:val="24"/>
              </w:rPr>
            </w:pPr>
            <w:r>
              <w:rPr>
                <w:kern w:val="0"/>
                <w:sz w:val="24"/>
              </w:rPr>
              <w:fldChar w:fldCharType="begin"/>
            </w:r>
            <w:r>
              <w:rPr>
                <w:kern w:val="0"/>
                <w:sz w:val="24"/>
              </w:rPr>
              <w:instrText xml:space="preserve"> </w:instrText>
            </w:r>
            <w:r>
              <w:rPr>
                <w:rFonts w:hint="eastAsia"/>
                <w:kern w:val="0"/>
                <w:sz w:val="24"/>
              </w:rPr>
              <w:instrText xml:space="preserve">= 2 \* GB3</w:instrText>
            </w:r>
            <w:r>
              <w:rPr>
                <w:kern w:val="0"/>
                <w:sz w:val="24"/>
              </w:rPr>
              <w:instrText xml:space="preserve"> </w:instrText>
            </w:r>
            <w:r>
              <w:rPr>
                <w:kern w:val="0"/>
                <w:sz w:val="24"/>
              </w:rPr>
              <w:fldChar w:fldCharType="separate"/>
            </w:r>
            <w:r>
              <w:rPr>
                <w:rFonts w:hint="eastAsia"/>
                <w:kern w:val="0"/>
                <w:sz w:val="24"/>
              </w:rPr>
              <w:t>②</w:t>
            </w:r>
            <w:r>
              <w:rPr>
                <w:kern w:val="0"/>
                <w:sz w:val="24"/>
              </w:rPr>
              <w:fldChar w:fldCharType="end"/>
            </w:r>
            <w:r>
              <w:rPr>
                <w:rFonts w:hint="eastAsia"/>
                <w:kern w:val="0"/>
                <w:sz w:val="24"/>
              </w:rPr>
              <w:t>消防及火灾报警</w:t>
            </w:r>
          </w:p>
          <w:p w14:paraId="39B3355F">
            <w:pPr>
              <w:spacing w:line="360" w:lineRule="auto"/>
              <w:ind w:firstLine="470" w:firstLineChars="196"/>
              <w:outlineLvl w:val="3"/>
              <w:rPr>
                <w:kern w:val="0"/>
                <w:sz w:val="24"/>
              </w:rPr>
            </w:pPr>
            <w:r>
              <w:rPr>
                <w:rFonts w:hint="eastAsia"/>
                <w:kern w:val="0"/>
                <w:sz w:val="24"/>
              </w:rPr>
              <w:t>项目配备室外消防装置，在内部设置消防装置。</w:t>
            </w:r>
          </w:p>
          <w:p w14:paraId="2B135867">
            <w:pPr>
              <w:spacing w:line="360" w:lineRule="auto"/>
              <w:ind w:firstLine="470" w:firstLineChars="196"/>
              <w:outlineLvl w:val="3"/>
              <w:rPr>
                <w:kern w:val="0"/>
                <w:sz w:val="24"/>
              </w:rPr>
            </w:pPr>
            <w:r>
              <w:rPr>
                <w:kern w:val="0"/>
                <w:sz w:val="24"/>
              </w:rPr>
              <w:fldChar w:fldCharType="begin"/>
            </w:r>
            <w:r>
              <w:rPr>
                <w:kern w:val="0"/>
                <w:sz w:val="24"/>
              </w:rPr>
              <w:instrText xml:space="preserve"> </w:instrText>
            </w:r>
            <w:r>
              <w:rPr>
                <w:rFonts w:hint="eastAsia"/>
                <w:kern w:val="0"/>
                <w:sz w:val="24"/>
              </w:rPr>
              <w:instrText xml:space="preserve">= 3 \* GB3</w:instrText>
            </w:r>
            <w:r>
              <w:rPr>
                <w:kern w:val="0"/>
                <w:sz w:val="24"/>
              </w:rPr>
              <w:instrText xml:space="preserve"> </w:instrText>
            </w:r>
            <w:r>
              <w:rPr>
                <w:kern w:val="0"/>
                <w:sz w:val="24"/>
              </w:rPr>
              <w:fldChar w:fldCharType="separate"/>
            </w:r>
            <w:r>
              <w:rPr>
                <w:rFonts w:hint="eastAsia"/>
                <w:kern w:val="0"/>
                <w:sz w:val="24"/>
              </w:rPr>
              <w:t>③</w:t>
            </w:r>
            <w:r>
              <w:rPr>
                <w:kern w:val="0"/>
                <w:sz w:val="24"/>
              </w:rPr>
              <w:fldChar w:fldCharType="end"/>
            </w:r>
            <w:r>
              <w:rPr>
                <w:rFonts w:hint="eastAsia"/>
                <w:kern w:val="0"/>
                <w:sz w:val="24"/>
              </w:rPr>
              <w:t>安全管理</w:t>
            </w:r>
          </w:p>
          <w:p w14:paraId="2033278F">
            <w:pPr>
              <w:spacing w:line="360" w:lineRule="auto"/>
              <w:ind w:firstLine="470" w:firstLineChars="196"/>
              <w:outlineLvl w:val="3"/>
              <w:rPr>
                <w:kern w:val="0"/>
                <w:sz w:val="24"/>
              </w:rPr>
            </w:pPr>
            <w:r>
              <w:rPr>
                <w:rFonts w:hint="eastAsia"/>
                <w:kern w:val="0"/>
                <w:sz w:val="24"/>
              </w:rPr>
              <w:t>项目在管理上应设置专业安全监督机构，建立严格的规章制度和安全生产措施，所有工作人员必须培训上岗，绝不容许引入不安全因素到生产作业中去。生产区</w:t>
            </w:r>
            <w:r>
              <w:rPr>
                <w:rFonts w:hint="eastAsia"/>
                <w:sz w:val="24"/>
              </w:rPr>
              <w:t>设禁止吸烟标志，防止人为引起明火火灾等事故。</w:t>
            </w:r>
          </w:p>
          <w:p w14:paraId="65815F01">
            <w:pPr>
              <w:spacing w:line="360" w:lineRule="auto"/>
              <w:ind w:firstLine="470" w:firstLineChars="196"/>
              <w:outlineLvl w:val="3"/>
              <w:rPr>
                <w:sz w:val="24"/>
              </w:rPr>
            </w:pPr>
            <w:r>
              <w:rPr>
                <w:rFonts w:hint="eastAsia"/>
                <w:sz w:val="24"/>
              </w:rPr>
              <w:t>综上所述，本项目主要环境风险源为</w:t>
            </w:r>
            <w:r>
              <w:rPr>
                <w:rFonts w:hint="eastAsia"/>
                <w:sz w:val="24"/>
                <w:lang w:val="en-US" w:eastAsia="zh-CN"/>
              </w:rPr>
              <w:t>原料区</w:t>
            </w:r>
            <w:r>
              <w:rPr>
                <w:rFonts w:hint="eastAsia"/>
                <w:sz w:val="24"/>
              </w:rPr>
              <w:t>、危废暂存库等，主要环境风险为管道中天然气泄露、润滑油泄露和废润滑油泄露，厂区应配备应急物资。在落实的上述风险防范措施情况下，本项目环境风险是可以接受的。</w:t>
            </w:r>
          </w:p>
          <w:p w14:paraId="2F26A333">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rPr>
                <w:b/>
                <w:sz w:val="24"/>
              </w:rPr>
            </w:pPr>
            <w:r>
              <w:rPr>
                <w:b/>
                <w:sz w:val="24"/>
              </w:rPr>
              <w:t>表</w:t>
            </w:r>
            <w:r>
              <w:rPr>
                <w:rFonts w:hint="eastAsia"/>
                <w:b/>
                <w:sz w:val="24"/>
              </w:rPr>
              <w:t>4</w:t>
            </w:r>
            <w:r>
              <w:rPr>
                <w:b/>
                <w:sz w:val="24"/>
              </w:rPr>
              <w:t>-</w:t>
            </w:r>
            <w:r>
              <w:rPr>
                <w:rFonts w:hint="eastAsia"/>
                <w:b/>
                <w:sz w:val="24"/>
                <w:lang w:val="en-US" w:eastAsia="zh-CN"/>
              </w:rPr>
              <w:t>21</w:t>
            </w:r>
            <w:r>
              <w:rPr>
                <w:b/>
                <w:sz w:val="24"/>
              </w:rPr>
              <w:t xml:space="preserve">  建设</w:t>
            </w:r>
            <w:r>
              <w:rPr>
                <w:rFonts w:hint="eastAsia"/>
                <w:b/>
                <w:sz w:val="24"/>
              </w:rPr>
              <w:t>项目</w:t>
            </w:r>
            <w:r>
              <w:rPr>
                <w:b/>
                <w:sz w:val="24"/>
              </w:rPr>
              <w:t>环境风险简单分析内容一览表</w:t>
            </w:r>
          </w:p>
          <w:tbl>
            <w:tblPr>
              <w:tblStyle w:val="59"/>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1133"/>
              <w:gridCol w:w="1133"/>
              <w:gridCol w:w="1109"/>
              <w:gridCol w:w="533"/>
              <w:gridCol w:w="933"/>
              <w:gridCol w:w="2076"/>
            </w:tblGrid>
            <w:tr w14:paraId="6C9432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01" w:type="pct"/>
                  <w:tcBorders>
                    <w:tl2br w:val="nil"/>
                    <w:tr2bl w:val="nil"/>
                  </w:tcBorders>
                  <w:shd w:val="clear" w:color="auto" w:fill="auto"/>
                  <w:vAlign w:val="center"/>
                </w:tcPr>
                <w:p w14:paraId="784F9C56">
                  <w:pPr>
                    <w:jc w:val="center"/>
                    <w:rPr>
                      <w:b/>
                      <w:szCs w:val="21"/>
                    </w:rPr>
                  </w:pPr>
                  <w:r>
                    <w:rPr>
                      <w:b/>
                      <w:szCs w:val="21"/>
                    </w:rPr>
                    <w:t>建设项目名称</w:t>
                  </w:r>
                </w:p>
              </w:tc>
              <w:tc>
                <w:tcPr>
                  <w:tcW w:w="4098" w:type="pct"/>
                  <w:gridSpan w:val="6"/>
                  <w:tcBorders>
                    <w:tl2br w:val="nil"/>
                    <w:tr2bl w:val="nil"/>
                  </w:tcBorders>
                  <w:shd w:val="clear" w:color="auto" w:fill="auto"/>
                  <w:vAlign w:val="center"/>
                </w:tcPr>
                <w:p w14:paraId="212D9404">
                  <w:pPr>
                    <w:jc w:val="center"/>
                    <w:rPr>
                      <w:rFonts w:hint="default" w:eastAsia="宋体"/>
                      <w:b/>
                      <w:szCs w:val="21"/>
                      <w:lang w:val="en-US" w:eastAsia="zh-CN"/>
                    </w:rPr>
                  </w:pPr>
                  <w:r>
                    <w:rPr>
                      <w:rFonts w:hint="eastAsia"/>
                      <w:b w:val="0"/>
                      <w:bCs/>
                      <w:szCs w:val="21"/>
                      <w:lang w:val="en-US" w:eastAsia="zh-CN"/>
                    </w:rPr>
                    <w:t>年产60万套电池系统及壳体、车身总成一体化项目</w:t>
                  </w:r>
                </w:p>
              </w:tc>
            </w:tr>
            <w:tr w14:paraId="3D2A7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0C5692B7">
                  <w:pPr>
                    <w:jc w:val="center"/>
                    <w:rPr>
                      <w:szCs w:val="21"/>
                    </w:rPr>
                  </w:pPr>
                  <w:r>
                    <w:rPr>
                      <w:szCs w:val="21"/>
                    </w:rPr>
                    <w:t>建设地点</w:t>
                  </w:r>
                </w:p>
              </w:tc>
              <w:tc>
                <w:tcPr>
                  <w:tcW w:w="671" w:type="pct"/>
                  <w:tcBorders>
                    <w:tl2br w:val="nil"/>
                    <w:tr2bl w:val="nil"/>
                  </w:tcBorders>
                  <w:shd w:val="clear" w:color="auto" w:fill="auto"/>
                  <w:vAlign w:val="center"/>
                </w:tcPr>
                <w:p w14:paraId="70473558">
                  <w:pPr>
                    <w:ind w:left="-105" w:leftChars="-50" w:right="-105" w:rightChars="-50"/>
                    <w:jc w:val="center"/>
                    <w:rPr>
                      <w:szCs w:val="21"/>
                    </w:rPr>
                  </w:pPr>
                  <w:r>
                    <w:rPr>
                      <w:szCs w:val="21"/>
                    </w:rPr>
                    <w:t>（安徽）省</w:t>
                  </w:r>
                </w:p>
              </w:tc>
              <w:tc>
                <w:tcPr>
                  <w:tcW w:w="671" w:type="pct"/>
                  <w:tcBorders>
                    <w:tl2br w:val="nil"/>
                    <w:tr2bl w:val="nil"/>
                  </w:tcBorders>
                  <w:shd w:val="clear" w:color="auto" w:fill="auto"/>
                  <w:vAlign w:val="center"/>
                </w:tcPr>
                <w:p w14:paraId="76D65A04">
                  <w:pPr>
                    <w:ind w:left="-105" w:leftChars="-50" w:right="-105" w:rightChars="-50"/>
                    <w:jc w:val="center"/>
                    <w:rPr>
                      <w:szCs w:val="21"/>
                    </w:rPr>
                  </w:pPr>
                  <w:r>
                    <w:rPr>
                      <w:szCs w:val="21"/>
                    </w:rPr>
                    <w:t>（</w:t>
                  </w:r>
                  <w:r>
                    <w:rPr>
                      <w:rFonts w:hint="eastAsia"/>
                      <w:szCs w:val="21"/>
                    </w:rPr>
                    <w:t>芜湖</w:t>
                  </w:r>
                  <w:r>
                    <w:rPr>
                      <w:szCs w:val="21"/>
                    </w:rPr>
                    <w:t>）市</w:t>
                  </w:r>
                </w:p>
              </w:tc>
              <w:tc>
                <w:tcPr>
                  <w:tcW w:w="973" w:type="pct"/>
                  <w:gridSpan w:val="2"/>
                  <w:tcBorders>
                    <w:tl2br w:val="nil"/>
                    <w:tr2bl w:val="nil"/>
                  </w:tcBorders>
                  <w:shd w:val="clear" w:color="auto" w:fill="auto"/>
                  <w:vAlign w:val="center"/>
                </w:tcPr>
                <w:p w14:paraId="18483EC5">
                  <w:pPr>
                    <w:jc w:val="center"/>
                    <w:rPr>
                      <w:szCs w:val="21"/>
                    </w:rPr>
                  </w:pPr>
                  <w:r>
                    <w:rPr>
                      <w:szCs w:val="21"/>
                    </w:rPr>
                    <w:t>（</w:t>
                  </w:r>
                  <w:r>
                    <w:rPr>
                      <w:rFonts w:hint="eastAsia"/>
                      <w:szCs w:val="21"/>
                      <w:lang w:val="en-US" w:eastAsia="zh-CN"/>
                    </w:rPr>
                    <w:t>三山经济开发</w:t>
                  </w:r>
                  <w:r>
                    <w:rPr>
                      <w:szCs w:val="21"/>
                    </w:rPr>
                    <w:t>）区</w:t>
                  </w:r>
                </w:p>
              </w:tc>
              <w:tc>
                <w:tcPr>
                  <w:tcW w:w="553" w:type="pct"/>
                  <w:tcBorders>
                    <w:tl2br w:val="nil"/>
                    <w:tr2bl w:val="nil"/>
                  </w:tcBorders>
                  <w:shd w:val="clear" w:color="auto" w:fill="auto"/>
                  <w:vAlign w:val="center"/>
                </w:tcPr>
                <w:p w14:paraId="269CD406">
                  <w:pPr>
                    <w:ind w:left="-105" w:leftChars="-50" w:right="-105" w:rightChars="-50"/>
                    <w:jc w:val="center"/>
                    <w:rPr>
                      <w:szCs w:val="21"/>
                    </w:rPr>
                  </w:pPr>
                  <w:r>
                    <w:rPr>
                      <w:szCs w:val="21"/>
                    </w:rPr>
                    <w:t>（）县</w:t>
                  </w:r>
                </w:p>
              </w:tc>
              <w:tc>
                <w:tcPr>
                  <w:tcW w:w="1229" w:type="pct"/>
                  <w:tcBorders>
                    <w:tl2br w:val="nil"/>
                    <w:tr2bl w:val="nil"/>
                  </w:tcBorders>
                  <w:shd w:val="clear" w:color="auto" w:fill="auto"/>
                  <w:vAlign w:val="center"/>
                </w:tcPr>
                <w:p w14:paraId="697EB674">
                  <w:pPr>
                    <w:jc w:val="center"/>
                    <w:rPr>
                      <w:szCs w:val="21"/>
                    </w:rPr>
                  </w:pPr>
                  <w:r>
                    <w:rPr>
                      <w:szCs w:val="21"/>
                    </w:rPr>
                    <w:t>（）园区</w:t>
                  </w:r>
                </w:p>
              </w:tc>
            </w:tr>
            <w:tr w14:paraId="6FC3C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22064797">
                  <w:pPr>
                    <w:jc w:val="center"/>
                    <w:rPr>
                      <w:szCs w:val="21"/>
                    </w:rPr>
                  </w:pPr>
                  <w:r>
                    <w:rPr>
                      <w:szCs w:val="21"/>
                    </w:rPr>
                    <w:t>地理坐标</w:t>
                  </w:r>
                </w:p>
              </w:tc>
              <w:tc>
                <w:tcPr>
                  <w:tcW w:w="1999" w:type="pct"/>
                  <w:gridSpan w:val="3"/>
                  <w:tcBorders>
                    <w:tl2br w:val="nil"/>
                    <w:tr2bl w:val="nil"/>
                  </w:tcBorders>
                  <w:shd w:val="clear" w:color="auto" w:fill="auto"/>
                  <w:vAlign w:val="center"/>
                </w:tcPr>
                <w:p w14:paraId="65F542FF">
                  <w:pPr>
                    <w:jc w:val="center"/>
                    <w:rPr>
                      <w:szCs w:val="21"/>
                    </w:rPr>
                  </w:pPr>
                  <w:r>
                    <w:rPr>
                      <w:rFonts w:cs="宋体"/>
                      <w:bCs/>
                      <w:szCs w:val="21"/>
                    </w:rPr>
                    <w:t>经度</w:t>
                  </w:r>
                  <w:r>
                    <w:rPr>
                      <w:rFonts w:hint="eastAsia" w:cs="宋体"/>
                      <w:bCs/>
                      <w:szCs w:val="21"/>
                    </w:rPr>
                    <w:t>118.19341</w:t>
                  </w:r>
                </w:p>
              </w:tc>
              <w:tc>
                <w:tcPr>
                  <w:tcW w:w="2099" w:type="pct"/>
                  <w:gridSpan w:val="3"/>
                  <w:tcBorders>
                    <w:tl2br w:val="nil"/>
                    <w:tr2bl w:val="nil"/>
                  </w:tcBorders>
                  <w:shd w:val="clear" w:color="auto" w:fill="auto"/>
                  <w:vAlign w:val="center"/>
                </w:tcPr>
                <w:p w14:paraId="0D1813FF">
                  <w:pPr>
                    <w:jc w:val="center"/>
                    <w:rPr>
                      <w:szCs w:val="21"/>
                    </w:rPr>
                  </w:pPr>
                  <w:r>
                    <w:rPr>
                      <w:rFonts w:cs="宋体"/>
                      <w:bCs/>
                      <w:szCs w:val="21"/>
                    </w:rPr>
                    <w:t>纬度</w:t>
                  </w:r>
                  <w:r>
                    <w:rPr>
                      <w:rFonts w:hint="eastAsia" w:cs="宋体"/>
                      <w:bCs/>
                      <w:szCs w:val="21"/>
                    </w:rPr>
                    <w:t>31.209162</w:t>
                  </w:r>
                </w:p>
              </w:tc>
            </w:tr>
            <w:tr w14:paraId="4336CA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456560C7">
                  <w:pPr>
                    <w:ind w:left="-105" w:leftChars="-50" w:right="-105" w:rightChars="-50"/>
                    <w:jc w:val="center"/>
                    <w:rPr>
                      <w:szCs w:val="21"/>
                    </w:rPr>
                  </w:pPr>
                  <w:r>
                    <w:rPr>
                      <w:szCs w:val="21"/>
                    </w:rPr>
                    <w:t>主要危险物质及分布</w:t>
                  </w:r>
                </w:p>
              </w:tc>
              <w:tc>
                <w:tcPr>
                  <w:tcW w:w="4098" w:type="pct"/>
                  <w:gridSpan w:val="6"/>
                  <w:tcBorders>
                    <w:tl2br w:val="nil"/>
                    <w:tr2bl w:val="nil"/>
                  </w:tcBorders>
                  <w:shd w:val="clear" w:color="auto" w:fill="auto"/>
                  <w:vAlign w:val="center"/>
                </w:tcPr>
                <w:p w14:paraId="5D3E89BC">
                  <w:pPr>
                    <w:rPr>
                      <w:szCs w:val="21"/>
                    </w:rPr>
                  </w:pPr>
                  <w:r>
                    <w:rPr>
                      <w:rFonts w:hint="eastAsia"/>
                      <w:szCs w:val="21"/>
                      <w:lang w:val="en-US" w:eastAsia="zh-CN"/>
                    </w:rPr>
                    <w:t>拉延油、</w:t>
                  </w:r>
                  <w:r>
                    <w:rPr>
                      <w:szCs w:val="21"/>
                    </w:rPr>
                    <w:t>润滑油和</w:t>
                  </w:r>
                  <w:r>
                    <w:rPr>
                      <w:rFonts w:hint="eastAsia"/>
                      <w:szCs w:val="21"/>
                      <w:lang w:val="en-US" w:eastAsia="zh-CN"/>
                    </w:rPr>
                    <w:t>危险废物</w:t>
                  </w:r>
                  <w:r>
                    <w:rPr>
                      <w:szCs w:val="21"/>
                    </w:rPr>
                    <w:t>分布于原料区和危废暂存库，最大贮存量分别</w:t>
                  </w:r>
                  <w:r>
                    <w:rPr>
                      <w:rFonts w:hint="eastAsia"/>
                      <w:szCs w:val="21"/>
                    </w:rPr>
                    <w:t>为</w:t>
                  </w:r>
                  <w:r>
                    <w:rPr>
                      <w:rFonts w:hint="eastAsia"/>
                      <w:szCs w:val="21"/>
                      <w:lang w:val="en-US" w:eastAsia="zh-CN"/>
                    </w:rPr>
                    <w:t>1t、</w:t>
                  </w:r>
                  <w:r>
                    <w:rPr>
                      <w:rFonts w:hint="eastAsia"/>
                      <w:szCs w:val="21"/>
                    </w:rPr>
                    <w:t>0</w:t>
                  </w:r>
                  <w:r>
                    <w:rPr>
                      <w:szCs w:val="21"/>
                    </w:rPr>
                    <w:t>.</w:t>
                  </w:r>
                  <w:r>
                    <w:rPr>
                      <w:rFonts w:hint="eastAsia"/>
                      <w:szCs w:val="21"/>
                      <w:lang w:val="en-US" w:eastAsia="zh-CN"/>
                    </w:rPr>
                    <w:t>1</w:t>
                  </w:r>
                  <w:r>
                    <w:rPr>
                      <w:szCs w:val="21"/>
                    </w:rPr>
                    <w:t>t、</w:t>
                  </w:r>
                  <w:r>
                    <w:rPr>
                      <w:rFonts w:hint="eastAsia"/>
                      <w:szCs w:val="21"/>
                      <w:lang w:val="en-US" w:eastAsia="zh-CN"/>
                    </w:rPr>
                    <w:t>2.004</w:t>
                  </w:r>
                  <w:r>
                    <w:rPr>
                      <w:szCs w:val="21"/>
                    </w:rPr>
                    <w:t>t。</w:t>
                  </w:r>
                </w:p>
              </w:tc>
            </w:tr>
            <w:tr w14:paraId="73804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1" w:type="pct"/>
                  <w:tcBorders>
                    <w:tl2br w:val="nil"/>
                    <w:tr2bl w:val="nil"/>
                  </w:tcBorders>
                  <w:shd w:val="clear" w:color="auto" w:fill="auto"/>
                  <w:vAlign w:val="center"/>
                </w:tcPr>
                <w:p w14:paraId="27F67112">
                  <w:pPr>
                    <w:ind w:left="-105" w:leftChars="-50" w:right="-105" w:rightChars="-50"/>
                    <w:jc w:val="center"/>
                    <w:rPr>
                      <w:szCs w:val="21"/>
                    </w:rPr>
                  </w:pPr>
                  <w:r>
                    <w:rPr>
                      <w:szCs w:val="21"/>
                    </w:rPr>
                    <w:t>环境影响途径及危害后果（大气、地表水、地下水等）</w:t>
                  </w:r>
                </w:p>
              </w:tc>
              <w:tc>
                <w:tcPr>
                  <w:tcW w:w="4098" w:type="pct"/>
                  <w:gridSpan w:val="6"/>
                  <w:tcBorders>
                    <w:tl2br w:val="nil"/>
                    <w:tr2bl w:val="nil"/>
                  </w:tcBorders>
                  <w:shd w:val="clear" w:color="auto" w:fill="auto"/>
                  <w:vAlign w:val="center"/>
                </w:tcPr>
                <w:p w14:paraId="345C81C7">
                  <w:pPr>
                    <w:rPr>
                      <w:szCs w:val="21"/>
                    </w:rPr>
                  </w:pPr>
                  <w:r>
                    <w:rPr>
                      <w:szCs w:val="21"/>
                    </w:rPr>
                    <w:t>污染大气环境：</w:t>
                  </w:r>
                  <w:r>
                    <w:rPr>
                      <w:rFonts w:hint="eastAsia"/>
                      <w:szCs w:val="21"/>
                      <w:lang w:val="en-US" w:eastAsia="zh-CN"/>
                    </w:rPr>
                    <w:t>拉延油、润滑油</w:t>
                  </w:r>
                  <w:r>
                    <w:rPr>
                      <w:szCs w:val="21"/>
                    </w:rPr>
                    <w:t>等易燃物质遇高温明火等原因发生火事故时，燃烧产生的CO、烟尘产物等进入大气，将对空气环境造成影响。</w:t>
                  </w:r>
                </w:p>
                <w:p w14:paraId="5BEB78A5">
                  <w:pPr>
                    <w:rPr>
                      <w:szCs w:val="21"/>
                    </w:rPr>
                  </w:pPr>
                  <w:r>
                    <w:rPr>
                      <w:szCs w:val="21"/>
                    </w:rPr>
                    <w:t>污染地表水环境：发生火灾会产生大量的消防废水，消防废水如不及时进行收集，可能通过雨水管网，进入厂界外环境，将对周边水体造成影响。</w:t>
                  </w:r>
                </w:p>
              </w:tc>
            </w:tr>
            <w:tr w14:paraId="22D5B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01" w:type="pct"/>
                  <w:tcBorders>
                    <w:tl2br w:val="nil"/>
                    <w:tr2bl w:val="nil"/>
                  </w:tcBorders>
                  <w:shd w:val="clear" w:color="auto" w:fill="auto"/>
                  <w:vAlign w:val="center"/>
                </w:tcPr>
                <w:p w14:paraId="1BDC52A0">
                  <w:pPr>
                    <w:jc w:val="center"/>
                    <w:rPr>
                      <w:szCs w:val="21"/>
                    </w:rPr>
                  </w:pPr>
                  <w:r>
                    <w:rPr>
                      <w:szCs w:val="21"/>
                    </w:rPr>
                    <w:t>风险防范要求</w:t>
                  </w:r>
                </w:p>
              </w:tc>
              <w:tc>
                <w:tcPr>
                  <w:tcW w:w="4098" w:type="pct"/>
                  <w:gridSpan w:val="6"/>
                  <w:tcBorders>
                    <w:tl2br w:val="nil"/>
                    <w:tr2bl w:val="nil"/>
                  </w:tcBorders>
                  <w:shd w:val="clear" w:color="auto" w:fill="auto"/>
                  <w:vAlign w:val="center"/>
                </w:tcPr>
                <w:p w14:paraId="6E5A8CBA">
                  <w:pPr>
                    <w:rPr>
                      <w:szCs w:val="21"/>
                    </w:rPr>
                  </w:pPr>
                  <w:r>
                    <w:rPr>
                      <w:szCs w:val="21"/>
                    </w:rPr>
                    <w:t>总图及建筑风险防范，建设火灾报警系统，加强生产管理。并配备风险防范物资。</w:t>
                  </w:r>
                </w:p>
              </w:tc>
            </w:tr>
          </w:tbl>
          <w:p w14:paraId="16DB6964">
            <w:pPr>
              <w:keepNext w:val="0"/>
              <w:keepLines w:val="0"/>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八、环保投资估算</w:t>
            </w:r>
          </w:p>
          <w:p w14:paraId="3A605C9D">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本项目环保投资约</w:t>
            </w:r>
            <w:r>
              <w:rPr>
                <w:rFonts w:hint="eastAsia" w:cs="Times New Roman"/>
                <w:caps w:val="0"/>
                <w:color w:val="000000" w:themeColor="text1"/>
                <w:sz w:val="24"/>
                <w:highlight w:val="none"/>
                <w:lang w:val="en-US" w:eastAsia="zh-CN"/>
                <w14:textFill>
                  <w14:solidFill>
                    <w14:schemeClr w14:val="tx1"/>
                  </w14:solidFill>
                </w14:textFill>
              </w:rPr>
              <w:t>150</w:t>
            </w:r>
            <w:r>
              <w:rPr>
                <w:rFonts w:hint="default" w:ascii="Times New Roman" w:hAnsi="Times New Roman" w:eastAsia="宋体" w:cs="Times New Roman"/>
                <w:caps w:val="0"/>
                <w:color w:val="000000" w:themeColor="text1"/>
                <w:sz w:val="24"/>
                <w:highlight w:val="none"/>
                <w14:textFill>
                  <w14:solidFill>
                    <w14:schemeClr w14:val="tx1"/>
                  </w14:solidFill>
                </w14:textFill>
              </w:rPr>
              <w:t>万元，环境保护投资估算详见表4-</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2</w:t>
            </w:r>
            <w:r>
              <w:rPr>
                <w:rFonts w:hint="eastAsia" w:ascii="Times New Roman" w:hAnsi="Times New Roman" w:cs="Times New Roman"/>
                <w:caps w:val="0"/>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1E595BD7">
            <w:pPr>
              <w:pStyle w:val="1103"/>
              <w:keepNext w:val="0"/>
              <w:keepLines w:val="0"/>
              <w:pageBreakBefore w:val="0"/>
              <w:widowControl/>
              <w:kinsoku/>
              <w:wordWrap/>
              <w:overflowPunct/>
              <w:topLinePunct w:val="0"/>
              <w:autoSpaceDE/>
              <w:autoSpaceDN/>
              <w:bidi w:val="0"/>
              <w:adjustRightInd/>
              <w:snapToGrid w:val="0"/>
              <w:spacing w:beforeLines="0" w:afterLines="0" w:line="240" w:lineRule="auto"/>
              <w:ind w:left="0" w:hanging="643" w:hangingChars="267"/>
              <w:textAlignment w:val="auto"/>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2</w:t>
            </w:r>
            <w:r>
              <w:rPr>
                <w:rFonts w:hint="eastAsia" w:ascii="Times New Roman" w:hAnsi="Times New Roman" w:cs="Times New Roman"/>
                <w:caps w:val="0"/>
                <w:color w:val="000000" w:themeColor="text1"/>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环境保护投资估算表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33"/>
              <w:gridCol w:w="1521"/>
              <w:gridCol w:w="4987"/>
              <w:gridCol w:w="1296"/>
            </w:tblGrid>
            <w:tr w14:paraId="62EE6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75" w:type="pct"/>
                  <w:tcBorders>
                    <w:tl2br w:val="nil"/>
                    <w:tr2bl w:val="nil"/>
                  </w:tcBorders>
                  <w:vAlign w:val="center"/>
                </w:tcPr>
                <w:p w14:paraId="6AD769FA">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序号</w:t>
                  </w:r>
                </w:p>
              </w:tc>
              <w:tc>
                <w:tcPr>
                  <w:tcW w:w="901" w:type="pct"/>
                  <w:tcBorders>
                    <w:tl2br w:val="nil"/>
                    <w:tr2bl w:val="nil"/>
                  </w:tcBorders>
                  <w:vAlign w:val="center"/>
                </w:tcPr>
                <w:p w14:paraId="3DD165C4">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污染源</w:t>
                  </w:r>
                </w:p>
              </w:tc>
              <w:tc>
                <w:tcPr>
                  <w:tcW w:w="2955" w:type="pct"/>
                  <w:tcBorders>
                    <w:tl2br w:val="nil"/>
                    <w:tr2bl w:val="nil"/>
                  </w:tcBorders>
                  <w:vAlign w:val="center"/>
                </w:tcPr>
                <w:p w14:paraId="0A6BD3C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采取的环保措施</w:t>
                  </w:r>
                </w:p>
              </w:tc>
              <w:tc>
                <w:tcPr>
                  <w:tcW w:w="768" w:type="pct"/>
                  <w:tcBorders>
                    <w:tl2br w:val="nil"/>
                    <w:tr2bl w:val="nil"/>
                  </w:tcBorders>
                  <w:tcMar>
                    <w:top w:w="0" w:type="dxa"/>
                    <w:left w:w="68" w:type="dxa"/>
                    <w:bottom w:w="0" w:type="dxa"/>
                    <w:right w:w="68" w:type="dxa"/>
                  </w:tcMar>
                  <w:vAlign w:val="center"/>
                </w:tcPr>
                <w:p w14:paraId="34EAA34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环保投资费用（万元）</w:t>
                  </w:r>
                </w:p>
              </w:tc>
            </w:tr>
            <w:tr w14:paraId="31061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375" w:type="pct"/>
                  <w:vMerge w:val="restart"/>
                  <w:tcBorders>
                    <w:tl2br w:val="nil"/>
                    <w:tr2bl w:val="nil"/>
                  </w:tcBorders>
                  <w:vAlign w:val="center"/>
                </w:tcPr>
                <w:p w14:paraId="7CAA4CF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废气</w:t>
                  </w:r>
                </w:p>
              </w:tc>
              <w:tc>
                <w:tcPr>
                  <w:tcW w:w="901" w:type="pct"/>
                  <w:vMerge w:val="restart"/>
                  <w:tcBorders>
                    <w:tl2br w:val="nil"/>
                    <w:tr2bl w:val="nil"/>
                  </w:tcBorders>
                  <w:vAlign w:val="center"/>
                </w:tcPr>
                <w:p w14:paraId="1747A9A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焊接</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废气</w:t>
                  </w:r>
                </w:p>
              </w:tc>
              <w:tc>
                <w:tcPr>
                  <w:tcW w:w="2955" w:type="pct"/>
                  <w:tcBorders>
                    <w:tl2br w:val="nil"/>
                    <w:tr2bl w:val="nil"/>
                  </w:tcBorders>
                  <w:vAlign w:val="center"/>
                </w:tcPr>
                <w:p w14:paraId="7622C42B">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集气罩</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收集+</w:t>
                  </w:r>
                  <w:r>
                    <w:rPr>
                      <w:rFonts w:hint="eastAsia" w:cs="Times New Roman"/>
                      <w:caps w:val="0"/>
                      <w:color w:val="000000" w:themeColor="text1"/>
                      <w:szCs w:val="21"/>
                      <w:highlight w:val="none"/>
                      <w:lang w:val="en-US" w:eastAsia="zh-CN"/>
                      <w14:textFill>
                        <w14:solidFill>
                          <w14:schemeClr w14:val="tx1"/>
                        </w14:solidFill>
                      </w14:textFill>
                    </w:rPr>
                    <w:t>布袋除尘</w:t>
                  </w:r>
                  <w:r>
                    <w:rPr>
                      <w:rFonts w:hint="default" w:ascii="Times New Roman" w:hAnsi="Times New Roman" w:eastAsia="宋体" w:cs="Times New Roman"/>
                      <w:caps w:val="0"/>
                      <w:color w:val="000000" w:themeColor="text1"/>
                      <w:szCs w:val="21"/>
                      <w:highlight w:val="none"/>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20</w:t>
                  </w:r>
                  <w:r>
                    <w:rPr>
                      <w:rFonts w:hint="default" w:ascii="Times New Roman" w:hAnsi="Times New Roman" w:eastAsia="宋体" w:cs="Times New Roman"/>
                      <w:caps w:val="0"/>
                      <w:color w:val="000000" w:themeColor="text1"/>
                      <w:szCs w:val="21"/>
                      <w:highlight w:val="none"/>
                      <w14:textFill>
                        <w14:solidFill>
                          <w14:schemeClr w14:val="tx1"/>
                        </w14:solidFill>
                      </w14:textFill>
                    </w:rPr>
                    <w:t>m高排气筒（DA00</w:t>
                  </w:r>
                  <w:r>
                    <w:rPr>
                      <w:rFonts w:hint="eastAsia" w:cs="Times New Roman"/>
                      <w:caps w:val="0"/>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Cs w:val="21"/>
                      <w:highlight w:val="none"/>
                      <w14:textFill>
                        <w14:solidFill>
                          <w14:schemeClr w14:val="tx1"/>
                        </w14:solidFill>
                      </w14:textFill>
                    </w:rPr>
                    <w:t>）</w:t>
                  </w:r>
                </w:p>
              </w:tc>
              <w:tc>
                <w:tcPr>
                  <w:tcW w:w="768" w:type="pct"/>
                  <w:tcBorders>
                    <w:tl2br w:val="nil"/>
                    <w:tr2bl w:val="nil"/>
                  </w:tcBorders>
                  <w:tcMar>
                    <w:top w:w="0" w:type="dxa"/>
                    <w:left w:w="68" w:type="dxa"/>
                    <w:bottom w:w="0" w:type="dxa"/>
                    <w:right w:w="68" w:type="dxa"/>
                  </w:tcMar>
                  <w:vAlign w:val="center"/>
                </w:tcPr>
                <w:p w14:paraId="3EC782F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6</w:t>
                  </w:r>
                  <w:r>
                    <w:rPr>
                      <w:rFonts w:hint="default" w:ascii="Times New Roman" w:hAnsi="Times New Roman" w:eastAsia="宋体" w:cs="Times New Roman"/>
                      <w:caps w:val="0"/>
                      <w:color w:val="000000" w:themeColor="text1"/>
                      <w:szCs w:val="21"/>
                      <w:highlight w:val="none"/>
                      <w14:textFill>
                        <w14:solidFill>
                          <w14:schemeClr w14:val="tx1"/>
                        </w14:solidFill>
                      </w14:textFill>
                    </w:rPr>
                    <w:t>0</w:t>
                  </w:r>
                </w:p>
              </w:tc>
            </w:tr>
            <w:tr w14:paraId="35212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375" w:type="pct"/>
                  <w:vMerge w:val="continue"/>
                  <w:tcBorders>
                    <w:tl2br w:val="nil"/>
                    <w:tr2bl w:val="nil"/>
                  </w:tcBorders>
                  <w:vAlign w:val="center"/>
                </w:tcPr>
                <w:p w14:paraId="7562745B">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1" w:type="pct"/>
                  <w:vMerge w:val="continue"/>
                  <w:tcBorders>
                    <w:tl2br w:val="nil"/>
                    <w:tr2bl w:val="nil"/>
                  </w:tcBorders>
                  <w:vAlign w:val="center"/>
                </w:tcPr>
                <w:p w14:paraId="247B3772">
                  <w:pPr>
                    <w:jc w:val="center"/>
                    <w:rPr>
                      <w:rFonts w:hint="eastAsia" w:cs="Times New Roman"/>
                      <w:caps w:val="0"/>
                      <w:color w:val="000000" w:themeColor="text1"/>
                      <w:szCs w:val="21"/>
                      <w:highlight w:val="none"/>
                      <w:lang w:val="en-US" w:eastAsia="zh-CN"/>
                      <w14:textFill>
                        <w14:solidFill>
                          <w14:schemeClr w14:val="tx1"/>
                        </w14:solidFill>
                      </w14:textFill>
                    </w:rPr>
                  </w:pPr>
                </w:p>
              </w:tc>
              <w:tc>
                <w:tcPr>
                  <w:tcW w:w="2955" w:type="pct"/>
                  <w:tcBorders>
                    <w:tl2br w:val="nil"/>
                    <w:tr2bl w:val="nil"/>
                  </w:tcBorders>
                  <w:vAlign w:val="center"/>
                </w:tcPr>
                <w:p w14:paraId="37FF94FF">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移动式焊接烟尘净化器</w:t>
                  </w:r>
                </w:p>
              </w:tc>
              <w:tc>
                <w:tcPr>
                  <w:tcW w:w="768" w:type="pct"/>
                  <w:tcBorders>
                    <w:tl2br w:val="nil"/>
                    <w:tr2bl w:val="nil"/>
                  </w:tcBorders>
                  <w:tcMar>
                    <w:top w:w="0" w:type="dxa"/>
                    <w:left w:w="68" w:type="dxa"/>
                    <w:bottom w:w="0" w:type="dxa"/>
                    <w:right w:w="68" w:type="dxa"/>
                  </w:tcMar>
                  <w:vAlign w:val="center"/>
                </w:tcPr>
                <w:p w14:paraId="239DE24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20</w:t>
                  </w:r>
                </w:p>
              </w:tc>
            </w:tr>
            <w:tr w14:paraId="6BD4B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375" w:type="pct"/>
                  <w:tcBorders>
                    <w:tl2br w:val="nil"/>
                    <w:tr2bl w:val="nil"/>
                  </w:tcBorders>
                  <w:vAlign w:val="center"/>
                </w:tcPr>
                <w:p w14:paraId="4357C50A">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废水</w:t>
                  </w:r>
                </w:p>
              </w:tc>
              <w:tc>
                <w:tcPr>
                  <w:tcW w:w="901" w:type="pct"/>
                  <w:tcBorders>
                    <w:tl2br w:val="nil"/>
                    <w:tr2bl w:val="nil"/>
                  </w:tcBorders>
                  <w:vAlign w:val="center"/>
                </w:tcPr>
                <w:p w14:paraId="76F4CF0B">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生活污水</w:t>
                  </w:r>
                </w:p>
              </w:tc>
              <w:tc>
                <w:tcPr>
                  <w:tcW w:w="2955" w:type="pct"/>
                  <w:tcBorders>
                    <w:tl2br w:val="nil"/>
                    <w:tr2bl w:val="nil"/>
                  </w:tcBorders>
                  <w:vAlign w:val="center"/>
                </w:tcPr>
                <w:p w14:paraId="4F7EDB79">
                  <w:pPr>
                    <w:pStyle w:val="4"/>
                    <w:ind w:firstLine="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化粪池</w:t>
                  </w:r>
                </w:p>
              </w:tc>
              <w:tc>
                <w:tcPr>
                  <w:tcW w:w="768" w:type="pct"/>
                  <w:tcBorders>
                    <w:tl2br w:val="nil"/>
                    <w:tr2bl w:val="nil"/>
                  </w:tcBorders>
                  <w:tcMar>
                    <w:top w:w="0" w:type="dxa"/>
                    <w:left w:w="68" w:type="dxa"/>
                    <w:bottom w:w="0" w:type="dxa"/>
                    <w:right w:w="68" w:type="dxa"/>
                  </w:tcMar>
                  <w:vAlign w:val="center"/>
                </w:tcPr>
                <w:p w14:paraId="15EF94BF">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5</w:t>
                  </w:r>
                </w:p>
              </w:tc>
            </w:tr>
            <w:tr w14:paraId="060EBD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375" w:type="pct"/>
                  <w:vMerge w:val="restart"/>
                  <w:tcBorders>
                    <w:tl2br w:val="nil"/>
                    <w:tr2bl w:val="nil"/>
                  </w:tcBorders>
                  <w:vAlign w:val="center"/>
                </w:tcPr>
                <w:p w14:paraId="7473AD3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固废</w:t>
                  </w:r>
                </w:p>
              </w:tc>
              <w:tc>
                <w:tcPr>
                  <w:tcW w:w="901" w:type="pct"/>
                  <w:tcBorders>
                    <w:tl2br w:val="nil"/>
                    <w:tr2bl w:val="nil"/>
                  </w:tcBorders>
                  <w:vAlign w:val="center"/>
                </w:tcPr>
                <w:p w14:paraId="46C5C53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一般固废</w:t>
                  </w:r>
                </w:p>
              </w:tc>
              <w:tc>
                <w:tcPr>
                  <w:tcW w:w="2955" w:type="pct"/>
                  <w:tcBorders>
                    <w:tl2br w:val="nil"/>
                    <w:tr2bl w:val="nil"/>
                  </w:tcBorders>
                  <w:vAlign w:val="center"/>
                </w:tcPr>
                <w:p w14:paraId="64805785">
                  <w:pPr>
                    <w:ind w:firstLine="21" w:firstLineChars="1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一般固废暂存</w:t>
                  </w:r>
                </w:p>
              </w:tc>
              <w:tc>
                <w:tcPr>
                  <w:tcW w:w="768" w:type="pct"/>
                  <w:tcBorders>
                    <w:tl2br w:val="nil"/>
                    <w:tr2bl w:val="nil"/>
                  </w:tcBorders>
                  <w:tcMar>
                    <w:top w:w="0" w:type="dxa"/>
                    <w:left w:w="68" w:type="dxa"/>
                    <w:bottom w:w="0" w:type="dxa"/>
                    <w:right w:w="68" w:type="dxa"/>
                  </w:tcMar>
                  <w:vAlign w:val="center"/>
                </w:tcPr>
                <w:p w14:paraId="4A37B4EC">
                  <w:pPr>
                    <w:jc w:val="center"/>
                    <w:rPr>
                      <w:rFonts w:hint="eastAsia"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4</w:t>
                  </w:r>
                </w:p>
              </w:tc>
            </w:tr>
            <w:tr w14:paraId="2F3E2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375" w:type="pct"/>
                  <w:vMerge w:val="continue"/>
                  <w:tcBorders>
                    <w:tl2br w:val="nil"/>
                    <w:tr2bl w:val="nil"/>
                  </w:tcBorders>
                  <w:vAlign w:val="center"/>
                </w:tcPr>
                <w:p w14:paraId="70BAF353">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1" w:type="pct"/>
                  <w:tcBorders>
                    <w:tl2br w:val="nil"/>
                    <w:tr2bl w:val="nil"/>
                  </w:tcBorders>
                  <w:vAlign w:val="center"/>
                </w:tcPr>
                <w:p w14:paraId="4FA48A6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危险固废</w:t>
                  </w:r>
                </w:p>
              </w:tc>
              <w:tc>
                <w:tcPr>
                  <w:tcW w:w="2955" w:type="pct"/>
                  <w:tcBorders>
                    <w:tl2br w:val="nil"/>
                    <w:tr2bl w:val="nil"/>
                  </w:tcBorders>
                  <w:vAlign w:val="center"/>
                </w:tcPr>
                <w:p w14:paraId="48B2519D">
                  <w:pPr>
                    <w:ind w:firstLine="21" w:firstLineChars="1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危险废物暂存处防腐防渗，产生的危废交由有相关资质单位进行处理</w:t>
                  </w:r>
                </w:p>
              </w:tc>
              <w:tc>
                <w:tcPr>
                  <w:tcW w:w="768" w:type="pct"/>
                  <w:tcBorders>
                    <w:tl2br w:val="nil"/>
                    <w:tr2bl w:val="nil"/>
                  </w:tcBorders>
                  <w:tcMar>
                    <w:top w:w="0" w:type="dxa"/>
                    <w:left w:w="68" w:type="dxa"/>
                    <w:bottom w:w="0" w:type="dxa"/>
                    <w:right w:w="68" w:type="dxa"/>
                  </w:tcMar>
                  <w:vAlign w:val="center"/>
                </w:tcPr>
                <w:p w14:paraId="259C70F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9</w:t>
                  </w:r>
                </w:p>
              </w:tc>
            </w:tr>
            <w:tr w14:paraId="6DA38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75" w:type="pct"/>
                  <w:vMerge w:val="continue"/>
                  <w:tcBorders>
                    <w:tl2br w:val="nil"/>
                    <w:tr2bl w:val="nil"/>
                  </w:tcBorders>
                  <w:vAlign w:val="center"/>
                </w:tcPr>
                <w:p w14:paraId="00C601D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1" w:type="pct"/>
                  <w:tcBorders>
                    <w:tl2br w:val="nil"/>
                    <w:tr2bl w:val="nil"/>
                  </w:tcBorders>
                  <w:vAlign w:val="center"/>
                </w:tcPr>
                <w:p w14:paraId="011CE09A">
                  <w:pPr>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生活垃圾</w:t>
                  </w:r>
                </w:p>
              </w:tc>
              <w:tc>
                <w:tcPr>
                  <w:tcW w:w="2955" w:type="pct"/>
                  <w:tcBorders>
                    <w:tl2br w:val="nil"/>
                    <w:tr2bl w:val="nil"/>
                  </w:tcBorders>
                  <w:vAlign w:val="center"/>
                </w:tcPr>
                <w:p w14:paraId="6732D8DE">
                  <w:pPr>
                    <w:ind w:firstLine="21" w:firstLineChars="10"/>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垃圾桶</w:t>
                  </w:r>
                </w:p>
              </w:tc>
              <w:tc>
                <w:tcPr>
                  <w:tcW w:w="768" w:type="pct"/>
                  <w:tcBorders>
                    <w:tl2br w:val="nil"/>
                    <w:tr2bl w:val="nil"/>
                  </w:tcBorders>
                  <w:tcMar>
                    <w:top w:w="0" w:type="dxa"/>
                    <w:left w:w="68" w:type="dxa"/>
                    <w:bottom w:w="0" w:type="dxa"/>
                    <w:right w:w="68" w:type="dxa"/>
                  </w:tcMar>
                  <w:vAlign w:val="center"/>
                </w:tcPr>
                <w:p w14:paraId="02B18AAF">
                  <w:pPr>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5</w:t>
                  </w:r>
                </w:p>
              </w:tc>
            </w:tr>
            <w:tr w14:paraId="51E05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4" w:hRule="atLeast"/>
                <w:jc w:val="center"/>
              </w:trPr>
              <w:tc>
                <w:tcPr>
                  <w:tcW w:w="375" w:type="pct"/>
                  <w:tcBorders>
                    <w:tl2br w:val="nil"/>
                    <w:tr2bl w:val="nil"/>
                  </w:tcBorders>
                  <w:vAlign w:val="center"/>
                </w:tcPr>
                <w:p w14:paraId="7121F17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901" w:type="pct"/>
                  <w:tcBorders>
                    <w:tl2br w:val="nil"/>
                    <w:tr2bl w:val="nil"/>
                  </w:tcBorders>
                  <w:vAlign w:val="center"/>
                </w:tcPr>
                <w:p w14:paraId="7B3339E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2955" w:type="pct"/>
                  <w:tcBorders>
                    <w:tl2br w:val="nil"/>
                    <w:tr2bl w:val="nil"/>
                  </w:tcBorders>
                  <w:vAlign w:val="center"/>
                </w:tcPr>
                <w:p w14:paraId="0F1B65C9">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t>低噪声设备、</w:t>
                  </w:r>
                  <w:r>
                    <w:rPr>
                      <w:rFonts w:hint="default" w:ascii="Times New Roman" w:hAnsi="Times New Roman" w:eastAsia="宋体" w:cs="Times New Roman"/>
                      <w:caps w:val="0"/>
                      <w:color w:val="000000" w:themeColor="text1"/>
                      <w:szCs w:val="21"/>
                      <w:highlight w:val="none"/>
                      <w14:textFill>
                        <w14:solidFill>
                          <w14:schemeClr w14:val="tx1"/>
                        </w14:solidFill>
                      </w14:textFill>
                    </w:rPr>
                    <w:t>隔声等</w:t>
                  </w:r>
                </w:p>
              </w:tc>
              <w:tc>
                <w:tcPr>
                  <w:tcW w:w="768" w:type="pct"/>
                  <w:tcBorders>
                    <w:tl2br w:val="nil"/>
                    <w:tr2bl w:val="nil"/>
                  </w:tcBorders>
                  <w:tcMar>
                    <w:top w:w="0" w:type="dxa"/>
                    <w:left w:w="68" w:type="dxa"/>
                    <w:bottom w:w="0" w:type="dxa"/>
                    <w:right w:w="68" w:type="dxa"/>
                  </w:tcMar>
                  <w:vAlign w:val="center"/>
                </w:tcPr>
                <w:p w14:paraId="11BB2E0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12</w:t>
                  </w:r>
                </w:p>
              </w:tc>
            </w:tr>
            <w:tr w14:paraId="5321E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57" w:hRule="atLeast"/>
                <w:jc w:val="center"/>
              </w:trPr>
              <w:tc>
                <w:tcPr>
                  <w:tcW w:w="1276" w:type="pct"/>
                  <w:gridSpan w:val="2"/>
                  <w:tcBorders>
                    <w:tl2br w:val="nil"/>
                    <w:tr2bl w:val="nil"/>
                  </w:tcBorders>
                  <w:vAlign w:val="center"/>
                </w:tcPr>
                <w:p w14:paraId="4449836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地下水、土壤</w:t>
                  </w:r>
                </w:p>
              </w:tc>
              <w:tc>
                <w:tcPr>
                  <w:tcW w:w="2955" w:type="pct"/>
                  <w:tcBorders>
                    <w:tl2br w:val="nil"/>
                    <w:tr2bl w:val="nil"/>
                  </w:tcBorders>
                  <w:vAlign w:val="center"/>
                </w:tcPr>
                <w:p w14:paraId="210704E3">
                  <w:pPr>
                    <w:jc w:val="cente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分区防渗：</w:t>
                  </w:r>
                  <w: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t>原料</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区</w:t>
                  </w:r>
                  <w:r>
                    <w:rPr>
                      <w:rFonts w:hint="default" w:ascii="Times New Roman" w:hAnsi="Times New Roman" w:cs="Times New Roman"/>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危废暂存库</w:t>
                  </w:r>
                  <w:r>
                    <w:rPr>
                      <w:rFonts w:hint="default" w:ascii="Times New Roman" w:hAnsi="Times New Roman" w:eastAsia="宋体" w:cs="Times New Roman"/>
                      <w:caps w:val="0"/>
                      <w:color w:val="000000" w:themeColor="text1"/>
                      <w:szCs w:val="21"/>
                      <w:highlight w:val="none"/>
                      <w14:textFill>
                        <w14:solidFill>
                          <w14:schemeClr w14:val="tx1"/>
                        </w14:solidFill>
                      </w14:textFill>
                    </w:rPr>
                    <w:t>采取重点防渗；</w:t>
                  </w:r>
                  <w:r>
                    <w:rPr>
                      <w:rFonts w:hint="default" w:ascii="Times New Roman" w:hAnsi="Times New Roman" w:eastAsia="宋体" w:cs="Times New Roman"/>
                      <w:bCs/>
                      <w:caps w:val="0"/>
                      <w:color w:val="000000" w:themeColor="text1"/>
                      <w:szCs w:val="21"/>
                      <w:highlight w:val="none"/>
                      <w14:textFill>
                        <w14:solidFill>
                          <w14:schemeClr w14:val="tx1"/>
                        </w14:solidFill>
                      </w14:textFill>
                    </w:rPr>
                    <w:t>生产区、其他仓库区域</w:t>
                  </w:r>
                  <w:r>
                    <w:rPr>
                      <w:rFonts w:hint="default" w:ascii="Times New Roman" w:hAnsi="Times New Roman" w:eastAsia="宋体" w:cs="Times New Roman"/>
                      <w:caps w:val="0"/>
                      <w:color w:val="000000" w:themeColor="text1"/>
                      <w:szCs w:val="21"/>
                      <w:highlight w:val="none"/>
                      <w14:textFill>
                        <w14:solidFill>
                          <w14:schemeClr w14:val="tx1"/>
                        </w14:solidFill>
                      </w14:textFill>
                    </w:rPr>
                    <w:t>采取一般防渗；除重点防渗区、一般防渗区外的区域采取简单防渗</w:t>
                  </w:r>
                </w:p>
              </w:tc>
              <w:tc>
                <w:tcPr>
                  <w:tcW w:w="768" w:type="pct"/>
                  <w:tcBorders>
                    <w:tl2br w:val="nil"/>
                    <w:tr2bl w:val="nil"/>
                  </w:tcBorders>
                  <w:tcMar>
                    <w:top w:w="0" w:type="dxa"/>
                    <w:left w:w="68" w:type="dxa"/>
                    <w:bottom w:w="0" w:type="dxa"/>
                    <w:right w:w="68" w:type="dxa"/>
                  </w:tcMar>
                  <w:vAlign w:val="center"/>
                </w:tcPr>
                <w:p w14:paraId="68CBCCF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20</w:t>
                  </w:r>
                </w:p>
              </w:tc>
            </w:tr>
            <w:tr w14:paraId="254E4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1276" w:type="pct"/>
                  <w:gridSpan w:val="2"/>
                  <w:tcBorders>
                    <w:tl2br w:val="nil"/>
                    <w:tr2bl w:val="nil"/>
                  </w:tcBorders>
                  <w:vAlign w:val="center"/>
                </w:tcPr>
                <w:p w14:paraId="432173C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环境风险防范及事故应急</w:t>
                  </w:r>
                </w:p>
              </w:tc>
              <w:tc>
                <w:tcPr>
                  <w:tcW w:w="2955" w:type="pct"/>
                  <w:tcBorders>
                    <w:tl2br w:val="nil"/>
                    <w:tr2bl w:val="nil"/>
                  </w:tcBorders>
                  <w:vAlign w:val="center"/>
                </w:tcPr>
                <w:p w14:paraId="2D2D42B4">
                  <w:pPr>
                    <w:jc w:val="cente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风险防范物资，完善风险防范措施</w:t>
                  </w:r>
                </w:p>
              </w:tc>
              <w:tc>
                <w:tcPr>
                  <w:tcW w:w="768" w:type="pct"/>
                  <w:tcBorders>
                    <w:tl2br w:val="nil"/>
                    <w:tr2bl w:val="nil"/>
                  </w:tcBorders>
                  <w:tcMar>
                    <w:top w:w="0" w:type="dxa"/>
                    <w:left w:w="68" w:type="dxa"/>
                    <w:bottom w:w="0" w:type="dxa"/>
                    <w:right w:w="68" w:type="dxa"/>
                  </w:tcMar>
                  <w:vAlign w:val="center"/>
                </w:tcPr>
                <w:p w14:paraId="34F7A26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1</w:t>
                  </w:r>
                  <w:r>
                    <w:rPr>
                      <w:rFonts w:hint="eastAsia" w:cs="Times New Roman"/>
                      <w:caps w:val="0"/>
                      <w:color w:val="000000" w:themeColor="text1"/>
                      <w:szCs w:val="21"/>
                      <w:highlight w:val="none"/>
                      <w:lang w:val="en-US" w:eastAsia="zh-CN"/>
                      <w14:textFill>
                        <w14:solidFill>
                          <w14:schemeClr w14:val="tx1"/>
                        </w14:solidFill>
                      </w14:textFill>
                    </w:rPr>
                    <w:t>5</w:t>
                  </w:r>
                </w:p>
              </w:tc>
            </w:tr>
            <w:tr w14:paraId="560C9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4231" w:type="pct"/>
                  <w:gridSpan w:val="3"/>
                  <w:tcBorders>
                    <w:tl2br w:val="nil"/>
                    <w:tr2bl w:val="nil"/>
                  </w:tcBorders>
                  <w:vAlign w:val="center"/>
                </w:tcPr>
                <w:p w14:paraId="102037E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合计</w:t>
                  </w:r>
                </w:p>
              </w:tc>
              <w:tc>
                <w:tcPr>
                  <w:tcW w:w="768" w:type="pct"/>
                  <w:tcBorders>
                    <w:tl2br w:val="nil"/>
                    <w:tr2bl w:val="nil"/>
                  </w:tcBorders>
                  <w:tcMar>
                    <w:top w:w="0" w:type="dxa"/>
                    <w:left w:w="68" w:type="dxa"/>
                    <w:bottom w:w="0" w:type="dxa"/>
                    <w:right w:w="68" w:type="dxa"/>
                  </w:tcMar>
                  <w:vAlign w:val="center"/>
                </w:tcPr>
                <w:p w14:paraId="547E101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150</w:t>
                  </w:r>
                </w:p>
              </w:tc>
            </w:tr>
          </w:tbl>
          <w:p w14:paraId="5A74D462">
            <w:pPr>
              <w:pStyle w:val="54"/>
              <w:tabs>
                <w:tab w:val="left" w:pos="570"/>
                <w:tab w:val="center" w:pos="4422"/>
              </w:tabs>
              <w:spacing w:before="0" w:beforeAutospacing="0" w:after="0" w:afterAutospacing="0"/>
              <w:outlineLvl w:val="0"/>
              <w:rPr>
                <w:rFonts w:ascii="Times New Roman" w:hAnsi="Times New Roman"/>
                <w:b/>
                <w:snapToGrid w:val="0"/>
                <w:sz w:val="30"/>
                <w:szCs w:val="30"/>
              </w:rPr>
            </w:pPr>
          </w:p>
        </w:tc>
      </w:tr>
    </w:tbl>
    <w:p w14:paraId="7AC354F1">
      <w:p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C4939EF">
      <w:pPr>
        <w:pStyle w:val="54"/>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五、</w:t>
      </w:r>
      <w:bookmarkStart w:id="19" w:name="_Hlk54167917"/>
      <w:r>
        <w:rPr>
          <w:rFonts w:hint="eastAsia" w:ascii="Times New Roman" w:hAnsi="Times New Roman"/>
          <w:b/>
          <w:snapToGrid w:val="0"/>
          <w:sz w:val="30"/>
          <w:szCs w:val="30"/>
        </w:rPr>
        <w:t>环境保护措施监督检查清单</w:t>
      </w:r>
      <w:bookmarkEnd w:id="19"/>
    </w:p>
    <w:tbl>
      <w:tblPr>
        <w:tblStyle w:val="5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71"/>
        <w:gridCol w:w="567"/>
        <w:gridCol w:w="1130"/>
        <w:gridCol w:w="1391"/>
        <w:gridCol w:w="1581"/>
        <w:gridCol w:w="3160"/>
      </w:tblGrid>
      <w:tr w14:paraId="019DFB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71" w:type="dxa"/>
            <w:tcBorders>
              <w:top w:val="single" w:color="auto" w:sz="12" w:space="0"/>
              <w:left w:val="single" w:color="auto" w:sz="12" w:space="0"/>
              <w:bottom w:val="single" w:color="auto" w:sz="4" w:space="0"/>
              <w:tl2br w:val="single" w:color="auto" w:sz="4" w:space="0"/>
            </w:tcBorders>
          </w:tcPr>
          <w:p w14:paraId="404055A0">
            <w:pPr>
              <w:adjustRightInd w:val="0"/>
              <w:snapToGrid w:val="0"/>
              <w:jc w:val="right"/>
              <w:rPr>
                <w:rFonts w:cs="宋体"/>
                <w:b/>
                <w:sz w:val="24"/>
                <w:szCs w:val="24"/>
              </w:rPr>
            </w:pPr>
            <w:r>
              <w:rPr>
                <w:rFonts w:hint="eastAsia" w:cs="宋体"/>
                <w:b/>
                <w:sz w:val="24"/>
                <w:szCs w:val="24"/>
              </w:rPr>
              <w:t>内容</w:t>
            </w:r>
          </w:p>
          <w:p w14:paraId="7F219FC1">
            <w:pPr>
              <w:adjustRightInd w:val="0"/>
              <w:snapToGrid w:val="0"/>
              <w:jc w:val="left"/>
              <w:rPr>
                <w:rFonts w:cs="宋体"/>
                <w:b/>
                <w:sz w:val="24"/>
                <w:szCs w:val="24"/>
              </w:rPr>
            </w:pPr>
            <w:r>
              <w:rPr>
                <w:rFonts w:hint="eastAsia" w:cs="宋体"/>
                <w:b/>
                <w:sz w:val="24"/>
                <w:szCs w:val="24"/>
              </w:rPr>
              <w:t>要素</w:t>
            </w:r>
          </w:p>
        </w:tc>
        <w:tc>
          <w:tcPr>
            <w:tcW w:w="1697" w:type="dxa"/>
            <w:gridSpan w:val="2"/>
            <w:tcBorders>
              <w:top w:val="single" w:color="auto" w:sz="12" w:space="0"/>
              <w:bottom w:val="single" w:color="auto" w:sz="4" w:space="0"/>
            </w:tcBorders>
            <w:vAlign w:val="center"/>
          </w:tcPr>
          <w:p w14:paraId="47FABE00">
            <w:pPr>
              <w:adjustRightInd w:val="0"/>
              <w:snapToGrid w:val="0"/>
              <w:jc w:val="center"/>
              <w:rPr>
                <w:rFonts w:cs="宋体"/>
                <w:b/>
                <w:sz w:val="24"/>
                <w:szCs w:val="24"/>
              </w:rPr>
            </w:pPr>
            <w:r>
              <w:rPr>
                <w:rFonts w:hint="eastAsia" w:cs="宋体"/>
                <w:b/>
                <w:sz w:val="24"/>
                <w:szCs w:val="24"/>
              </w:rPr>
              <w:t>排放口（编号、名称）/污染源</w:t>
            </w:r>
          </w:p>
        </w:tc>
        <w:tc>
          <w:tcPr>
            <w:tcW w:w="1391" w:type="dxa"/>
            <w:tcBorders>
              <w:top w:val="single" w:color="auto" w:sz="12" w:space="0"/>
              <w:bottom w:val="single" w:color="auto" w:sz="4" w:space="0"/>
            </w:tcBorders>
            <w:vAlign w:val="center"/>
          </w:tcPr>
          <w:p w14:paraId="7957EED2">
            <w:pPr>
              <w:adjustRightInd w:val="0"/>
              <w:snapToGrid w:val="0"/>
              <w:jc w:val="center"/>
              <w:rPr>
                <w:rFonts w:cs="宋体"/>
                <w:b/>
                <w:sz w:val="24"/>
                <w:szCs w:val="24"/>
              </w:rPr>
            </w:pPr>
            <w:r>
              <w:rPr>
                <w:rFonts w:hint="eastAsia" w:cs="宋体"/>
                <w:b/>
                <w:sz w:val="24"/>
                <w:szCs w:val="24"/>
              </w:rPr>
              <w:t>污染物项目</w:t>
            </w:r>
          </w:p>
        </w:tc>
        <w:tc>
          <w:tcPr>
            <w:tcW w:w="1581" w:type="dxa"/>
            <w:tcBorders>
              <w:top w:val="single" w:color="auto" w:sz="12" w:space="0"/>
              <w:bottom w:val="single" w:color="auto" w:sz="4" w:space="0"/>
            </w:tcBorders>
            <w:vAlign w:val="center"/>
          </w:tcPr>
          <w:p w14:paraId="3D71F2EA">
            <w:pPr>
              <w:adjustRightInd w:val="0"/>
              <w:snapToGrid w:val="0"/>
              <w:jc w:val="center"/>
              <w:rPr>
                <w:rFonts w:cs="宋体"/>
                <w:b/>
                <w:sz w:val="24"/>
                <w:szCs w:val="24"/>
              </w:rPr>
            </w:pPr>
            <w:r>
              <w:rPr>
                <w:rFonts w:hint="eastAsia" w:cs="宋体"/>
                <w:b/>
                <w:sz w:val="24"/>
                <w:szCs w:val="24"/>
              </w:rPr>
              <w:t>环境保护措施</w:t>
            </w:r>
          </w:p>
        </w:tc>
        <w:tc>
          <w:tcPr>
            <w:tcW w:w="3160" w:type="dxa"/>
            <w:tcBorders>
              <w:top w:val="single" w:color="auto" w:sz="12" w:space="0"/>
              <w:bottom w:val="single" w:color="auto" w:sz="4" w:space="0"/>
              <w:right w:val="single" w:color="auto" w:sz="12" w:space="0"/>
            </w:tcBorders>
            <w:vAlign w:val="center"/>
          </w:tcPr>
          <w:p w14:paraId="5780C1F7">
            <w:pPr>
              <w:adjustRightInd w:val="0"/>
              <w:snapToGrid w:val="0"/>
              <w:jc w:val="center"/>
              <w:rPr>
                <w:rFonts w:cs="宋体"/>
                <w:b/>
                <w:sz w:val="24"/>
                <w:szCs w:val="24"/>
              </w:rPr>
            </w:pPr>
            <w:r>
              <w:rPr>
                <w:rFonts w:hint="eastAsia" w:cs="宋体"/>
                <w:b/>
                <w:sz w:val="24"/>
                <w:szCs w:val="24"/>
              </w:rPr>
              <w:t>执行标准</w:t>
            </w:r>
          </w:p>
        </w:tc>
      </w:tr>
      <w:tr w14:paraId="440A6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71" w:type="dxa"/>
            <w:vMerge w:val="restart"/>
            <w:tcBorders>
              <w:top w:val="single" w:color="auto" w:sz="4" w:space="0"/>
              <w:left w:val="single" w:color="auto" w:sz="12" w:space="0"/>
            </w:tcBorders>
            <w:vAlign w:val="center"/>
          </w:tcPr>
          <w:p w14:paraId="24B6A3CF">
            <w:pPr>
              <w:adjustRightInd w:val="0"/>
              <w:snapToGrid w:val="0"/>
              <w:jc w:val="center"/>
              <w:rPr>
                <w:rFonts w:cs="宋体"/>
                <w:sz w:val="24"/>
                <w:szCs w:val="24"/>
              </w:rPr>
            </w:pPr>
            <w:r>
              <w:rPr>
                <w:rFonts w:hint="eastAsia" w:cs="宋体"/>
                <w:sz w:val="24"/>
                <w:szCs w:val="24"/>
              </w:rPr>
              <w:t>大气</w:t>
            </w:r>
          </w:p>
          <w:p w14:paraId="0DB6F8BF">
            <w:pPr>
              <w:adjustRightInd w:val="0"/>
              <w:snapToGrid w:val="0"/>
              <w:jc w:val="center"/>
              <w:rPr>
                <w:rFonts w:cs="宋体"/>
                <w:sz w:val="24"/>
                <w:szCs w:val="24"/>
              </w:rPr>
            </w:pPr>
            <w:r>
              <w:rPr>
                <w:rFonts w:hint="eastAsia" w:cs="宋体"/>
                <w:sz w:val="24"/>
                <w:szCs w:val="24"/>
              </w:rPr>
              <w:t>环境</w:t>
            </w:r>
          </w:p>
        </w:tc>
        <w:tc>
          <w:tcPr>
            <w:tcW w:w="567" w:type="dxa"/>
            <w:tcBorders>
              <w:top w:val="single" w:color="auto" w:sz="4" w:space="0"/>
            </w:tcBorders>
            <w:vAlign w:val="center"/>
          </w:tcPr>
          <w:p w14:paraId="3F716D5F">
            <w:pPr>
              <w:snapToGrid w:val="0"/>
              <w:jc w:val="center"/>
              <w:rPr>
                <w:kern w:val="1"/>
                <w:sz w:val="24"/>
                <w:szCs w:val="24"/>
              </w:rPr>
            </w:pPr>
            <w:r>
              <w:rPr>
                <w:kern w:val="1"/>
                <w:sz w:val="24"/>
                <w:szCs w:val="24"/>
              </w:rPr>
              <w:t>有组织</w:t>
            </w:r>
          </w:p>
        </w:tc>
        <w:tc>
          <w:tcPr>
            <w:tcW w:w="1130" w:type="dxa"/>
            <w:tcBorders>
              <w:top w:val="single" w:color="auto" w:sz="4" w:space="0"/>
            </w:tcBorders>
            <w:vAlign w:val="center"/>
          </w:tcPr>
          <w:p w14:paraId="5BE078B1">
            <w:pPr>
              <w:snapToGrid w:val="0"/>
              <w:jc w:val="center"/>
              <w:rPr>
                <w:kern w:val="1"/>
                <w:sz w:val="24"/>
                <w:szCs w:val="24"/>
              </w:rPr>
            </w:pPr>
            <w:r>
              <w:rPr>
                <w:kern w:val="1"/>
                <w:sz w:val="24"/>
                <w:szCs w:val="24"/>
              </w:rPr>
              <w:t>DA001</w:t>
            </w:r>
          </w:p>
        </w:tc>
        <w:tc>
          <w:tcPr>
            <w:tcW w:w="1391" w:type="dxa"/>
            <w:tcBorders>
              <w:top w:val="single" w:color="auto" w:sz="4" w:space="0"/>
              <w:bottom w:val="single" w:color="auto" w:sz="4" w:space="0"/>
            </w:tcBorders>
            <w:vAlign w:val="center"/>
          </w:tcPr>
          <w:p w14:paraId="4D8308EC">
            <w:pPr>
              <w:snapToGrid w:val="0"/>
              <w:jc w:val="center"/>
              <w:rPr>
                <w:rFonts w:hint="eastAsia" w:eastAsia="宋体"/>
                <w:kern w:val="1"/>
                <w:sz w:val="24"/>
                <w:szCs w:val="24"/>
                <w:lang w:eastAsia="zh-CN"/>
              </w:rPr>
            </w:pPr>
            <w:r>
              <w:rPr>
                <w:rFonts w:hint="eastAsia"/>
                <w:sz w:val="24"/>
                <w:szCs w:val="24"/>
                <w:lang w:val="en-US" w:eastAsia="zh-CN"/>
              </w:rPr>
              <w:t>颗粒物</w:t>
            </w:r>
          </w:p>
        </w:tc>
        <w:tc>
          <w:tcPr>
            <w:tcW w:w="1581" w:type="dxa"/>
            <w:tcBorders>
              <w:top w:val="single" w:color="auto" w:sz="4" w:space="0"/>
            </w:tcBorders>
            <w:vAlign w:val="center"/>
          </w:tcPr>
          <w:p w14:paraId="36FA31C8">
            <w:pPr>
              <w:snapToGrid w:val="0"/>
              <w:jc w:val="center"/>
              <w:rPr>
                <w:kern w:val="1"/>
                <w:sz w:val="24"/>
                <w:szCs w:val="24"/>
              </w:rPr>
            </w:pPr>
            <w:r>
              <w:rPr>
                <w:rFonts w:hint="eastAsia"/>
                <w:sz w:val="24"/>
                <w:szCs w:val="24"/>
                <w:lang w:val="en-US" w:eastAsia="zh-CN"/>
              </w:rPr>
              <w:t>集气罩+布袋除尘装置</w:t>
            </w:r>
            <w:r>
              <w:rPr>
                <w:rFonts w:hint="eastAsia"/>
                <w:sz w:val="24"/>
                <w:szCs w:val="24"/>
              </w:rPr>
              <w:t>+</w:t>
            </w:r>
            <w:r>
              <w:rPr>
                <w:rFonts w:hint="eastAsia"/>
                <w:sz w:val="24"/>
                <w:szCs w:val="24"/>
                <w:lang w:val="en-US" w:eastAsia="zh-CN"/>
              </w:rPr>
              <w:t>20</w:t>
            </w:r>
            <w:r>
              <w:rPr>
                <w:sz w:val="24"/>
                <w:szCs w:val="24"/>
              </w:rPr>
              <w:t>m高排气筒</w:t>
            </w:r>
          </w:p>
        </w:tc>
        <w:tc>
          <w:tcPr>
            <w:tcW w:w="3160" w:type="dxa"/>
            <w:vMerge w:val="restart"/>
            <w:tcBorders>
              <w:top w:val="single" w:color="auto" w:sz="4" w:space="0"/>
              <w:right w:val="single" w:color="auto" w:sz="12" w:space="0"/>
            </w:tcBorders>
            <w:vAlign w:val="center"/>
          </w:tcPr>
          <w:p w14:paraId="37549CA6">
            <w:pPr>
              <w:snapToGrid w:val="0"/>
              <w:ind w:left="42" w:leftChars="20" w:right="42" w:rightChars="20"/>
              <w:jc w:val="center"/>
              <w:rPr>
                <w:rFonts w:hint="eastAsia" w:eastAsia="宋体"/>
                <w:kern w:val="0"/>
                <w:sz w:val="24"/>
                <w:szCs w:val="24"/>
                <w:lang w:eastAsia="zh-CN"/>
              </w:rPr>
            </w:pPr>
            <w:r>
              <w:rPr>
                <w:rFonts w:hint="eastAsia" w:ascii="Times New Roman" w:hAnsi="Times New Roman" w:eastAsia="宋体"/>
                <w:color w:val="000000"/>
                <w:sz w:val="24"/>
                <w:szCs w:val="24"/>
              </w:rPr>
              <w:t>《大气污染物综合排放标准》（GB16297-1996）中表2</w:t>
            </w:r>
            <w:r>
              <w:rPr>
                <w:rFonts w:hint="eastAsia"/>
                <w:color w:val="000000"/>
                <w:sz w:val="24"/>
                <w:szCs w:val="24"/>
                <w:lang w:val="en-US" w:eastAsia="zh-CN"/>
              </w:rPr>
              <w:t>种</w:t>
            </w:r>
            <w:r>
              <w:rPr>
                <w:rFonts w:hint="eastAsia" w:ascii="Times New Roman" w:hAnsi="Times New Roman" w:eastAsia="宋体"/>
                <w:color w:val="000000"/>
                <w:sz w:val="24"/>
                <w:szCs w:val="24"/>
              </w:rPr>
              <w:t>二级</w:t>
            </w:r>
            <w:r>
              <w:rPr>
                <w:rFonts w:hint="eastAsia"/>
                <w:color w:val="000000"/>
                <w:sz w:val="24"/>
                <w:szCs w:val="24"/>
                <w:lang w:val="en-US" w:eastAsia="zh-CN"/>
              </w:rPr>
              <w:t>排放限值</w:t>
            </w:r>
            <w:r>
              <w:rPr>
                <w:rFonts w:hint="eastAsia" w:ascii="Times New Roman" w:hAnsi="Times New Roman" w:eastAsia="宋体"/>
                <w:color w:val="000000"/>
                <w:sz w:val="24"/>
                <w:szCs w:val="24"/>
              </w:rPr>
              <w:t>标准</w:t>
            </w:r>
          </w:p>
        </w:tc>
      </w:tr>
      <w:tr w14:paraId="68ADE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971" w:type="dxa"/>
            <w:vMerge w:val="continue"/>
            <w:tcBorders>
              <w:left w:val="single" w:color="auto" w:sz="12" w:space="0"/>
            </w:tcBorders>
            <w:vAlign w:val="center"/>
          </w:tcPr>
          <w:p w14:paraId="7BB4379E">
            <w:pPr>
              <w:adjustRightInd w:val="0"/>
              <w:snapToGrid w:val="0"/>
              <w:jc w:val="center"/>
              <w:rPr>
                <w:rFonts w:cs="宋体"/>
                <w:sz w:val="24"/>
                <w:szCs w:val="24"/>
              </w:rPr>
            </w:pPr>
          </w:p>
        </w:tc>
        <w:tc>
          <w:tcPr>
            <w:tcW w:w="567" w:type="dxa"/>
            <w:tcBorders>
              <w:top w:val="single" w:color="auto" w:sz="4" w:space="0"/>
            </w:tcBorders>
            <w:vAlign w:val="center"/>
          </w:tcPr>
          <w:p w14:paraId="1DA26AB4">
            <w:pPr>
              <w:snapToGrid w:val="0"/>
              <w:jc w:val="center"/>
              <w:rPr>
                <w:kern w:val="1"/>
                <w:sz w:val="24"/>
                <w:szCs w:val="24"/>
              </w:rPr>
            </w:pPr>
            <w:r>
              <w:rPr>
                <w:kern w:val="1"/>
                <w:sz w:val="24"/>
                <w:szCs w:val="24"/>
              </w:rPr>
              <w:t>无组织</w:t>
            </w:r>
          </w:p>
        </w:tc>
        <w:tc>
          <w:tcPr>
            <w:tcW w:w="1130" w:type="dxa"/>
            <w:tcBorders>
              <w:top w:val="single" w:color="auto" w:sz="4" w:space="0"/>
            </w:tcBorders>
            <w:vAlign w:val="center"/>
          </w:tcPr>
          <w:p w14:paraId="7AE43EE6">
            <w:pPr>
              <w:snapToGrid w:val="0"/>
              <w:jc w:val="center"/>
              <w:rPr>
                <w:rFonts w:hint="eastAsia" w:eastAsia="宋体"/>
                <w:kern w:val="1"/>
                <w:sz w:val="24"/>
                <w:szCs w:val="24"/>
                <w:lang w:val="en-US" w:eastAsia="zh-CN"/>
              </w:rPr>
            </w:pPr>
            <w:r>
              <w:rPr>
                <w:rFonts w:hint="eastAsia"/>
                <w:kern w:val="1"/>
                <w:sz w:val="24"/>
                <w:szCs w:val="24"/>
                <w:lang w:val="en-US" w:eastAsia="zh-CN"/>
              </w:rPr>
              <w:t>厂界</w:t>
            </w:r>
          </w:p>
        </w:tc>
        <w:tc>
          <w:tcPr>
            <w:tcW w:w="1391" w:type="dxa"/>
            <w:tcBorders>
              <w:top w:val="single" w:color="auto" w:sz="4" w:space="0"/>
              <w:bottom w:val="single" w:color="auto" w:sz="4" w:space="0"/>
            </w:tcBorders>
            <w:vAlign w:val="center"/>
          </w:tcPr>
          <w:p w14:paraId="214DF0A6">
            <w:pPr>
              <w:snapToGrid w:val="0"/>
              <w:jc w:val="center"/>
              <w:rPr>
                <w:sz w:val="24"/>
                <w:szCs w:val="24"/>
              </w:rPr>
            </w:pPr>
            <w:r>
              <w:rPr>
                <w:rFonts w:hint="eastAsia"/>
                <w:sz w:val="24"/>
                <w:szCs w:val="24"/>
                <w:lang w:val="en-US" w:eastAsia="zh-CN"/>
              </w:rPr>
              <w:t>颗粒物</w:t>
            </w:r>
          </w:p>
        </w:tc>
        <w:tc>
          <w:tcPr>
            <w:tcW w:w="1581" w:type="dxa"/>
            <w:tcBorders>
              <w:top w:val="single" w:color="auto" w:sz="4" w:space="0"/>
            </w:tcBorders>
            <w:vAlign w:val="center"/>
          </w:tcPr>
          <w:p w14:paraId="4615C3C8">
            <w:pPr>
              <w:snapToGrid w:val="0"/>
              <w:jc w:val="center"/>
              <w:rPr>
                <w:rFonts w:hint="default" w:eastAsia="宋体"/>
                <w:sz w:val="24"/>
                <w:szCs w:val="24"/>
                <w:lang w:val="en-US" w:eastAsia="zh-CN"/>
              </w:rPr>
            </w:pPr>
            <w:r>
              <w:rPr>
                <w:rFonts w:hint="eastAsia"/>
                <w:sz w:val="24"/>
                <w:szCs w:val="24"/>
                <w:lang w:val="en-US" w:eastAsia="zh-CN"/>
              </w:rPr>
              <w:t>移动式焊接烟尘净化器</w:t>
            </w:r>
          </w:p>
        </w:tc>
        <w:tc>
          <w:tcPr>
            <w:tcW w:w="3160" w:type="dxa"/>
            <w:vMerge w:val="continue"/>
            <w:tcBorders>
              <w:right w:val="single" w:color="auto" w:sz="12" w:space="0"/>
            </w:tcBorders>
            <w:vAlign w:val="center"/>
          </w:tcPr>
          <w:p w14:paraId="4C04A154">
            <w:pPr>
              <w:snapToGrid w:val="0"/>
              <w:ind w:left="42" w:leftChars="20" w:right="42" w:rightChars="20"/>
              <w:jc w:val="center"/>
              <w:rPr>
                <w:kern w:val="0"/>
                <w:sz w:val="24"/>
                <w:szCs w:val="24"/>
              </w:rPr>
            </w:pPr>
          </w:p>
        </w:tc>
      </w:tr>
      <w:tr w14:paraId="35F961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971" w:type="dxa"/>
            <w:tcBorders>
              <w:top w:val="single" w:color="auto" w:sz="4" w:space="0"/>
              <w:left w:val="single" w:color="auto" w:sz="12" w:space="0"/>
            </w:tcBorders>
            <w:vAlign w:val="center"/>
          </w:tcPr>
          <w:p w14:paraId="438DB2C6">
            <w:pPr>
              <w:adjustRightInd w:val="0"/>
              <w:snapToGrid w:val="0"/>
              <w:jc w:val="center"/>
              <w:rPr>
                <w:rFonts w:cs="宋体"/>
                <w:sz w:val="24"/>
                <w:szCs w:val="24"/>
              </w:rPr>
            </w:pPr>
            <w:r>
              <w:rPr>
                <w:rFonts w:hint="eastAsia" w:cs="宋体"/>
                <w:sz w:val="24"/>
                <w:szCs w:val="24"/>
              </w:rPr>
              <w:t>地表水环境</w:t>
            </w:r>
          </w:p>
        </w:tc>
        <w:tc>
          <w:tcPr>
            <w:tcW w:w="1697" w:type="dxa"/>
            <w:gridSpan w:val="2"/>
            <w:tcBorders>
              <w:top w:val="single" w:color="auto" w:sz="4" w:space="0"/>
              <w:bottom w:val="single" w:color="auto" w:sz="4" w:space="0"/>
            </w:tcBorders>
            <w:vAlign w:val="center"/>
          </w:tcPr>
          <w:p w14:paraId="2E10376A">
            <w:pPr>
              <w:adjustRightInd w:val="0"/>
              <w:snapToGrid w:val="0"/>
              <w:jc w:val="center"/>
              <w:rPr>
                <w:rFonts w:cs="宋体"/>
                <w:sz w:val="24"/>
                <w:szCs w:val="24"/>
              </w:rPr>
            </w:pPr>
            <w:r>
              <w:rPr>
                <w:rFonts w:hint="eastAsia" w:cs="宋体"/>
                <w:sz w:val="24"/>
                <w:szCs w:val="24"/>
              </w:rPr>
              <w:t>生活污水</w:t>
            </w:r>
          </w:p>
        </w:tc>
        <w:tc>
          <w:tcPr>
            <w:tcW w:w="1391" w:type="dxa"/>
            <w:tcBorders>
              <w:top w:val="single" w:color="auto" w:sz="4" w:space="0"/>
              <w:bottom w:val="single" w:color="auto" w:sz="4" w:space="0"/>
            </w:tcBorders>
            <w:vAlign w:val="center"/>
          </w:tcPr>
          <w:p w14:paraId="3F2A9D0C">
            <w:pPr>
              <w:jc w:val="center"/>
              <w:outlineLvl w:val="0"/>
              <w:rPr>
                <w:sz w:val="24"/>
                <w:szCs w:val="24"/>
              </w:rPr>
            </w:pPr>
            <w:r>
              <w:rPr>
                <w:sz w:val="24"/>
                <w:szCs w:val="24"/>
              </w:rPr>
              <w:t>pH、COD、BOD</w:t>
            </w:r>
            <w:r>
              <w:rPr>
                <w:sz w:val="24"/>
                <w:szCs w:val="24"/>
                <w:vertAlign w:val="subscript"/>
              </w:rPr>
              <w:t>5</w:t>
            </w:r>
            <w:r>
              <w:rPr>
                <w:sz w:val="24"/>
                <w:szCs w:val="24"/>
              </w:rPr>
              <w:t>、SS、</w:t>
            </w:r>
            <w:r>
              <w:rPr>
                <w:rFonts w:hint="eastAsia"/>
                <w:sz w:val="24"/>
                <w:szCs w:val="24"/>
              </w:rPr>
              <w:t>NH</w:t>
            </w:r>
            <w:r>
              <w:rPr>
                <w:rFonts w:hint="eastAsia"/>
                <w:sz w:val="24"/>
                <w:szCs w:val="24"/>
                <w:vertAlign w:val="subscript"/>
              </w:rPr>
              <w:t>3</w:t>
            </w:r>
            <w:r>
              <w:rPr>
                <w:rFonts w:hint="eastAsia"/>
                <w:sz w:val="24"/>
                <w:szCs w:val="24"/>
              </w:rPr>
              <w:t>-N</w:t>
            </w:r>
          </w:p>
        </w:tc>
        <w:tc>
          <w:tcPr>
            <w:tcW w:w="1581" w:type="dxa"/>
            <w:tcBorders>
              <w:top w:val="single" w:color="auto" w:sz="4" w:space="0"/>
              <w:bottom w:val="single" w:color="auto" w:sz="4" w:space="0"/>
            </w:tcBorders>
            <w:vAlign w:val="center"/>
          </w:tcPr>
          <w:p w14:paraId="60D7B065">
            <w:pPr>
              <w:jc w:val="center"/>
              <w:outlineLvl w:val="0"/>
              <w:rPr>
                <w:sz w:val="24"/>
                <w:szCs w:val="24"/>
              </w:rPr>
            </w:pPr>
            <w:r>
              <w:rPr>
                <w:rFonts w:hint="eastAsia"/>
                <w:sz w:val="24"/>
                <w:szCs w:val="24"/>
              </w:rPr>
              <w:t>化粪池</w:t>
            </w:r>
          </w:p>
        </w:tc>
        <w:tc>
          <w:tcPr>
            <w:tcW w:w="3160" w:type="dxa"/>
            <w:tcBorders>
              <w:top w:val="single" w:color="auto" w:sz="4" w:space="0"/>
              <w:right w:val="single" w:color="auto" w:sz="12" w:space="0"/>
            </w:tcBorders>
            <w:vAlign w:val="center"/>
          </w:tcPr>
          <w:p w14:paraId="4D970721">
            <w:pPr>
              <w:jc w:val="center"/>
              <w:outlineLvl w:val="0"/>
              <w:rPr>
                <w:sz w:val="24"/>
                <w:szCs w:val="24"/>
              </w:rPr>
            </w:pPr>
            <w:r>
              <w:rPr>
                <w:rFonts w:hint="eastAsia"/>
                <w:sz w:val="24"/>
                <w:szCs w:val="24"/>
              </w:rPr>
              <w:t>《污水综合排放标准》（</w:t>
            </w:r>
            <w:r>
              <w:rPr>
                <w:sz w:val="24"/>
                <w:szCs w:val="24"/>
              </w:rPr>
              <w:t>GB8978-1996</w:t>
            </w:r>
            <w:r>
              <w:rPr>
                <w:rFonts w:hint="eastAsia"/>
                <w:sz w:val="24"/>
                <w:szCs w:val="24"/>
              </w:rPr>
              <w:t>）表4三级标准</w:t>
            </w:r>
          </w:p>
        </w:tc>
      </w:tr>
      <w:tr w14:paraId="6D0F3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971" w:type="dxa"/>
            <w:tcBorders>
              <w:top w:val="single" w:color="auto" w:sz="4" w:space="0"/>
              <w:left w:val="single" w:color="auto" w:sz="12" w:space="0"/>
              <w:bottom w:val="single" w:color="auto" w:sz="4" w:space="0"/>
            </w:tcBorders>
            <w:vAlign w:val="center"/>
          </w:tcPr>
          <w:p w14:paraId="3B1182D7">
            <w:pPr>
              <w:adjustRightInd w:val="0"/>
              <w:snapToGrid w:val="0"/>
              <w:jc w:val="center"/>
              <w:rPr>
                <w:rFonts w:cs="宋体"/>
                <w:sz w:val="24"/>
                <w:szCs w:val="24"/>
              </w:rPr>
            </w:pPr>
            <w:r>
              <w:rPr>
                <w:rFonts w:hint="eastAsia" w:cs="宋体"/>
                <w:sz w:val="24"/>
                <w:szCs w:val="24"/>
              </w:rPr>
              <w:t>声环境</w:t>
            </w:r>
          </w:p>
        </w:tc>
        <w:tc>
          <w:tcPr>
            <w:tcW w:w="1697" w:type="dxa"/>
            <w:gridSpan w:val="2"/>
            <w:tcBorders>
              <w:top w:val="single" w:color="auto" w:sz="4" w:space="0"/>
              <w:bottom w:val="single" w:color="auto" w:sz="4" w:space="0"/>
            </w:tcBorders>
            <w:vAlign w:val="center"/>
          </w:tcPr>
          <w:p w14:paraId="29D5523D">
            <w:pPr>
              <w:adjustRightInd w:val="0"/>
              <w:snapToGrid w:val="0"/>
              <w:jc w:val="center"/>
              <w:rPr>
                <w:rFonts w:hint="default" w:eastAsia="宋体" w:cs="宋体"/>
                <w:sz w:val="24"/>
                <w:szCs w:val="24"/>
                <w:lang w:val="en-US" w:eastAsia="zh-CN"/>
              </w:rPr>
            </w:pPr>
            <w:r>
              <w:rPr>
                <w:rFonts w:hint="eastAsia" w:cs="宋体"/>
                <w:sz w:val="24"/>
                <w:szCs w:val="24"/>
                <w:lang w:val="en-US" w:eastAsia="zh-CN"/>
              </w:rPr>
              <w:t>生产设备、风机等</w:t>
            </w:r>
          </w:p>
        </w:tc>
        <w:tc>
          <w:tcPr>
            <w:tcW w:w="1391" w:type="dxa"/>
            <w:tcBorders>
              <w:top w:val="single" w:color="auto" w:sz="4" w:space="0"/>
              <w:bottom w:val="single" w:color="auto" w:sz="4" w:space="0"/>
            </w:tcBorders>
            <w:vAlign w:val="center"/>
          </w:tcPr>
          <w:p w14:paraId="77C0C9B8">
            <w:pPr>
              <w:adjustRightInd w:val="0"/>
              <w:snapToGrid w:val="0"/>
              <w:jc w:val="center"/>
              <w:rPr>
                <w:rFonts w:cs="宋体"/>
                <w:sz w:val="24"/>
                <w:szCs w:val="24"/>
              </w:rPr>
            </w:pPr>
            <w:r>
              <w:rPr>
                <w:rFonts w:hint="eastAsia" w:cs="宋体"/>
                <w:sz w:val="24"/>
                <w:szCs w:val="24"/>
              </w:rPr>
              <w:t>/</w:t>
            </w:r>
          </w:p>
        </w:tc>
        <w:tc>
          <w:tcPr>
            <w:tcW w:w="1581" w:type="dxa"/>
            <w:tcBorders>
              <w:top w:val="single" w:color="auto" w:sz="4" w:space="0"/>
              <w:bottom w:val="single" w:color="auto" w:sz="4" w:space="0"/>
            </w:tcBorders>
            <w:vAlign w:val="center"/>
          </w:tcPr>
          <w:p w14:paraId="3A0796B3">
            <w:pPr>
              <w:adjustRightInd w:val="0"/>
              <w:snapToGrid w:val="0"/>
              <w:jc w:val="center"/>
              <w:rPr>
                <w:rFonts w:cs="宋体"/>
                <w:sz w:val="24"/>
                <w:szCs w:val="24"/>
              </w:rPr>
            </w:pPr>
            <w:r>
              <w:rPr>
                <w:sz w:val="24"/>
                <w:szCs w:val="24"/>
              </w:rPr>
              <w:t>基础减振、隔声</w:t>
            </w:r>
          </w:p>
        </w:tc>
        <w:tc>
          <w:tcPr>
            <w:tcW w:w="3160" w:type="dxa"/>
            <w:tcBorders>
              <w:top w:val="single" w:color="auto" w:sz="4" w:space="0"/>
              <w:bottom w:val="single" w:color="auto" w:sz="4" w:space="0"/>
              <w:right w:val="single" w:color="auto" w:sz="12" w:space="0"/>
            </w:tcBorders>
            <w:vAlign w:val="center"/>
          </w:tcPr>
          <w:p w14:paraId="502D186F">
            <w:pPr>
              <w:adjustRightInd w:val="0"/>
              <w:snapToGrid w:val="0"/>
              <w:jc w:val="center"/>
              <w:rPr>
                <w:rFonts w:cs="宋体"/>
                <w:sz w:val="24"/>
                <w:szCs w:val="24"/>
              </w:rPr>
            </w:pPr>
            <w:r>
              <w:rPr>
                <w:rFonts w:hint="eastAsia" w:cs="宋体"/>
                <w:sz w:val="24"/>
                <w:szCs w:val="24"/>
              </w:rPr>
              <w:t>《工业企业厂界环境噪声排放标准》</w:t>
            </w:r>
            <w:r>
              <w:rPr>
                <w:rFonts w:cs="宋体"/>
                <w:sz w:val="24"/>
                <w:szCs w:val="24"/>
              </w:rPr>
              <w:t>（GB12348-2008）</w:t>
            </w:r>
            <w:r>
              <w:rPr>
                <w:rFonts w:hint="eastAsia" w:cs="宋体"/>
                <w:sz w:val="24"/>
                <w:szCs w:val="24"/>
              </w:rPr>
              <w:t>中</w:t>
            </w:r>
            <w:r>
              <w:rPr>
                <w:rFonts w:cs="宋体"/>
                <w:sz w:val="24"/>
                <w:szCs w:val="24"/>
              </w:rPr>
              <w:t>3</w:t>
            </w:r>
            <w:r>
              <w:rPr>
                <w:rFonts w:hint="eastAsia" w:cs="宋体"/>
                <w:sz w:val="24"/>
                <w:szCs w:val="24"/>
              </w:rPr>
              <w:t>类标准</w:t>
            </w:r>
          </w:p>
        </w:tc>
      </w:tr>
      <w:tr w14:paraId="021B2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971" w:type="dxa"/>
            <w:tcBorders>
              <w:top w:val="single" w:color="auto" w:sz="4" w:space="0"/>
              <w:left w:val="single" w:color="auto" w:sz="12" w:space="0"/>
              <w:bottom w:val="single" w:color="auto" w:sz="4" w:space="0"/>
            </w:tcBorders>
            <w:vAlign w:val="center"/>
          </w:tcPr>
          <w:p w14:paraId="7BE95A12">
            <w:pPr>
              <w:adjustRightInd w:val="0"/>
              <w:snapToGrid w:val="0"/>
              <w:jc w:val="center"/>
              <w:rPr>
                <w:rFonts w:cs="宋体"/>
                <w:sz w:val="24"/>
                <w:szCs w:val="24"/>
              </w:rPr>
            </w:pPr>
            <w:r>
              <w:rPr>
                <w:rFonts w:hint="eastAsia" w:cs="宋体"/>
                <w:sz w:val="24"/>
                <w:szCs w:val="24"/>
              </w:rPr>
              <w:t>电磁</w:t>
            </w:r>
          </w:p>
          <w:p w14:paraId="42317021">
            <w:pPr>
              <w:adjustRightInd w:val="0"/>
              <w:snapToGrid w:val="0"/>
              <w:jc w:val="center"/>
              <w:rPr>
                <w:rFonts w:cs="宋体"/>
                <w:sz w:val="24"/>
                <w:szCs w:val="24"/>
              </w:rPr>
            </w:pPr>
            <w:r>
              <w:rPr>
                <w:rFonts w:hint="eastAsia" w:cs="宋体"/>
                <w:sz w:val="24"/>
                <w:szCs w:val="24"/>
              </w:rPr>
              <w:t>辐射</w:t>
            </w:r>
          </w:p>
        </w:tc>
        <w:tc>
          <w:tcPr>
            <w:tcW w:w="1697" w:type="dxa"/>
            <w:gridSpan w:val="2"/>
            <w:tcBorders>
              <w:top w:val="single" w:color="auto" w:sz="4" w:space="0"/>
              <w:bottom w:val="single" w:color="auto" w:sz="4" w:space="0"/>
            </w:tcBorders>
            <w:vAlign w:val="center"/>
          </w:tcPr>
          <w:p w14:paraId="7DA78B1C">
            <w:pPr>
              <w:adjustRightInd w:val="0"/>
              <w:snapToGrid w:val="0"/>
              <w:jc w:val="center"/>
              <w:rPr>
                <w:rFonts w:cs="宋体"/>
                <w:sz w:val="24"/>
                <w:szCs w:val="24"/>
              </w:rPr>
            </w:pPr>
            <w:r>
              <w:rPr>
                <w:rFonts w:hint="eastAsia" w:cs="宋体"/>
                <w:sz w:val="24"/>
                <w:szCs w:val="24"/>
              </w:rPr>
              <w:t>/</w:t>
            </w:r>
          </w:p>
        </w:tc>
        <w:tc>
          <w:tcPr>
            <w:tcW w:w="1391" w:type="dxa"/>
            <w:tcBorders>
              <w:top w:val="single" w:color="auto" w:sz="4" w:space="0"/>
              <w:bottom w:val="single" w:color="auto" w:sz="4" w:space="0"/>
            </w:tcBorders>
            <w:vAlign w:val="center"/>
          </w:tcPr>
          <w:p w14:paraId="1F90AB4F">
            <w:pPr>
              <w:adjustRightInd w:val="0"/>
              <w:snapToGrid w:val="0"/>
              <w:jc w:val="center"/>
              <w:rPr>
                <w:rFonts w:cs="宋体"/>
                <w:sz w:val="24"/>
                <w:szCs w:val="24"/>
              </w:rPr>
            </w:pPr>
            <w:r>
              <w:rPr>
                <w:rFonts w:hint="eastAsia" w:cs="宋体"/>
                <w:sz w:val="24"/>
                <w:szCs w:val="24"/>
              </w:rPr>
              <w:t>/</w:t>
            </w:r>
          </w:p>
        </w:tc>
        <w:tc>
          <w:tcPr>
            <w:tcW w:w="1581" w:type="dxa"/>
            <w:tcBorders>
              <w:top w:val="single" w:color="auto" w:sz="4" w:space="0"/>
              <w:bottom w:val="single" w:color="auto" w:sz="4" w:space="0"/>
            </w:tcBorders>
            <w:vAlign w:val="center"/>
          </w:tcPr>
          <w:p w14:paraId="0C08AC2D">
            <w:pPr>
              <w:adjustRightInd w:val="0"/>
              <w:snapToGrid w:val="0"/>
              <w:jc w:val="center"/>
              <w:rPr>
                <w:rFonts w:cs="宋体"/>
                <w:sz w:val="24"/>
                <w:szCs w:val="24"/>
              </w:rPr>
            </w:pPr>
            <w:r>
              <w:rPr>
                <w:rFonts w:hint="eastAsia" w:cs="宋体"/>
                <w:sz w:val="24"/>
                <w:szCs w:val="24"/>
              </w:rPr>
              <w:t>/</w:t>
            </w:r>
          </w:p>
        </w:tc>
        <w:tc>
          <w:tcPr>
            <w:tcW w:w="3160" w:type="dxa"/>
            <w:tcBorders>
              <w:top w:val="single" w:color="auto" w:sz="4" w:space="0"/>
              <w:bottom w:val="single" w:color="auto" w:sz="4" w:space="0"/>
              <w:right w:val="single" w:color="auto" w:sz="12" w:space="0"/>
            </w:tcBorders>
            <w:vAlign w:val="center"/>
          </w:tcPr>
          <w:p w14:paraId="43C1EFD9">
            <w:pPr>
              <w:adjustRightInd w:val="0"/>
              <w:snapToGrid w:val="0"/>
              <w:jc w:val="center"/>
              <w:rPr>
                <w:rFonts w:cs="宋体"/>
                <w:sz w:val="24"/>
                <w:szCs w:val="24"/>
              </w:rPr>
            </w:pPr>
            <w:r>
              <w:rPr>
                <w:rFonts w:hint="eastAsia" w:cs="宋体"/>
                <w:sz w:val="24"/>
                <w:szCs w:val="24"/>
              </w:rPr>
              <w:t>/</w:t>
            </w:r>
          </w:p>
        </w:tc>
      </w:tr>
      <w:tr w14:paraId="61319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971" w:type="dxa"/>
            <w:tcBorders>
              <w:top w:val="single" w:color="auto" w:sz="4" w:space="0"/>
              <w:left w:val="single" w:color="auto" w:sz="12" w:space="0"/>
              <w:bottom w:val="single" w:color="auto" w:sz="4" w:space="0"/>
            </w:tcBorders>
            <w:vAlign w:val="center"/>
          </w:tcPr>
          <w:p w14:paraId="66873996">
            <w:pPr>
              <w:adjustRightInd w:val="0"/>
              <w:snapToGrid w:val="0"/>
              <w:jc w:val="center"/>
              <w:rPr>
                <w:rFonts w:cs="宋体"/>
                <w:sz w:val="24"/>
                <w:szCs w:val="24"/>
              </w:rPr>
            </w:pPr>
            <w:r>
              <w:rPr>
                <w:rFonts w:hint="eastAsia" w:cs="宋体"/>
                <w:sz w:val="24"/>
                <w:szCs w:val="24"/>
              </w:rPr>
              <w:t>固体</w:t>
            </w:r>
          </w:p>
          <w:p w14:paraId="6CB92E32">
            <w:pPr>
              <w:adjustRightInd w:val="0"/>
              <w:snapToGrid w:val="0"/>
              <w:jc w:val="center"/>
              <w:rPr>
                <w:rFonts w:cs="宋体"/>
                <w:sz w:val="24"/>
                <w:szCs w:val="24"/>
              </w:rPr>
            </w:pPr>
            <w:r>
              <w:rPr>
                <w:rFonts w:hint="eastAsia" w:cs="宋体"/>
                <w:sz w:val="24"/>
                <w:szCs w:val="24"/>
              </w:rPr>
              <w:t>废物</w:t>
            </w:r>
          </w:p>
        </w:tc>
        <w:tc>
          <w:tcPr>
            <w:tcW w:w="7829" w:type="dxa"/>
            <w:gridSpan w:val="5"/>
            <w:tcBorders>
              <w:top w:val="single" w:color="auto" w:sz="4" w:space="0"/>
              <w:bottom w:val="single" w:color="auto" w:sz="4" w:space="0"/>
              <w:right w:val="single" w:color="auto" w:sz="12" w:space="0"/>
            </w:tcBorders>
            <w:vAlign w:val="center"/>
          </w:tcPr>
          <w:p w14:paraId="172E2AEE">
            <w:pPr>
              <w:ind w:firstLine="480" w:firstLineChars="200"/>
              <w:jc w:val="left"/>
              <w:rPr>
                <w:rFonts w:cs="宋体"/>
                <w:sz w:val="24"/>
                <w:szCs w:val="24"/>
              </w:rPr>
            </w:pPr>
            <w:r>
              <w:rPr>
                <w:rFonts w:hint="eastAsia"/>
                <w:sz w:val="24"/>
                <w:szCs w:val="24"/>
              </w:rPr>
              <w:t>新建</w:t>
            </w:r>
            <w:r>
              <w:rPr>
                <w:sz w:val="24"/>
                <w:szCs w:val="24"/>
              </w:rPr>
              <w:t>一般固废暂存库</w:t>
            </w:r>
            <w:r>
              <w:rPr>
                <w:rFonts w:hint="eastAsia"/>
                <w:sz w:val="24"/>
                <w:szCs w:val="24"/>
              </w:rPr>
              <w:t>（</w:t>
            </w:r>
            <w:r>
              <w:rPr>
                <w:sz w:val="24"/>
                <w:szCs w:val="24"/>
              </w:rPr>
              <w:t>20m</w:t>
            </w:r>
            <w:r>
              <w:rPr>
                <w:sz w:val="24"/>
                <w:szCs w:val="24"/>
                <w:vertAlign w:val="superscript"/>
              </w:rPr>
              <w:t>2</w:t>
            </w:r>
            <w:r>
              <w:rPr>
                <w:sz w:val="24"/>
                <w:szCs w:val="24"/>
              </w:rPr>
              <w:t>）</w:t>
            </w:r>
            <w:r>
              <w:rPr>
                <w:rFonts w:hint="eastAsia"/>
                <w:sz w:val="24"/>
                <w:szCs w:val="24"/>
              </w:rPr>
              <w:t>，一般固废于</w:t>
            </w:r>
            <w:r>
              <w:rPr>
                <w:sz w:val="24"/>
                <w:szCs w:val="24"/>
              </w:rPr>
              <w:t>一般固废暂存库暂存，</w:t>
            </w:r>
            <w:r>
              <w:rPr>
                <w:rFonts w:hint="eastAsia"/>
                <w:sz w:val="24"/>
                <w:szCs w:val="24"/>
                <w:lang w:val="en-US" w:eastAsia="zh-CN"/>
              </w:rPr>
              <w:t>费金属边角料、不合格品、废粉尘收集后外售</w:t>
            </w:r>
            <w:r>
              <w:rPr>
                <w:rFonts w:hint="eastAsia"/>
                <w:sz w:val="24"/>
                <w:szCs w:val="24"/>
              </w:rPr>
              <w:t>；新建危废暂存库（</w:t>
            </w:r>
            <w:r>
              <w:rPr>
                <w:rFonts w:hint="eastAsia"/>
                <w:sz w:val="24"/>
                <w:szCs w:val="24"/>
                <w:lang w:val="en-US" w:eastAsia="zh-CN"/>
              </w:rPr>
              <w:t>20</w:t>
            </w:r>
            <w:r>
              <w:rPr>
                <w:sz w:val="24"/>
                <w:szCs w:val="24"/>
              </w:rPr>
              <w:t>m</w:t>
            </w:r>
            <w:r>
              <w:rPr>
                <w:sz w:val="24"/>
                <w:szCs w:val="24"/>
                <w:vertAlign w:val="superscript"/>
              </w:rPr>
              <w:t>2</w:t>
            </w:r>
            <w:r>
              <w:rPr>
                <w:rFonts w:hint="eastAsia"/>
                <w:sz w:val="24"/>
                <w:szCs w:val="24"/>
              </w:rPr>
              <w:t>），</w:t>
            </w:r>
            <w:r>
              <w:rPr>
                <w:sz w:val="24"/>
                <w:szCs w:val="24"/>
              </w:rPr>
              <w:t>废</w:t>
            </w:r>
            <w:r>
              <w:rPr>
                <w:rFonts w:hint="eastAsia"/>
                <w:sz w:val="24"/>
                <w:szCs w:val="24"/>
                <w:lang w:val="en-US" w:eastAsia="zh-CN"/>
              </w:rPr>
              <w:t>拉延油</w:t>
            </w:r>
            <w:r>
              <w:rPr>
                <w:sz w:val="24"/>
                <w:szCs w:val="24"/>
              </w:rPr>
              <w:t>、废润滑油、废油桶属于危险废物，于危废暂存库内暂存，定期交由</w:t>
            </w:r>
            <w:r>
              <w:rPr>
                <w:rFonts w:hint="eastAsia"/>
                <w:sz w:val="24"/>
                <w:szCs w:val="24"/>
              </w:rPr>
              <w:t>有</w:t>
            </w:r>
            <w:r>
              <w:rPr>
                <w:sz w:val="24"/>
                <w:szCs w:val="24"/>
              </w:rPr>
              <w:t>相关危废资质单位处理；生活垃圾交由环卫部门统一清运。</w:t>
            </w:r>
          </w:p>
        </w:tc>
      </w:tr>
      <w:tr w14:paraId="6F0131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69" w:hRule="atLeast"/>
          <w:jc w:val="center"/>
        </w:trPr>
        <w:tc>
          <w:tcPr>
            <w:tcW w:w="971" w:type="dxa"/>
            <w:tcBorders>
              <w:top w:val="single" w:color="auto" w:sz="4" w:space="0"/>
              <w:left w:val="single" w:color="auto" w:sz="12" w:space="0"/>
              <w:bottom w:val="single" w:color="auto" w:sz="4" w:space="0"/>
            </w:tcBorders>
            <w:vAlign w:val="center"/>
          </w:tcPr>
          <w:p w14:paraId="4741D253">
            <w:pPr>
              <w:adjustRightInd w:val="0"/>
              <w:snapToGrid w:val="0"/>
              <w:jc w:val="center"/>
              <w:rPr>
                <w:rFonts w:cs="宋体"/>
                <w:sz w:val="24"/>
                <w:szCs w:val="24"/>
              </w:rPr>
            </w:pPr>
            <w:r>
              <w:rPr>
                <w:rFonts w:hint="eastAsia" w:cs="宋体"/>
                <w:sz w:val="24"/>
                <w:szCs w:val="24"/>
              </w:rPr>
              <w:t>土壤及地下水污染防治措施</w:t>
            </w:r>
          </w:p>
        </w:tc>
        <w:tc>
          <w:tcPr>
            <w:tcW w:w="7829" w:type="dxa"/>
            <w:gridSpan w:val="5"/>
            <w:tcBorders>
              <w:top w:val="single" w:color="auto" w:sz="4" w:space="0"/>
              <w:bottom w:val="single" w:color="auto" w:sz="4" w:space="0"/>
              <w:right w:val="single" w:color="auto" w:sz="12" w:space="0"/>
            </w:tcBorders>
            <w:vAlign w:val="center"/>
          </w:tcPr>
          <w:p w14:paraId="432EA1C7">
            <w:pPr>
              <w:adjustRightInd w:val="0"/>
              <w:snapToGrid w:val="0"/>
              <w:jc w:val="center"/>
              <w:rPr>
                <w:rFonts w:cs="宋体"/>
                <w:sz w:val="24"/>
                <w:szCs w:val="24"/>
              </w:rPr>
            </w:pPr>
            <w:r>
              <w:rPr>
                <w:rFonts w:hint="eastAsia"/>
                <w:sz w:val="24"/>
                <w:szCs w:val="24"/>
              </w:rPr>
              <w:t>生产车间</w:t>
            </w:r>
            <w:r>
              <w:rPr>
                <w:sz w:val="24"/>
                <w:szCs w:val="24"/>
              </w:rPr>
              <w:t>一般防渗，</w:t>
            </w:r>
            <w:r>
              <w:rPr>
                <w:rFonts w:eastAsiaTheme="minorEastAsia"/>
                <w:sz w:val="24"/>
                <w:szCs w:val="24"/>
              </w:rPr>
              <w:t>危废暂存库</w:t>
            </w:r>
            <w:r>
              <w:rPr>
                <w:rFonts w:hint="eastAsia" w:eastAsiaTheme="minorEastAsia"/>
                <w:sz w:val="24"/>
                <w:szCs w:val="24"/>
              </w:rPr>
              <w:t>、</w:t>
            </w:r>
            <w:r>
              <w:rPr>
                <w:rFonts w:hint="eastAsia" w:eastAsiaTheme="minorEastAsia"/>
                <w:sz w:val="24"/>
                <w:szCs w:val="24"/>
                <w:lang w:val="en-US" w:eastAsia="zh-CN"/>
              </w:rPr>
              <w:t>原料</w:t>
            </w:r>
            <w:r>
              <w:rPr>
                <w:rFonts w:hint="eastAsia" w:eastAsiaTheme="minorEastAsia"/>
                <w:sz w:val="24"/>
                <w:szCs w:val="24"/>
              </w:rPr>
              <w:t>区</w:t>
            </w:r>
            <w:r>
              <w:rPr>
                <w:sz w:val="24"/>
                <w:szCs w:val="24"/>
              </w:rPr>
              <w:t>重点防渗。</w:t>
            </w:r>
          </w:p>
        </w:tc>
      </w:tr>
      <w:tr w14:paraId="4943FE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971" w:type="dxa"/>
            <w:tcBorders>
              <w:top w:val="single" w:color="auto" w:sz="4" w:space="0"/>
              <w:left w:val="single" w:color="auto" w:sz="12" w:space="0"/>
              <w:bottom w:val="single" w:color="auto" w:sz="4" w:space="0"/>
            </w:tcBorders>
            <w:vAlign w:val="center"/>
          </w:tcPr>
          <w:p w14:paraId="1BC76130">
            <w:pPr>
              <w:adjustRightInd w:val="0"/>
              <w:snapToGrid w:val="0"/>
              <w:jc w:val="center"/>
              <w:rPr>
                <w:rFonts w:cs="宋体"/>
                <w:sz w:val="24"/>
                <w:szCs w:val="24"/>
              </w:rPr>
            </w:pPr>
            <w:r>
              <w:rPr>
                <w:rFonts w:hint="eastAsia" w:cs="宋体"/>
                <w:sz w:val="24"/>
                <w:szCs w:val="24"/>
              </w:rPr>
              <w:t>生态保护措施</w:t>
            </w:r>
          </w:p>
        </w:tc>
        <w:tc>
          <w:tcPr>
            <w:tcW w:w="7829" w:type="dxa"/>
            <w:gridSpan w:val="5"/>
            <w:tcBorders>
              <w:top w:val="single" w:color="auto" w:sz="4" w:space="0"/>
              <w:bottom w:val="single" w:color="auto" w:sz="4" w:space="0"/>
              <w:right w:val="single" w:color="auto" w:sz="12" w:space="0"/>
            </w:tcBorders>
            <w:vAlign w:val="center"/>
          </w:tcPr>
          <w:p w14:paraId="4AE834F2">
            <w:pPr>
              <w:adjustRightInd w:val="0"/>
              <w:snapToGrid w:val="0"/>
              <w:jc w:val="center"/>
              <w:rPr>
                <w:rFonts w:cs="宋体"/>
                <w:sz w:val="24"/>
                <w:szCs w:val="24"/>
              </w:rPr>
            </w:pPr>
            <w:r>
              <w:rPr>
                <w:rFonts w:hint="eastAsia" w:cs="宋体"/>
                <w:sz w:val="24"/>
                <w:szCs w:val="24"/>
              </w:rPr>
              <w:t>无</w:t>
            </w:r>
          </w:p>
        </w:tc>
      </w:tr>
      <w:tr w14:paraId="6352D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19" w:hRule="atLeast"/>
          <w:jc w:val="center"/>
        </w:trPr>
        <w:tc>
          <w:tcPr>
            <w:tcW w:w="971" w:type="dxa"/>
            <w:tcBorders>
              <w:top w:val="single" w:color="auto" w:sz="4" w:space="0"/>
              <w:left w:val="single" w:color="auto" w:sz="12" w:space="0"/>
              <w:bottom w:val="single" w:color="auto" w:sz="4" w:space="0"/>
            </w:tcBorders>
            <w:vAlign w:val="center"/>
          </w:tcPr>
          <w:p w14:paraId="5093FFD4">
            <w:pPr>
              <w:adjustRightInd w:val="0"/>
              <w:snapToGrid w:val="0"/>
              <w:jc w:val="center"/>
              <w:rPr>
                <w:rFonts w:cs="宋体"/>
                <w:sz w:val="24"/>
                <w:szCs w:val="24"/>
              </w:rPr>
            </w:pPr>
            <w:r>
              <w:rPr>
                <w:rFonts w:hint="eastAsia" w:cs="宋体"/>
                <w:sz w:val="24"/>
                <w:szCs w:val="24"/>
              </w:rPr>
              <w:t>环境风险防范措施</w:t>
            </w:r>
          </w:p>
        </w:tc>
        <w:tc>
          <w:tcPr>
            <w:tcW w:w="7829" w:type="dxa"/>
            <w:gridSpan w:val="5"/>
            <w:tcBorders>
              <w:top w:val="single" w:color="auto" w:sz="4" w:space="0"/>
              <w:bottom w:val="single" w:color="auto" w:sz="4" w:space="0"/>
              <w:right w:val="single" w:color="auto" w:sz="12" w:space="0"/>
            </w:tcBorders>
            <w:vAlign w:val="center"/>
          </w:tcPr>
          <w:p w14:paraId="58CA48AC">
            <w:pPr>
              <w:adjustRightInd w:val="0"/>
              <w:snapToGrid w:val="0"/>
              <w:jc w:val="center"/>
              <w:rPr>
                <w:rFonts w:cs="宋体"/>
                <w:sz w:val="24"/>
                <w:szCs w:val="24"/>
              </w:rPr>
            </w:pPr>
            <w:r>
              <w:rPr>
                <w:sz w:val="24"/>
                <w:szCs w:val="24"/>
              </w:rPr>
              <w:t>配备相应风险防范物资</w:t>
            </w:r>
            <w:r>
              <w:rPr>
                <w:rFonts w:hint="eastAsia"/>
                <w:sz w:val="24"/>
                <w:szCs w:val="24"/>
              </w:rPr>
              <w:t>。①</w:t>
            </w:r>
            <w:r>
              <w:rPr>
                <w:sz w:val="24"/>
                <w:szCs w:val="24"/>
              </w:rPr>
              <w:t>设立环保安全管理机构，配备环保管理人员负责公司运营过程中的环保安全工作；</w:t>
            </w:r>
            <w:r>
              <w:rPr>
                <w:rFonts w:hint="eastAsia"/>
                <w:sz w:val="24"/>
                <w:szCs w:val="24"/>
              </w:rPr>
              <w:t>②</w:t>
            </w:r>
            <w:r>
              <w:rPr>
                <w:sz w:val="24"/>
                <w:szCs w:val="24"/>
              </w:rPr>
              <w:t>合理选址和总图布置，厂房建设根据设计规范要求设定防火距离、安全通道等；</w:t>
            </w:r>
            <w:r>
              <w:rPr>
                <w:rFonts w:hint="eastAsia"/>
                <w:sz w:val="24"/>
                <w:szCs w:val="24"/>
              </w:rPr>
              <w:t>③</w:t>
            </w:r>
            <w:r>
              <w:rPr>
                <w:sz w:val="24"/>
                <w:szCs w:val="24"/>
              </w:rPr>
              <w:t>采取物质贮运安全防范措施，防止火灾发生；</w:t>
            </w:r>
            <w:r>
              <w:rPr>
                <w:rFonts w:hint="eastAsia"/>
                <w:sz w:val="24"/>
                <w:szCs w:val="24"/>
              </w:rPr>
              <w:t>④</w:t>
            </w:r>
            <w:r>
              <w:rPr>
                <w:sz w:val="24"/>
                <w:szCs w:val="24"/>
              </w:rPr>
              <w:t>采取电气、电讯安全防范措施；</w:t>
            </w:r>
            <w:r>
              <w:rPr>
                <w:rFonts w:hint="eastAsia"/>
                <w:sz w:val="24"/>
                <w:szCs w:val="24"/>
              </w:rPr>
              <w:t>⑤</w:t>
            </w:r>
            <w:r>
              <w:rPr>
                <w:sz w:val="24"/>
                <w:szCs w:val="24"/>
              </w:rPr>
              <w:t>设置消防设施及火灾报警设施；</w:t>
            </w:r>
            <w:r>
              <w:rPr>
                <w:rFonts w:hint="eastAsia"/>
                <w:sz w:val="24"/>
                <w:szCs w:val="24"/>
              </w:rPr>
              <w:t>⑥</w:t>
            </w:r>
            <w:r>
              <w:rPr>
                <w:sz w:val="24"/>
                <w:szCs w:val="24"/>
              </w:rPr>
              <w:t>采取安全管理措施。</w:t>
            </w:r>
          </w:p>
        </w:tc>
      </w:tr>
      <w:tr w14:paraId="09FFBE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05" w:hRule="atLeast"/>
          <w:jc w:val="center"/>
        </w:trPr>
        <w:tc>
          <w:tcPr>
            <w:tcW w:w="971" w:type="dxa"/>
            <w:tcBorders>
              <w:top w:val="single" w:color="auto" w:sz="4" w:space="0"/>
              <w:left w:val="single" w:color="auto" w:sz="12" w:space="0"/>
              <w:bottom w:val="single" w:color="auto" w:sz="12" w:space="0"/>
            </w:tcBorders>
            <w:vAlign w:val="center"/>
          </w:tcPr>
          <w:p w14:paraId="7BAD94DF">
            <w:pPr>
              <w:adjustRightInd w:val="0"/>
              <w:snapToGrid w:val="0"/>
              <w:jc w:val="center"/>
              <w:rPr>
                <w:rFonts w:cs="宋体"/>
                <w:sz w:val="24"/>
                <w:szCs w:val="24"/>
              </w:rPr>
            </w:pPr>
            <w:r>
              <w:rPr>
                <w:rFonts w:hint="eastAsia" w:cs="宋体"/>
                <w:sz w:val="24"/>
                <w:szCs w:val="24"/>
              </w:rPr>
              <w:t>其他环境管理要求</w:t>
            </w:r>
          </w:p>
        </w:tc>
        <w:tc>
          <w:tcPr>
            <w:tcW w:w="7829" w:type="dxa"/>
            <w:gridSpan w:val="5"/>
            <w:tcBorders>
              <w:top w:val="single" w:color="auto" w:sz="4" w:space="0"/>
              <w:bottom w:val="single" w:color="auto" w:sz="12" w:space="0"/>
              <w:right w:val="single" w:color="auto" w:sz="12" w:space="0"/>
            </w:tcBorders>
            <w:vAlign w:val="center"/>
          </w:tcPr>
          <w:p w14:paraId="4D351F54">
            <w:pPr>
              <w:adjustRightInd w:val="0"/>
              <w:snapToGrid w:val="0"/>
              <w:jc w:val="center"/>
              <w:rPr>
                <w:rFonts w:cs="宋体"/>
                <w:sz w:val="24"/>
                <w:szCs w:val="24"/>
              </w:rPr>
            </w:pPr>
            <w:r>
              <w:rPr>
                <w:rFonts w:hint="eastAsia" w:cs="宋体"/>
                <w:sz w:val="24"/>
                <w:szCs w:val="24"/>
              </w:rPr>
              <w:t>①</w:t>
            </w:r>
            <w:r>
              <w:rPr>
                <w:sz w:val="24"/>
                <w:szCs w:val="24"/>
              </w:rPr>
              <w:t>本项目在实际发生排污前，须按照《固定污染源排污许可分类管理名录（2019版）》中要求履行排污许可制度。</w:t>
            </w:r>
            <w:r>
              <w:rPr>
                <w:rFonts w:hint="eastAsia"/>
                <w:sz w:val="24"/>
                <w:szCs w:val="24"/>
              </w:rPr>
              <w:t>②</w:t>
            </w:r>
            <w:r>
              <w:rPr>
                <w:sz w:val="24"/>
                <w:szCs w:val="24"/>
              </w:rPr>
              <w:t>根据《建设项目竣工环境保护验收暂行办法》的规定，项目竣工后，应依法进行竣工环境保护验收。</w:t>
            </w:r>
            <w:r>
              <w:rPr>
                <w:sz w:val="24"/>
                <w:szCs w:val="24"/>
              </w:rPr>
              <w:fldChar w:fldCharType="begin"/>
            </w:r>
            <w:r>
              <w:rPr>
                <w:sz w:val="24"/>
                <w:szCs w:val="24"/>
              </w:rPr>
              <w:instrText xml:space="preserve"> </w:instrText>
            </w:r>
            <w:r>
              <w:rPr>
                <w:rFonts w:hint="eastAsia"/>
                <w:sz w:val="24"/>
                <w:szCs w:val="24"/>
              </w:rPr>
              <w:instrText xml:space="preserve">= 3 \* GB3</w:instrText>
            </w:r>
            <w:r>
              <w:rPr>
                <w:sz w:val="24"/>
                <w:szCs w:val="24"/>
              </w:rPr>
              <w:instrText xml:space="preserve"> </w:instrText>
            </w:r>
            <w:r>
              <w:rPr>
                <w:sz w:val="24"/>
                <w:szCs w:val="24"/>
              </w:rPr>
              <w:fldChar w:fldCharType="separate"/>
            </w:r>
            <w:r>
              <w:rPr>
                <w:rFonts w:hint="eastAsia"/>
                <w:sz w:val="24"/>
                <w:szCs w:val="24"/>
              </w:rPr>
              <w:t>③</w:t>
            </w:r>
            <w:r>
              <w:rPr>
                <w:sz w:val="24"/>
                <w:szCs w:val="24"/>
              </w:rPr>
              <w:fldChar w:fldCharType="end"/>
            </w:r>
            <w:r>
              <w:rPr>
                <w:rFonts w:hint="eastAsia"/>
                <w:sz w:val="24"/>
                <w:szCs w:val="24"/>
              </w:rPr>
              <w:t>排污口规范化设置。</w:t>
            </w:r>
            <w:r>
              <w:rPr>
                <w:sz w:val="24"/>
                <w:szCs w:val="24"/>
              </w:rPr>
              <w:fldChar w:fldCharType="begin"/>
            </w:r>
            <w:r>
              <w:rPr>
                <w:sz w:val="24"/>
                <w:szCs w:val="24"/>
              </w:rPr>
              <w:instrText xml:space="preserve"> </w:instrText>
            </w:r>
            <w:r>
              <w:rPr>
                <w:rFonts w:hint="eastAsia"/>
                <w:sz w:val="24"/>
                <w:szCs w:val="24"/>
              </w:rPr>
              <w:instrText xml:space="preserve">= 4 \* GB3</w:instrText>
            </w:r>
            <w:r>
              <w:rPr>
                <w:sz w:val="24"/>
                <w:szCs w:val="24"/>
              </w:rPr>
              <w:instrText xml:space="preserve"> </w:instrText>
            </w:r>
            <w:r>
              <w:rPr>
                <w:sz w:val="24"/>
                <w:szCs w:val="24"/>
              </w:rPr>
              <w:fldChar w:fldCharType="separate"/>
            </w:r>
            <w:r>
              <w:rPr>
                <w:rFonts w:hint="eastAsia"/>
                <w:sz w:val="24"/>
                <w:szCs w:val="24"/>
              </w:rPr>
              <w:t>④</w:t>
            </w:r>
            <w:r>
              <w:rPr>
                <w:sz w:val="24"/>
                <w:szCs w:val="24"/>
              </w:rPr>
              <w:fldChar w:fldCharType="end"/>
            </w:r>
            <w:r>
              <w:rPr>
                <w:sz w:val="24"/>
                <w:szCs w:val="24"/>
              </w:rPr>
              <w:t>企业应按照《危险废物管理计划和管理台账制定技术导则》（HJ1259-2022）要求制定管理计划和管理台账、申报危险废物有关资料，并通过国家危险废物信息管理系统向当地生态环境主管部门申报危险废物的种类、产生量、流向、贮存、利用、处置等资料；</w:t>
            </w:r>
            <w:r>
              <w:rPr>
                <w:sz w:val="24"/>
                <w:szCs w:val="24"/>
              </w:rPr>
              <w:fldChar w:fldCharType="begin"/>
            </w:r>
            <w:r>
              <w:rPr>
                <w:sz w:val="24"/>
                <w:szCs w:val="24"/>
              </w:rPr>
              <w:instrText xml:space="preserve"> </w:instrText>
            </w:r>
            <w:r>
              <w:rPr>
                <w:rFonts w:hint="eastAsia"/>
                <w:sz w:val="24"/>
                <w:szCs w:val="24"/>
              </w:rPr>
              <w:instrText xml:space="preserve">= 5 \* GB3</w:instrText>
            </w:r>
            <w:r>
              <w:rPr>
                <w:sz w:val="24"/>
                <w:szCs w:val="24"/>
              </w:rPr>
              <w:instrText xml:space="preserve"> </w:instrText>
            </w:r>
            <w:r>
              <w:rPr>
                <w:sz w:val="24"/>
                <w:szCs w:val="24"/>
              </w:rPr>
              <w:fldChar w:fldCharType="separate"/>
            </w:r>
            <w:r>
              <w:rPr>
                <w:rFonts w:hint="eastAsia"/>
                <w:sz w:val="24"/>
                <w:szCs w:val="24"/>
              </w:rPr>
              <w:t>⑤</w:t>
            </w:r>
            <w:r>
              <w:rPr>
                <w:sz w:val="24"/>
                <w:szCs w:val="24"/>
              </w:rPr>
              <w:fldChar w:fldCharType="end"/>
            </w:r>
            <w:r>
              <w:rPr>
                <w:rFonts w:hint="eastAsia"/>
                <w:sz w:val="24"/>
                <w:szCs w:val="24"/>
              </w:rPr>
              <w:t>危废暂存库应符合《危险废物贮存污染控制标准》（GB 18597-2023）中的相关要求。</w:t>
            </w:r>
          </w:p>
        </w:tc>
      </w:tr>
    </w:tbl>
    <w:p w14:paraId="179A2CAD">
      <w:pPr>
        <w:pStyle w:val="54"/>
        <w:spacing w:before="0" w:beforeAutospacing="0" w:after="0" w:afterAutospacing="0"/>
        <w:jc w:val="both"/>
        <w:outlineLvl w:val="0"/>
        <w:rPr>
          <w:rFonts w:ascii="Times New Roman" w:hAnsi="Times New Roman"/>
          <w:snapToGrid w:val="0"/>
          <w:szCs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03FEBDC5">
      <w:pPr>
        <w:pStyle w:val="54"/>
        <w:spacing w:before="0" w:beforeAutospacing="0" w:after="0" w:afterAutospacing="0"/>
        <w:jc w:val="center"/>
        <w:outlineLvl w:val="0"/>
        <w:rPr>
          <w:rFonts w:ascii="Times New Roman" w:hAnsi="Times New Roman"/>
          <w:b/>
          <w:snapToGrid w:val="0"/>
          <w:sz w:val="30"/>
          <w:szCs w:val="30"/>
        </w:rPr>
      </w:pPr>
      <w:r>
        <w:rPr>
          <w:rFonts w:hint="eastAsia" w:ascii="Times New Roman" w:hAnsi="Times New Roman"/>
          <w:b/>
          <w:snapToGrid w:val="0"/>
          <w:sz w:val="30"/>
          <w:szCs w:val="30"/>
        </w:rPr>
        <w:t>六、结论</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74EDD7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908" w:hRule="atLeast"/>
          <w:jc w:val="center"/>
        </w:trPr>
        <w:tc>
          <w:tcPr>
            <w:tcW w:w="8865" w:type="dxa"/>
            <w:vAlign w:val="center"/>
          </w:tcPr>
          <w:p w14:paraId="5EC2DEE5">
            <w:pPr>
              <w:spacing w:line="360" w:lineRule="auto"/>
              <w:ind w:firstLine="480" w:firstLineChars="200"/>
              <w:jc w:val="left"/>
              <w:rPr>
                <w:rFonts w:cs="宋体"/>
                <w:sz w:val="24"/>
              </w:rPr>
            </w:pPr>
            <w:r>
              <w:rPr>
                <w:rFonts w:hint="eastAsia"/>
                <w:kern w:val="0"/>
                <w:sz w:val="24"/>
                <w:lang w:val="en-US" w:eastAsia="zh-CN"/>
              </w:rPr>
              <w:t>芜湖奇能科技有限公司年产60万套电池系统及壳体、车身总成一体化</w:t>
            </w:r>
            <w:r>
              <w:rPr>
                <w:rFonts w:hint="eastAsia"/>
                <w:kern w:val="0"/>
                <w:sz w:val="24"/>
                <w:lang w:val="zh-CN" w:eastAsia="zh-CN"/>
              </w:rPr>
              <w:t>项目</w:t>
            </w:r>
            <w:r>
              <w:rPr>
                <w:bCs/>
                <w:kern w:val="0"/>
                <w:sz w:val="24"/>
                <w:szCs w:val="20"/>
                <w:lang w:val="zh-CN" w:eastAsia="zh-CN"/>
              </w:rPr>
              <w:t>符合国家产业、环保政策要求。在严格落实本环评提出的环保对策及措施，执行</w:t>
            </w:r>
            <w:r>
              <w:rPr>
                <w:rFonts w:asciiTheme="minorEastAsia" w:hAnsiTheme="minorEastAsia" w:eastAsiaTheme="minorEastAsia"/>
                <w:bCs/>
                <w:kern w:val="0"/>
                <w:sz w:val="24"/>
                <w:szCs w:val="20"/>
                <w:lang w:val="zh-CN" w:eastAsia="zh-CN"/>
              </w:rPr>
              <w:t>“</w:t>
            </w:r>
            <w:r>
              <w:rPr>
                <w:bCs/>
                <w:kern w:val="0"/>
                <w:sz w:val="24"/>
                <w:szCs w:val="20"/>
                <w:lang w:val="zh-CN" w:eastAsia="zh-CN"/>
              </w:rPr>
              <w:t>三同时</w:t>
            </w:r>
            <w:r>
              <w:rPr>
                <w:rFonts w:asciiTheme="minorEastAsia" w:hAnsiTheme="minorEastAsia" w:eastAsiaTheme="minorEastAsia"/>
                <w:bCs/>
                <w:kern w:val="0"/>
                <w:sz w:val="24"/>
                <w:szCs w:val="20"/>
                <w:lang w:val="zh-CN" w:eastAsia="zh-CN"/>
              </w:rPr>
              <w:t>”</w:t>
            </w:r>
            <w:r>
              <w:rPr>
                <w:bCs/>
                <w:kern w:val="0"/>
                <w:sz w:val="24"/>
                <w:szCs w:val="20"/>
                <w:lang w:val="zh-CN" w:eastAsia="zh-CN"/>
              </w:rPr>
              <w:t>制度情况下，各项</w:t>
            </w:r>
            <w:r>
              <w:rPr>
                <w:kern w:val="0"/>
                <w:sz w:val="24"/>
                <w:szCs w:val="20"/>
                <w:lang w:val="zh-CN" w:eastAsia="zh-CN"/>
              </w:rPr>
              <w:t>污染治理措施能够满足环保管理的要求，废气、废水、噪声、固体废物均能实现达标排放和合理处置，</w:t>
            </w:r>
            <w:r>
              <w:rPr>
                <w:rFonts w:hint="eastAsia"/>
                <w:kern w:val="0"/>
                <w:sz w:val="24"/>
                <w:szCs w:val="20"/>
                <w:lang w:val="zh-CN" w:eastAsia="zh-CN"/>
              </w:rPr>
              <w:t>对大气环境、声环境、地表水环境、地下水和土壤环境的影响较小。通过采取有针对性的风险防范措施，项目的环境风险可控。从环境影响角度分析，该项目的建设是可行的</w:t>
            </w:r>
            <w:r>
              <w:rPr>
                <w:bCs/>
                <w:kern w:val="0"/>
                <w:sz w:val="24"/>
                <w:szCs w:val="20"/>
                <w:lang w:eastAsia="zh-CN"/>
              </w:rPr>
              <w:t>。</w:t>
            </w:r>
          </w:p>
        </w:tc>
      </w:tr>
    </w:tbl>
    <w:p w14:paraId="7C471C1D">
      <w:pPr>
        <w:tabs>
          <w:tab w:val="left" w:pos="952"/>
        </w:tabs>
        <w:sectPr>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pPr>
    </w:p>
    <w:p w14:paraId="39201560">
      <w:pPr>
        <w:pStyle w:val="54"/>
        <w:adjustRightInd w:val="0"/>
        <w:snapToGrid w:val="0"/>
        <w:spacing w:before="0" w:beforeAutospacing="0" w:after="0" w:afterAutospacing="0"/>
        <w:outlineLvl w:val="0"/>
        <w:rPr>
          <w:rFonts w:ascii="Times New Roman" w:hAnsi="Times New Roman"/>
          <w:b/>
          <w:snapToGrid w:val="0"/>
          <w:sz w:val="32"/>
          <w:szCs w:val="32"/>
        </w:rPr>
      </w:pPr>
      <w:r>
        <w:rPr>
          <w:rFonts w:hint="eastAsia" w:ascii="Times New Roman" w:hAnsi="Times New Roman"/>
          <w:b/>
          <w:snapToGrid w:val="0"/>
          <w:sz w:val="32"/>
          <w:szCs w:val="32"/>
        </w:rPr>
        <w:t>附表</w:t>
      </w:r>
    </w:p>
    <w:p w14:paraId="1EE0D10E">
      <w:pPr>
        <w:pStyle w:val="54"/>
        <w:adjustRightInd w:val="0"/>
        <w:snapToGrid w:val="0"/>
        <w:spacing w:before="0" w:beforeAutospacing="0" w:after="0" w:afterAutospacing="0"/>
        <w:jc w:val="center"/>
        <w:rPr>
          <w:rFonts w:ascii="Times New Roman" w:hAnsi="Times New Roman"/>
          <w:snapToGrid w:val="0"/>
          <w:sz w:val="38"/>
          <w:szCs w:val="38"/>
        </w:rPr>
      </w:pPr>
      <w:r>
        <w:rPr>
          <w:rFonts w:hint="eastAsia" w:ascii="Times New Roman" w:hAnsi="Times New Roman"/>
          <w:snapToGrid w:val="0"/>
          <w:sz w:val="38"/>
          <w:szCs w:val="38"/>
        </w:rPr>
        <w:t>建设项目污染物排放量汇总表（t/a）</w:t>
      </w:r>
    </w:p>
    <w:tbl>
      <w:tblPr>
        <w:tblStyle w:val="59"/>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752"/>
        <w:gridCol w:w="1701"/>
        <w:gridCol w:w="1168"/>
        <w:gridCol w:w="1401"/>
        <w:gridCol w:w="1960"/>
        <w:gridCol w:w="1401"/>
        <w:gridCol w:w="1648"/>
        <w:gridCol w:w="1442"/>
      </w:tblGrid>
      <w:tr w14:paraId="08727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148" w:type="dxa"/>
            <w:tcBorders>
              <w:tl2br w:val="single" w:color="auto" w:sz="4" w:space="0"/>
            </w:tcBorders>
            <w:tcMar>
              <w:left w:w="28" w:type="dxa"/>
              <w:right w:w="28" w:type="dxa"/>
            </w:tcMar>
            <w:vAlign w:val="center"/>
          </w:tcPr>
          <w:p w14:paraId="31C0BD02">
            <w:pPr>
              <w:pStyle w:val="88"/>
              <w:spacing w:beforeLines="0" w:afterLines="0" w:line="240" w:lineRule="auto"/>
              <w:jc w:val="right"/>
              <w:rPr>
                <w:rFonts w:ascii="Times New Roman"/>
                <w:snapToGrid w:val="0"/>
                <w:spacing w:val="-6"/>
                <w:kern w:val="21"/>
                <w:szCs w:val="21"/>
              </w:rPr>
            </w:pPr>
            <w:r>
              <w:rPr>
                <w:rFonts w:ascii="Times New Roman"/>
                <w:snapToGrid w:val="0"/>
                <w:spacing w:val="-6"/>
                <w:kern w:val="21"/>
                <w:szCs w:val="21"/>
              </w:rPr>
              <w:t>项目</w:t>
            </w:r>
          </w:p>
          <w:p w14:paraId="4A1FD509">
            <w:pPr>
              <w:pStyle w:val="88"/>
              <w:spacing w:beforeLines="0" w:afterLines="0" w:line="240" w:lineRule="auto"/>
              <w:jc w:val="left"/>
              <w:rPr>
                <w:rFonts w:ascii="Times New Roman"/>
                <w:snapToGrid w:val="0"/>
                <w:spacing w:val="-6"/>
                <w:kern w:val="21"/>
                <w:szCs w:val="21"/>
              </w:rPr>
            </w:pPr>
            <w:r>
              <w:rPr>
                <w:rFonts w:ascii="Times New Roman"/>
                <w:snapToGrid w:val="0"/>
                <w:spacing w:val="-6"/>
                <w:kern w:val="21"/>
                <w:szCs w:val="21"/>
              </w:rPr>
              <w:t>分类</w:t>
            </w:r>
          </w:p>
        </w:tc>
        <w:tc>
          <w:tcPr>
            <w:tcW w:w="1752" w:type="dxa"/>
            <w:tcMar>
              <w:left w:w="28" w:type="dxa"/>
              <w:right w:w="28" w:type="dxa"/>
            </w:tcMar>
            <w:vAlign w:val="center"/>
          </w:tcPr>
          <w:p w14:paraId="423C95E8">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t>污染物名称</w:t>
            </w:r>
          </w:p>
        </w:tc>
        <w:tc>
          <w:tcPr>
            <w:tcW w:w="1701" w:type="dxa"/>
            <w:tcMar>
              <w:left w:w="28" w:type="dxa"/>
              <w:right w:w="28" w:type="dxa"/>
            </w:tcMar>
            <w:vAlign w:val="center"/>
          </w:tcPr>
          <w:p w14:paraId="294FC4BE">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kern w:val="2"/>
                <w:szCs w:val="21"/>
              </w:rPr>
              <w:t>①</w:t>
            </w:r>
            <w:r>
              <w:rPr>
                <w:rFonts w:ascii="Times New Roman"/>
                <w:snapToGrid w:val="0"/>
                <w:spacing w:val="-6"/>
                <w:kern w:val="21"/>
                <w:szCs w:val="21"/>
              </w:rPr>
              <w:fldChar w:fldCharType="end"/>
            </w:r>
          </w:p>
        </w:tc>
        <w:tc>
          <w:tcPr>
            <w:tcW w:w="1168" w:type="dxa"/>
            <w:tcMar>
              <w:left w:w="28" w:type="dxa"/>
              <w:right w:w="28" w:type="dxa"/>
            </w:tcMar>
            <w:vAlign w:val="center"/>
          </w:tcPr>
          <w:p w14:paraId="743B703B">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现有工程许可排放量</w:t>
            </w:r>
            <w:r>
              <w:rPr>
                <w:rFonts w:ascii="Times New Roman"/>
                <w:snapToGrid w:val="0"/>
                <w:spacing w:val="-6"/>
                <w:kern w:val="21"/>
                <w:szCs w:val="21"/>
              </w:rPr>
              <w:fldChar w:fldCharType="begin"/>
            </w:r>
            <w:r>
              <w:rPr>
                <w:rFonts w:ascii="Times New Roman"/>
                <w:snapToGrid w:val="0"/>
                <w:spacing w:val="-6"/>
                <w:kern w:val="21"/>
                <w:szCs w:val="21"/>
              </w:rPr>
              <w:instrText xml:space="preserve"> = 2 \* GB3 \* MERGEFORMAT </w:instrText>
            </w:r>
            <w:r>
              <w:rPr>
                <w:rFonts w:ascii="Times New Roman"/>
                <w:snapToGrid w:val="0"/>
                <w:spacing w:val="-6"/>
                <w:kern w:val="21"/>
                <w:szCs w:val="21"/>
              </w:rPr>
              <w:fldChar w:fldCharType="separate"/>
            </w:r>
            <w:r>
              <w:rPr>
                <w:rFonts w:hint="eastAsia" w:hAnsi="宋体" w:cs="宋体"/>
                <w:snapToGrid w:val="0"/>
                <w:spacing w:val="-6"/>
                <w:kern w:val="21"/>
                <w:szCs w:val="21"/>
              </w:rPr>
              <w:t>②</w:t>
            </w:r>
            <w:r>
              <w:rPr>
                <w:rFonts w:ascii="Times New Roman"/>
                <w:snapToGrid w:val="0"/>
                <w:spacing w:val="-6"/>
                <w:kern w:val="21"/>
                <w:szCs w:val="21"/>
              </w:rPr>
              <w:fldChar w:fldCharType="end"/>
            </w:r>
          </w:p>
        </w:tc>
        <w:tc>
          <w:tcPr>
            <w:tcW w:w="1401" w:type="dxa"/>
            <w:tcMar>
              <w:left w:w="28" w:type="dxa"/>
              <w:right w:w="28" w:type="dxa"/>
            </w:tcMar>
            <w:vAlign w:val="center"/>
          </w:tcPr>
          <w:p w14:paraId="274D8504">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t>在建工程排放量（固体废物产生量）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kern w:val="2"/>
                <w:szCs w:val="21"/>
              </w:rPr>
              <w:t>③</w:t>
            </w:r>
            <w:r>
              <w:rPr>
                <w:rFonts w:ascii="Times New Roman"/>
                <w:snapToGrid w:val="0"/>
                <w:spacing w:val="-6"/>
                <w:kern w:val="21"/>
                <w:szCs w:val="21"/>
              </w:rPr>
              <w:fldChar w:fldCharType="end"/>
            </w:r>
          </w:p>
        </w:tc>
        <w:tc>
          <w:tcPr>
            <w:tcW w:w="1960" w:type="dxa"/>
            <w:tcMar>
              <w:left w:w="28" w:type="dxa"/>
              <w:right w:w="28" w:type="dxa"/>
            </w:tcMar>
            <w:vAlign w:val="center"/>
          </w:tcPr>
          <w:p w14:paraId="63F4AE69">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t>本项目排放量（固体废物产生量）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kern w:val="2"/>
                <w:szCs w:val="21"/>
              </w:rPr>
              <w:t>④</w:t>
            </w:r>
            <w:r>
              <w:rPr>
                <w:rFonts w:ascii="Times New Roman"/>
                <w:snapToGrid w:val="0"/>
                <w:spacing w:val="-6"/>
                <w:kern w:val="21"/>
                <w:szCs w:val="21"/>
              </w:rPr>
              <w:fldChar w:fldCharType="end"/>
            </w:r>
          </w:p>
        </w:tc>
        <w:tc>
          <w:tcPr>
            <w:tcW w:w="1401" w:type="dxa"/>
            <w:tcMar>
              <w:left w:w="28" w:type="dxa"/>
              <w:right w:w="28" w:type="dxa"/>
            </w:tcMar>
            <w:vAlign w:val="center"/>
          </w:tcPr>
          <w:p w14:paraId="3CD3E8AE">
            <w:pPr>
              <w:pStyle w:val="88"/>
              <w:spacing w:beforeLines="0" w:afterLines="0" w:line="240" w:lineRule="auto"/>
              <w:rPr>
                <w:rFonts w:ascii="Times New Roman"/>
                <w:snapToGrid w:val="0"/>
                <w:kern w:val="21"/>
                <w:szCs w:val="21"/>
              </w:rPr>
            </w:pPr>
            <w:r>
              <w:rPr>
                <w:rFonts w:ascii="Times New Roman"/>
                <w:snapToGrid w:val="0"/>
                <w:kern w:val="21"/>
                <w:szCs w:val="21"/>
              </w:rPr>
              <w:t>以新带老削减量（新建项目不填）</w:t>
            </w:r>
            <w:r>
              <w:rPr>
                <w:rFonts w:ascii="Times New Roman"/>
                <w:snapToGrid w:val="0"/>
                <w:kern w:val="21"/>
                <w:szCs w:val="21"/>
              </w:rPr>
              <w:fldChar w:fldCharType="begin"/>
            </w:r>
            <w:r>
              <w:rPr>
                <w:rFonts w:ascii="Times New Roman"/>
                <w:snapToGrid w:val="0"/>
                <w:kern w:val="21"/>
                <w:szCs w:val="21"/>
              </w:rPr>
              <w:instrText xml:space="preserve"> = 5 \* GB3 \* MERGEFORMAT </w:instrText>
            </w:r>
            <w:r>
              <w:rPr>
                <w:rFonts w:ascii="Times New Roman"/>
                <w:snapToGrid w:val="0"/>
                <w:kern w:val="21"/>
                <w:szCs w:val="21"/>
              </w:rPr>
              <w:fldChar w:fldCharType="separate"/>
            </w:r>
            <w:r>
              <w:rPr>
                <w:rFonts w:hint="eastAsia" w:hAnsi="宋体" w:cs="宋体"/>
                <w:kern w:val="2"/>
                <w:szCs w:val="21"/>
              </w:rPr>
              <w:t>⑤</w:t>
            </w:r>
            <w:r>
              <w:rPr>
                <w:rFonts w:ascii="Times New Roman"/>
                <w:snapToGrid w:val="0"/>
                <w:kern w:val="21"/>
                <w:szCs w:val="21"/>
              </w:rPr>
              <w:fldChar w:fldCharType="end"/>
            </w:r>
          </w:p>
        </w:tc>
        <w:tc>
          <w:tcPr>
            <w:tcW w:w="1648" w:type="dxa"/>
            <w:tcMar>
              <w:left w:w="28" w:type="dxa"/>
              <w:right w:w="28" w:type="dxa"/>
            </w:tcMar>
            <w:vAlign w:val="center"/>
          </w:tcPr>
          <w:p w14:paraId="289242B0">
            <w:pPr>
              <w:pStyle w:val="88"/>
              <w:spacing w:beforeLines="0" w:afterLines="0" w:line="240" w:lineRule="auto"/>
              <w:rPr>
                <w:rFonts w:ascii="Times New Roman"/>
                <w:snapToGrid w:val="0"/>
                <w:kern w:val="21"/>
                <w:szCs w:val="21"/>
              </w:rPr>
            </w:pPr>
            <w:r>
              <w:rPr>
                <w:rFonts w:ascii="Times New Roman"/>
                <w:snapToGrid w:val="0"/>
                <w:kern w:val="21"/>
                <w:szCs w:val="21"/>
              </w:rPr>
              <w:t>本项目建成后全厂排放量（固体废物产生量）</w:t>
            </w:r>
            <w:r>
              <w:rPr>
                <w:rFonts w:ascii="Times New Roman"/>
                <w:snapToGrid w:val="0"/>
                <w:kern w:val="21"/>
                <w:szCs w:val="21"/>
              </w:rPr>
              <w:fldChar w:fldCharType="begin"/>
            </w:r>
            <w:r>
              <w:rPr>
                <w:rFonts w:ascii="Times New Roman"/>
                <w:snapToGrid w:val="0"/>
                <w:kern w:val="21"/>
                <w:szCs w:val="21"/>
              </w:rPr>
              <w:instrText xml:space="preserve"> = 6 \* GB3 \* MERGEFORMAT </w:instrText>
            </w:r>
            <w:r>
              <w:rPr>
                <w:rFonts w:ascii="Times New Roman"/>
                <w:snapToGrid w:val="0"/>
                <w:kern w:val="21"/>
                <w:szCs w:val="21"/>
              </w:rPr>
              <w:fldChar w:fldCharType="separate"/>
            </w:r>
            <w:r>
              <w:rPr>
                <w:rFonts w:hint="eastAsia" w:hAnsi="宋体" w:cs="宋体"/>
                <w:kern w:val="2"/>
                <w:szCs w:val="21"/>
              </w:rPr>
              <w:t>⑥</w:t>
            </w:r>
            <w:r>
              <w:rPr>
                <w:rFonts w:ascii="Times New Roman"/>
                <w:snapToGrid w:val="0"/>
                <w:kern w:val="21"/>
                <w:szCs w:val="21"/>
              </w:rPr>
              <w:fldChar w:fldCharType="end"/>
            </w:r>
          </w:p>
        </w:tc>
        <w:tc>
          <w:tcPr>
            <w:tcW w:w="1442" w:type="dxa"/>
            <w:tcMar>
              <w:left w:w="28" w:type="dxa"/>
              <w:right w:w="28" w:type="dxa"/>
            </w:tcMar>
            <w:vAlign w:val="center"/>
          </w:tcPr>
          <w:p w14:paraId="0E152DDC">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t>变化量</w:t>
            </w:r>
          </w:p>
          <w:p w14:paraId="5D8D152E">
            <w:pPr>
              <w:pStyle w:val="88"/>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kern w:val="2"/>
                <w:szCs w:val="21"/>
              </w:rPr>
              <w:t>⑦</w:t>
            </w:r>
            <w:r>
              <w:rPr>
                <w:rFonts w:ascii="Times New Roman"/>
                <w:snapToGrid w:val="0"/>
                <w:spacing w:val="-6"/>
                <w:kern w:val="21"/>
                <w:szCs w:val="21"/>
              </w:rPr>
              <w:fldChar w:fldCharType="end"/>
            </w:r>
          </w:p>
        </w:tc>
      </w:tr>
      <w:tr w14:paraId="20BA8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48" w:type="dxa"/>
            <w:vAlign w:val="center"/>
          </w:tcPr>
          <w:p w14:paraId="2982F678">
            <w:pPr>
              <w:pStyle w:val="88"/>
              <w:spacing w:beforeLines="0" w:afterLines="0" w:line="240" w:lineRule="auto"/>
              <w:rPr>
                <w:rFonts w:ascii="Times New Roman"/>
                <w:snapToGrid w:val="0"/>
                <w:kern w:val="21"/>
                <w:szCs w:val="21"/>
              </w:rPr>
            </w:pPr>
            <w:r>
              <w:rPr>
                <w:rFonts w:ascii="Times New Roman"/>
                <w:snapToGrid w:val="0"/>
                <w:kern w:val="21"/>
                <w:szCs w:val="21"/>
              </w:rPr>
              <w:t>废气</w:t>
            </w:r>
          </w:p>
        </w:tc>
        <w:tc>
          <w:tcPr>
            <w:tcW w:w="1752" w:type="dxa"/>
            <w:vAlign w:val="center"/>
          </w:tcPr>
          <w:p w14:paraId="20362F04">
            <w:pPr>
              <w:jc w:val="center"/>
              <w:rPr>
                <w:rFonts w:hint="eastAsia" w:eastAsia="宋体"/>
                <w:szCs w:val="21"/>
                <w:lang w:val="en-US" w:eastAsia="zh-CN"/>
              </w:rPr>
            </w:pPr>
            <w:r>
              <w:rPr>
                <w:rFonts w:hint="eastAsia"/>
                <w:szCs w:val="21"/>
                <w:lang w:val="en-US" w:eastAsia="zh-CN"/>
              </w:rPr>
              <w:t>颗粒物</w:t>
            </w:r>
          </w:p>
        </w:tc>
        <w:tc>
          <w:tcPr>
            <w:tcW w:w="1701" w:type="dxa"/>
            <w:vAlign w:val="center"/>
          </w:tcPr>
          <w:p w14:paraId="59B662A0">
            <w:pPr>
              <w:jc w:val="center"/>
              <w:textAlignment w:val="center"/>
              <w:rPr>
                <w:szCs w:val="21"/>
              </w:rPr>
            </w:pPr>
            <w:r>
              <w:rPr>
                <w:rFonts w:ascii="Times New Roman"/>
                <w:snapToGrid w:val="0"/>
                <w:kern w:val="21"/>
                <w:szCs w:val="21"/>
              </w:rPr>
              <w:t>/</w:t>
            </w:r>
          </w:p>
        </w:tc>
        <w:tc>
          <w:tcPr>
            <w:tcW w:w="1168" w:type="dxa"/>
            <w:vAlign w:val="center"/>
          </w:tcPr>
          <w:p w14:paraId="44F27A7A">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255178CF">
            <w:pPr>
              <w:jc w:val="center"/>
              <w:rPr>
                <w:szCs w:val="21"/>
              </w:rPr>
            </w:pPr>
            <w:r>
              <w:rPr>
                <w:szCs w:val="21"/>
              </w:rPr>
              <w:t>0</w:t>
            </w:r>
          </w:p>
        </w:tc>
        <w:tc>
          <w:tcPr>
            <w:tcW w:w="1960" w:type="dxa"/>
            <w:vAlign w:val="center"/>
          </w:tcPr>
          <w:p w14:paraId="4194528C">
            <w:pPr>
              <w:keepNext w:val="0"/>
              <w:keepLines w:val="0"/>
              <w:widowControl/>
              <w:suppressLineNumbers w:val="0"/>
              <w:jc w:val="center"/>
              <w:textAlignment w:val="center"/>
              <w:rPr>
                <w:rFonts w:hint="default"/>
                <w:kern w:val="0"/>
                <w:szCs w:val="21"/>
                <w:lang w:val="en-US"/>
              </w:rPr>
            </w:pPr>
            <w:r>
              <w:rPr>
                <w:rFonts w:hint="eastAsia" w:cs="Times New Roman"/>
                <w:caps w:val="0"/>
                <w:color w:val="000000" w:themeColor="text1"/>
                <w:sz w:val="21"/>
                <w:szCs w:val="21"/>
                <w:highlight w:val="none"/>
                <w:lang w:val="en-US" w:eastAsia="zh-CN"/>
                <w14:textFill>
                  <w14:solidFill>
                    <w14:schemeClr w14:val="tx1"/>
                  </w14:solidFill>
                </w14:textFill>
              </w:rPr>
              <w:t>0.083</w:t>
            </w:r>
          </w:p>
        </w:tc>
        <w:tc>
          <w:tcPr>
            <w:tcW w:w="1401" w:type="dxa"/>
            <w:vAlign w:val="center"/>
          </w:tcPr>
          <w:p w14:paraId="722FAB49">
            <w:pPr>
              <w:jc w:val="center"/>
              <w:rPr>
                <w:szCs w:val="21"/>
              </w:rPr>
            </w:pPr>
            <w:r>
              <w:rPr>
                <w:rFonts w:ascii="Times New Roman"/>
                <w:snapToGrid w:val="0"/>
                <w:kern w:val="21"/>
                <w:szCs w:val="21"/>
              </w:rPr>
              <w:t>/</w:t>
            </w:r>
          </w:p>
        </w:tc>
        <w:tc>
          <w:tcPr>
            <w:tcW w:w="1648" w:type="dxa"/>
            <w:vAlign w:val="center"/>
          </w:tcPr>
          <w:p w14:paraId="29CAF4F9">
            <w:pPr>
              <w:keepNext w:val="0"/>
              <w:keepLines w:val="0"/>
              <w:widowControl/>
              <w:suppressLineNumbers w:val="0"/>
              <w:jc w:val="center"/>
              <w:textAlignment w:val="center"/>
              <w:rPr>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0.083</w:t>
            </w:r>
          </w:p>
        </w:tc>
        <w:tc>
          <w:tcPr>
            <w:tcW w:w="1442" w:type="dxa"/>
            <w:vAlign w:val="center"/>
          </w:tcPr>
          <w:p w14:paraId="6A24CC32">
            <w:pPr>
              <w:keepNext w:val="0"/>
              <w:keepLines w:val="0"/>
              <w:widowControl/>
              <w:suppressLineNumbers w:val="0"/>
              <w:jc w:val="center"/>
              <w:textAlignment w:val="center"/>
              <w:rPr>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+0.083</w:t>
            </w:r>
          </w:p>
        </w:tc>
      </w:tr>
      <w:tr w14:paraId="321B00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148" w:type="dxa"/>
            <w:vMerge w:val="restart"/>
            <w:vAlign w:val="center"/>
          </w:tcPr>
          <w:p w14:paraId="2E31E0A6">
            <w:pPr>
              <w:pStyle w:val="88"/>
              <w:spacing w:beforeLines="0" w:afterLines="0" w:line="240" w:lineRule="auto"/>
              <w:rPr>
                <w:rFonts w:ascii="Times New Roman"/>
                <w:snapToGrid w:val="0"/>
                <w:kern w:val="21"/>
                <w:szCs w:val="21"/>
              </w:rPr>
            </w:pPr>
            <w:r>
              <w:rPr>
                <w:rFonts w:ascii="Times New Roman"/>
                <w:snapToGrid w:val="0"/>
                <w:kern w:val="21"/>
                <w:szCs w:val="21"/>
              </w:rPr>
              <w:t>废水</w:t>
            </w:r>
          </w:p>
        </w:tc>
        <w:tc>
          <w:tcPr>
            <w:tcW w:w="1752" w:type="dxa"/>
            <w:vAlign w:val="center"/>
          </w:tcPr>
          <w:p w14:paraId="4A840B15">
            <w:pPr>
              <w:ind w:left="-105" w:leftChars="-50" w:right="-105" w:rightChars="-50"/>
              <w:jc w:val="center"/>
              <w:rPr>
                <w:szCs w:val="21"/>
              </w:rPr>
            </w:pPr>
            <w:r>
              <w:rPr>
                <w:szCs w:val="21"/>
              </w:rPr>
              <w:t>废水量</w:t>
            </w:r>
          </w:p>
        </w:tc>
        <w:tc>
          <w:tcPr>
            <w:tcW w:w="1701" w:type="dxa"/>
            <w:vAlign w:val="center"/>
          </w:tcPr>
          <w:p w14:paraId="46AA091C">
            <w:pPr>
              <w:jc w:val="center"/>
              <w:textAlignment w:val="center"/>
              <w:rPr>
                <w:szCs w:val="21"/>
              </w:rPr>
            </w:pPr>
            <w:r>
              <w:rPr>
                <w:rFonts w:ascii="Times New Roman"/>
                <w:snapToGrid w:val="0"/>
                <w:kern w:val="21"/>
                <w:szCs w:val="21"/>
              </w:rPr>
              <w:t>/</w:t>
            </w:r>
          </w:p>
        </w:tc>
        <w:tc>
          <w:tcPr>
            <w:tcW w:w="1168" w:type="dxa"/>
            <w:vAlign w:val="center"/>
          </w:tcPr>
          <w:p w14:paraId="042C40E8">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30C2AD91">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378970BD">
            <w:pPr>
              <w:jc w:val="center"/>
              <w:rPr>
                <w:rFonts w:hint="default" w:eastAsia="宋体"/>
                <w:szCs w:val="21"/>
                <w:lang w:val="en-US" w:eastAsia="zh-CN"/>
              </w:rPr>
            </w:pPr>
            <w:r>
              <w:rPr>
                <w:rFonts w:hint="eastAsia"/>
                <w:szCs w:val="21"/>
                <w:lang w:val="en-US" w:eastAsia="zh-CN"/>
              </w:rPr>
              <w:t>3600</w:t>
            </w:r>
          </w:p>
        </w:tc>
        <w:tc>
          <w:tcPr>
            <w:tcW w:w="1401" w:type="dxa"/>
            <w:vAlign w:val="center"/>
          </w:tcPr>
          <w:p w14:paraId="2EB6CD11">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5E5C6D0">
            <w:pPr>
              <w:jc w:val="center"/>
              <w:rPr>
                <w:kern w:val="0"/>
                <w:szCs w:val="21"/>
              </w:rPr>
            </w:pPr>
            <w:r>
              <w:rPr>
                <w:rFonts w:hint="eastAsia"/>
                <w:szCs w:val="21"/>
                <w:lang w:val="en-US" w:eastAsia="zh-CN"/>
              </w:rPr>
              <w:t>3600</w:t>
            </w:r>
          </w:p>
        </w:tc>
        <w:tc>
          <w:tcPr>
            <w:tcW w:w="1442" w:type="dxa"/>
            <w:vAlign w:val="center"/>
          </w:tcPr>
          <w:p w14:paraId="4B08F7E6">
            <w:pPr>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szCs w:val="21"/>
                <w:lang w:val="en-US" w:eastAsia="zh-CN"/>
              </w:rPr>
              <w:t>3600</w:t>
            </w:r>
          </w:p>
        </w:tc>
      </w:tr>
      <w:tr w14:paraId="50CE8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148" w:type="dxa"/>
            <w:vMerge w:val="continue"/>
            <w:vAlign w:val="center"/>
          </w:tcPr>
          <w:p w14:paraId="50E8852F">
            <w:pPr>
              <w:jc w:val="center"/>
              <w:rPr>
                <w:snapToGrid w:val="0"/>
                <w:kern w:val="21"/>
                <w:szCs w:val="21"/>
              </w:rPr>
            </w:pPr>
          </w:p>
        </w:tc>
        <w:tc>
          <w:tcPr>
            <w:tcW w:w="1752" w:type="dxa"/>
            <w:vAlign w:val="center"/>
          </w:tcPr>
          <w:p w14:paraId="034A40C8">
            <w:pPr>
              <w:ind w:left="-105" w:leftChars="-50" w:right="-105" w:rightChars="-50"/>
              <w:jc w:val="center"/>
              <w:rPr>
                <w:szCs w:val="21"/>
              </w:rPr>
            </w:pPr>
            <w:r>
              <w:rPr>
                <w:szCs w:val="21"/>
              </w:rPr>
              <w:t>COD</w:t>
            </w:r>
          </w:p>
        </w:tc>
        <w:tc>
          <w:tcPr>
            <w:tcW w:w="1701" w:type="dxa"/>
            <w:vAlign w:val="center"/>
          </w:tcPr>
          <w:p w14:paraId="52A3F0ED">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765E9DBF">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26D69D94">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1267ED8B">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1.08</w:t>
            </w:r>
          </w:p>
        </w:tc>
        <w:tc>
          <w:tcPr>
            <w:tcW w:w="1401" w:type="dxa"/>
            <w:vAlign w:val="center"/>
          </w:tcPr>
          <w:p w14:paraId="38109881">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6FB770BD">
            <w:pPr>
              <w:jc w:val="center"/>
              <w:rPr>
                <w:bCs/>
                <w:kern w:val="0"/>
                <w:szCs w:val="21"/>
              </w:rPr>
            </w:pPr>
            <w:r>
              <w:rPr>
                <w:rFonts w:hint="eastAsia" w:ascii="Times New Roman" w:hAnsi="Times New Roman" w:eastAsia="宋体" w:cs="Times New Roman"/>
                <w:szCs w:val="21"/>
                <w:lang w:val="en-US" w:eastAsia="zh-CN"/>
              </w:rPr>
              <w:t>1.08</w:t>
            </w:r>
          </w:p>
        </w:tc>
        <w:tc>
          <w:tcPr>
            <w:tcW w:w="1442" w:type="dxa"/>
            <w:vAlign w:val="center"/>
          </w:tcPr>
          <w:p w14:paraId="6B6D07BB">
            <w:pPr>
              <w:jc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1.08</w:t>
            </w:r>
          </w:p>
        </w:tc>
      </w:tr>
      <w:tr w14:paraId="7F52F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148" w:type="dxa"/>
            <w:vMerge w:val="continue"/>
            <w:vAlign w:val="center"/>
          </w:tcPr>
          <w:p w14:paraId="1D4CD85D">
            <w:pPr>
              <w:jc w:val="center"/>
              <w:rPr>
                <w:snapToGrid w:val="0"/>
                <w:kern w:val="21"/>
                <w:szCs w:val="21"/>
              </w:rPr>
            </w:pPr>
          </w:p>
        </w:tc>
        <w:tc>
          <w:tcPr>
            <w:tcW w:w="1752" w:type="dxa"/>
            <w:vAlign w:val="center"/>
          </w:tcPr>
          <w:p w14:paraId="28152EF8">
            <w:pPr>
              <w:ind w:left="-105" w:leftChars="-50" w:right="-105" w:rightChars="-50"/>
              <w:jc w:val="center"/>
              <w:rPr>
                <w:szCs w:val="21"/>
              </w:rPr>
            </w:pPr>
            <w:r>
              <w:rPr>
                <w:rFonts w:eastAsia="黑体"/>
                <w:szCs w:val="21"/>
              </w:rPr>
              <w:t>BOD</w:t>
            </w:r>
            <w:r>
              <w:rPr>
                <w:rFonts w:eastAsia="黑体"/>
                <w:szCs w:val="21"/>
                <w:vertAlign w:val="subscript"/>
              </w:rPr>
              <w:t>5</w:t>
            </w:r>
          </w:p>
        </w:tc>
        <w:tc>
          <w:tcPr>
            <w:tcW w:w="1701" w:type="dxa"/>
            <w:vAlign w:val="center"/>
          </w:tcPr>
          <w:p w14:paraId="4FB7A900">
            <w:pPr>
              <w:jc w:val="center"/>
              <w:textAlignment w:val="center"/>
              <w:rPr>
                <w:szCs w:val="21"/>
              </w:rPr>
            </w:pPr>
            <w:r>
              <w:rPr>
                <w:rFonts w:ascii="Times New Roman"/>
                <w:snapToGrid w:val="0"/>
                <w:kern w:val="21"/>
                <w:szCs w:val="21"/>
              </w:rPr>
              <w:t>/</w:t>
            </w:r>
          </w:p>
        </w:tc>
        <w:tc>
          <w:tcPr>
            <w:tcW w:w="1168" w:type="dxa"/>
            <w:vAlign w:val="center"/>
          </w:tcPr>
          <w:p w14:paraId="53DB34B9">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1B82813D">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78A4C771">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0.54</w:t>
            </w:r>
          </w:p>
        </w:tc>
        <w:tc>
          <w:tcPr>
            <w:tcW w:w="1401" w:type="dxa"/>
            <w:vAlign w:val="center"/>
          </w:tcPr>
          <w:p w14:paraId="6484226D">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C298A7C">
            <w:pPr>
              <w:jc w:val="center"/>
              <w:rPr>
                <w:szCs w:val="21"/>
              </w:rPr>
            </w:pPr>
            <w:r>
              <w:rPr>
                <w:rFonts w:hint="eastAsia" w:ascii="Times New Roman" w:hAnsi="Times New Roman" w:eastAsia="宋体" w:cs="Times New Roman"/>
                <w:szCs w:val="21"/>
                <w:lang w:val="en-US" w:eastAsia="zh-CN"/>
              </w:rPr>
              <w:t>0.54</w:t>
            </w:r>
          </w:p>
        </w:tc>
        <w:tc>
          <w:tcPr>
            <w:tcW w:w="1442" w:type="dxa"/>
            <w:vAlign w:val="center"/>
          </w:tcPr>
          <w:p w14:paraId="20B29D8D">
            <w:pPr>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0.54</w:t>
            </w:r>
          </w:p>
        </w:tc>
      </w:tr>
      <w:tr w14:paraId="7FD12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14:paraId="2BD8CDA1">
            <w:pPr>
              <w:jc w:val="center"/>
              <w:rPr>
                <w:snapToGrid w:val="0"/>
                <w:kern w:val="21"/>
                <w:szCs w:val="21"/>
              </w:rPr>
            </w:pPr>
          </w:p>
        </w:tc>
        <w:tc>
          <w:tcPr>
            <w:tcW w:w="1752" w:type="dxa"/>
            <w:vAlign w:val="center"/>
          </w:tcPr>
          <w:p w14:paraId="37555A74">
            <w:pPr>
              <w:ind w:left="-105" w:leftChars="-50" w:right="-105" w:rightChars="-50"/>
              <w:jc w:val="center"/>
              <w:rPr>
                <w:szCs w:val="21"/>
              </w:rPr>
            </w:pPr>
            <w:r>
              <w:rPr>
                <w:szCs w:val="21"/>
              </w:rPr>
              <w:t>氨氮</w:t>
            </w:r>
          </w:p>
        </w:tc>
        <w:tc>
          <w:tcPr>
            <w:tcW w:w="1701" w:type="dxa"/>
            <w:vAlign w:val="center"/>
          </w:tcPr>
          <w:p w14:paraId="607BDA1F">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0A6BCA21">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643618EC">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0A66F3C6">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0.126</w:t>
            </w:r>
          </w:p>
        </w:tc>
        <w:tc>
          <w:tcPr>
            <w:tcW w:w="1401" w:type="dxa"/>
            <w:vAlign w:val="center"/>
          </w:tcPr>
          <w:p w14:paraId="2AA2A4D5">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C9A582B">
            <w:pPr>
              <w:jc w:val="center"/>
              <w:rPr>
                <w:szCs w:val="21"/>
              </w:rPr>
            </w:pPr>
            <w:r>
              <w:rPr>
                <w:rFonts w:hint="eastAsia" w:ascii="Times New Roman" w:hAnsi="Times New Roman" w:eastAsia="宋体" w:cs="Times New Roman"/>
                <w:szCs w:val="21"/>
                <w:lang w:val="en-US" w:eastAsia="zh-CN"/>
              </w:rPr>
              <w:t>0.126</w:t>
            </w:r>
          </w:p>
        </w:tc>
        <w:tc>
          <w:tcPr>
            <w:tcW w:w="1442" w:type="dxa"/>
            <w:vAlign w:val="center"/>
          </w:tcPr>
          <w:p w14:paraId="08354CD4">
            <w:pPr>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0.126</w:t>
            </w:r>
          </w:p>
        </w:tc>
      </w:tr>
      <w:tr w14:paraId="473A0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48" w:type="dxa"/>
            <w:vMerge w:val="continue"/>
            <w:vAlign w:val="center"/>
          </w:tcPr>
          <w:p w14:paraId="15E056DC">
            <w:pPr>
              <w:jc w:val="center"/>
              <w:rPr>
                <w:snapToGrid w:val="0"/>
                <w:kern w:val="21"/>
                <w:szCs w:val="21"/>
              </w:rPr>
            </w:pPr>
          </w:p>
        </w:tc>
        <w:tc>
          <w:tcPr>
            <w:tcW w:w="1752" w:type="dxa"/>
            <w:vAlign w:val="center"/>
          </w:tcPr>
          <w:p w14:paraId="5A70E666">
            <w:pPr>
              <w:ind w:left="-105" w:leftChars="-50" w:right="-105" w:rightChars="-50"/>
              <w:jc w:val="center"/>
              <w:rPr>
                <w:szCs w:val="21"/>
              </w:rPr>
            </w:pPr>
            <w:r>
              <w:rPr>
                <w:szCs w:val="21"/>
              </w:rPr>
              <w:t>SS</w:t>
            </w:r>
          </w:p>
        </w:tc>
        <w:tc>
          <w:tcPr>
            <w:tcW w:w="1701" w:type="dxa"/>
            <w:vAlign w:val="center"/>
          </w:tcPr>
          <w:p w14:paraId="3843C4E6">
            <w:pPr>
              <w:jc w:val="center"/>
              <w:textAlignment w:val="center"/>
              <w:rPr>
                <w:szCs w:val="21"/>
              </w:rPr>
            </w:pPr>
            <w:r>
              <w:rPr>
                <w:rFonts w:ascii="Times New Roman"/>
                <w:snapToGrid w:val="0"/>
                <w:kern w:val="21"/>
                <w:szCs w:val="21"/>
              </w:rPr>
              <w:t>/</w:t>
            </w:r>
          </w:p>
        </w:tc>
        <w:tc>
          <w:tcPr>
            <w:tcW w:w="1168" w:type="dxa"/>
            <w:vAlign w:val="center"/>
          </w:tcPr>
          <w:p w14:paraId="1AE59056">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73DEF27B">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4B093E36">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0.576</w:t>
            </w:r>
          </w:p>
        </w:tc>
        <w:tc>
          <w:tcPr>
            <w:tcW w:w="1401" w:type="dxa"/>
            <w:vAlign w:val="center"/>
          </w:tcPr>
          <w:p w14:paraId="3CA47C41">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0D3F8CE7">
            <w:pPr>
              <w:jc w:val="center"/>
              <w:rPr>
                <w:szCs w:val="21"/>
              </w:rPr>
            </w:pPr>
            <w:r>
              <w:rPr>
                <w:rFonts w:hint="eastAsia" w:ascii="Times New Roman" w:hAnsi="Times New Roman" w:eastAsia="宋体" w:cs="Times New Roman"/>
                <w:szCs w:val="21"/>
                <w:lang w:val="en-US" w:eastAsia="zh-CN"/>
              </w:rPr>
              <w:t>0.576</w:t>
            </w:r>
          </w:p>
        </w:tc>
        <w:tc>
          <w:tcPr>
            <w:tcW w:w="1442" w:type="dxa"/>
            <w:vAlign w:val="center"/>
          </w:tcPr>
          <w:p w14:paraId="5A0D31BD">
            <w:pPr>
              <w:jc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szCs w:val="21"/>
                <w:lang w:val="en-US" w:eastAsia="zh-CN"/>
              </w:rPr>
              <w:t>0.576</w:t>
            </w:r>
          </w:p>
        </w:tc>
      </w:tr>
      <w:tr w14:paraId="4E970C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48" w:type="dxa"/>
            <w:vMerge w:val="restart"/>
            <w:vAlign w:val="center"/>
          </w:tcPr>
          <w:p w14:paraId="17FFBFD6">
            <w:pPr>
              <w:pStyle w:val="88"/>
              <w:spacing w:beforeLines="0" w:afterLines="0" w:line="240" w:lineRule="auto"/>
              <w:rPr>
                <w:rFonts w:ascii="Times New Roman"/>
                <w:snapToGrid w:val="0"/>
                <w:kern w:val="21"/>
                <w:szCs w:val="21"/>
              </w:rPr>
            </w:pPr>
            <w:r>
              <w:rPr>
                <w:rFonts w:ascii="Times New Roman"/>
                <w:snapToGrid w:val="0"/>
                <w:kern w:val="21"/>
                <w:szCs w:val="21"/>
              </w:rPr>
              <w:t>一般工业</w:t>
            </w:r>
          </w:p>
          <w:p w14:paraId="496F3255">
            <w:pPr>
              <w:pStyle w:val="88"/>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1752" w:type="dxa"/>
            <w:vAlign w:val="center"/>
          </w:tcPr>
          <w:p w14:paraId="49EACC8E">
            <w:pPr>
              <w:jc w:val="center"/>
              <w:rPr>
                <w:spacing w:val="-4"/>
                <w:szCs w:val="21"/>
              </w:rPr>
            </w:pPr>
            <w:r>
              <w:rPr>
                <w:rFonts w:hint="eastAsia"/>
                <w:szCs w:val="21"/>
                <w:lang w:val="en-US" w:eastAsia="zh-CN"/>
              </w:rPr>
              <w:t>废金属边角料</w:t>
            </w:r>
          </w:p>
        </w:tc>
        <w:tc>
          <w:tcPr>
            <w:tcW w:w="1701" w:type="dxa"/>
            <w:vAlign w:val="center"/>
          </w:tcPr>
          <w:p w14:paraId="4FB65015">
            <w:pPr>
              <w:jc w:val="center"/>
              <w:textAlignment w:val="center"/>
              <w:rPr>
                <w:szCs w:val="21"/>
              </w:rPr>
            </w:pPr>
            <w:r>
              <w:rPr>
                <w:rFonts w:ascii="Times New Roman"/>
                <w:snapToGrid w:val="0"/>
                <w:kern w:val="21"/>
                <w:szCs w:val="21"/>
              </w:rPr>
              <w:t>/</w:t>
            </w:r>
          </w:p>
        </w:tc>
        <w:tc>
          <w:tcPr>
            <w:tcW w:w="1168" w:type="dxa"/>
            <w:vAlign w:val="center"/>
          </w:tcPr>
          <w:p w14:paraId="202B1012">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2F143F3B">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36CA9938">
            <w:pPr>
              <w:jc w:val="center"/>
              <w:textAlignment w:val="center"/>
              <w:rPr>
                <w:rFonts w:hint="default"/>
                <w:bCs/>
                <w:kern w:val="0"/>
                <w:szCs w:val="21"/>
                <w:lang w:val="en-US"/>
              </w:rPr>
            </w:pPr>
            <w:r>
              <w:rPr>
                <w:rFonts w:hint="eastAsia" w:cs="Times New Roman"/>
                <w:caps w:val="0"/>
                <w:color w:val="000000" w:themeColor="text1"/>
                <w:szCs w:val="21"/>
                <w:highlight w:val="none"/>
                <w:lang w:val="en-US" w:eastAsia="zh-CN"/>
                <w14:textFill>
                  <w14:solidFill>
                    <w14:schemeClr w14:val="tx1"/>
                  </w14:solidFill>
                </w14:textFill>
              </w:rPr>
              <w:t>800</w:t>
            </w:r>
          </w:p>
        </w:tc>
        <w:tc>
          <w:tcPr>
            <w:tcW w:w="1401" w:type="dxa"/>
            <w:vAlign w:val="center"/>
          </w:tcPr>
          <w:p w14:paraId="1564CA92">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56BBF29E">
            <w:pPr>
              <w:jc w:val="center"/>
              <w:textAlignment w:val="center"/>
              <w:rPr>
                <w:bCs/>
                <w:kern w:val="0"/>
                <w:szCs w:val="21"/>
              </w:rPr>
            </w:pPr>
            <w:r>
              <w:rPr>
                <w:rFonts w:hint="eastAsia" w:cs="Times New Roman"/>
                <w:caps w:val="0"/>
                <w:color w:val="000000" w:themeColor="text1"/>
                <w:szCs w:val="21"/>
                <w:highlight w:val="none"/>
                <w:lang w:val="en-US" w:eastAsia="zh-CN"/>
                <w14:textFill>
                  <w14:solidFill>
                    <w14:schemeClr w14:val="tx1"/>
                  </w14:solidFill>
                </w14:textFill>
              </w:rPr>
              <w:t>800</w:t>
            </w:r>
          </w:p>
        </w:tc>
        <w:tc>
          <w:tcPr>
            <w:tcW w:w="1442" w:type="dxa"/>
            <w:vAlign w:val="center"/>
          </w:tcPr>
          <w:p w14:paraId="03577E5B">
            <w:pPr>
              <w:jc w:val="center"/>
              <w:textAlignment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800</w:t>
            </w:r>
          </w:p>
        </w:tc>
      </w:tr>
      <w:tr w14:paraId="07523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48" w:type="dxa"/>
            <w:vMerge w:val="continue"/>
            <w:vAlign w:val="center"/>
          </w:tcPr>
          <w:p w14:paraId="13BBE1A3">
            <w:pPr>
              <w:pStyle w:val="88"/>
              <w:spacing w:beforeLines="0" w:afterLines="0" w:line="240" w:lineRule="auto"/>
              <w:rPr>
                <w:rFonts w:ascii="Times New Roman"/>
                <w:snapToGrid w:val="0"/>
                <w:kern w:val="21"/>
                <w:szCs w:val="21"/>
              </w:rPr>
            </w:pPr>
          </w:p>
        </w:tc>
        <w:tc>
          <w:tcPr>
            <w:tcW w:w="1752" w:type="dxa"/>
            <w:vAlign w:val="center"/>
          </w:tcPr>
          <w:p w14:paraId="29CBED47">
            <w:pPr>
              <w:jc w:val="center"/>
              <w:rPr>
                <w:szCs w:val="21"/>
              </w:rPr>
            </w:pPr>
            <w:r>
              <w:rPr>
                <w:rFonts w:hint="eastAsia"/>
                <w:kern w:val="0"/>
                <w:szCs w:val="21"/>
                <w:lang w:val="en-US" w:eastAsia="zh-CN"/>
              </w:rPr>
              <w:t>不合格品</w:t>
            </w:r>
          </w:p>
        </w:tc>
        <w:tc>
          <w:tcPr>
            <w:tcW w:w="1701" w:type="dxa"/>
            <w:vAlign w:val="center"/>
          </w:tcPr>
          <w:p w14:paraId="0F5A8613">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1ED6531B">
            <w:pPr>
              <w:pStyle w:val="88"/>
              <w:spacing w:beforeLines="0" w:afterLines="0" w:line="240" w:lineRule="auto"/>
              <w:jc w:val="center"/>
              <w:rPr>
                <w:rFonts w:hint="eastAsia" w:ascii="Times New Roman" w:eastAsia="宋体"/>
                <w:snapToGrid w:val="0"/>
                <w:kern w:val="21"/>
                <w:szCs w:val="21"/>
                <w:lang w:val="en-US" w:eastAsia="zh-CN"/>
              </w:rPr>
            </w:pPr>
            <w:r>
              <w:rPr>
                <w:rFonts w:hint="eastAsia" w:ascii="Times New Roman"/>
                <w:snapToGrid w:val="0"/>
                <w:kern w:val="21"/>
                <w:szCs w:val="21"/>
                <w:lang w:val="en-US" w:eastAsia="zh-CN"/>
              </w:rPr>
              <w:t>/</w:t>
            </w:r>
          </w:p>
        </w:tc>
        <w:tc>
          <w:tcPr>
            <w:tcW w:w="1401" w:type="dxa"/>
            <w:vAlign w:val="center"/>
          </w:tcPr>
          <w:p w14:paraId="1F3F023C">
            <w:pPr>
              <w:pStyle w:val="8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4F457FF4">
            <w:pPr>
              <w:jc w:val="center"/>
              <w:textAlignment w:val="center"/>
              <w:rPr>
                <w:rFonts w:hint="default"/>
                <w:bCs/>
                <w:kern w:val="0"/>
                <w:szCs w:val="21"/>
                <w:lang w:val="en-US"/>
              </w:rPr>
            </w:pPr>
            <w:r>
              <w:rPr>
                <w:rFonts w:hint="eastAsia" w:cs="Times New Roman"/>
                <w:caps w:val="0"/>
                <w:color w:val="000000" w:themeColor="text1"/>
                <w:szCs w:val="21"/>
                <w:highlight w:val="none"/>
                <w:lang w:val="en-US" w:eastAsia="zh-CN"/>
                <w14:textFill>
                  <w14:solidFill>
                    <w14:schemeClr w14:val="tx1"/>
                  </w14:solidFill>
                </w14:textFill>
              </w:rPr>
              <w:t>80</w:t>
            </w:r>
          </w:p>
        </w:tc>
        <w:tc>
          <w:tcPr>
            <w:tcW w:w="1401" w:type="dxa"/>
            <w:vAlign w:val="center"/>
          </w:tcPr>
          <w:p w14:paraId="384A8A69">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1EAC9EA9">
            <w:pPr>
              <w:jc w:val="center"/>
              <w:textAlignment w:val="center"/>
              <w:rPr>
                <w:bCs/>
                <w:kern w:val="0"/>
                <w:szCs w:val="21"/>
              </w:rPr>
            </w:pPr>
            <w:r>
              <w:rPr>
                <w:rFonts w:hint="eastAsia" w:cs="Times New Roman"/>
                <w:caps w:val="0"/>
                <w:color w:val="000000" w:themeColor="text1"/>
                <w:szCs w:val="21"/>
                <w:highlight w:val="none"/>
                <w:lang w:val="en-US" w:eastAsia="zh-CN"/>
                <w14:textFill>
                  <w14:solidFill>
                    <w14:schemeClr w14:val="tx1"/>
                  </w14:solidFill>
                </w14:textFill>
              </w:rPr>
              <w:t>80</w:t>
            </w:r>
          </w:p>
        </w:tc>
        <w:tc>
          <w:tcPr>
            <w:tcW w:w="1442" w:type="dxa"/>
            <w:vAlign w:val="center"/>
          </w:tcPr>
          <w:p w14:paraId="5F4F7BEE">
            <w:pPr>
              <w:jc w:val="center"/>
              <w:textAlignment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80</w:t>
            </w:r>
          </w:p>
        </w:tc>
      </w:tr>
      <w:tr w14:paraId="7650F2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48" w:type="dxa"/>
            <w:vMerge w:val="continue"/>
            <w:vAlign w:val="center"/>
          </w:tcPr>
          <w:p w14:paraId="793BCEFC">
            <w:pPr>
              <w:pStyle w:val="88"/>
              <w:spacing w:beforeLines="0" w:afterLines="0" w:line="240" w:lineRule="auto"/>
              <w:rPr>
                <w:rFonts w:ascii="Times New Roman"/>
                <w:snapToGrid w:val="0"/>
                <w:kern w:val="21"/>
                <w:szCs w:val="21"/>
              </w:rPr>
            </w:pPr>
          </w:p>
        </w:tc>
        <w:tc>
          <w:tcPr>
            <w:tcW w:w="1752" w:type="dxa"/>
            <w:vAlign w:val="center"/>
          </w:tcPr>
          <w:p w14:paraId="06808CB7">
            <w:pPr>
              <w:jc w:val="center"/>
              <w:rPr>
                <w:kern w:val="0"/>
                <w:szCs w:val="21"/>
              </w:rPr>
            </w:pPr>
            <w:r>
              <w:rPr>
                <w:rFonts w:hint="eastAsia"/>
                <w:szCs w:val="21"/>
                <w:lang w:val="en-US" w:eastAsia="zh-CN"/>
              </w:rPr>
              <w:t>废粉尘</w:t>
            </w:r>
          </w:p>
        </w:tc>
        <w:tc>
          <w:tcPr>
            <w:tcW w:w="1701" w:type="dxa"/>
            <w:vAlign w:val="center"/>
          </w:tcPr>
          <w:p w14:paraId="0CA30301">
            <w:pPr>
              <w:jc w:val="center"/>
              <w:textAlignment w:val="center"/>
              <w:rPr>
                <w:szCs w:val="21"/>
              </w:rPr>
            </w:pPr>
            <w:r>
              <w:rPr>
                <w:rFonts w:ascii="Times New Roman"/>
                <w:snapToGrid w:val="0"/>
                <w:kern w:val="21"/>
                <w:szCs w:val="21"/>
              </w:rPr>
              <w:t>/</w:t>
            </w:r>
          </w:p>
        </w:tc>
        <w:tc>
          <w:tcPr>
            <w:tcW w:w="1168" w:type="dxa"/>
            <w:vAlign w:val="center"/>
          </w:tcPr>
          <w:p w14:paraId="64B6EB84">
            <w:pPr>
              <w:pStyle w:val="88"/>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587622F5">
            <w:pPr>
              <w:pStyle w:val="8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47280272">
            <w:pPr>
              <w:jc w:val="center"/>
              <w:textAlignment w:val="center"/>
              <w:rPr>
                <w:bCs/>
                <w:kern w:val="0"/>
                <w:szCs w:val="21"/>
              </w:rPr>
            </w:pPr>
            <w:r>
              <w:rPr>
                <w:rFonts w:hint="eastAsia" w:cs="Times New Roman"/>
                <w:caps w:val="0"/>
                <w:color w:val="000000" w:themeColor="text1"/>
                <w:szCs w:val="21"/>
                <w:highlight w:val="none"/>
                <w:lang w:val="en-US" w:eastAsia="zh-CN"/>
                <w14:textFill>
                  <w14:solidFill>
                    <w14:schemeClr w14:val="tx1"/>
                  </w14:solidFill>
                </w14:textFill>
              </w:rPr>
              <w:t>0.489</w:t>
            </w:r>
          </w:p>
        </w:tc>
        <w:tc>
          <w:tcPr>
            <w:tcW w:w="1401" w:type="dxa"/>
            <w:vAlign w:val="center"/>
          </w:tcPr>
          <w:p w14:paraId="64F2A967">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4C59B407">
            <w:pPr>
              <w:jc w:val="center"/>
              <w:textAlignment w:val="center"/>
              <w:rPr>
                <w:bCs/>
                <w:kern w:val="0"/>
                <w:szCs w:val="21"/>
              </w:rPr>
            </w:pPr>
            <w:r>
              <w:rPr>
                <w:rFonts w:hint="eastAsia" w:cs="Times New Roman"/>
                <w:caps w:val="0"/>
                <w:color w:val="000000" w:themeColor="text1"/>
                <w:szCs w:val="21"/>
                <w:highlight w:val="none"/>
                <w:lang w:val="en-US" w:eastAsia="zh-CN"/>
                <w14:textFill>
                  <w14:solidFill>
                    <w14:schemeClr w14:val="tx1"/>
                  </w14:solidFill>
                </w14:textFill>
              </w:rPr>
              <w:t>0.489</w:t>
            </w:r>
          </w:p>
        </w:tc>
        <w:tc>
          <w:tcPr>
            <w:tcW w:w="1442" w:type="dxa"/>
            <w:vAlign w:val="center"/>
          </w:tcPr>
          <w:p w14:paraId="285C41B1">
            <w:pPr>
              <w:jc w:val="center"/>
              <w:textAlignment w:val="center"/>
              <w:rPr>
                <w:bCs/>
                <w:kern w:val="0"/>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0.489</w:t>
            </w:r>
          </w:p>
        </w:tc>
      </w:tr>
      <w:tr w14:paraId="78287F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148" w:type="dxa"/>
            <w:vMerge w:val="restart"/>
            <w:vAlign w:val="center"/>
          </w:tcPr>
          <w:p w14:paraId="718B5306">
            <w:pPr>
              <w:pStyle w:val="88"/>
              <w:spacing w:beforeLines="0" w:afterLines="0" w:line="240" w:lineRule="auto"/>
              <w:rPr>
                <w:rFonts w:ascii="Times New Roman"/>
                <w:snapToGrid w:val="0"/>
                <w:kern w:val="21"/>
                <w:szCs w:val="21"/>
              </w:rPr>
            </w:pPr>
            <w:r>
              <w:rPr>
                <w:rFonts w:ascii="Times New Roman"/>
                <w:snapToGrid w:val="0"/>
                <w:kern w:val="21"/>
                <w:szCs w:val="21"/>
              </w:rPr>
              <w:t>危险废物</w:t>
            </w:r>
          </w:p>
        </w:tc>
        <w:tc>
          <w:tcPr>
            <w:tcW w:w="1752" w:type="dxa"/>
            <w:vAlign w:val="center"/>
          </w:tcPr>
          <w:p w14:paraId="08FCF94E">
            <w:pPr>
              <w:jc w:val="center"/>
              <w:rPr>
                <w:rFonts w:hint="default" w:eastAsia="宋体"/>
                <w:szCs w:val="21"/>
                <w:lang w:val="en-US" w:eastAsia="zh-CN"/>
              </w:rPr>
            </w:pPr>
            <w:r>
              <w:rPr>
                <w:rFonts w:hint="eastAsia"/>
                <w:szCs w:val="21"/>
                <w:lang w:val="en-US" w:eastAsia="zh-CN"/>
              </w:rPr>
              <w:t>废拉延油</w:t>
            </w:r>
          </w:p>
        </w:tc>
        <w:tc>
          <w:tcPr>
            <w:tcW w:w="1701" w:type="dxa"/>
            <w:vAlign w:val="center"/>
          </w:tcPr>
          <w:p w14:paraId="6BF4DD01">
            <w:pPr>
              <w:jc w:val="center"/>
              <w:textAlignment w:val="center"/>
              <w:rPr>
                <w:szCs w:val="21"/>
              </w:rPr>
            </w:pPr>
            <w:r>
              <w:rPr>
                <w:rFonts w:ascii="Times New Roman"/>
                <w:snapToGrid w:val="0"/>
                <w:kern w:val="21"/>
                <w:szCs w:val="21"/>
              </w:rPr>
              <w:t>/</w:t>
            </w:r>
          </w:p>
        </w:tc>
        <w:tc>
          <w:tcPr>
            <w:tcW w:w="1168" w:type="dxa"/>
            <w:vAlign w:val="center"/>
          </w:tcPr>
          <w:p w14:paraId="2BCF6DFE">
            <w:pPr>
              <w:pStyle w:val="88"/>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401" w:type="dxa"/>
            <w:vAlign w:val="center"/>
          </w:tcPr>
          <w:p w14:paraId="4FBB8236">
            <w:pPr>
              <w:pStyle w:val="88"/>
              <w:spacing w:beforeLines="0" w:afterLines="0" w:line="240" w:lineRule="auto"/>
              <w:rPr>
                <w:rFonts w:ascii="Times New Roman"/>
                <w:snapToGrid w:val="0"/>
                <w:kern w:val="21"/>
                <w:szCs w:val="21"/>
              </w:rPr>
            </w:pPr>
            <w:r>
              <w:rPr>
                <w:rFonts w:ascii="Times New Roman"/>
                <w:snapToGrid w:val="0"/>
                <w:kern w:val="21"/>
                <w:szCs w:val="21"/>
              </w:rPr>
              <w:t>0</w:t>
            </w:r>
          </w:p>
        </w:tc>
        <w:tc>
          <w:tcPr>
            <w:tcW w:w="1960" w:type="dxa"/>
            <w:vAlign w:val="center"/>
          </w:tcPr>
          <w:p w14:paraId="677F42C2">
            <w:pPr>
              <w:jc w:val="center"/>
              <w:textAlignment w:val="center"/>
              <w:rPr>
                <w:szCs w:val="21"/>
                <w:shd w:val="clear" w:color="auto" w:fill="FFFFFF"/>
              </w:rPr>
            </w:pPr>
            <w:r>
              <w:rPr>
                <w:rFonts w:hint="eastAsia" w:cs="Times New Roman"/>
                <w:caps w:val="0"/>
                <w:color w:val="000000" w:themeColor="text1"/>
                <w:szCs w:val="21"/>
                <w:highlight w:val="none"/>
                <w:lang w:val="en-US" w:eastAsia="zh-CN"/>
                <w14:textFill>
                  <w14:solidFill>
                    <w14:schemeClr w14:val="tx1"/>
                  </w14:solidFill>
                </w14:textFill>
              </w:rPr>
              <w:t>1.5</w:t>
            </w:r>
          </w:p>
        </w:tc>
        <w:tc>
          <w:tcPr>
            <w:tcW w:w="1401" w:type="dxa"/>
            <w:vAlign w:val="center"/>
          </w:tcPr>
          <w:p w14:paraId="1830F0F5">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2898B0BC">
            <w:pPr>
              <w:jc w:val="center"/>
              <w:textAlignment w:val="center"/>
              <w:rPr>
                <w:szCs w:val="21"/>
                <w:shd w:val="clear" w:color="auto" w:fill="FFFFFF"/>
              </w:rPr>
            </w:pPr>
            <w:r>
              <w:rPr>
                <w:rFonts w:hint="eastAsia" w:cs="Times New Roman"/>
                <w:caps w:val="0"/>
                <w:color w:val="000000" w:themeColor="text1"/>
                <w:szCs w:val="21"/>
                <w:highlight w:val="none"/>
                <w:lang w:val="en-US" w:eastAsia="zh-CN"/>
                <w14:textFill>
                  <w14:solidFill>
                    <w14:schemeClr w14:val="tx1"/>
                  </w14:solidFill>
                </w14:textFill>
              </w:rPr>
              <w:t>1.5</w:t>
            </w:r>
          </w:p>
        </w:tc>
        <w:tc>
          <w:tcPr>
            <w:tcW w:w="1442" w:type="dxa"/>
            <w:vAlign w:val="center"/>
          </w:tcPr>
          <w:p w14:paraId="04C0EBF3">
            <w:pPr>
              <w:jc w:val="center"/>
              <w:textAlignment w:val="center"/>
              <w:rPr>
                <w:szCs w:val="21"/>
                <w:shd w:val="clear" w:color="auto" w:fill="FFFFFF"/>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1.5</w:t>
            </w:r>
          </w:p>
        </w:tc>
      </w:tr>
      <w:tr w14:paraId="74F4C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148" w:type="dxa"/>
            <w:vMerge w:val="continue"/>
            <w:vAlign w:val="center"/>
          </w:tcPr>
          <w:p w14:paraId="3B12A859">
            <w:pPr>
              <w:pStyle w:val="88"/>
              <w:spacing w:beforeLines="0" w:afterLines="0" w:line="240" w:lineRule="auto"/>
              <w:rPr>
                <w:rFonts w:ascii="Times New Roman"/>
                <w:snapToGrid w:val="0"/>
                <w:kern w:val="21"/>
                <w:szCs w:val="21"/>
              </w:rPr>
            </w:pPr>
          </w:p>
        </w:tc>
        <w:tc>
          <w:tcPr>
            <w:tcW w:w="1752" w:type="dxa"/>
            <w:vAlign w:val="center"/>
          </w:tcPr>
          <w:p w14:paraId="55D13805">
            <w:pPr>
              <w:jc w:val="center"/>
              <w:rPr>
                <w:szCs w:val="21"/>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w:t>
            </w:r>
          </w:p>
        </w:tc>
        <w:tc>
          <w:tcPr>
            <w:tcW w:w="1701" w:type="dxa"/>
            <w:vAlign w:val="center"/>
          </w:tcPr>
          <w:p w14:paraId="565F0D61">
            <w:pPr>
              <w:jc w:val="center"/>
              <w:textAlignment w:val="center"/>
              <w:rPr>
                <w:szCs w:val="21"/>
              </w:rPr>
            </w:pPr>
            <w:r>
              <w:rPr>
                <w:rFonts w:ascii="Times New Roman"/>
                <w:snapToGrid w:val="0"/>
                <w:kern w:val="21"/>
                <w:szCs w:val="21"/>
              </w:rPr>
              <w:t>/</w:t>
            </w:r>
          </w:p>
        </w:tc>
        <w:tc>
          <w:tcPr>
            <w:tcW w:w="1168" w:type="dxa"/>
            <w:vAlign w:val="center"/>
          </w:tcPr>
          <w:p w14:paraId="17911BDB">
            <w:pPr>
              <w:pStyle w:val="88"/>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34E65D54">
            <w:pPr>
              <w:pStyle w:val="8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04971EE9">
            <w:pPr>
              <w:jc w:val="center"/>
              <w:textAlignment w:val="center"/>
            </w:pPr>
            <w:r>
              <w:rPr>
                <w:rFonts w:hint="eastAsia" w:cs="Times New Roman"/>
                <w:caps w:val="0"/>
                <w:color w:val="000000" w:themeColor="text1"/>
                <w:szCs w:val="21"/>
                <w:highlight w:val="none"/>
                <w:lang w:val="en-US" w:eastAsia="zh-CN"/>
                <w14:textFill>
                  <w14:solidFill>
                    <w14:schemeClr w14:val="tx1"/>
                  </w14:solidFill>
                </w14:textFill>
              </w:rPr>
              <w:t>0.3</w:t>
            </w:r>
          </w:p>
        </w:tc>
        <w:tc>
          <w:tcPr>
            <w:tcW w:w="1401" w:type="dxa"/>
            <w:vAlign w:val="center"/>
          </w:tcPr>
          <w:p w14:paraId="34897762">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18B5C0EC">
            <w:pPr>
              <w:jc w:val="center"/>
              <w:textAlignment w:val="center"/>
            </w:pPr>
            <w:r>
              <w:rPr>
                <w:rFonts w:hint="eastAsia" w:cs="Times New Roman"/>
                <w:caps w:val="0"/>
                <w:color w:val="000000" w:themeColor="text1"/>
                <w:szCs w:val="21"/>
                <w:highlight w:val="none"/>
                <w:lang w:val="en-US" w:eastAsia="zh-CN"/>
                <w14:textFill>
                  <w14:solidFill>
                    <w14:schemeClr w14:val="tx1"/>
                  </w14:solidFill>
                </w14:textFill>
              </w:rPr>
              <w:t>0.3</w:t>
            </w:r>
          </w:p>
        </w:tc>
        <w:tc>
          <w:tcPr>
            <w:tcW w:w="1442" w:type="dxa"/>
            <w:vAlign w:val="center"/>
          </w:tcPr>
          <w:p w14:paraId="0FB6DACE">
            <w:pPr>
              <w:jc w:val="center"/>
              <w:textAlignment w:val="center"/>
              <w:rPr>
                <w:bCs/>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0.3</w:t>
            </w:r>
          </w:p>
        </w:tc>
      </w:tr>
      <w:tr w14:paraId="5ACDC1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148" w:type="dxa"/>
            <w:vMerge w:val="continue"/>
            <w:vAlign w:val="center"/>
          </w:tcPr>
          <w:p w14:paraId="58C7D8E7">
            <w:pPr>
              <w:pStyle w:val="88"/>
              <w:spacing w:beforeLines="0" w:afterLines="0" w:line="240" w:lineRule="auto"/>
              <w:rPr>
                <w:rFonts w:ascii="Times New Roman"/>
                <w:snapToGrid w:val="0"/>
                <w:kern w:val="21"/>
                <w:szCs w:val="21"/>
              </w:rPr>
            </w:pPr>
          </w:p>
        </w:tc>
        <w:tc>
          <w:tcPr>
            <w:tcW w:w="1752" w:type="dxa"/>
            <w:vAlign w:val="center"/>
          </w:tcPr>
          <w:p w14:paraId="05D90125">
            <w:pPr>
              <w:jc w:val="center"/>
              <w:rPr>
                <w:szCs w:val="21"/>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废润滑油桶</w:t>
            </w:r>
          </w:p>
        </w:tc>
        <w:tc>
          <w:tcPr>
            <w:tcW w:w="1701" w:type="dxa"/>
            <w:vAlign w:val="center"/>
          </w:tcPr>
          <w:p w14:paraId="710D9924">
            <w:pPr>
              <w:jc w:val="center"/>
              <w:textAlignment w:val="center"/>
              <w:rPr>
                <w:szCs w:val="21"/>
              </w:rPr>
            </w:pPr>
            <w:r>
              <w:rPr>
                <w:rFonts w:ascii="Times New Roman"/>
                <w:snapToGrid w:val="0"/>
                <w:kern w:val="21"/>
                <w:szCs w:val="21"/>
              </w:rPr>
              <w:t>/</w:t>
            </w:r>
          </w:p>
        </w:tc>
        <w:tc>
          <w:tcPr>
            <w:tcW w:w="1168" w:type="dxa"/>
            <w:vAlign w:val="center"/>
          </w:tcPr>
          <w:p w14:paraId="31B8FCD4">
            <w:pPr>
              <w:pStyle w:val="88"/>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20C82982">
            <w:pPr>
              <w:pStyle w:val="8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39ED278F">
            <w:pPr>
              <w:jc w:val="center"/>
              <w:textAlignment w:val="center"/>
            </w:pPr>
            <w:r>
              <w:rPr>
                <w:rFonts w:hint="eastAsia" w:cs="Times New Roman"/>
                <w:caps w:val="0"/>
                <w:color w:val="000000" w:themeColor="text1"/>
                <w:szCs w:val="21"/>
                <w:highlight w:val="none"/>
                <w:lang w:val="en-US" w:eastAsia="zh-CN"/>
                <w14:textFill>
                  <w14:solidFill>
                    <w14:schemeClr w14:val="tx1"/>
                  </w14:solidFill>
                </w14:textFill>
              </w:rPr>
              <w:t>0.204</w:t>
            </w:r>
          </w:p>
        </w:tc>
        <w:tc>
          <w:tcPr>
            <w:tcW w:w="1401" w:type="dxa"/>
            <w:vAlign w:val="center"/>
          </w:tcPr>
          <w:p w14:paraId="5A136FCA">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36B4863B">
            <w:pPr>
              <w:jc w:val="center"/>
              <w:textAlignment w:val="center"/>
            </w:pPr>
            <w:r>
              <w:rPr>
                <w:rFonts w:hint="eastAsia" w:cs="Times New Roman"/>
                <w:caps w:val="0"/>
                <w:color w:val="000000" w:themeColor="text1"/>
                <w:szCs w:val="21"/>
                <w:highlight w:val="none"/>
                <w:lang w:val="en-US" w:eastAsia="zh-CN"/>
                <w14:textFill>
                  <w14:solidFill>
                    <w14:schemeClr w14:val="tx1"/>
                  </w14:solidFill>
                </w14:textFill>
              </w:rPr>
              <w:t>0.204</w:t>
            </w:r>
          </w:p>
        </w:tc>
        <w:tc>
          <w:tcPr>
            <w:tcW w:w="1442" w:type="dxa"/>
            <w:vAlign w:val="center"/>
          </w:tcPr>
          <w:p w14:paraId="468E43D9">
            <w:pPr>
              <w:jc w:val="center"/>
              <w:textAlignment w:val="center"/>
              <w:rPr>
                <w:bCs/>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0.204</w:t>
            </w:r>
          </w:p>
        </w:tc>
      </w:tr>
      <w:tr w14:paraId="4B3E8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48" w:type="dxa"/>
            <w:vAlign w:val="center"/>
          </w:tcPr>
          <w:p w14:paraId="44C26439">
            <w:pPr>
              <w:pStyle w:val="88"/>
              <w:spacing w:beforeLines="0" w:afterLines="0" w:line="240" w:lineRule="auto"/>
              <w:rPr>
                <w:rFonts w:ascii="Times New Roman"/>
                <w:snapToGrid w:val="0"/>
                <w:kern w:val="21"/>
                <w:szCs w:val="21"/>
              </w:rPr>
            </w:pPr>
            <w:r>
              <w:rPr>
                <w:rFonts w:ascii="Times New Roman"/>
                <w:snapToGrid w:val="0"/>
                <w:kern w:val="21"/>
                <w:szCs w:val="21"/>
              </w:rPr>
              <w:t>生活垃圾</w:t>
            </w:r>
          </w:p>
        </w:tc>
        <w:tc>
          <w:tcPr>
            <w:tcW w:w="1752" w:type="dxa"/>
            <w:vAlign w:val="center"/>
          </w:tcPr>
          <w:p w14:paraId="708BC6C8">
            <w:pPr>
              <w:jc w:val="center"/>
              <w:rPr>
                <w:rFonts w:eastAsiaTheme="minorEastAsia"/>
                <w:szCs w:val="21"/>
              </w:rPr>
            </w:pPr>
            <w:r>
              <w:rPr>
                <w:rFonts w:hint="eastAsia" w:eastAsiaTheme="minorEastAsia"/>
                <w:szCs w:val="21"/>
              </w:rPr>
              <w:t>生活垃圾</w:t>
            </w:r>
          </w:p>
        </w:tc>
        <w:tc>
          <w:tcPr>
            <w:tcW w:w="1701" w:type="dxa"/>
            <w:vAlign w:val="center"/>
          </w:tcPr>
          <w:p w14:paraId="3D55CBF6">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168" w:type="dxa"/>
            <w:vAlign w:val="center"/>
          </w:tcPr>
          <w:p w14:paraId="1F7E6606">
            <w:pPr>
              <w:pStyle w:val="88"/>
              <w:spacing w:beforeLines="0" w:afterLines="0" w:line="240" w:lineRule="auto"/>
              <w:jc w:val="center"/>
              <w:rPr>
                <w:rFonts w:ascii="Times New Roman"/>
                <w:snapToGrid w:val="0"/>
                <w:kern w:val="21"/>
                <w:szCs w:val="21"/>
              </w:rPr>
            </w:pPr>
            <w:r>
              <w:rPr>
                <w:rFonts w:hint="eastAsia" w:ascii="Times New Roman"/>
                <w:snapToGrid w:val="0"/>
                <w:kern w:val="21"/>
                <w:szCs w:val="21"/>
              </w:rPr>
              <w:t>/</w:t>
            </w:r>
          </w:p>
        </w:tc>
        <w:tc>
          <w:tcPr>
            <w:tcW w:w="1401" w:type="dxa"/>
            <w:vAlign w:val="center"/>
          </w:tcPr>
          <w:p w14:paraId="4F1CBCDC">
            <w:pPr>
              <w:pStyle w:val="8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960" w:type="dxa"/>
            <w:vAlign w:val="center"/>
          </w:tcPr>
          <w:p w14:paraId="1C86251B">
            <w:pPr>
              <w:jc w:val="center"/>
              <w:textAlignment w:val="center"/>
              <w:rPr>
                <w:szCs w:val="21"/>
              </w:rPr>
            </w:pPr>
            <w:r>
              <w:rPr>
                <w:rFonts w:hint="eastAsia" w:cs="Times New Roman"/>
                <w:caps w:val="0"/>
                <w:color w:val="000000" w:themeColor="text1"/>
                <w:szCs w:val="21"/>
                <w:highlight w:val="none"/>
                <w:lang w:val="en-US" w:eastAsia="zh-CN"/>
                <w14:textFill>
                  <w14:solidFill>
                    <w14:schemeClr w14:val="tx1"/>
                  </w14:solidFill>
                </w14:textFill>
              </w:rPr>
              <w:t>45</w:t>
            </w:r>
          </w:p>
        </w:tc>
        <w:tc>
          <w:tcPr>
            <w:tcW w:w="1401" w:type="dxa"/>
            <w:vAlign w:val="center"/>
          </w:tcPr>
          <w:p w14:paraId="614A46D6">
            <w:pPr>
              <w:spacing w:beforeLines="0" w:afterLines="0" w:line="240" w:lineRule="auto"/>
              <w:jc w:val="center"/>
              <w:rPr>
                <w:rFonts w:ascii="Times New Roman"/>
                <w:snapToGrid w:val="0"/>
                <w:kern w:val="21"/>
                <w:szCs w:val="21"/>
              </w:rPr>
            </w:pPr>
            <w:r>
              <w:rPr>
                <w:rFonts w:ascii="Times New Roman"/>
                <w:snapToGrid w:val="0"/>
                <w:kern w:val="21"/>
                <w:szCs w:val="21"/>
              </w:rPr>
              <w:t>/</w:t>
            </w:r>
          </w:p>
        </w:tc>
        <w:tc>
          <w:tcPr>
            <w:tcW w:w="1648" w:type="dxa"/>
            <w:vAlign w:val="center"/>
          </w:tcPr>
          <w:p w14:paraId="798C6B43">
            <w:pPr>
              <w:jc w:val="center"/>
              <w:textAlignment w:val="center"/>
              <w:rPr>
                <w:szCs w:val="21"/>
              </w:rPr>
            </w:pPr>
            <w:r>
              <w:rPr>
                <w:rFonts w:hint="eastAsia" w:cs="Times New Roman"/>
                <w:caps w:val="0"/>
                <w:color w:val="000000" w:themeColor="text1"/>
                <w:szCs w:val="21"/>
                <w:highlight w:val="none"/>
                <w:lang w:val="en-US" w:eastAsia="zh-CN"/>
                <w14:textFill>
                  <w14:solidFill>
                    <w14:schemeClr w14:val="tx1"/>
                  </w14:solidFill>
                </w14:textFill>
              </w:rPr>
              <w:t>45</w:t>
            </w:r>
          </w:p>
        </w:tc>
        <w:tc>
          <w:tcPr>
            <w:tcW w:w="1442" w:type="dxa"/>
            <w:vAlign w:val="center"/>
          </w:tcPr>
          <w:p w14:paraId="1AFBDC48">
            <w:pPr>
              <w:jc w:val="center"/>
              <w:textAlignment w:val="center"/>
              <w:rPr>
                <w:szCs w:val="21"/>
              </w:rPr>
            </w:pPr>
            <w:r>
              <w:rPr>
                <w:rFonts w:hint="eastAsia" w:cs="Times New Roman"/>
                <w:caps w:val="0"/>
                <w:color w:val="000000" w:themeColor="text1"/>
                <w:sz w:val="21"/>
                <w:szCs w:val="21"/>
                <w:highlight w:val="none"/>
                <w:lang w:val="en-US" w:eastAsia="zh-CN"/>
                <w14:textFill>
                  <w14:solidFill>
                    <w14:schemeClr w14:val="tx1"/>
                  </w14:solidFill>
                </w14:textFill>
              </w:rPr>
              <w:t>+</w:t>
            </w:r>
            <w:r>
              <w:rPr>
                <w:rFonts w:hint="eastAsia" w:cs="Times New Roman"/>
                <w:caps w:val="0"/>
                <w:color w:val="000000" w:themeColor="text1"/>
                <w:szCs w:val="21"/>
                <w:highlight w:val="none"/>
                <w:lang w:val="en-US" w:eastAsia="zh-CN"/>
                <w14:textFill>
                  <w14:solidFill>
                    <w14:schemeClr w14:val="tx1"/>
                  </w14:solidFill>
                </w14:textFill>
              </w:rPr>
              <w:t>45</w:t>
            </w:r>
          </w:p>
        </w:tc>
      </w:tr>
    </w:tbl>
    <w:p w14:paraId="34D9F6D9">
      <w:pPr>
        <w:pStyle w:val="88"/>
        <w:spacing w:before="192" w:beforeLines="80" w:after="24"/>
        <w:jc w:val="left"/>
        <w:rPr>
          <w:sz w:val="24"/>
        </w:rPr>
        <w:sectPr>
          <w:footerReference r:id="rId7"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0" w:num="1"/>
          <w:rtlGutter w:val="0"/>
          <w:docGrid w:linePitch="312" w:charSpace="0"/>
        </w:sect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szCs w:val="21"/>
        </w:rPr>
        <w:t>①</w:t>
      </w:r>
      <w:r>
        <w:rPr>
          <w:rFonts w:ascii="Times New Roman"/>
          <w:snapToGrid w:val="0"/>
          <w:spacing w:val="-6"/>
          <w:kern w:val="21"/>
          <w:szCs w:val="21"/>
        </w:rPr>
        <w:fldChar w:fldCharType="end"/>
      </w:r>
      <w:r>
        <w:tab/>
      </w:r>
    </w:p>
    <w:tbl>
      <w:tblPr>
        <w:tblStyle w:val="59"/>
        <w:tblW w:w="9151"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151"/>
      </w:tblGrid>
      <w:tr w14:paraId="7E6F41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689" w:hRule="atLeast"/>
        </w:trPr>
        <w:tc>
          <w:tcPr>
            <w:tcW w:w="9151" w:type="dxa"/>
          </w:tcPr>
          <w:p w14:paraId="73389E45">
            <w:pPr>
              <w:rPr>
                <w:sz w:val="28"/>
              </w:rPr>
            </w:pPr>
            <w:r>
              <w:rPr>
                <w:sz w:val="28"/>
              </w:rPr>
              <w:t>预审意见：</w:t>
            </w:r>
          </w:p>
          <w:p w14:paraId="5E1CAAFC">
            <w:pPr>
              <w:rPr>
                <w:sz w:val="28"/>
              </w:rPr>
            </w:pPr>
          </w:p>
          <w:p w14:paraId="0CD8715F">
            <w:pPr>
              <w:rPr>
                <w:sz w:val="28"/>
              </w:rPr>
            </w:pPr>
          </w:p>
          <w:p w14:paraId="66820B99">
            <w:pPr>
              <w:rPr>
                <w:sz w:val="28"/>
              </w:rPr>
            </w:pPr>
          </w:p>
          <w:p w14:paraId="2603CE5E">
            <w:pPr>
              <w:rPr>
                <w:sz w:val="28"/>
              </w:rPr>
            </w:pPr>
          </w:p>
          <w:p w14:paraId="7B10A132">
            <w:pPr>
              <w:rPr>
                <w:sz w:val="28"/>
              </w:rPr>
            </w:pPr>
          </w:p>
          <w:p w14:paraId="4804EC15">
            <w:pPr>
              <w:rPr>
                <w:sz w:val="28"/>
              </w:rPr>
            </w:pPr>
          </w:p>
          <w:p w14:paraId="7FE1B146">
            <w:pPr>
              <w:rPr>
                <w:sz w:val="28"/>
              </w:rPr>
            </w:pPr>
          </w:p>
          <w:p w14:paraId="105ACDDB">
            <w:pPr>
              <w:rPr>
                <w:sz w:val="28"/>
              </w:rPr>
            </w:pPr>
          </w:p>
          <w:p w14:paraId="0698151E">
            <w:pPr>
              <w:rPr>
                <w:sz w:val="28"/>
              </w:rPr>
            </w:pPr>
          </w:p>
          <w:p w14:paraId="136EC91D">
            <w:pPr>
              <w:rPr>
                <w:sz w:val="28"/>
              </w:rPr>
            </w:pPr>
          </w:p>
          <w:p w14:paraId="1C260D44">
            <w:pPr>
              <w:rPr>
                <w:sz w:val="28"/>
              </w:rPr>
            </w:pPr>
          </w:p>
          <w:p w14:paraId="7AD7B83A">
            <w:pPr>
              <w:rPr>
                <w:sz w:val="28"/>
              </w:rPr>
            </w:pPr>
          </w:p>
          <w:p w14:paraId="40C370B2">
            <w:pPr>
              <w:rPr>
                <w:sz w:val="28"/>
              </w:rPr>
            </w:pPr>
          </w:p>
          <w:p w14:paraId="24C73E99">
            <w:pPr>
              <w:rPr>
                <w:sz w:val="28"/>
              </w:rPr>
            </w:pPr>
            <w:r>
              <w:rPr>
                <w:sz w:val="28"/>
              </w:rPr>
              <w:t xml:space="preserve">                                                 公章</w:t>
            </w:r>
          </w:p>
          <w:p w14:paraId="0AB93692">
            <w:pPr>
              <w:rPr>
                <w:sz w:val="28"/>
              </w:rPr>
            </w:pPr>
            <w:r>
              <w:rPr>
                <w:sz w:val="28"/>
              </w:rPr>
              <w:t>经办人：                                    年   月   日</w:t>
            </w:r>
          </w:p>
        </w:tc>
      </w:tr>
      <w:tr w14:paraId="164AB8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94" w:hRule="atLeast"/>
        </w:trPr>
        <w:tc>
          <w:tcPr>
            <w:tcW w:w="9151" w:type="dxa"/>
          </w:tcPr>
          <w:p w14:paraId="0D2AEA06">
            <w:pPr>
              <w:rPr>
                <w:sz w:val="28"/>
              </w:rPr>
            </w:pPr>
            <w:r>
              <w:rPr>
                <w:sz w:val="28"/>
              </w:rPr>
              <w:t>下一级行政主管部门审查意见：</w:t>
            </w:r>
          </w:p>
          <w:p w14:paraId="426090DE">
            <w:pPr>
              <w:rPr>
                <w:sz w:val="28"/>
              </w:rPr>
            </w:pPr>
          </w:p>
          <w:p w14:paraId="0DA26054">
            <w:pPr>
              <w:rPr>
                <w:sz w:val="28"/>
              </w:rPr>
            </w:pPr>
          </w:p>
          <w:p w14:paraId="29563B87">
            <w:pPr>
              <w:rPr>
                <w:sz w:val="28"/>
              </w:rPr>
            </w:pPr>
          </w:p>
          <w:p w14:paraId="6C3668AE">
            <w:pPr>
              <w:rPr>
                <w:sz w:val="28"/>
              </w:rPr>
            </w:pPr>
          </w:p>
          <w:p w14:paraId="7E5AD5B7">
            <w:pPr>
              <w:rPr>
                <w:sz w:val="28"/>
              </w:rPr>
            </w:pPr>
          </w:p>
          <w:p w14:paraId="7DC5CD14">
            <w:pPr>
              <w:rPr>
                <w:sz w:val="28"/>
              </w:rPr>
            </w:pPr>
          </w:p>
          <w:p w14:paraId="2859855B">
            <w:pPr>
              <w:rPr>
                <w:sz w:val="28"/>
              </w:rPr>
            </w:pPr>
          </w:p>
          <w:p w14:paraId="0D5DCF1A">
            <w:pPr>
              <w:rPr>
                <w:sz w:val="28"/>
              </w:rPr>
            </w:pPr>
          </w:p>
          <w:p w14:paraId="62DEC028">
            <w:pPr>
              <w:rPr>
                <w:sz w:val="28"/>
              </w:rPr>
            </w:pPr>
          </w:p>
          <w:p w14:paraId="167EA2B7">
            <w:pPr>
              <w:rPr>
                <w:sz w:val="28"/>
              </w:rPr>
            </w:pPr>
          </w:p>
          <w:p w14:paraId="1334F457">
            <w:pPr>
              <w:rPr>
                <w:sz w:val="28"/>
              </w:rPr>
            </w:pPr>
          </w:p>
          <w:p w14:paraId="718E675F">
            <w:pPr>
              <w:rPr>
                <w:sz w:val="28"/>
              </w:rPr>
            </w:pPr>
          </w:p>
          <w:p w14:paraId="7F20A96F">
            <w:pPr>
              <w:rPr>
                <w:sz w:val="28"/>
              </w:rPr>
            </w:pPr>
          </w:p>
          <w:p w14:paraId="23110654">
            <w:pPr>
              <w:rPr>
                <w:sz w:val="28"/>
              </w:rPr>
            </w:pPr>
          </w:p>
          <w:p w14:paraId="5F2C99DB">
            <w:pPr>
              <w:rPr>
                <w:sz w:val="28"/>
              </w:rPr>
            </w:pPr>
          </w:p>
          <w:p w14:paraId="4D17627D">
            <w:pPr>
              <w:rPr>
                <w:sz w:val="28"/>
              </w:rPr>
            </w:pPr>
          </w:p>
          <w:p w14:paraId="152A3FE3">
            <w:pPr>
              <w:rPr>
                <w:sz w:val="28"/>
              </w:rPr>
            </w:pPr>
          </w:p>
          <w:p w14:paraId="10E19F37">
            <w:pPr>
              <w:rPr>
                <w:sz w:val="28"/>
              </w:rPr>
            </w:pPr>
          </w:p>
          <w:p w14:paraId="3AA5B9DA">
            <w:pPr>
              <w:rPr>
                <w:sz w:val="28"/>
              </w:rPr>
            </w:pPr>
            <w:r>
              <w:rPr>
                <w:sz w:val="28"/>
              </w:rPr>
              <w:t xml:space="preserve">                                                 公章</w:t>
            </w:r>
          </w:p>
          <w:p w14:paraId="02D7B4DE">
            <w:pPr>
              <w:rPr>
                <w:sz w:val="28"/>
              </w:rPr>
            </w:pPr>
            <w:r>
              <w:rPr>
                <w:sz w:val="28"/>
              </w:rPr>
              <w:t>经办人：                                    年   月   日</w:t>
            </w:r>
          </w:p>
          <w:p w14:paraId="284265DE">
            <w:pPr>
              <w:rPr>
                <w:sz w:val="28"/>
              </w:rPr>
            </w:pPr>
          </w:p>
        </w:tc>
      </w:tr>
      <w:tr w14:paraId="0E4169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94" w:hRule="atLeast"/>
        </w:trPr>
        <w:tc>
          <w:tcPr>
            <w:tcW w:w="9151" w:type="dxa"/>
          </w:tcPr>
          <w:p w14:paraId="4B945ECA">
            <w:pPr>
              <w:rPr>
                <w:sz w:val="28"/>
              </w:rPr>
            </w:pPr>
            <w:r>
              <w:rPr>
                <w:sz w:val="28"/>
              </w:rPr>
              <w:t>审批意见：</w:t>
            </w:r>
          </w:p>
          <w:p w14:paraId="16053AE2">
            <w:pPr>
              <w:rPr>
                <w:sz w:val="28"/>
              </w:rPr>
            </w:pPr>
          </w:p>
          <w:p w14:paraId="61B0BF39">
            <w:pPr>
              <w:rPr>
                <w:sz w:val="28"/>
              </w:rPr>
            </w:pPr>
          </w:p>
          <w:p w14:paraId="54A4E6B7">
            <w:pPr>
              <w:rPr>
                <w:sz w:val="28"/>
              </w:rPr>
            </w:pPr>
          </w:p>
          <w:p w14:paraId="5533E1BB">
            <w:pPr>
              <w:rPr>
                <w:sz w:val="28"/>
              </w:rPr>
            </w:pPr>
          </w:p>
          <w:p w14:paraId="4267A850">
            <w:pPr>
              <w:rPr>
                <w:sz w:val="28"/>
              </w:rPr>
            </w:pPr>
          </w:p>
          <w:p w14:paraId="1DB0D5B0">
            <w:pPr>
              <w:rPr>
                <w:sz w:val="28"/>
              </w:rPr>
            </w:pPr>
          </w:p>
          <w:p w14:paraId="24028580">
            <w:pPr>
              <w:rPr>
                <w:sz w:val="28"/>
              </w:rPr>
            </w:pPr>
          </w:p>
          <w:p w14:paraId="0FC83AB2">
            <w:pPr>
              <w:rPr>
                <w:sz w:val="28"/>
              </w:rPr>
            </w:pPr>
          </w:p>
          <w:p w14:paraId="0F80852D">
            <w:pPr>
              <w:rPr>
                <w:sz w:val="28"/>
              </w:rPr>
            </w:pPr>
          </w:p>
          <w:p w14:paraId="5081BFE7">
            <w:pPr>
              <w:rPr>
                <w:sz w:val="28"/>
              </w:rPr>
            </w:pPr>
          </w:p>
          <w:p w14:paraId="1CABCF5F">
            <w:pPr>
              <w:rPr>
                <w:sz w:val="28"/>
              </w:rPr>
            </w:pPr>
          </w:p>
          <w:p w14:paraId="063F29CF">
            <w:pPr>
              <w:rPr>
                <w:sz w:val="28"/>
              </w:rPr>
            </w:pPr>
          </w:p>
          <w:p w14:paraId="4033A9D0">
            <w:pPr>
              <w:rPr>
                <w:sz w:val="28"/>
              </w:rPr>
            </w:pPr>
          </w:p>
          <w:p w14:paraId="19067292">
            <w:pPr>
              <w:rPr>
                <w:sz w:val="28"/>
              </w:rPr>
            </w:pPr>
          </w:p>
          <w:p w14:paraId="276614FF">
            <w:pPr>
              <w:rPr>
                <w:sz w:val="28"/>
              </w:rPr>
            </w:pPr>
          </w:p>
          <w:p w14:paraId="124038D5">
            <w:pPr>
              <w:rPr>
                <w:sz w:val="28"/>
              </w:rPr>
            </w:pPr>
          </w:p>
          <w:p w14:paraId="44D0EDB7">
            <w:pPr>
              <w:rPr>
                <w:sz w:val="28"/>
              </w:rPr>
            </w:pPr>
          </w:p>
          <w:p w14:paraId="1E3C5103">
            <w:pPr>
              <w:rPr>
                <w:sz w:val="28"/>
              </w:rPr>
            </w:pPr>
          </w:p>
          <w:p w14:paraId="0AFC972A">
            <w:pPr>
              <w:rPr>
                <w:sz w:val="28"/>
              </w:rPr>
            </w:pPr>
          </w:p>
          <w:p w14:paraId="173FED25">
            <w:pPr>
              <w:rPr>
                <w:sz w:val="28"/>
              </w:rPr>
            </w:pPr>
          </w:p>
          <w:p w14:paraId="0A79517A">
            <w:pPr>
              <w:rPr>
                <w:sz w:val="28"/>
              </w:rPr>
            </w:pPr>
          </w:p>
          <w:p w14:paraId="6B376F2A">
            <w:pPr>
              <w:rPr>
                <w:sz w:val="28"/>
              </w:rPr>
            </w:pPr>
          </w:p>
          <w:p w14:paraId="48B080CA">
            <w:pPr>
              <w:rPr>
                <w:sz w:val="28"/>
              </w:rPr>
            </w:pPr>
          </w:p>
          <w:p w14:paraId="364999D4">
            <w:pPr>
              <w:rPr>
                <w:sz w:val="28"/>
              </w:rPr>
            </w:pPr>
          </w:p>
          <w:p w14:paraId="409F28B1">
            <w:pPr>
              <w:rPr>
                <w:sz w:val="28"/>
              </w:rPr>
            </w:pPr>
          </w:p>
          <w:p w14:paraId="34E8DD80">
            <w:pPr>
              <w:rPr>
                <w:sz w:val="28"/>
              </w:rPr>
            </w:pPr>
          </w:p>
          <w:p w14:paraId="6486511D">
            <w:pPr>
              <w:rPr>
                <w:sz w:val="28"/>
              </w:rPr>
            </w:pPr>
          </w:p>
          <w:p w14:paraId="0FE2A8AB">
            <w:pPr>
              <w:rPr>
                <w:sz w:val="28"/>
              </w:rPr>
            </w:pPr>
          </w:p>
          <w:p w14:paraId="056D6784">
            <w:pPr>
              <w:rPr>
                <w:sz w:val="28"/>
              </w:rPr>
            </w:pPr>
          </w:p>
          <w:p w14:paraId="5128D9B1">
            <w:pPr>
              <w:rPr>
                <w:sz w:val="28"/>
              </w:rPr>
            </w:pPr>
          </w:p>
          <w:p w14:paraId="2734319F">
            <w:pPr>
              <w:rPr>
                <w:sz w:val="28"/>
              </w:rPr>
            </w:pPr>
          </w:p>
          <w:p w14:paraId="18605DD5">
            <w:pPr>
              <w:rPr>
                <w:sz w:val="28"/>
              </w:rPr>
            </w:pPr>
          </w:p>
          <w:p w14:paraId="43FC6947">
            <w:pPr>
              <w:rPr>
                <w:sz w:val="28"/>
              </w:rPr>
            </w:pPr>
          </w:p>
          <w:p w14:paraId="455FABC6">
            <w:pPr>
              <w:rPr>
                <w:sz w:val="28"/>
              </w:rPr>
            </w:pPr>
          </w:p>
          <w:p w14:paraId="024DA2C0">
            <w:pPr>
              <w:rPr>
                <w:sz w:val="28"/>
              </w:rPr>
            </w:pPr>
          </w:p>
          <w:p w14:paraId="77694EBA">
            <w:pPr>
              <w:rPr>
                <w:sz w:val="28"/>
              </w:rPr>
            </w:pPr>
          </w:p>
          <w:p w14:paraId="1DFE3182">
            <w:pPr>
              <w:rPr>
                <w:sz w:val="28"/>
              </w:rPr>
            </w:pPr>
            <w:r>
              <w:rPr>
                <w:sz w:val="28"/>
              </w:rPr>
              <w:t xml:space="preserve">                                                 公章</w:t>
            </w:r>
          </w:p>
          <w:p w14:paraId="3BBDFD0D">
            <w:pPr>
              <w:rPr>
                <w:sz w:val="28"/>
              </w:rPr>
            </w:pPr>
            <w:r>
              <w:rPr>
                <w:sz w:val="28"/>
              </w:rPr>
              <w:t>经办人：                                    年   月   日</w:t>
            </w:r>
          </w:p>
          <w:p w14:paraId="02A1B7BD">
            <w:pPr>
              <w:rPr>
                <w:sz w:val="28"/>
              </w:rPr>
            </w:pPr>
          </w:p>
          <w:p w14:paraId="1112833D">
            <w:pPr>
              <w:rPr>
                <w:sz w:val="28"/>
              </w:rPr>
            </w:pPr>
          </w:p>
        </w:tc>
      </w:tr>
    </w:tbl>
    <w:p w14:paraId="1E06CFCA">
      <w:pPr>
        <w:widowControl/>
        <w:spacing w:line="440" w:lineRule="exact"/>
        <w:jc w:val="left"/>
        <w:rPr>
          <w:b/>
          <w:kern w:val="0"/>
          <w:sz w:val="24"/>
        </w:rPr>
        <w:sectPr>
          <w:footerReference r:id="rId8" w:type="default"/>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pPr>
    </w:p>
    <w:p w14:paraId="14115743">
      <w:pPr>
        <w:widowControl/>
        <w:spacing w:line="440" w:lineRule="exact"/>
        <w:jc w:val="left"/>
        <w:rPr>
          <w:b/>
          <w:kern w:val="0"/>
          <w:sz w:val="24"/>
        </w:rPr>
      </w:pPr>
      <w:r>
        <w:rPr>
          <w:rFonts w:hint="eastAsia"/>
          <w:b/>
          <w:kern w:val="0"/>
          <w:sz w:val="24"/>
        </w:rPr>
        <w:t>附件:</w:t>
      </w:r>
    </w:p>
    <w:p w14:paraId="784D5C1C">
      <w:pPr>
        <w:spacing w:line="460" w:lineRule="exact"/>
        <w:ind w:firstLine="700" w:firstLineChars="292"/>
        <w:rPr>
          <w:sz w:val="24"/>
        </w:rPr>
      </w:pPr>
      <w:r>
        <w:rPr>
          <w:sz w:val="24"/>
        </w:rPr>
        <w:t>附件</w:t>
      </w:r>
      <w:r>
        <w:rPr>
          <w:rFonts w:hint="eastAsia"/>
          <w:sz w:val="24"/>
          <w:lang w:val="en-US" w:eastAsia="zh-CN"/>
        </w:rPr>
        <w:t>1</w:t>
      </w:r>
      <w:r>
        <w:rPr>
          <w:sz w:val="24"/>
        </w:rPr>
        <w:t xml:space="preserve">  委托书</w:t>
      </w:r>
    </w:p>
    <w:p w14:paraId="4AD395E8">
      <w:pPr>
        <w:spacing w:line="460" w:lineRule="exact"/>
        <w:ind w:firstLine="700" w:firstLineChars="292"/>
        <w:rPr>
          <w:sz w:val="24"/>
        </w:rPr>
      </w:pPr>
      <w:r>
        <w:rPr>
          <w:sz w:val="24"/>
        </w:rPr>
        <w:t>附件</w:t>
      </w:r>
      <w:r>
        <w:rPr>
          <w:rFonts w:hint="eastAsia"/>
          <w:sz w:val="24"/>
          <w:lang w:val="en-US" w:eastAsia="zh-CN"/>
        </w:rPr>
        <w:t>2</w:t>
      </w:r>
      <w:r>
        <w:rPr>
          <w:sz w:val="24"/>
        </w:rPr>
        <w:t xml:space="preserve">  声明</w:t>
      </w:r>
    </w:p>
    <w:p w14:paraId="322AC950">
      <w:pPr>
        <w:spacing w:line="460" w:lineRule="exact"/>
        <w:ind w:firstLine="700" w:firstLineChars="292"/>
        <w:rPr>
          <w:sz w:val="24"/>
        </w:rPr>
      </w:pPr>
      <w:r>
        <w:rPr>
          <w:sz w:val="24"/>
        </w:rPr>
        <w:t>附件</w:t>
      </w:r>
      <w:r>
        <w:rPr>
          <w:rFonts w:hint="eastAsia"/>
          <w:sz w:val="24"/>
          <w:lang w:val="en-US" w:eastAsia="zh-CN"/>
        </w:rPr>
        <w:t>3</w:t>
      </w:r>
      <w:r>
        <w:rPr>
          <w:sz w:val="24"/>
        </w:rPr>
        <w:t xml:space="preserve">  立项文件</w:t>
      </w:r>
    </w:p>
    <w:p w14:paraId="2E79C859">
      <w:pPr>
        <w:spacing w:line="460" w:lineRule="exact"/>
        <w:ind w:firstLine="700" w:firstLineChars="292"/>
        <w:rPr>
          <w:sz w:val="24"/>
        </w:rPr>
      </w:pPr>
      <w:r>
        <w:rPr>
          <w:sz w:val="24"/>
        </w:rPr>
        <w:t>附件</w:t>
      </w:r>
      <w:r>
        <w:rPr>
          <w:rFonts w:hint="eastAsia"/>
          <w:sz w:val="24"/>
          <w:lang w:val="en-US" w:eastAsia="zh-CN"/>
        </w:rPr>
        <w:t>4</w:t>
      </w:r>
      <w:r>
        <w:rPr>
          <w:sz w:val="24"/>
        </w:rPr>
        <w:t xml:space="preserve">  营业执照</w:t>
      </w:r>
    </w:p>
    <w:p w14:paraId="1107C059">
      <w:pPr>
        <w:spacing w:line="460" w:lineRule="exact"/>
        <w:ind w:firstLine="700" w:firstLineChars="292"/>
        <w:rPr>
          <w:sz w:val="24"/>
        </w:rPr>
      </w:pPr>
      <w:r>
        <w:rPr>
          <w:sz w:val="24"/>
        </w:rPr>
        <w:t>附件</w:t>
      </w:r>
      <w:r>
        <w:rPr>
          <w:rFonts w:hint="eastAsia"/>
          <w:sz w:val="24"/>
          <w:lang w:val="en-US" w:eastAsia="zh-CN"/>
        </w:rPr>
        <w:t>5</w:t>
      </w:r>
      <w:r>
        <w:rPr>
          <w:sz w:val="24"/>
        </w:rPr>
        <w:t xml:space="preserve">  法人身份证</w:t>
      </w:r>
    </w:p>
    <w:p w14:paraId="716ACAC7">
      <w:pPr>
        <w:spacing w:line="460" w:lineRule="exact"/>
        <w:ind w:firstLine="700" w:firstLineChars="292"/>
        <w:rPr>
          <w:rFonts w:hint="default" w:eastAsia="宋体"/>
          <w:sz w:val="24"/>
          <w:lang w:val="en-US" w:eastAsia="zh-CN"/>
        </w:rPr>
      </w:pPr>
      <w:r>
        <w:rPr>
          <w:sz w:val="24"/>
        </w:rPr>
        <w:t>附件</w:t>
      </w:r>
      <w:r>
        <w:rPr>
          <w:rFonts w:hint="eastAsia"/>
          <w:sz w:val="24"/>
          <w:lang w:val="en-US" w:eastAsia="zh-CN"/>
        </w:rPr>
        <w:t>6</w:t>
      </w:r>
      <w:r>
        <w:rPr>
          <w:rFonts w:hint="eastAsia"/>
          <w:sz w:val="24"/>
        </w:rPr>
        <w:t xml:space="preserve"> </w:t>
      </w:r>
      <w:r>
        <w:rPr>
          <w:sz w:val="24"/>
        </w:rPr>
        <w:t xml:space="preserve"> </w:t>
      </w:r>
      <w:r>
        <w:rPr>
          <w:rFonts w:hint="eastAsia"/>
          <w:sz w:val="24"/>
          <w:lang w:val="en-US" w:eastAsia="zh-CN"/>
        </w:rPr>
        <w:t>产权证</w:t>
      </w:r>
    </w:p>
    <w:p w14:paraId="05BD6AF3">
      <w:pPr>
        <w:spacing w:line="460" w:lineRule="exact"/>
        <w:ind w:firstLine="700" w:firstLineChars="292"/>
        <w:rPr>
          <w:rFonts w:hint="eastAsia"/>
          <w:color w:val="auto"/>
          <w:sz w:val="24"/>
        </w:rPr>
      </w:pPr>
      <w:r>
        <w:rPr>
          <w:color w:val="auto"/>
          <w:sz w:val="24"/>
        </w:rPr>
        <w:t>附件</w:t>
      </w:r>
      <w:r>
        <w:rPr>
          <w:rFonts w:hint="eastAsia"/>
          <w:color w:val="auto"/>
          <w:sz w:val="24"/>
          <w:lang w:val="en-US" w:eastAsia="zh-CN"/>
        </w:rPr>
        <w:t>7</w:t>
      </w:r>
      <w:r>
        <w:rPr>
          <w:rFonts w:hint="eastAsia"/>
          <w:color w:val="auto"/>
          <w:sz w:val="24"/>
        </w:rPr>
        <w:t xml:space="preserve"> </w:t>
      </w:r>
      <w:r>
        <w:rPr>
          <w:color w:val="auto"/>
          <w:sz w:val="24"/>
        </w:rPr>
        <w:t xml:space="preserve"> </w:t>
      </w:r>
      <w:r>
        <w:rPr>
          <w:rFonts w:hint="eastAsia"/>
          <w:color w:val="auto"/>
          <w:sz w:val="24"/>
        </w:rPr>
        <w:t>排污许可登记回执</w:t>
      </w:r>
    </w:p>
    <w:p w14:paraId="052BA3E8">
      <w:pPr>
        <w:spacing w:line="460" w:lineRule="exact"/>
        <w:ind w:firstLine="700" w:firstLineChars="292"/>
        <w:rPr>
          <w:rFonts w:hint="default" w:eastAsia="宋体"/>
          <w:color w:val="auto"/>
          <w:sz w:val="24"/>
          <w:lang w:val="en-US" w:eastAsia="zh-CN"/>
        </w:rPr>
      </w:pPr>
      <w:r>
        <w:rPr>
          <w:color w:val="auto"/>
          <w:sz w:val="24"/>
        </w:rPr>
        <w:t>附件</w:t>
      </w:r>
      <w:r>
        <w:rPr>
          <w:rFonts w:hint="eastAsia"/>
          <w:color w:val="auto"/>
          <w:sz w:val="24"/>
          <w:lang w:val="en-US" w:eastAsia="zh-CN"/>
        </w:rPr>
        <w:t>8</w:t>
      </w:r>
      <w:r>
        <w:rPr>
          <w:rFonts w:hint="eastAsia"/>
          <w:color w:val="auto"/>
          <w:sz w:val="24"/>
        </w:rPr>
        <w:t xml:space="preserve"> </w:t>
      </w:r>
      <w:r>
        <w:rPr>
          <w:color w:val="auto"/>
          <w:sz w:val="24"/>
        </w:rPr>
        <w:t xml:space="preserve"> </w:t>
      </w:r>
      <w:r>
        <w:rPr>
          <w:rFonts w:hint="eastAsia"/>
          <w:color w:val="auto"/>
          <w:sz w:val="24"/>
          <w:lang w:val="en-US" w:eastAsia="zh-CN"/>
        </w:rPr>
        <w:t>废气产排量计算说明书</w:t>
      </w:r>
    </w:p>
    <w:p w14:paraId="0B93704F">
      <w:pPr>
        <w:widowControl/>
        <w:spacing w:line="360" w:lineRule="auto"/>
        <w:jc w:val="left"/>
        <w:rPr>
          <w:rFonts w:hint="eastAsia"/>
          <w:b/>
          <w:kern w:val="0"/>
          <w:sz w:val="24"/>
        </w:rPr>
      </w:pPr>
    </w:p>
    <w:p w14:paraId="1A71D68F">
      <w:pPr>
        <w:widowControl/>
        <w:spacing w:line="360" w:lineRule="auto"/>
        <w:jc w:val="left"/>
        <w:rPr>
          <w:rFonts w:hint="eastAsia"/>
          <w:b/>
          <w:kern w:val="0"/>
          <w:sz w:val="24"/>
        </w:rPr>
      </w:pPr>
    </w:p>
    <w:p w14:paraId="72FF5AC4">
      <w:pPr>
        <w:widowControl/>
        <w:spacing w:line="360" w:lineRule="auto"/>
        <w:jc w:val="left"/>
        <w:rPr>
          <w:b/>
          <w:kern w:val="0"/>
          <w:sz w:val="24"/>
        </w:rPr>
      </w:pPr>
      <w:r>
        <w:rPr>
          <w:rFonts w:hint="eastAsia"/>
          <w:b/>
          <w:kern w:val="0"/>
          <w:sz w:val="24"/>
        </w:rPr>
        <w:t>附图:</w:t>
      </w:r>
    </w:p>
    <w:p w14:paraId="494A0771">
      <w:pPr>
        <w:spacing w:line="460" w:lineRule="exact"/>
        <w:ind w:firstLine="700" w:firstLineChars="292"/>
        <w:rPr>
          <w:sz w:val="24"/>
        </w:rPr>
      </w:pPr>
      <w:r>
        <w:rPr>
          <w:sz w:val="24"/>
        </w:rPr>
        <w:t>附图</w:t>
      </w:r>
      <w:r>
        <w:rPr>
          <w:rFonts w:hint="eastAsia"/>
          <w:sz w:val="24"/>
          <w:lang w:val="en-US" w:eastAsia="zh-CN"/>
        </w:rPr>
        <w:t>1</w:t>
      </w:r>
      <w:r>
        <w:rPr>
          <w:sz w:val="24"/>
        </w:rPr>
        <w:t xml:space="preserve">  项目地理位置图</w:t>
      </w:r>
    </w:p>
    <w:p w14:paraId="380C45CE">
      <w:pPr>
        <w:spacing w:line="460" w:lineRule="exact"/>
        <w:ind w:firstLine="700" w:firstLineChars="292"/>
        <w:rPr>
          <w:rFonts w:hint="default" w:eastAsia="宋体"/>
          <w:sz w:val="24"/>
          <w:lang w:val="en-US" w:eastAsia="zh-CN"/>
        </w:rPr>
      </w:pPr>
      <w:r>
        <w:rPr>
          <w:rFonts w:hint="eastAsia"/>
          <w:sz w:val="24"/>
        </w:rPr>
        <w:t>附图</w:t>
      </w:r>
      <w:r>
        <w:rPr>
          <w:rFonts w:hint="eastAsia"/>
          <w:sz w:val="24"/>
          <w:lang w:val="en-US" w:eastAsia="zh-CN"/>
        </w:rPr>
        <w:t>2</w:t>
      </w:r>
      <w:r>
        <w:rPr>
          <w:rFonts w:hint="eastAsia"/>
          <w:sz w:val="24"/>
        </w:rPr>
        <w:t xml:space="preserve">  </w:t>
      </w:r>
      <w:r>
        <w:rPr>
          <w:rFonts w:hint="eastAsia"/>
          <w:sz w:val="24"/>
          <w:lang w:val="en-US" w:eastAsia="zh-CN"/>
        </w:rPr>
        <w:t>项目敏感目标保护图</w:t>
      </w:r>
    </w:p>
    <w:p w14:paraId="49DEBBD0">
      <w:pPr>
        <w:spacing w:line="460" w:lineRule="exact"/>
        <w:ind w:firstLine="700" w:firstLineChars="292"/>
        <w:rPr>
          <w:rFonts w:hint="default" w:eastAsia="宋体"/>
          <w:sz w:val="24"/>
          <w:lang w:val="en-US" w:eastAsia="zh-CN"/>
        </w:rPr>
      </w:pPr>
      <w:r>
        <w:rPr>
          <w:sz w:val="24"/>
        </w:rPr>
        <w:t>附图</w:t>
      </w:r>
      <w:r>
        <w:rPr>
          <w:rFonts w:hint="eastAsia"/>
          <w:sz w:val="24"/>
          <w:lang w:val="en-US" w:eastAsia="zh-CN"/>
        </w:rPr>
        <w:t>3</w:t>
      </w:r>
      <w:r>
        <w:rPr>
          <w:rFonts w:hint="eastAsia"/>
          <w:sz w:val="24"/>
        </w:rPr>
        <w:t xml:space="preserve"> </w:t>
      </w:r>
      <w:r>
        <w:rPr>
          <w:rFonts w:hint="eastAsia"/>
          <w:sz w:val="24"/>
          <w:lang w:val="en-US" w:eastAsia="zh-CN"/>
        </w:rPr>
        <w:t xml:space="preserve"> 项目与长江、龙窝湖位置示意图</w:t>
      </w:r>
    </w:p>
    <w:p w14:paraId="54B71C36">
      <w:pPr>
        <w:spacing w:line="460" w:lineRule="exact"/>
        <w:ind w:firstLine="700" w:firstLineChars="292"/>
        <w:rPr>
          <w:rFonts w:hint="default" w:eastAsia="宋体"/>
          <w:sz w:val="24"/>
          <w:lang w:val="en-US" w:eastAsia="zh-CN"/>
        </w:rPr>
      </w:pPr>
      <w:r>
        <w:rPr>
          <w:sz w:val="24"/>
        </w:rPr>
        <w:t>附图</w:t>
      </w:r>
      <w:r>
        <w:rPr>
          <w:rFonts w:hint="eastAsia"/>
          <w:sz w:val="24"/>
          <w:lang w:val="en-US" w:eastAsia="zh-CN"/>
        </w:rPr>
        <w:t>4</w:t>
      </w:r>
      <w:r>
        <w:rPr>
          <w:rFonts w:hint="eastAsia"/>
          <w:sz w:val="24"/>
        </w:rPr>
        <w:t xml:space="preserve"> </w:t>
      </w:r>
      <w:r>
        <w:rPr>
          <w:sz w:val="24"/>
        </w:rPr>
        <w:t xml:space="preserve"> </w:t>
      </w:r>
      <w:r>
        <w:rPr>
          <w:rFonts w:hint="eastAsia"/>
          <w:sz w:val="24"/>
          <w:lang w:val="en-US" w:eastAsia="zh-CN"/>
        </w:rPr>
        <w:t>厂区平面布置图</w:t>
      </w:r>
    </w:p>
    <w:p w14:paraId="1D686950">
      <w:pPr>
        <w:spacing w:line="460" w:lineRule="exact"/>
        <w:ind w:firstLine="700" w:firstLineChars="292"/>
        <w:rPr>
          <w:rFonts w:hint="default"/>
          <w:sz w:val="24"/>
          <w:lang w:val="en-US" w:eastAsia="zh-CN"/>
        </w:rPr>
      </w:pPr>
      <w:r>
        <w:rPr>
          <w:sz w:val="24"/>
        </w:rPr>
        <w:t>附图</w:t>
      </w:r>
      <w:r>
        <w:rPr>
          <w:rFonts w:hint="eastAsia"/>
          <w:sz w:val="24"/>
          <w:lang w:val="en-US" w:eastAsia="zh-CN"/>
        </w:rPr>
        <w:t>5</w:t>
      </w:r>
      <w:r>
        <w:rPr>
          <w:rFonts w:hint="eastAsia"/>
          <w:sz w:val="24"/>
        </w:rPr>
        <w:t xml:space="preserve"> </w:t>
      </w:r>
      <w:r>
        <w:rPr>
          <w:sz w:val="24"/>
        </w:rPr>
        <w:t xml:space="preserve"> </w:t>
      </w:r>
      <w:r>
        <w:rPr>
          <w:rFonts w:hint="eastAsia"/>
          <w:sz w:val="24"/>
          <w:lang w:val="en-US" w:eastAsia="zh-CN"/>
        </w:rPr>
        <w:t>项目土地利用规划图</w:t>
      </w:r>
    </w:p>
    <w:p w14:paraId="5478D925">
      <w:pPr>
        <w:spacing w:line="460" w:lineRule="exact"/>
        <w:ind w:firstLine="700" w:firstLineChars="292"/>
        <w:rPr>
          <w:rFonts w:hint="default"/>
          <w:sz w:val="24"/>
          <w:lang w:val="en-US" w:eastAsia="zh-CN"/>
        </w:rPr>
      </w:pPr>
      <w:r>
        <w:rPr>
          <w:sz w:val="24"/>
        </w:rPr>
        <w:t>附图</w:t>
      </w:r>
      <w:r>
        <w:rPr>
          <w:rFonts w:hint="eastAsia"/>
          <w:sz w:val="24"/>
          <w:lang w:val="en-US" w:eastAsia="zh-CN"/>
        </w:rPr>
        <w:t>6</w:t>
      </w:r>
      <w:r>
        <w:rPr>
          <w:rFonts w:hint="eastAsia"/>
          <w:sz w:val="24"/>
        </w:rPr>
        <w:t xml:space="preserve"> </w:t>
      </w:r>
      <w:r>
        <w:rPr>
          <w:sz w:val="24"/>
        </w:rPr>
        <w:t xml:space="preserve"> </w:t>
      </w:r>
      <w:r>
        <w:rPr>
          <w:rFonts w:hint="eastAsia"/>
          <w:sz w:val="24"/>
          <w:lang w:val="en-US" w:eastAsia="zh-CN"/>
        </w:rPr>
        <w:t>芜湖市生态保护红线图</w:t>
      </w:r>
    </w:p>
    <w:p w14:paraId="1D5FB7B3">
      <w:pPr>
        <w:spacing w:line="460" w:lineRule="exact"/>
        <w:ind w:firstLine="700" w:firstLineChars="292"/>
        <w:rPr>
          <w:rFonts w:hint="default"/>
          <w:sz w:val="24"/>
          <w:lang w:val="en-US" w:eastAsia="zh-CN"/>
        </w:rPr>
      </w:pPr>
      <w:r>
        <w:rPr>
          <w:rFonts w:hint="eastAsia"/>
          <w:sz w:val="24"/>
          <w:lang w:val="en-US" w:eastAsia="zh-CN"/>
        </w:rPr>
        <w:t>附图7  芜湖市“三区三线”图</w:t>
      </w:r>
    </w:p>
    <w:p w14:paraId="102AC9D7">
      <w:pPr>
        <w:spacing w:line="460" w:lineRule="exact"/>
        <w:ind w:firstLine="700" w:firstLineChars="292"/>
        <w:rPr>
          <w:rFonts w:hint="default"/>
          <w:sz w:val="24"/>
          <w:lang w:val="en-US" w:eastAsia="zh-CN"/>
        </w:rPr>
      </w:pPr>
      <w:r>
        <w:rPr>
          <w:rFonts w:hint="eastAsia"/>
          <w:sz w:val="24"/>
          <w:lang w:val="en-US" w:eastAsia="zh-CN"/>
        </w:rPr>
        <w:t>附图8  芜湖市大气环境分区管控图</w:t>
      </w:r>
    </w:p>
    <w:p w14:paraId="101EB8F7">
      <w:pPr>
        <w:spacing w:line="460" w:lineRule="exact"/>
        <w:ind w:firstLine="700" w:firstLineChars="292"/>
        <w:rPr>
          <w:rFonts w:hint="default"/>
          <w:sz w:val="24"/>
          <w:lang w:val="en-US" w:eastAsia="zh-CN"/>
        </w:rPr>
      </w:pPr>
      <w:r>
        <w:rPr>
          <w:rFonts w:hint="eastAsia"/>
          <w:sz w:val="24"/>
          <w:lang w:val="en-US" w:eastAsia="zh-CN"/>
        </w:rPr>
        <w:t>附图9  芜湖市土壤环境风险分区管控图</w:t>
      </w:r>
    </w:p>
    <w:p w14:paraId="65C2EBA3">
      <w:pPr>
        <w:spacing w:line="460" w:lineRule="exact"/>
        <w:ind w:firstLine="700" w:firstLineChars="292"/>
        <w:rPr>
          <w:rFonts w:hint="default"/>
          <w:sz w:val="24"/>
          <w:lang w:val="en-US" w:eastAsia="zh-CN"/>
        </w:rPr>
      </w:pPr>
      <w:r>
        <w:rPr>
          <w:rFonts w:hint="eastAsia"/>
          <w:sz w:val="24"/>
          <w:lang w:val="en-US" w:eastAsia="zh-CN"/>
        </w:rPr>
        <w:t>附图10  芜湖市水环境分区管控图</w:t>
      </w:r>
    </w:p>
    <w:p w14:paraId="57273F9F">
      <w:pPr>
        <w:spacing w:line="460" w:lineRule="exact"/>
        <w:ind w:firstLine="700" w:firstLineChars="292"/>
        <w:rPr>
          <w:rFonts w:hint="default"/>
          <w:sz w:val="24"/>
          <w:lang w:val="en-US" w:eastAsia="zh-CN"/>
        </w:rPr>
      </w:pPr>
      <w:r>
        <w:rPr>
          <w:rFonts w:hint="eastAsia"/>
          <w:sz w:val="24"/>
          <w:lang w:val="en-US" w:eastAsia="zh-CN"/>
        </w:rPr>
        <w:t>附图11  芜湖市高污染燃料禁燃区图</w:t>
      </w:r>
    </w:p>
    <w:p w14:paraId="3A8A273D">
      <w:pPr>
        <w:spacing w:line="460" w:lineRule="exact"/>
        <w:ind w:firstLine="700" w:firstLineChars="292"/>
        <w:rPr>
          <w:rFonts w:hint="default"/>
          <w:sz w:val="24"/>
          <w:lang w:val="en-US" w:eastAsia="zh-CN"/>
        </w:rPr>
      </w:pPr>
      <w:r>
        <w:rPr>
          <w:rFonts w:hint="eastAsia"/>
          <w:sz w:val="24"/>
          <w:lang w:val="en-US" w:eastAsia="zh-CN"/>
        </w:rPr>
        <w:t>附图12  芜湖市生态环境管控单元图</w:t>
      </w:r>
    </w:p>
    <w:p w14:paraId="5766FE35">
      <w:pPr>
        <w:spacing w:line="460" w:lineRule="exact"/>
        <w:ind w:firstLine="700" w:firstLineChars="292"/>
        <w:rPr>
          <w:rFonts w:hint="eastAsia"/>
          <w:sz w:val="24"/>
          <w:lang w:val="en-US" w:eastAsia="zh-CN"/>
        </w:rPr>
      </w:pPr>
      <w:r>
        <w:rPr>
          <w:rFonts w:hint="eastAsia"/>
          <w:sz w:val="24"/>
          <w:lang w:val="en-US" w:eastAsia="zh-CN"/>
        </w:rPr>
        <w:t>附图13  分区防渗图</w:t>
      </w:r>
    </w:p>
    <w:p w14:paraId="7163973C">
      <w:pPr>
        <w:spacing w:line="460" w:lineRule="exact"/>
        <w:ind w:firstLine="700" w:firstLineChars="292"/>
        <w:rPr>
          <w:rFonts w:hint="default"/>
          <w:sz w:val="24"/>
          <w:lang w:val="en-US" w:eastAsia="zh-CN"/>
        </w:rPr>
      </w:pPr>
      <w:r>
        <w:rPr>
          <w:rFonts w:hint="eastAsia"/>
          <w:sz w:val="24"/>
          <w:lang w:val="en-US" w:eastAsia="zh-CN"/>
        </w:rPr>
        <w:t>附图14  声环境功能区划图</w:t>
      </w:r>
    </w:p>
    <w:p w14:paraId="07163670">
      <w:pPr>
        <w:spacing w:line="460" w:lineRule="exact"/>
        <w:ind w:firstLine="700" w:firstLineChars="292"/>
        <w:rPr>
          <w:rFonts w:hint="default"/>
          <w:sz w:val="24"/>
          <w:lang w:val="en-US" w:eastAsia="zh-CN"/>
        </w:rPr>
      </w:pPr>
    </w:p>
    <w:p w14:paraId="613E5628">
      <w:pPr>
        <w:spacing w:line="460" w:lineRule="exact"/>
        <w:ind w:firstLine="700" w:firstLineChars="292"/>
        <w:rPr>
          <w:rFonts w:hint="eastAsia"/>
          <w:sz w:val="24"/>
          <w:lang w:val="en-US" w:eastAsia="zh-CN"/>
        </w:rPr>
      </w:pPr>
    </w:p>
    <w:sectPr>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7F" w:usb3="00000000" w:csb0="203F01FF" w:csb1="DFFF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TimesNewRoman">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ˎ̥">
    <w:altName w:val="Times New Roman"/>
    <w:panose1 w:val="00000000000000000000"/>
    <w:charset w:val="00"/>
    <w:family w:val="roman"/>
    <w:pitch w:val="default"/>
    <w:sig w:usb0="00000000" w:usb1="00000000" w:usb2="00000000" w:usb3="00000000" w:csb0="00000000"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TimesNewRomanPSMT">
    <w:altName w:val="方正舒体"/>
    <w:panose1 w:val="00000000000000000000"/>
    <w:charset w:val="86"/>
    <w:family w:val="auto"/>
    <w:pitch w:val="default"/>
    <w:sig w:usb0="00000000" w:usb1="00000000" w:usb2="00000010" w:usb3="00000000" w:csb0="00060000" w:csb1="00000000"/>
  </w:font>
  <w:font w:name="方正舒体">
    <w:panose1 w:val="02010601030101010101"/>
    <w:charset w:val="86"/>
    <w:family w:val="auto"/>
    <w:pitch w:val="default"/>
    <w:sig w:usb0="00000003" w:usb1="080E0000" w:usb2="00000000" w:usb3="00000000" w:csb0="00040000" w:csb1="00000000"/>
  </w:font>
  <w:font w:name="font-weight : 400">
    <w:altName w:val="Adobe 仿宋 Std R"/>
    <w:panose1 w:val="00000000000000000000"/>
    <w:charset w:val="00"/>
    <w:family w:val="auto"/>
    <w:pitch w:val="default"/>
    <w:sig w:usb0="00000000" w:usb1="00000000" w:usb2="00000000" w:usb3="00000000" w:csb0="00040001" w:csb1="00000000"/>
  </w:font>
  <w:font w:name="Adobe 仿宋 Std R">
    <w:panose1 w:val="02020400000000000000"/>
    <w:charset w:val="86"/>
    <w:family w:val="auto"/>
    <w:pitch w:val="default"/>
    <w:sig w:usb0="00000001" w:usb1="0A0F1810" w:usb2="00000016" w:usb3="00000000" w:csb0="00060007" w:csb1="00000000"/>
  </w:font>
  <w:font w:name="FZShuSong-Z01">
    <w:altName w:val="宋体"/>
    <w:panose1 w:val="00000000000000000000"/>
    <w:charset w:val="86"/>
    <w:family w:val="roma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00" w:csb1="00000000"/>
  </w:font>
  <w:font w:name="Times">
    <w:altName w:val="CG Times"/>
    <w:panose1 w:val="02020603050405020304"/>
    <w:charset w:val="00"/>
    <w:family w:val="roman"/>
    <w:pitch w:val="default"/>
    <w:sig w:usb0="00000000" w:usb1="00000000" w:usb2="00000009" w:usb3="00000000" w:csb0="000001FF" w:csb1="00000000"/>
  </w:font>
  <w:font w:name="CG Times">
    <w:panose1 w:val="02020603050405020304"/>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SymbolMT">
    <w:altName w:val="Times New Roman"/>
    <w:panose1 w:val="00000000000000000000"/>
    <w:charset w:val="00"/>
    <w:family w:val="roman"/>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E3947">
    <w:pPr>
      <w:pStyle w:val="3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97925">
    <w:pPr>
      <w:pStyle w:val="39"/>
      <w:framePr w:wrap="around" w:vAnchor="text" w:hAnchor="margin" w:xAlign="center" w:y="1"/>
      <w:rPr>
        <w:rStyle w:val="68"/>
      </w:rPr>
    </w:pPr>
    <w:r>
      <w:fldChar w:fldCharType="begin"/>
    </w:r>
    <w:r>
      <w:rPr>
        <w:rStyle w:val="68"/>
      </w:rPr>
      <w:instrText xml:space="preserve">PAGE  </w:instrText>
    </w:r>
    <w:r>
      <w:fldChar w:fldCharType="end"/>
    </w:r>
  </w:p>
  <w:p w14:paraId="037933FF">
    <w:pPr>
      <w:pStyle w:val="3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C15EC">
    <w:pPr>
      <w:pStyle w:val="39"/>
      <w:jc w:val="center"/>
    </w:pPr>
    <w:r>
      <w:fldChar w:fldCharType="begin"/>
    </w:r>
    <w:r>
      <w:instrText xml:space="preserve">PAGE   \* MERGEFORMAT</w:instrText>
    </w:r>
    <w:r>
      <w:fldChar w:fldCharType="separate"/>
    </w:r>
    <w:r>
      <w:rPr>
        <w:lang w:val="zh-CN"/>
      </w:rPr>
      <w:t>32</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CA5A">
    <w:pPr>
      <w:pStyle w:val="39"/>
      <w:jc w:val="center"/>
    </w:pPr>
    <w:r>
      <w:fldChar w:fldCharType="begin"/>
    </w:r>
    <w:r>
      <w:instrText xml:space="preserve">PAGE   \* MERGEFORMAT</w:instrText>
    </w:r>
    <w:r>
      <w:fldChar w:fldCharType="separate"/>
    </w:r>
    <w:r>
      <w:rPr>
        <w:lang w:val="zh-CN"/>
      </w:rPr>
      <w:t>42</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29903">
    <w:pPr>
      <w:pStyle w:val="39"/>
      <w:jc w:val="center"/>
    </w:pPr>
    <w:r>
      <w:fldChar w:fldCharType="begin"/>
    </w:r>
    <w:r>
      <w:instrText xml:space="preserve">PAGE   \* MERGEFORMAT</w:instrText>
    </w:r>
    <w:r>
      <w:fldChar w:fldCharType="separate"/>
    </w:r>
    <w:r>
      <w:rPr>
        <w:lang w:val="zh-CN"/>
      </w:rPr>
      <w:t>56</w:t>
    </w:r>
    <w:r>
      <w:fldChar w:fldCharType="end"/>
    </w:r>
  </w:p>
  <w:p w14:paraId="795502E5">
    <w:pPr>
      <w:pStyle w:val="39"/>
      <w:ind w:right="360"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18695">
    <w:pPr>
      <w:pStyle w:val="39"/>
      <w:jc w:val="center"/>
    </w:pPr>
    <w:r>
      <w:fldChar w:fldCharType="begin"/>
    </w:r>
    <w:r>
      <w:instrText xml:space="preserve">PAGE   \* MERGEFORMAT</w:instrText>
    </w:r>
    <w:r>
      <w:fldChar w:fldCharType="separate"/>
    </w:r>
    <w:r>
      <w:rPr>
        <w:lang w:val="zh-CN"/>
      </w:rPr>
      <w:t>59</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4034D"/>
    <w:multiLevelType w:val="singleLevel"/>
    <w:tmpl w:val="D3F4034D"/>
    <w:lvl w:ilvl="0" w:tentative="0">
      <w:start w:val="1"/>
      <w:numFmt w:val="decimal"/>
      <w:suff w:val="nothing"/>
      <w:lvlText w:val="%1、"/>
      <w:lvlJc w:val="left"/>
    </w:lvl>
  </w:abstractNum>
  <w:abstractNum w:abstractNumId="1">
    <w:nsid w:val="D8746C91"/>
    <w:multiLevelType w:val="singleLevel"/>
    <w:tmpl w:val="D8746C91"/>
    <w:lvl w:ilvl="0" w:tentative="0">
      <w:start w:val="1"/>
      <w:numFmt w:val="decimal"/>
      <w:suff w:val="nothing"/>
      <w:lvlText w:val="%1、"/>
      <w:lvlJc w:val="left"/>
    </w:lvl>
  </w:abstractNum>
  <w:abstractNum w:abstractNumId="2">
    <w:nsid w:val="169A4481"/>
    <w:multiLevelType w:val="multilevel"/>
    <w:tmpl w:val="169A4481"/>
    <w:lvl w:ilvl="0" w:tentative="0">
      <w:start w:val="1"/>
      <w:numFmt w:val="decimal"/>
      <w:pStyle w:val="1046"/>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3">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5"/>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00F"/>
    <w:rsid w:val="00002635"/>
    <w:rsid w:val="0000341A"/>
    <w:rsid w:val="000039D4"/>
    <w:rsid w:val="00003D80"/>
    <w:rsid w:val="00003F50"/>
    <w:rsid w:val="00004E8B"/>
    <w:rsid w:val="000060B3"/>
    <w:rsid w:val="00011C27"/>
    <w:rsid w:val="00011E5D"/>
    <w:rsid w:val="0001307F"/>
    <w:rsid w:val="0001312D"/>
    <w:rsid w:val="00013188"/>
    <w:rsid w:val="00014915"/>
    <w:rsid w:val="00017C2C"/>
    <w:rsid w:val="000206EC"/>
    <w:rsid w:val="00020799"/>
    <w:rsid w:val="00022415"/>
    <w:rsid w:val="00022E34"/>
    <w:rsid w:val="00022FCF"/>
    <w:rsid w:val="00023261"/>
    <w:rsid w:val="0002391C"/>
    <w:rsid w:val="00024629"/>
    <w:rsid w:val="0002481C"/>
    <w:rsid w:val="00024D6F"/>
    <w:rsid w:val="00025BF1"/>
    <w:rsid w:val="00031419"/>
    <w:rsid w:val="00031663"/>
    <w:rsid w:val="000318D9"/>
    <w:rsid w:val="00031DB5"/>
    <w:rsid w:val="00031FEA"/>
    <w:rsid w:val="00032120"/>
    <w:rsid w:val="000321A7"/>
    <w:rsid w:val="00036FC1"/>
    <w:rsid w:val="0003702C"/>
    <w:rsid w:val="00037E7B"/>
    <w:rsid w:val="000402C9"/>
    <w:rsid w:val="000406E1"/>
    <w:rsid w:val="00040B36"/>
    <w:rsid w:val="00040F2F"/>
    <w:rsid w:val="00041C54"/>
    <w:rsid w:val="00041EC1"/>
    <w:rsid w:val="000421B2"/>
    <w:rsid w:val="0004364B"/>
    <w:rsid w:val="000472AA"/>
    <w:rsid w:val="000473F4"/>
    <w:rsid w:val="00047EA5"/>
    <w:rsid w:val="0005127F"/>
    <w:rsid w:val="000516F6"/>
    <w:rsid w:val="00051BBE"/>
    <w:rsid w:val="00054DDA"/>
    <w:rsid w:val="00056045"/>
    <w:rsid w:val="00056066"/>
    <w:rsid w:val="00056694"/>
    <w:rsid w:val="000566C7"/>
    <w:rsid w:val="00061B1F"/>
    <w:rsid w:val="00062DD5"/>
    <w:rsid w:val="0006332D"/>
    <w:rsid w:val="000636A3"/>
    <w:rsid w:val="000639C2"/>
    <w:rsid w:val="0006406C"/>
    <w:rsid w:val="00065146"/>
    <w:rsid w:val="00065BA3"/>
    <w:rsid w:val="00065D2F"/>
    <w:rsid w:val="00067061"/>
    <w:rsid w:val="0006727C"/>
    <w:rsid w:val="0007012A"/>
    <w:rsid w:val="0007275F"/>
    <w:rsid w:val="000733C4"/>
    <w:rsid w:val="00074112"/>
    <w:rsid w:val="00074783"/>
    <w:rsid w:val="00074BD8"/>
    <w:rsid w:val="00077807"/>
    <w:rsid w:val="00077A0A"/>
    <w:rsid w:val="000806E3"/>
    <w:rsid w:val="0008070B"/>
    <w:rsid w:val="00080B5F"/>
    <w:rsid w:val="000810AC"/>
    <w:rsid w:val="00081651"/>
    <w:rsid w:val="00081A02"/>
    <w:rsid w:val="00082231"/>
    <w:rsid w:val="000825F5"/>
    <w:rsid w:val="00083128"/>
    <w:rsid w:val="000837AB"/>
    <w:rsid w:val="00084569"/>
    <w:rsid w:val="00084BAB"/>
    <w:rsid w:val="00085DA7"/>
    <w:rsid w:val="00087300"/>
    <w:rsid w:val="00087B7D"/>
    <w:rsid w:val="00090471"/>
    <w:rsid w:val="00090D48"/>
    <w:rsid w:val="00091B43"/>
    <w:rsid w:val="00092448"/>
    <w:rsid w:val="00092673"/>
    <w:rsid w:val="00092D38"/>
    <w:rsid w:val="0009319F"/>
    <w:rsid w:val="0009377B"/>
    <w:rsid w:val="00093F64"/>
    <w:rsid w:val="00094270"/>
    <w:rsid w:val="0009470F"/>
    <w:rsid w:val="00094847"/>
    <w:rsid w:val="00095542"/>
    <w:rsid w:val="00095C3D"/>
    <w:rsid w:val="00095EEC"/>
    <w:rsid w:val="0009672D"/>
    <w:rsid w:val="000972D6"/>
    <w:rsid w:val="000A0362"/>
    <w:rsid w:val="000A039F"/>
    <w:rsid w:val="000A0CDC"/>
    <w:rsid w:val="000A0D02"/>
    <w:rsid w:val="000A20C9"/>
    <w:rsid w:val="000A3F43"/>
    <w:rsid w:val="000A59CE"/>
    <w:rsid w:val="000A59E2"/>
    <w:rsid w:val="000A7254"/>
    <w:rsid w:val="000B058F"/>
    <w:rsid w:val="000B07DB"/>
    <w:rsid w:val="000B115B"/>
    <w:rsid w:val="000B1470"/>
    <w:rsid w:val="000B26EC"/>
    <w:rsid w:val="000B305B"/>
    <w:rsid w:val="000B3675"/>
    <w:rsid w:val="000B42D3"/>
    <w:rsid w:val="000B4467"/>
    <w:rsid w:val="000B4DB9"/>
    <w:rsid w:val="000B5D6D"/>
    <w:rsid w:val="000B6F11"/>
    <w:rsid w:val="000B7156"/>
    <w:rsid w:val="000C068C"/>
    <w:rsid w:val="000C09AC"/>
    <w:rsid w:val="000C0BAF"/>
    <w:rsid w:val="000C1AB2"/>
    <w:rsid w:val="000C2435"/>
    <w:rsid w:val="000C2F0B"/>
    <w:rsid w:val="000C4672"/>
    <w:rsid w:val="000C47D1"/>
    <w:rsid w:val="000C4881"/>
    <w:rsid w:val="000C6145"/>
    <w:rsid w:val="000C6446"/>
    <w:rsid w:val="000C648D"/>
    <w:rsid w:val="000C767F"/>
    <w:rsid w:val="000D11EA"/>
    <w:rsid w:val="000D3005"/>
    <w:rsid w:val="000D31D0"/>
    <w:rsid w:val="000D35B8"/>
    <w:rsid w:val="000D3978"/>
    <w:rsid w:val="000D4138"/>
    <w:rsid w:val="000D4585"/>
    <w:rsid w:val="000D4F07"/>
    <w:rsid w:val="000D5224"/>
    <w:rsid w:val="000D5A44"/>
    <w:rsid w:val="000D5F89"/>
    <w:rsid w:val="000D605C"/>
    <w:rsid w:val="000D76F4"/>
    <w:rsid w:val="000E0A68"/>
    <w:rsid w:val="000E1747"/>
    <w:rsid w:val="000E1F36"/>
    <w:rsid w:val="000E2F5F"/>
    <w:rsid w:val="000E3B86"/>
    <w:rsid w:val="000E3ED2"/>
    <w:rsid w:val="000E42C7"/>
    <w:rsid w:val="000E462C"/>
    <w:rsid w:val="000E5E4B"/>
    <w:rsid w:val="000E66B4"/>
    <w:rsid w:val="000F04E2"/>
    <w:rsid w:val="000F04F6"/>
    <w:rsid w:val="000F08F4"/>
    <w:rsid w:val="000F1DEB"/>
    <w:rsid w:val="000F2283"/>
    <w:rsid w:val="000F3BFE"/>
    <w:rsid w:val="000F6201"/>
    <w:rsid w:val="000F6769"/>
    <w:rsid w:val="000F7028"/>
    <w:rsid w:val="00100924"/>
    <w:rsid w:val="00100BDA"/>
    <w:rsid w:val="00102B3B"/>
    <w:rsid w:val="00103ED0"/>
    <w:rsid w:val="0010405C"/>
    <w:rsid w:val="0010414D"/>
    <w:rsid w:val="0010484E"/>
    <w:rsid w:val="00104C56"/>
    <w:rsid w:val="00104F48"/>
    <w:rsid w:val="00104F7B"/>
    <w:rsid w:val="00105578"/>
    <w:rsid w:val="0010634A"/>
    <w:rsid w:val="00107D45"/>
    <w:rsid w:val="001103BC"/>
    <w:rsid w:val="001112E9"/>
    <w:rsid w:val="001122F1"/>
    <w:rsid w:val="00112326"/>
    <w:rsid w:val="001145DF"/>
    <w:rsid w:val="00115B66"/>
    <w:rsid w:val="00116322"/>
    <w:rsid w:val="001241AB"/>
    <w:rsid w:val="00124D7D"/>
    <w:rsid w:val="001255D9"/>
    <w:rsid w:val="00125D68"/>
    <w:rsid w:val="00125EC2"/>
    <w:rsid w:val="00126109"/>
    <w:rsid w:val="00126DBD"/>
    <w:rsid w:val="00127539"/>
    <w:rsid w:val="00127D0F"/>
    <w:rsid w:val="00130B35"/>
    <w:rsid w:val="00131204"/>
    <w:rsid w:val="00131397"/>
    <w:rsid w:val="00131CC7"/>
    <w:rsid w:val="00131F42"/>
    <w:rsid w:val="0013419B"/>
    <w:rsid w:val="00134909"/>
    <w:rsid w:val="00135412"/>
    <w:rsid w:val="001357F1"/>
    <w:rsid w:val="00137104"/>
    <w:rsid w:val="001374DE"/>
    <w:rsid w:val="00137512"/>
    <w:rsid w:val="0013771E"/>
    <w:rsid w:val="00137FA9"/>
    <w:rsid w:val="001406C9"/>
    <w:rsid w:val="001409A9"/>
    <w:rsid w:val="00140FA8"/>
    <w:rsid w:val="00142FEB"/>
    <w:rsid w:val="0014305D"/>
    <w:rsid w:val="00143A2D"/>
    <w:rsid w:val="00144872"/>
    <w:rsid w:val="00145A41"/>
    <w:rsid w:val="0014644E"/>
    <w:rsid w:val="00146BDC"/>
    <w:rsid w:val="00147109"/>
    <w:rsid w:val="00147340"/>
    <w:rsid w:val="00147428"/>
    <w:rsid w:val="001477FE"/>
    <w:rsid w:val="001512B1"/>
    <w:rsid w:val="00151675"/>
    <w:rsid w:val="001524F0"/>
    <w:rsid w:val="00152BFB"/>
    <w:rsid w:val="0015310D"/>
    <w:rsid w:val="00153E41"/>
    <w:rsid w:val="00153F93"/>
    <w:rsid w:val="001541D0"/>
    <w:rsid w:val="00154F78"/>
    <w:rsid w:val="00154FC1"/>
    <w:rsid w:val="0015567D"/>
    <w:rsid w:val="00156218"/>
    <w:rsid w:val="0015625E"/>
    <w:rsid w:val="001563AD"/>
    <w:rsid w:val="00157435"/>
    <w:rsid w:val="00157C98"/>
    <w:rsid w:val="00160651"/>
    <w:rsid w:val="0016334F"/>
    <w:rsid w:val="00164369"/>
    <w:rsid w:val="001646BF"/>
    <w:rsid w:val="00165E0C"/>
    <w:rsid w:val="001662E2"/>
    <w:rsid w:val="001677A0"/>
    <w:rsid w:val="00167A51"/>
    <w:rsid w:val="00170B5A"/>
    <w:rsid w:val="00170CA5"/>
    <w:rsid w:val="001716CB"/>
    <w:rsid w:val="00172763"/>
    <w:rsid w:val="001738BC"/>
    <w:rsid w:val="0017482B"/>
    <w:rsid w:val="00174964"/>
    <w:rsid w:val="00174AF1"/>
    <w:rsid w:val="00174CC2"/>
    <w:rsid w:val="0017504D"/>
    <w:rsid w:val="0017582A"/>
    <w:rsid w:val="00176245"/>
    <w:rsid w:val="001763C0"/>
    <w:rsid w:val="0017666A"/>
    <w:rsid w:val="0017671A"/>
    <w:rsid w:val="00177422"/>
    <w:rsid w:val="001779D4"/>
    <w:rsid w:val="00177A8F"/>
    <w:rsid w:val="00177AE6"/>
    <w:rsid w:val="00177AF3"/>
    <w:rsid w:val="00177CDF"/>
    <w:rsid w:val="00180159"/>
    <w:rsid w:val="00180FF6"/>
    <w:rsid w:val="001813B3"/>
    <w:rsid w:val="00181B32"/>
    <w:rsid w:val="00181C34"/>
    <w:rsid w:val="00181F55"/>
    <w:rsid w:val="00182A31"/>
    <w:rsid w:val="00183153"/>
    <w:rsid w:val="001832D1"/>
    <w:rsid w:val="00184590"/>
    <w:rsid w:val="00184E9F"/>
    <w:rsid w:val="0018678F"/>
    <w:rsid w:val="001870D1"/>
    <w:rsid w:val="0018781E"/>
    <w:rsid w:val="00190870"/>
    <w:rsid w:val="00190ACF"/>
    <w:rsid w:val="00191CC6"/>
    <w:rsid w:val="0019218B"/>
    <w:rsid w:val="0019262D"/>
    <w:rsid w:val="001928E1"/>
    <w:rsid w:val="00192D6F"/>
    <w:rsid w:val="001931D4"/>
    <w:rsid w:val="00193325"/>
    <w:rsid w:val="00193584"/>
    <w:rsid w:val="00194321"/>
    <w:rsid w:val="001955FB"/>
    <w:rsid w:val="001A03DF"/>
    <w:rsid w:val="001A0694"/>
    <w:rsid w:val="001A1B35"/>
    <w:rsid w:val="001A27B4"/>
    <w:rsid w:val="001A35DA"/>
    <w:rsid w:val="001A385D"/>
    <w:rsid w:val="001A48A2"/>
    <w:rsid w:val="001A5CD2"/>
    <w:rsid w:val="001A5F29"/>
    <w:rsid w:val="001A63F0"/>
    <w:rsid w:val="001A69B7"/>
    <w:rsid w:val="001A6F61"/>
    <w:rsid w:val="001A758B"/>
    <w:rsid w:val="001A7652"/>
    <w:rsid w:val="001A7823"/>
    <w:rsid w:val="001A7E86"/>
    <w:rsid w:val="001B10DE"/>
    <w:rsid w:val="001B22D6"/>
    <w:rsid w:val="001B2B54"/>
    <w:rsid w:val="001B2CBB"/>
    <w:rsid w:val="001B337A"/>
    <w:rsid w:val="001B3E0B"/>
    <w:rsid w:val="001B501E"/>
    <w:rsid w:val="001B72B8"/>
    <w:rsid w:val="001B7AD3"/>
    <w:rsid w:val="001B7E9C"/>
    <w:rsid w:val="001C0F10"/>
    <w:rsid w:val="001C148E"/>
    <w:rsid w:val="001C1EB0"/>
    <w:rsid w:val="001C2066"/>
    <w:rsid w:val="001C2BC6"/>
    <w:rsid w:val="001C33C1"/>
    <w:rsid w:val="001C69B3"/>
    <w:rsid w:val="001C7C54"/>
    <w:rsid w:val="001D0BC0"/>
    <w:rsid w:val="001D0CA8"/>
    <w:rsid w:val="001D18E7"/>
    <w:rsid w:val="001D1D35"/>
    <w:rsid w:val="001D1FAE"/>
    <w:rsid w:val="001D2C3D"/>
    <w:rsid w:val="001D3B9F"/>
    <w:rsid w:val="001D4610"/>
    <w:rsid w:val="001D5434"/>
    <w:rsid w:val="001D5595"/>
    <w:rsid w:val="001D5F24"/>
    <w:rsid w:val="001D6550"/>
    <w:rsid w:val="001D69DE"/>
    <w:rsid w:val="001D73AA"/>
    <w:rsid w:val="001D755D"/>
    <w:rsid w:val="001D7874"/>
    <w:rsid w:val="001D7CCA"/>
    <w:rsid w:val="001D7F22"/>
    <w:rsid w:val="001E29D0"/>
    <w:rsid w:val="001E2D8C"/>
    <w:rsid w:val="001E4B95"/>
    <w:rsid w:val="001E5626"/>
    <w:rsid w:val="001E76AF"/>
    <w:rsid w:val="001E7F83"/>
    <w:rsid w:val="001F00E7"/>
    <w:rsid w:val="001F00F1"/>
    <w:rsid w:val="001F083F"/>
    <w:rsid w:val="001F0AC9"/>
    <w:rsid w:val="001F0F17"/>
    <w:rsid w:val="001F1038"/>
    <w:rsid w:val="001F1385"/>
    <w:rsid w:val="001F1877"/>
    <w:rsid w:val="001F2205"/>
    <w:rsid w:val="001F22D0"/>
    <w:rsid w:val="001F26C7"/>
    <w:rsid w:val="001F278D"/>
    <w:rsid w:val="001F2B5E"/>
    <w:rsid w:val="001F3034"/>
    <w:rsid w:val="001F3347"/>
    <w:rsid w:val="001F4BBF"/>
    <w:rsid w:val="001F4D8A"/>
    <w:rsid w:val="001F5DFE"/>
    <w:rsid w:val="001F6283"/>
    <w:rsid w:val="001F69E4"/>
    <w:rsid w:val="002010DD"/>
    <w:rsid w:val="0020220E"/>
    <w:rsid w:val="00202E19"/>
    <w:rsid w:val="00203ADA"/>
    <w:rsid w:val="00203E54"/>
    <w:rsid w:val="00211BD7"/>
    <w:rsid w:val="002125B4"/>
    <w:rsid w:val="00212E24"/>
    <w:rsid w:val="00213560"/>
    <w:rsid w:val="002155B8"/>
    <w:rsid w:val="002176BA"/>
    <w:rsid w:val="002208F4"/>
    <w:rsid w:val="002213BF"/>
    <w:rsid w:val="00222B94"/>
    <w:rsid w:val="002236BE"/>
    <w:rsid w:val="002236EA"/>
    <w:rsid w:val="0022383F"/>
    <w:rsid w:val="00223C1E"/>
    <w:rsid w:val="00224839"/>
    <w:rsid w:val="002249B2"/>
    <w:rsid w:val="002254BB"/>
    <w:rsid w:val="00225C39"/>
    <w:rsid w:val="00226444"/>
    <w:rsid w:val="00226574"/>
    <w:rsid w:val="00226B3B"/>
    <w:rsid w:val="002278EC"/>
    <w:rsid w:val="00227C9B"/>
    <w:rsid w:val="002302C0"/>
    <w:rsid w:val="00230FCB"/>
    <w:rsid w:val="00231139"/>
    <w:rsid w:val="002312CE"/>
    <w:rsid w:val="0023205A"/>
    <w:rsid w:val="0023280E"/>
    <w:rsid w:val="00232EF2"/>
    <w:rsid w:val="00233015"/>
    <w:rsid w:val="00233242"/>
    <w:rsid w:val="0023475E"/>
    <w:rsid w:val="002358F5"/>
    <w:rsid w:val="00235BBB"/>
    <w:rsid w:val="00236788"/>
    <w:rsid w:val="002377D1"/>
    <w:rsid w:val="0023795C"/>
    <w:rsid w:val="002379B8"/>
    <w:rsid w:val="00240C3E"/>
    <w:rsid w:val="00241243"/>
    <w:rsid w:val="00242895"/>
    <w:rsid w:val="00242D2A"/>
    <w:rsid w:val="002438BA"/>
    <w:rsid w:val="0024407C"/>
    <w:rsid w:val="002452AD"/>
    <w:rsid w:val="00245DB7"/>
    <w:rsid w:val="002469B5"/>
    <w:rsid w:val="00246BBF"/>
    <w:rsid w:val="0025004C"/>
    <w:rsid w:val="0025013A"/>
    <w:rsid w:val="002506BC"/>
    <w:rsid w:val="002507D6"/>
    <w:rsid w:val="002525D1"/>
    <w:rsid w:val="00252FDB"/>
    <w:rsid w:val="002533B2"/>
    <w:rsid w:val="00253BF8"/>
    <w:rsid w:val="00253ECD"/>
    <w:rsid w:val="00254345"/>
    <w:rsid w:val="0025792B"/>
    <w:rsid w:val="0026001E"/>
    <w:rsid w:val="00260117"/>
    <w:rsid w:val="00260BC5"/>
    <w:rsid w:val="0026130D"/>
    <w:rsid w:val="00261C81"/>
    <w:rsid w:val="00261E2E"/>
    <w:rsid w:val="00262B0A"/>
    <w:rsid w:val="00262FB5"/>
    <w:rsid w:val="00264207"/>
    <w:rsid w:val="00264557"/>
    <w:rsid w:val="002647D3"/>
    <w:rsid w:val="00265E16"/>
    <w:rsid w:val="00266592"/>
    <w:rsid w:val="00266753"/>
    <w:rsid w:val="00267E52"/>
    <w:rsid w:val="00270323"/>
    <w:rsid w:val="0027058D"/>
    <w:rsid w:val="00271194"/>
    <w:rsid w:val="00271780"/>
    <w:rsid w:val="002728F4"/>
    <w:rsid w:val="00273561"/>
    <w:rsid w:val="00273A2F"/>
    <w:rsid w:val="00274B07"/>
    <w:rsid w:val="00275D11"/>
    <w:rsid w:val="00275F30"/>
    <w:rsid w:val="0027600E"/>
    <w:rsid w:val="00276415"/>
    <w:rsid w:val="002768F1"/>
    <w:rsid w:val="0027717D"/>
    <w:rsid w:val="00277395"/>
    <w:rsid w:val="00277CBD"/>
    <w:rsid w:val="00280161"/>
    <w:rsid w:val="002805AB"/>
    <w:rsid w:val="002808C8"/>
    <w:rsid w:val="00280B7B"/>
    <w:rsid w:val="00281663"/>
    <w:rsid w:val="00282A51"/>
    <w:rsid w:val="00282ED7"/>
    <w:rsid w:val="00283156"/>
    <w:rsid w:val="002833EC"/>
    <w:rsid w:val="00284204"/>
    <w:rsid w:val="00284700"/>
    <w:rsid w:val="0028495B"/>
    <w:rsid w:val="00285340"/>
    <w:rsid w:val="00285A97"/>
    <w:rsid w:val="002862A3"/>
    <w:rsid w:val="002864A6"/>
    <w:rsid w:val="00286A1C"/>
    <w:rsid w:val="0028779C"/>
    <w:rsid w:val="00287821"/>
    <w:rsid w:val="0029012C"/>
    <w:rsid w:val="00290E55"/>
    <w:rsid w:val="0029114A"/>
    <w:rsid w:val="00291168"/>
    <w:rsid w:val="00291773"/>
    <w:rsid w:val="002924F8"/>
    <w:rsid w:val="002932E0"/>
    <w:rsid w:val="00293683"/>
    <w:rsid w:val="002947A9"/>
    <w:rsid w:val="00295A2C"/>
    <w:rsid w:val="0029606A"/>
    <w:rsid w:val="00296709"/>
    <w:rsid w:val="0029688A"/>
    <w:rsid w:val="0029793B"/>
    <w:rsid w:val="002A168C"/>
    <w:rsid w:val="002A210F"/>
    <w:rsid w:val="002A2AC1"/>
    <w:rsid w:val="002A2E03"/>
    <w:rsid w:val="002A2EB3"/>
    <w:rsid w:val="002A3DC7"/>
    <w:rsid w:val="002A4315"/>
    <w:rsid w:val="002A4A6C"/>
    <w:rsid w:val="002A4D82"/>
    <w:rsid w:val="002A5AC5"/>
    <w:rsid w:val="002A7193"/>
    <w:rsid w:val="002A7209"/>
    <w:rsid w:val="002A73E3"/>
    <w:rsid w:val="002B005C"/>
    <w:rsid w:val="002B0242"/>
    <w:rsid w:val="002B1CCB"/>
    <w:rsid w:val="002B2BF5"/>
    <w:rsid w:val="002B2FE3"/>
    <w:rsid w:val="002B3CFD"/>
    <w:rsid w:val="002B49E2"/>
    <w:rsid w:val="002B7B00"/>
    <w:rsid w:val="002B7C44"/>
    <w:rsid w:val="002B7D80"/>
    <w:rsid w:val="002C002A"/>
    <w:rsid w:val="002C0C48"/>
    <w:rsid w:val="002C29E2"/>
    <w:rsid w:val="002C2B17"/>
    <w:rsid w:val="002C3477"/>
    <w:rsid w:val="002C347B"/>
    <w:rsid w:val="002C37B2"/>
    <w:rsid w:val="002C3A65"/>
    <w:rsid w:val="002C427D"/>
    <w:rsid w:val="002C4CBD"/>
    <w:rsid w:val="002C4EDE"/>
    <w:rsid w:val="002C5D18"/>
    <w:rsid w:val="002C5E20"/>
    <w:rsid w:val="002C67C8"/>
    <w:rsid w:val="002C78A3"/>
    <w:rsid w:val="002D0DD1"/>
    <w:rsid w:val="002D0FF0"/>
    <w:rsid w:val="002D1092"/>
    <w:rsid w:val="002D1598"/>
    <w:rsid w:val="002D1ECE"/>
    <w:rsid w:val="002D2F45"/>
    <w:rsid w:val="002D3503"/>
    <w:rsid w:val="002D3DD0"/>
    <w:rsid w:val="002D4555"/>
    <w:rsid w:val="002D45E5"/>
    <w:rsid w:val="002D480C"/>
    <w:rsid w:val="002D559F"/>
    <w:rsid w:val="002D701A"/>
    <w:rsid w:val="002D7D81"/>
    <w:rsid w:val="002E0E7E"/>
    <w:rsid w:val="002E1F3A"/>
    <w:rsid w:val="002E200E"/>
    <w:rsid w:val="002E2586"/>
    <w:rsid w:val="002E264F"/>
    <w:rsid w:val="002E2961"/>
    <w:rsid w:val="002E298A"/>
    <w:rsid w:val="002E3B9C"/>
    <w:rsid w:val="002E7BC2"/>
    <w:rsid w:val="002F0E2D"/>
    <w:rsid w:val="002F1772"/>
    <w:rsid w:val="002F2570"/>
    <w:rsid w:val="002F2B32"/>
    <w:rsid w:val="002F37E6"/>
    <w:rsid w:val="002F42F1"/>
    <w:rsid w:val="002F458A"/>
    <w:rsid w:val="002F63EE"/>
    <w:rsid w:val="002F7828"/>
    <w:rsid w:val="002F7FEB"/>
    <w:rsid w:val="00301631"/>
    <w:rsid w:val="0030170C"/>
    <w:rsid w:val="00301978"/>
    <w:rsid w:val="003025E4"/>
    <w:rsid w:val="0030332C"/>
    <w:rsid w:val="00303968"/>
    <w:rsid w:val="003051C2"/>
    <w:rsid w:val="00306244"/>
    <w:rsid w:val="0031025C"/>
    <w:rsid w:val="00312296"/>
    <w:rsid w:val="0031269F"/>
    <w:rsid w:val="00313CED"/>
    <w:rsid w:val="00314CF1"/>
    <w:rsid w:val="00314F0E"/>
    <w:rsid w:val="00315E39"/>
    <w:rsid w:val="003170AE"/>
    <w:rsid w:val="0031712F"/>
    <w:rsid w:val="00317C4A"/>
    <w:rsid w:val="00321D8E"/>
    <w:rsid w:val="0032400A"/>
    <w:rsid w:val="00324D8C"/>
    <w:rsid w:val="00324F5C"/>
    <w:rsid w:val="00325928"/>
    <w:rsid w:val="00326188"/>
    <w:rsid w:val="003320D5"/>
    <w:rsid w:val="00332863"/>
    <w:rsid w:val="0033684D"/>
    <w:rsid w:val="0033727C"/>
    <w:rsid w:val="00337B42"/>
    <w:rsid w:val="00340726"/>
    <w:rsid w:val="003415BF"/>
    <w:rsid w:val="00341B42"/>
    <w:rsid w:val="00342E48"/>
    <w:rsid w:val="0034348F"/>
    <w:rsid w:val="00343735"/>
    <w:rsid w:val="0034393B"/>
    <w:rsid w:val="00345D65"/>
    <w:rsid w:val="00345DDF"/>
    <w:rsid w:val="00347705"/>
    <w:rsid w:val="003510DC"/>
    <w:rsid w:val="003512DF"/>
    <w:rsid w:val="0035417E"/>
    <w:rsid w:val="00356653"/>
    <w:rsid w:val="0035680A"/>
    <w:rsid w:val="00356BB6"/>
    <w:rsid w:val="00356DEA"/>
    <w:rsid w:val="00357001"/>
    <w:rsid w:val="0035728D"/>
    <w:rsid w:val="003573A6"/>
    <w:rsid w:val="0035743F"/>
    <w:rsid w:val="003579B4"/>
    <w:rsid w:val="00357A4B"/>
    <w:rsid w:val="00357BE2"/>
    <w:rsid w:val="003603AA"/>
    <w:rsid w:val="003608CB"/>
    <w:rsid w:val="00361622"/>
    <w:rsid w:val="0036170C"/>
    <w:rsid w:val="00361988"/>
    <w:rsid w:val="00362178"/>
    <w:rsid w:val="00366A38"/>
    <w:rsid w:val="00366E0F"/>
    <w:rsid w:val="00366E19"/>
    <w:rsid w:val="00370BE8"/>
    <w:rsid w:val="003711E4"/>
    <w:rsid w:val="003712F9"/>
    <w:rsid w:val="00372296"/>
    <w:rsid w:val="00372C1E"/>
    <w:rsid w:val="0037431D"/>
    <w:rsid w:val="00374861"/>
    <w:rsid w:val="00375301"/>
    <w:rsid w:val="003759A3"/>
    <w:rsid w:val="003765A4"/>
    <w:rsid w:val="00376952"/>
    <w:rsid w:val="00376E7A"/>
    <w:rsid w:val="003772BE"/>
    <w:rsid w:val="003776B6"/>
    <w:rsid w:val="00377891"/>
    <w:rsid w:val="00380972"/>
    <w:rsid w:val="00381A72"/>
    <w:rsid w:val="00382D89"/>
    <w:rsid w:val="00383EE8"/>
    <w:rsid w:val="00384676"/>
    <w:rsid w:val="0038488F"/>
    <w:rsid w:val="003865CB"/>
    <w:rsid w:val="003868C4"/>
    <w:rsid w:val="00386D16"/>
    <w:rsid w:val="00390857"/>
    <w:rsid w:val="00392894"/>
    <w:rsid w:val="00393D93"/>
    <w:rsid w:val="00394A1D"/>
    <w:rsid w:val="00395005"/>
    <w:rsid w:val="00397587"/>
    <w:rsid w:val="00397A04"/>
    <w:rsid w:val="003A09D2"/>
    <w:rsid w:val="003A0AB6"/>
    <w:rsid w:val="003A17ED"/>
    <w:rsid w:val="003A3B8D"/>
    <w:rsid w:val="003A46D8"/>
    <w:rsid w:val="003A4BF3"/>
    <w:rsid w:val="003A551C"/>
    <w:rsid w:val="003A6152"/>
    <w:rsid w:val="003A6E2B"/>
    <w:rsid w:val="003B0104"/>
    <w:rsid w:val="003B0390"/>
    <w:rsid w:val="003B0707"/>
    <w:rsid w:val="003B3337"/>
    <w:rsid w:val="003B37E8"/>
    <w:rsid w:val="003B3AB0"/>
    <w:rsid w:val="003B420D"/>
    <w:rsid w:val="003B4822"/>
    <w:rsid w:val="003B587F"/>
    <w:rsid w:val="003B68D9"/>
    <w:rsid w:val="003B6F79"/>
    <w:rsid w:val="003B7EE3"/>
    <w:rsid w:val="003C0CB6"/>
    <w:rsid w:val="003C1ABE"/>
    <w:rsid w:val="003C1DEF"/>
    <w:rsid w:val="003C2D4E"/>
    <w:rsid w:val="003C3526"/>
    <w:rsid w:val="003C5290"/>
    <w:rsid w:val="003C5582"/>
    <w:rsid w:val="003C6C16"/>
    <w:rsid w:val="003C71BF"/>
    <w:rsid w:val="003C75C9"/>
    <w:rsid w:val="003D0382"/>
    <w:rsid w:val="003D03A0"/>
    <w:rsid w:val="003D03C2"/>
    <w:rsid w:val="003D0ED7"/>
    <w:rsid w:val="003D20EC"/>
    <w:rsid w:val="003D243E"/>
    <w:rsid w:val="003D42B1"/>
    <w:rsid w:val="003D4E9E"/>
    <w:rsid w:val="003D5A7D"/>
    <w:rsid w:val="003D69F7"/>
    <w:rsid w:val="003D794D"/>
    <w:rsid w:val="003E1904"/>
    <w:rsid w:val="003E3058"/>
    <w:rsid w:val="003E3DE6"/>
    <w:rsid w:val="003E4F82"/>
    <w:rsid w:val="003E5F4A"/>
    <w:rsid w:val="003E669D"/>
    <w:rsid w:val="003E76A9"/>
    <w:rsid w:val="003F0553"/>
    <w:rsid w:val="003F0809"/>
    <w:rsid w:val="003F0A73"/>
    <w:rsid w:val="003F16BA"/>
    <w:rsid w:val="003F2AB5"/>
    <w:rsid w:val="003F448C"/>
    <w:rsid w:val="003F4660"/>
    <w:rsid w:val="003F4DE2"/>
    <w:rsid w:val="003F5994"/>
    <w:rsid w:val="003F62F5"/>
    <w:rsid w:val="003F6A8C"/>
    <w:rsid w:val="003F755C"/>
    <w:rsid w:val="00400687"/>
    <w:rsid w:val="00401E7C"/>
    <w:rsid w:val="00401F76"/>
    <w:rsid w:val="004024F8"/>
    <w:rsid w:val="004034A4"/>
    <w:rsid w:val="00406707"/>
    <w:rsid w:val="00406F01"/>
    <w:rsid w:val="0041025B"/>
    <w:rsid w:val="0041048A"/>
    <w:rsid w:val="00410689"/>
    <w:rsid w:val="004120D5"/>
    <w:rsid w:val="0041211A"/>
    <w:rsid w:val="004148F7"/>
    <w:rsid w:val="004149BC"/>
    <w:rsid w:val="004153B9"/>
    <w:rsid w:val="00415D89"/>
    <w:rsid w:val="004161F4"/>
    <w:rsid w:val="00416D50"/>
    <w:rsid w:val="00416FD5"/>
    <w:rsid w:val="00417772"/>
    <w:rsid w:val="004205B5"/>
    <w:rsid w:val="00420E6A"/>
    <w:rsid w:val="00422003"/>
    <w:rsid w:val="00422C04"/>
    <w:rsid w:val="00424306"/>
    <w:rsid w:val="0042496F"/>
    <w:rsid w:val="004251CB"/>
    <w:rsid w:val="00425A9E"/>
    <w:rsid w:val="00426D6B"/>
    <w:rsid w:val="004311F3"/>
    <w:rsid w:val="00431291"/>
    <w:rsid w:val="00431E6C"/>
    <w:rsid w:val="00432890"/>
    <w:rsid w:val="00432EFD"/>
    <w:rsid w:val="00433CE7"/>
    <w:rsid w:val="0043654B"/>
    <w:rsid w:val="0043693E"/>
    <w:rsid w:val="00437A7E"/>
    <w:rsid w:val="004409F1"/>
    <w:rsid w:val="0044146C"/>
    <w:rsid w:val="004415C7"/>
    <w:rsid w:val="004418D3"/>
    <w:rsid w:val="00442AAA"/>
    <w:rsid w:val="004439D6"/>
    <w:rsid w:val="0044460B"/>
    <w:rsid w:val="0044531F"/>
    <w:rsid w:val="00445544"/>
    <w:rsid w:val="004467B3"/>
    <w:rsid w:val="00446AF9"/>
    <w:rsid w:val="0045184C"/>
    <w:rsid w:val="00452738"/>
    <w:rsid w:val="004531C9"/>
    <w:rsid w:val="00455646"/>
    <w:rsid w:val="004558EC"/>
    <w:rsid w:val="00455FA7"/>
    <w:rsid w:val="00456091"/>
    <w:rsid w:val="004567AB"/>
    <w:rsid w:val="00456DAB"/>
    <w:rsid w:val="00456E8A"/>
    <w:rsid w:val="00457C70"/>
    <w:rsid w:val="004602EA"/>
    <w:rsid w:val="00461675"/>
    <w:rsid w:val="004621F0"/>
    <w:rsid w:val="00462519"/>
    <w:rsid w:val="0046327D"/>
    <w:rsid w:val="00463CB9"/>
    <w:rsid w:val="00463F8B"/>
    <w:rsid w:val="004657E2"/>
    <w:rsid w:val="00466321"/>
    <w:rsid w:val="0046635C"/>
    <w:rsid w:val="00470A92"/>
    <w:rsid w:val="00470C16"/>
    <w:rsid w:val="00470D86"/>
    <w:rsid w:val="00470ECC"/>
    <w:rsid w:val="00472507"/>
    <w:rsid w:val="00472A5A"/>
    <w:rsid w:val="00473C4F"/>
    <w:rsid w:val="00474107"/>
    <w:rsid w:val="004764B0"/>
    <w:rsid w:val="0047758C"/>
    <w:rsid w:val="00482068"/>
    <w:rsid w:val="00482212"/>
    <w:rsid w:val="00482640"/>
    <w:rsid w:val="00482FDF"/>
    <w:rsid w:val="0048355A"/>
    <w:rsid w:val="00484B9B"/>
    <w:rsid w:val="004855F6"/>
    <w:rsid w:val="0048661E"/>
    <w:rsid w:val="00487E24"/>
    <w:rsid w:val="00491730"/>
    <w:rsid w:val="00491DDD"/>
    <w:rsid w:val="00491E03"/>
    <w:rsid w:val="00492657"/>
    <w:rsid w:val="0049327E"/>
    <w:rsid w:val="00493712"/>
    <w:rsid w:val="00493A06"/>
    <w:rsid w:val="00493F34"/>
    <w:rsid w:val="00494670"/>
    <w:rsid w:val="0049602B"/>
    <w:rsid w:val="00497438"/>
    <w:rsid w:val="004A0F43"/>
    <w:rsid w:val="004A1299"/>
    <w:rsid w:val="004A208B"/>
    <w:rsid w:val="004A29E8"/>
    <w:rsid w:val="004A3617"/>
    <w:rsid w:val="004A3823"/>
    <w:rsid w:val="004A41CB"/>
    <w:rsid w:val="004A4384"/>
    <w:rsid w:val="004A471E"/>
    <w:rsid w:val="004A4723"/>
    <w:rsid w:val="004A4F4A"/>
    <w:rsid w:val="004A5243"/>
    <w:rsid w:val="004A5525"/>
    <w:rsid w:val="004A5988"/>
    <w:rsid w:val="004A66C2"/>
    <w:rsid w:val="004A6AD6"/>
    <w:rsid w:val="004B0C8B"/>
    <w:rsid w:val="004B173E"/>
    <w:rsid w:val="004B210A"/>
    <w:rsid w:val="004B45AF"/>
    <w:rsid w:val="004B4887"/>
    <w:rsid w:val="004B4BFD"/>
    <w:rsid w:val="004B666C"/>
    <w:rsid w:val="004C0936"/>
    <w:rsid w:val="004C0DD9"/>
    <w:rsid w:val="004C310D"/>
    <w:rsid w:val="004C3284"/>
    <w:rsid w:val="004C3FEA"/>
    <w:rsid w:val="004C58F0"/>
    <w:rsid w:val="004C62E8"/>
    <w:rsid w:val="004C7077"/>
    <w:rsid w:val="004C77EB"/>
    <w:rsid w:val="004D00D9"/>
    <w:rsid w:val="004D064E"/>
    <w:rsid w:val="004D0B54"/>
    <w:rsid w:val="004D2AD8"/>
    <w:rsid w:val="004D33CB"/>
    <w:rsid w:val="004D3A35"/>
    <w:rsid w:val="004D629E"/>
    <w:rsid w:val="004D66FD"/>
    <w:rsid w:val="004D6BBB"/>
    <w:rsid w:val="004D6CF0"/>
    <w:rsid w:val="004D7A1F"/>
    <w:rsid w:val="004E0165"/>
    <w:rsid w:val="004E134C"/>
    <w:rsid w:val="004E1D8E"/>
    <w:rsid w:val="004E22F4"/>
    <w:rsid w:val="004E3478"/>
    <w:rsid w:val="004E3C58"/>
    <w:rsid w:val="004E5280"/>
    <w:rsid w:val="004E6946"/>
    <w:rsid w:val="004F1AD8"/>
    <w:rsid w:val="004F4F95"/>
    <w:rsid w:val="004F614E"/>
    <w:rsid w:val="004F68E3"/>
    <w:rsid w:val="005007A5"/>
    <w:rsid w:val="00503123"/>
    <w:rsid w:val="005039CB"/>
    <w:rsid w:val="00504830"/>
    <w:rsid w:val="00505294"/>
    <w:rsid w:val="00505574"/>
    <w:rsid w:val="0050558F"/>
    <w:rsid w:val="00506286"/>
    <w:rsid w:val="005066FC"/>
    <w:rsid w:val="00506BDE"/>
    <w:rsid w:val="00507D57"/>
    <w:rsid w:val="005102E5"/>
    <w:rsid w:val="00510813"/>
    <w:rsid w:val="00510827"/>
    <w:rsid w:val="00511302"/>
    <w:rsid w:val="0051186C"/>
    <w:rsid w:val="00511990"/>
    <w:rsid w:val="00511DE0"/>
    <w:rsid w:val="005123EB"/>
    <w:rsid w:val="00513C35"/>
    <w:rsid w:val="00513C85"/>
    <w:rsid w:val="00514024"/>
    <w:rsid w:val="00514870"/>
    <w:rsid w:val="00514B9B"/>
    <w:rsid w:val="00514F16"/>
    <w:rsid w:val="00515102"/>
    <w:rsid w:val="00515BC0"/>
    <w:rsid w:val="00516F65"/>
    <w:rsid w:val="005170B9"/>
    <w:rsid w:val="00517845"/>
    <w:rsid w:val="00517F02"/>
    <w:rsid w:val="00517F03"/>
    <w:rsid w:val="00520A69"/>
    <w:rsid w:val="005210A5"/>
    <w:rsid w:val="00524303"/>
    <w:rsid w:val="00524DDE"/>
    <w:rsid w:val="005258A2"/>
    <w:rsid w:val="00525DA6"/>
    <w:rsid w:val="005270CC"/>
    <w:rsid w:val="0052729C"/>
    <w:rsid w:val="0053129C"/>
    <w:rsid w:val="00531FC5"/>
    <w:rsid w:val="005336A1"/>
    <w:rsid w:val="00533ABA"/>
    <w:rsid w:val="00533CC7"/>
    <w:rsid w:val="005351F6"/>
    <w:rsid w:val="00535262"/>
    <w:rsid w:val="005352D5"/>
    <w:rsid w:val="00535304"/>
    <w:rsid w:val="00535D87"/>
    <w:rsid w:val="00536A61"/>
    <w:rsid w:val="005401AE"/>
    <w:rsid w:val="0054117B"/>
    <w:rsid w:val="005418A4"/>
    <w:rsid w:val="00542E07"/>
    <w:rsid w:val="00543ACB"/>
    <w:rsid w:val="00545424"/>
    <w:rsid w:val="00545E8A"/>
    <w:rsid w:val="00551E3B"/>
    <w:rsid w:val="0055220E"/>
    <w:rsid w:val="0055248B"/>
    <w:rsid w:val="00552819"/>
    <w:rsid w:val="00552EEE"/>
    <w:rsid w:val="00553119"/>
    <w:rsid w:val="00553999"/>
    <w:rsid w:val="00553DE0"/>
    <w:rsid w:val="005540B2"/>
    <w:rsid w:val="005546EC"/>
    <w:rsid w:val="00554A7B"/>
    <w:rsid w:val="0055572C"/>
    <w:rsid w:val="00557BFD"/>
    <w:rsid w:val="0056106A"/>
    <w:rsid w:val="00561FC0"/>
    <w:rsid w:val="00562910"/>
    <w:rsid w:val="00562EF0"/>
    <w:rsid w:val="00563194"/>
    <w:rsid w:val="00563FA0"/>
    <w:rsid w:val="005640B9"/>
    <w:rsid w:val="00565E2E"/>
    <w:rsid w:val="00567E53"/>
    <w:rsid w:val="00571AE7"/>
    <w:rsid w:val="00571CD7"/>
    <w:rsid w:val="005720AE"/>
    <w:rsid w:val="005728A6"/>
    <w:rsid w:val="00573148"/>
    <w:rsid w:val="00574808"/>
    <w:rsid w:val="0057574E"/>
    <w:rsid w:val="00576409"/>
    <w:rsid w:val="0057654B"/>
    <w:rsid w:val="005779D5"/>
    <w:rsid w:val="00577EE0"/>
    <w:rsid w:val="005809AE"/>
    <w:rsid w:val="005809ED"/>
    <w:rsid w:val="00580A50"/>
    <w:rsid w:val="005822F7"/>
    <w:rsid w:val="005848AB"/>
    <w:rsid w:val="00585AB1"/>
    <w:rsid w:val="00585E38"/>
    <w:rsid w:val="00586112"/>
    <w:rsid w:val="00587BDA"/>
    <w:rsid w:val="005901CF"/>
    <w:rsid w:val="0059031A"/>
    <w:rsid w:val="00590EE1"/>
    <w:rsid w:val="0059153C"/>
    <w:rsid w:val="005915A3"/>
    <w:rsid w:val="0059342E"/>
    <w:rsid w:val="00593CE4"/>
    <w:rsid w:val="00594CEC"/>
    <w:rsid w:val="00594D77"/>
    <w:rsid w:val="00594EB0"/>
    <w:rsid w:val="0059526B"/>
    <w:rsid w:val="005969E4"/>
    <w:rsid w:val="00597B66"/>
    <w:rsid w:val="005A06B7"/>
    <w:rsid w:val="005A0E0E"/>
    <w:rsid w:val="005A10CA"/>
    <w:rsid w:val="005A1759"/>
    <w:rsid w:val="005A1DDC"/>
    <w:rsid w:val="005A28F1"/>
    <w:rsid w:val="005A4A12"/>
    <w:rsid w:val="005A606C"/>
    <w:rsid w:val="005A68A7"/>
    <w:rsid w:val="005A77B4"/>
    <w:rsid w:val="005B0B43"/>
    <w:rsid w:val="005B0CA9"/>
    <w:rsid w:val="005B2155"/>
    <w:rsid w:val="005B4025"/>
    <w:rsid w:val="005B429A"/>
    <w:rsid w:val="005B52CF"/>
    <w:rsid w:val="005B5C61"/>
    <w:rsid w:val="005B5F21"/>
    <w:rsid w:val="005B615B"/>
    <w:rsid w:val="005B79B2"/>
    <w:rsid w:val="005C03EC"/>
    <w:rsid w:val="005C0A29"/>
    <w:rsid w:val="005C116C"/>
    <w:rsid w:val="005C1ED0"/>
    <w:rsid w:val="005C291D"/>
    <w:rsid w:val="005C2C61"/>
    <w:rsid w:val="005C2DB2"/>
    <w:rsid w:val="005C37BC"/>
    <w:rsid w:val="005C4308"/>
    <w:rsid w:val="005C5D85"/>
    <w:rsid w:val="005C5FDE"/>
    <w:rsid w:val="005C6231"/>
    <w:rsid w:val="005C625D"/>
    <w:rsid w:val="005C7239"/>
    <w:rsid w:val="005C7400"/>
    <w:rsid w:val="005C7D2A"/>
    <w:rsid w:val="005C7D65"/>
    <w:rsid w:val="005D1AC2"/>
    <w:rsid w:val="005D1E44"/>
    <w:rsid w:val="005D32E0"/>
    <w:rsid w:val="005D36AB"/>
    <w:rsid w:val="005D3B0E"/>
    <w:rsid w:val="005D3C76"/>
    <w:rsid w:val="005D41B0"/>
    <w:rsid w:val="005D57FF"/>
    <w:rsid w:val="005D5AE3"/>
    <w:rsid w:val="005D78DD"/>
    <w:rsid w:val="005E0B5C"/>
    <w:rsid w:val="005E1855"/>
    <w:rsid w:val="005E1B68"/>
    <w:rsid w:val="005E1D81"/>
    <w:rsid w:val="005E24F9"/>
    <w:rsid w:val="005E2682"/>
    <w:rsid w:val="005E2698"/>
    <w:rsid w:val="005E5B64"/>
    <w:rsid w:val="005E7845"/>
    <w:rsid w:val="005E7E9C"/>
    <w:rsid w:val="005F1EE1"/>
    <w:rsid w:val="005F2950"/>
    <w:rsid w:val="005F29FF"/>
    <w:rsid w:val="005F375F"/>
    <w:rsid w:val="005F4365"/>
    <w:rsid w:val="005F4723"/>
    <w:rsid w:val="005F4C48"/>
    <w:rsid w:val="005F55BF"/>
    <w:rsid w:val="005F65DD"/>
    <w:rsid w:val="005F71D5"/>
    <w:rsid w:val="005F7343"/>
    <w:rsid w:val="005F7FE8"/>
    <w:rsid w:val="006002C2"/>
    <w:rsid w:val="00600819"/>
    <w:rsid w:val="00600E6D"/>
    <w:rsid w:val="006012C5"/>
    <w:rsid w:val="00601D81"/>
    <w:rsid w:val="006023F7"/>
    <w:rsid w:val="006027B6"/>
    <w:rsid w:val="006028C9"/>
    <w:rsid w:val="00602A8E"/>
    <w:rsid w:val="0060415B"/>
    <w:rsid w:val="0060499C"/>
    <w:rsid w:val="00605EF8"/>
    <w:rsid w:val="00606084"/>
    <w:rsid w:val="00606CDB"/>
    <w:rsid w:val="00606DCB"/>
    <w:rsid w:val="00610B89"/>
    <w:rsid w:val="006113B6"/>
    <w:rsid w:val="006121F7"/>
    <w:rsid w:val="006124D7"/>
    <w:rsid w:val="00612B74"/>
    <w:rsid w:val="0061375A"/>
    <w:rsid w:val="006148FB"/>
    <w:rsid w:val="0061531C"/>
    <w:rsid w:val="00616328"/>
    <w:rsid w:val="00617CC3"/>
    <w:rsid w:val="00617D78"/>
    <w:rsid w:val="00622522"/>
    <w:rsid w:val="0062392B"/>
    <w:rsid w:val="0062460D"/>
    <w:rsid w:val="006249F7"/>
    <w:rsid w:val="006265B3"/>
    <w:rsid w:val="00627BF6"/>
    <w:rsid w:val="00630E9F"/>
    <w:rsid w:val="0063183D"/>
    <w:rsid w:val="0063220F"/>
    <w:rsid w:val="00632303"/>
    <w:rsid w:val="00634527"/>
    <w:rsid w:val="00635E8A"/>
    <w:rsid w:val="006377A6"/>
    <w:rsid w:val="00637A3D"/>
    <w:rsid w:val="006411EF"/>
    <w:rsid w:val="00641C1E"/>
    <w:rsid w:val="0064349C"/>
    <w:rsid w:val="006439BF"/>
    <w:rsid w:val="00644C0F"/>
    <w:rsid w:val="0064754E"/>
    <w:rsid w:val="00647813"/>
    <w:rsid w:val="00647847"/>
    <w:rsid w:val="00651632"/>
    <w:rsid w:val="00651FAD"/>
    <w:rsid w:val="00652C34"/>
    <w:rsid w:val="0065306C"/>
    <w:rsid w:val="006545F6"/>
    <w:rsid w:val="00655F50"/>
    <w:rsid w:val="00656609"/>
    <w:rsid w:val="006566E5"/>
    <w:rsid w:val="00656F41"/>
    <w:rsid w:val="0065764D"/>
    <w:rsid w:val="00660DAC"/>
    <w:rsid w:val="00660FFC"/>
    <w:rsid w:val="00662CEF"/>
    <w:rsid w:val="00664C0A"/>
    <w:rsid w:val="00665537"/>
    <w:rsid w:val="00667052"/>
    <w:rsid w:val="0066766D"/>
    <w:rsid w:val="00670351"/>
    <w:rsid w:val="0067146D"/>
    <w:rsid w:val="0067233F"/>
    <w:rsid w:val="00674704"/>
    <w:rsid w:val="006748B8"/>
    <w:rsid w:val="006775C3"/>
    <w:rsid w:val="00680B02"/>
    <w:rsid w:val="0068198E"/>
    <w:rsid w:val="00681F5C"/>
    <w:rsid w:val="00682B89"/>
    <w:rsid w:val="00683CDC"/>
    <w:rsid w:val="006841FA"/>
    <w:rsid w:val="0068484A"/>
    <w:rsid w:val="006913DE"/>
    <w:rsid w:val="0069290A"/>
    <w:rsid w:val="00693703"/>
    <w:rsid w:val="0069454D"/>
    <w:rsid w:val="0069775A"/>
    <w:rsid w:val="00697813"/>
    <w:rsid w:val="00697C51"/>
    <w:rsid w:val="006A0534"/>
    <w:rsid w:val="006A07DB"/>
    <w:rsid w:val="006A0ED2"/>
    <w:rsid w:val="006A1556"/>
    <w:rsid w:val="006A168E"/>
    <w:rsid w:val="006A27FE"/>
    <w:rsid w:val="006A3490"/>
    <w:rsid w:val="006A3E06"/>
    <w:rsid w:val="006A3EE8"/>
    <w:rsid w:val="006A4395"/>
    <w:rsid w:val="006A445E"/>
    <w:rsid w:val="006A47E8"/>
    <w:rsid w:val="006A4961"/>
    <w:rsid w:val="006A592A"/>
    <w:rsid w:val="006A66D6"/>
    <w:rsid w:val="006A68AD"/>
    <w:rsid w:val="006A7153"/>
    <w:rsid w:val="006A72BF"/>
    <w:rsid w:val="006A7437"/>
    <w:rsid w:val="006A7935"/>
    <w:rsid w:val="006B03F2"/>
    <w:rsid w:val="006B0A8A"/>
    <w:rsid w:val="006B2469"/>
    <w:rsid w:val="006B2747"/>
    <w:rsid w:val="006B326B"/>
    <w:rsid w:val="006B37DC"/>
    <w:rsid w:val="006B4021"/>
    <w:rsid w:val="006B4CF1"/>
    <w:rsid w:val="006B4F68"/>
    <w:rsid w:val="006B515F"/>
    <w:rsid w:val="006B5797"/>
    <w:rsid w:val="006B6D3F"/>
    <w:rsid w:val="006B7886"/>
    <w:rsid w:val="006C0592"/>
    <w:rsid w:val="006C272E"/>
    <w:rsid w:val="006C324F"/>
    <w:rsid w:val="006C32F3"/>
    <w:rsid w:val="006C535A"/>
    <w:rsid w:val="006C5479"/>
    <w:rsid w:val="006C62A0"/>
    <w:rsid w:val="006C7760"/>
    <w:rsid w:val="006C77A1"/>
    <w:rsid w:val="006D0E7A"/>
    <w:rsid w:val="006D10BA"/>
    <w:rsid w:val="006D10BC"/>
    <w:rsid w:val="006D13B5"/>
    <w:rsid w:val="006D155C"/>
    <w:rsid w:val="006D2944"/>
    <w:rsid w:val="006D32D4"/>
    <w:rsid w:val="006D33C1"/>
    <w:rsid w:val="006D3933"/>
    <w:rsid w:val="006D493F"/>
    <w:rsid w:val="006D6961"/>
    <w:rsid w:val="006D70EE"/>
    <w:rsid w:val="006D776A"/>
    <w:rsid w:val="006E12FF"/>
    <w:rsid w:val="006E306D"/>
    <w:rsid w:val="006E32EF"/>
    <w:rsid w:val="006E3D9D"/>
    <w:rsid w:val="006E4172"/>
    <w:rsid w:val="006E460D"/>
    <w:rsid w:val="006E58FD"/>
    <w:rsid w:val="006E607E"/>
    <w:rsid w:val="006F01EC"/>
    <w:rsid w:val="006F34B1"/>
    <w:rsid w:val="006F3A49"/>
    <w:rsid w:val="006F3F6C"/>
    <w:rsid w:val="006F647E"/>
    <w:rsid w:val="006F6CDD"/>
    <w:rsid w:val="006F6D8B"/>
    <w:rsid w:val="006F73AF"/>
    <w:rsid w:val="006F7548"/>
    <w:rsid w:val="00700D8E"/>
    <w:rsid w:val="0070280D"/>
    <w:rsid w:val="00706028"/>
    <w:rsid w:val="00706C5D"/>
    <w:rsid w:val="00707575"/>
    <w:rsid w:val="00710440"/>
    <w:rsid w:val="00711BEA"/>
    <w:rsid w:val="007129FF"/>
    <w:rsid w:val="0071333D"/>
    <w:rsid w:val="007134C2"/>
    <w:rsid w:val="0071450A"/>
    <w:rsid w:val="007156EE"/>
    <w:rsid w:val="007167F5"/>
    <w:rsid w:val="00717A55"/>
    <w:rsid w:val="0072037B"/>
    <w:rsid w:val="00722664"/>
    <w:rsid w:val="00723363"/>
    <w:rsid w:val="007233C8"/>
    <w:rsid w:val="007238B9"/>
    <w:rsid w:val="00724AEB"/>
    <w:rsid w:val="00725B4B"/>
    <w:rsid w:val="00727D44"/>
    <w:rsid w:val="007309B4"/>
    <w:rsid w:val="00730BE5"/>
    <w:rsid w:val="00731408"/>
    <w:rsid w:val="00732922"/>
    <w:rsid w:val="0073357E"/>
    <w:rsid w:val="00733E3B"/>
    <w:rsid w:val="00734AE3"/>
    <w:rsid w:val="00735177"/>
    <w:rsid w:val="00736BC7"/>
    <w:rsid w:val="00737078"/>
    <w:rsid w:val="007404B9"/>
    <w:rsid w:val="00741419"/>
    <w:rsid w:val="00741F9F"/>
    <w:rsid w:val="007446DE"/>
    <w:rsid w:val="00746276"/>
    <w:rsid w:val="00746696"/>
    <w:rsid w:val="00747EED"/>
    <w:rsid w:val="00751580"/>
    <w:rsid w:val="0075162E"/>
    <w:rsid w:val="00751BDD"/>
    <w:rsid w:val="007526FB"/>
    <w:rsid w:val="007538D2"/>
    <w:rsid w:val="00754034"/>
    <w:rsid w:val="007550F5"/>
    <w:rsid w:val="00755227"/>
    <w:rsid w:val="007553E5"/>
    <w:rsid w:val="00755A2F"/>
    <w:rsid w:val="00756556"/>
    <w:rsid w:val="007569C8"/>
    <w:rsid w:val="00756E86"/>
    <w:rsid w:val="007573CD"/>
    <w:rsid w:val="007577FE"/>
    <w:rsid w:val="007578AF"/>
    <w:rsid w:val="0076054A"/>
    <w:rsid w:val="00761612"/>
    <w:rsid w:val="007618C4"/>
    <w:rsid w:val="007618D8"/>
    <w:rsid w:val="00761FF1"/>
    <w:rsid w:val="007624AC"/>
    <w:rsid w:val="00762A08"/>
    <w:rsid w:val="00762AFA"/>
    <w:rsid w:val="00762DE0"/>
    <w:rsid w:val="00764C8D"/>
    <w:rsid w:val="00765886"/>
    <w:rsid w:val="00766146"/>
    <w:rsid w:val="00766CE2"/>
    <w:rsid w:val="0076734F"/>
    <w:rsid w:val="00767424"/>
    <w:rsid w:val="00767980"/>
    <w:rsid w:val="00767B94"/>
    <w:rsid w:val="00770B19"/>
    <w:rsid w:val="0077228C"/>
    <w:rsid w:val="0077463F"/>
    <w:rsid w:val="00774A5D"/>
    <w:rsid w:val="00775974"/>
    <w:rsid w:val="007764F5"/>
    <w:rsid w:val="007778F8"/>
    <w:rsid w:val="00780293"/>
    <w:rsid w:val="00780C82"/>
    <w:rsid w:val="00780DDE"/>
    <w:rsid w:val="007819CB"/>
    <w:rsid w:val="00781AD1"/>
    <w:rsid w:val="007821F5"/>
    <w:rsid w:val="007836EA"/>
    <w:rsid w:val="007849A8"/>
    <w:rsid w:val="00784CDA"/>
    <w:rsid w:val="007906C4"/>
    <w:rsid w:val="00791382"/>
    <w:rsid w:val="007915D8"/>
    <w:rsid w:val="007916DC"/>
    <w:rsid w:val="007940EA"/>
    <w:rsid w:val="007953EB"/>
    <w:rsid w:val="00796691"/>
    <w:rsid w:val="007967E8"/>
    <w:rsid w:val="007A02BA"/>
    <w:rsid w:val="007A030A"/>
    <w:rsid w:val="007A0A78"/>
    <w:rsid w:val="007A0E73"/>
    <w:rsid w:val="007A2170"/>
    <w:rsid w:val="007A226D"/>
    <w:rsid w:val="007A22BF"/>
    <w:rsid w:val="007A291F"/>
    <w:rsid w:val="007A3323"/>
    <w:rsid w:val="007A362D"/>
    <w:rsid w:val="007A3C6F"/>
    <w:rsid w:val="007A4377"/>
    <w:rsid w:val="007A6021"/>
    <w:rsid w:val="007B01F9"/>
    <w:rsid w:val="007B09A1"/>
    <w:rsid w:val="007B14BF"/>
    <w:rsid w:val="007B2560"/>
    <w:rsid w:val="007B26D2"/>
    <w:rsid w:val="007B299A"/>
    <w:rsid w:val="007B31C1"/>
    <w:rsid w:val="007B32B2"/>
    <w:rsid w:val="007B4128"/>
    <w:rsid w:val="007B4A35"/>
    <w:rsid w:val="007B4C68"/>
    <w:rsid w:val="007B5ED1"/>
    <w:rsid w:val="007B624E"/>
    <w:rsid w:val="007B66DF"/>
    <w:rsid w:val="007B72B8"/>
    <w:rsid w:val="007B7445"/>
    <w:rsid w:val="007B79FC"/>
    <w:rsid w:val="007B7A58"/>
    <w:rsid w:val="007C1170"/>
    <w:rsid w:val="007C15BF"/>
    <w:rsid w:val="007C21B5"/>
    <w:rsid w:val="007C235D"/>
    <w:rsid w:val="007C3260"/>
    <w:rsid w:val="007C38CF"/>
    <w:rsid w:val="007C5280"/>
    <w:rsid w:val="007C587D"/>
    <w:rsid w:val="007C5EEE"/>
    <w:rsid w:val="007C65FC"/>
    <w:rsid w:val="007D1C17"/>
    <w:rsid w:val="007D2D2A"/>
    <w:rsid w:val="007D336A"/>
    <w:rsid w:val="007D3C57"/>
    <w:rsid w:val="007D4D88"/>
    <w:rsid w:val="007D623B"/>
    <w:rsid w:val="007D75B0"/>
    <w:rsid w:val="007E0103"/>
    <w:rsid w:val="007E087B"/>
    <w:rsid w:val="007E1D6F"/>
    <w:rsid w:val="007E2561"/>
    <w:rsid w:val="007E3AC2"/>
    <w:rsid w:val="007E4745"/>
    <w:rsid w:val="007E4BD2"/>
    <w:rsid w:val="007E51C1"/>
    <w:rsid w:val="007E5429"/>
    <w:rsid w:val="007E572A"/>
    <w:rsid w:val="007E6F73"/>
    <w:rsid w:val="007E6FC9"/>
    <w:rsid w:val="007F1B76"/>
    <w:rsid w:val="007F250F"/>
    <w:rsid w:val="007F2E35"/>
    <w:rsid w:val="007F3D6A"/>
    <w:rsid w:val="007F42A9"/>
    <w:rsid w:val="007F57F3"/>
    <w:rsid w:val="007F60F0"/>
    <w:rsid w:val="0080082A"/>
    <w:rsid w:val="00801393"/>
    <w:rsid w:val="00801742"/>
    <w:rsid w:val="008018A4"/>
    <w:rsid w:val="008027A1"/>
    <w:rsid w:val="00802F88"/>
    <w:rsid w:val="008035C0"/>
    <w:rsid w:val="00804072"/>
    <w:rsid w:val="008043BF"/>
    <w:rsid w:val="00804A5A"/>
    <w:rsid w:val="00805CB0"/>
    <w:rsid w:val="00811E6B"/>
    <w:rsid w:val="00812780"/>
    <w:rsid w:val="0081293E"/>
    <w:rsid w:val="00812DEE"/>
    <w:rsid w:val="00812E32"/>
    <w:rsid w:val="008132D6"/>
    <w:rsid w:val="00814D1B"/>
    <w:rsid w:val="00815465"/>
    <w:rsid w:val="00815B3E"/>
    <w:rsid w:val="00815F0F"/>
    <w:rsid w:val="00816446"/>
    <w:rsid w:val="00817E9A"/>
    <w:rsid w:val="008206F4"/>
    <w:rsid w:val="00820A91"/>
    <w:rsid w:val="00821223"/>
    <w:rsid w:val="0082136A"/>
    <w:rsid w:val="00823310"/>
    <w:rsid w:val="00824346"/>
    <w:rsid w:val="00824BD6"/>
    <w:rsid w:val="008252EB"/>
    <w:rsid w:val="00826A61"/>
    <w:rsid w:val="00826FC7"/>
    <w:rsid w:val="008306BD"/>
    <w:rsid w:val="00830A00"/>
    <w:rsid w:val="00830D38"/>
    <w:rsid w:val="00831A80"/>
    <w:rsid w:val="00831CD4"/>
    <w:rsid w:val="00832224"/>
    <w:rsid w:val="0083231A"/>
    <w:rsid w:val="00833743"/>
    <w:rsid w:val="00833838"/>
    <w:rsid w:val="008340A4"/>
    <w:rsid w:val="008340D9"/>
    <w:rsid w:val="0083489E"/>
    <w:rsid w:val="008351A4"/>
    <w:rsid w:val="00836138"/>
    <w:rsid w:val="0083678B"/>
    <w:rsid w:val="008371D7"/>
    <w:rsid w:val="00837A27"/>
    <w:rsid w:val="0084052A"/>
    <w:rsid w:val="00840BCF"/>
    <w:rsid w:val="0084220A"/>
    <w:rsid w:val="00842833"/>
    <w:rsid w:val="00843299"/>
    <w:rsid w:val="0084367F"/>
    <w:rsid w:val="00844071"/>
    <w:rsid w:val="00844536"/>
    <w:rsid w:val="00845234"/>
    <w:rsid w:val="00845D83"/>
    <w:rsid w:val="00845F7E"/>
    <w:rsid w:val="00846005"/>
    <w:rsid w:val="00846531"/>
    <w:rsid w:val="00847179"/>
    <w:rsid w:val="0084778E"/>
    <w:rsid w:val="0085029C"/>
    <w:rsid w:val="00850CD5"/>
    <w:rsid w:val="008535F2"/>
    <w:rsid w:val="00855CB9"/>
    <w:rsid w:val="00855D02"/>
    <w:rsid w:val="00856FCF"/>
    <w:rsid w:val="00861B96"/>
    <w:rsid w:val="00862A83"/>
    <w:rsid w:val="00862F21"/>
    <w:rsid w:val="00863B34"/>
    <w:rsid w:val="008664BC"/>
    <w:rsid w:val="00866F48"/>
    <w:rsid w:val="00866F68"/>
    <w:rsid w:val="008705FF"/>
    <w:rsid w:val="0087070E"/>
    <w:rsid w:val="0087135F"/>
    <w:rsid w:val="00872D94"/>
    <w:rsid w:val="0087437B"/>
    <w:rsid w:val="008743AE"/>
    <w:rsid w:val="008762E5"/>
    <w:rsid w:val="00876C11"/>
    <w:rsid w:val="00877C9F"/>
    <w:rsid w:val="00880266"/>
    <w:rsid w:val="00880364"/>
    <w:rsid w:val="00882C52"/>
    <w:rsid w:val="00882CA6"/>
    <w:rsid w:val="0088366B"/>
    <w:rsid w:val="00884081"/>
    <w:rsid w:val="008848B3"/>
    <w:rsid w:val="00884AE1"/>
    <w:rsid w:val="00885374"/>
    <w:rsid w:val="00885796"/>
    <w:rsid w:val="008859D8"/>
    <w:rsid w:val="00885E22"/>
    <w:rsid w:val="00886C06"/>
    <w:rsid w:val="00890016"/>
    <w:rsid w:val="00891592"/>
    <w:rsid w:val="00891E9E"/>
    <w:rsid w:val="00892BC3"/>
    <w:rsid w:val="00892E06"/>
    <w:rsid w:val="00892EEF"/>
    <w:rsid w:val="00893232"/>
    <w:rsid w:val="008936CF"/>
    <w:rsid w:val="0089375F"/>
    <w:rsid w:val="00894FD8"/>
    <w:rsid w:val="00897549"/>
    <w:rsid w:val="008A1A5A"/>
    <w:rsid w:val="008A2E0E"/>
    <w:rsid w:val="008A2F68"/>
    <w:rsid w:val="008A37A3"/>
    <w:rsid w:val="008A37C9"/>
    <w:rsid w:val="008A3AEE"/>
    <w:rsid w:val="008A40B3"/>
    <w:rsid w:val="008A61A4"/>
    <w:rsid w:val="008A6758"/>
    <w:rsid w:val="008A7254"/>
    <w:rsid w:val="008A7889"/>
    <w:rsid w:val="008A7CF0"/>
    <w:rsid w:val="008B07D0"/>
    <w:rsid w:val="008B0BEF"/>
    <w:rsid w:val="008B3B99"/>
    <w:rsid w:val="008B4CE5"/>
    <w:rsid w:val="008B4FA6"/>
    <w:rsid w:val="008B50A7"/>
    <w:rsid w:val="008B5282"/>
    <w:rsid w:val="008B68C7"/>
    <w:rsid w:val="008B7AD7"/>
    <w:rsid w:val="008B7C17"/>
    <w:rsid w:val="008C2D01"/>
    <w:rsid w:val="008C367B"/>
    <w:rsid w:val="008C3BBD"/>
    <w:rsid w:val="008C3DED"/>
    <w:rsid w:val="008C40E6"/>
    <w:rsid w:val="008C4881"/>
    <w:rsid w:val="008C4955"/>
    <w:rsid w:val="008C52E0"/>
    <w:rsid w:val="008C5824"/>
    <w:rsid w:val="008C7D80"/>
    <w:rsid w:val="008C7F0E"/>
    <w:rsid w:val="008D02F9"/>
    <w:rsid w:val="008D0427"/>
    <w:rsid w:val="008D0C8F"/>
    <w:rsid w:val="008D0F7A"/>
    <w:rsid w:val="008D1A84"/>
    <w:rsid w:val="008D2CF3"/>
    <w:rsid w:val="008D2DAA"/>
    <w:rsid w:val="008D2FDD"/>
    <w:rsid w:val="008D2FE8"/>
    <w:rsid w:val="008D4D5A"/>
    <w:rsid w:val="008D4FD1"/>
    <w:rsid w:val="008D502E"/>
    <w:rsid w:val="008D62FF"/>
    <w:rsid w:val="008D68E4"/>
    <w:rsid w:val="008D762F"/>
    <w:rsid w:val="008E0506"/>
    <w:rsid w:val="008E0690"/>
    <w:rsid w:val="008E0CFF"/>
    <w:rsid w:val="008E141F"/>
    <w:rsid w:val="008E258F"/>
    <w:rsid w:val="008E32DE"/>
    <w:rsid w:val="008E48B1"/>
    <w:rsid w:val="008E5332"/>
    <w:rsid w:val="008E5D6B"/>
    <w:rsid w:val="008E6695"/>
    <w:rsid w:val="008E6E02"/>
    <w:rsid w:val="008E76F0"/>
    <w:rsid w:val="008E776E"/>
    <w:rsid w:val="008E7FBA"/>
    <w:rsid w:val="008F0156"/>
    <w:rsid w:val="008F0171"/>
    <w:rsid w:val="008F0465"/>
    <w:rsid w:val="008F095A"/>
    <w:rsid w:val="008F1064"/>
    <w:rsid w:val="008F15CA"/>
    <w:rsid w:val="008F15FE"/>
    <w:rsid w:val="008F1ABD"/>
    <w:rsid w:val="008F1B27"/>
    <w:rsid w:val="008F2D29"/>
    <w:rsid w:val="008F4AA1"/>
    <w:rsid w:val="008F4B62"/>
    <w:rsid w:val="008F5187"/>
    <w:rsid w:val="008F5D93"/>
    <w:rsid w:val="008F60D8"/>
    <w:rsid w:val="00902625"/>
    <w:rsid w:val="00902727"/>
    <w:rsid w:val="0090312B"/>
    <w:rsid w:val="0090394F"/>
    <w:rsid w:val="009039AD"/>
    <w:rsid w:val="00906C08"/>
    <w:rsid w:val="00910B81"/>
    <w:rsid w:val="00910F58"/>
    <w:rsid w:val="00911F8E"/>
    <w:rsid w:val="00912B9D"/>
    <w:rsid w:val="00913DC8"/>
    <w:rsid w:val="009148FB"/>
    <w:rsid w:val="00915FD0"/>
    <w:rsid w:val="00916EF1"/>
    <w:rsid w:val="00917010"/>
    <w:rsid w:val="0091736D"/>
    <w:rsid w:val="0091778C"/>
    <w:rsid w:val="00917BB8"/>
    <w:rsid w:val="009209E9"/>
    <w:rsid w:val="00921388"/>
    <w:rsid w:val="00923A98"/>
    <w:rsid w:val="00923C9B"/>
    <w:rsid w:val="00924094"/>
    <w:rsid w:val="009248D3"/>
    <w:rsid w:val="00925A7C"/>
    <w:rsid w:val="00925C83"/>
    <w:rsid w:val="00926A69"/>
    <w:rsid w:val="0092710D"/>
    <w:rsid w:val="009272CB"/>
    <w:rsid w:val="00927ECE"/>
    <w:rsid w:val="0093037A"/>
    <w:rsid w:val="00932FA6"/>
    <w:rsid w:val="0093376D"/>
    <w:rsid w:val="00933CEF"/>
    <w:rsid w:val="00934291"/>
    <w:rsid w:val="00934920"/>
    <w:rsid w:val="0093496A"/>
    <w:rsid w:val="009357FC"/>
    <w:rsid w:val="00936FB0"/>
    <w:rsid w:val="00937682"/>
    <w:rsid w:val="00940906"/>
    <w:rsid w:val="00940E37"/>
    <w:rsid w:val="0094154D"/>
    <w:rsid w:val="0094169F"/>
    <w:rsid w:val="00941968"/>
    <w:rsid w:val="0094234B"/>
    <w:rsid w:val="00942BCB"/>
    <w:rsid w:val="00942E5F"/>
    <w:rsid w:val="009443F4"/>
    <w:rsid w:val="0094538D"/>
    <w:rsid w:val="009462E9"/>
    <w:rsid w:val="009500F5"/>
    <w:rsid w:val="009501A5"/>
    <w:rsid w:val="00950E03"/>
    <w:rsid w:val="009512A2"/>
    <w:rsid w:val="009512EF"/>
    <w:rsid w:val="00951482"/>
    <w:rsid w:val="0095155F"/>
    <w:rsid w:val="00951905"/>
    <w:rsid w:val="009526A0"/>
    <w:rsid w:val="009527CE"/>
    <w:rsid w:val="00952C59"/>
    <w:rsid w:val="00953C80"/>
    <w:rsid w:val="00953F71"/>
    <w:rsid w:val="00954096"/>
    <w:rsid w:val="00954429"/>
    <w:rsid w:val="00955D56"/>
    <w:rsid w:val="00956281"/>
    <w:rsid w:val="009563CE"/>
    <w:rsid w:val="009572C2"/>
    <w:rsid w:val="009624F0"/>
    <w:rsid w:val="00964390"/>
    <w:rsid w:val="00965541"/>
    <w:rsid w:val="00965887"/>
    <w:rsid w:val="00965BF7"/>
    <w:rsid w:val="009671BC"/>
    <w:rsid w:val="009679BF"/>
    <w:rsid w:val="00970A4F"/>
    <w:rsid w:val="009710C0"/>
    <w:rsid w:val="009712E8"/>
    <w:rsid w:val="00971CCE"/>
    <w:rsid w:val="0097504D"/>
    <w:rsid w:val="00975675"/>
    <w:rsid w:val="00976328"/>
    <w:rsid w:val="0097680D"/>
    <w:rsid w:val="0097753B"/>
    <w:rsid w:val="0098173F"/>
    <w:rsid w:val="00982438"/>
    <w:rsid w:val="009834F1"/>
    <w:rsid w:val="0098404C"/>
    <w:rsid w:val="009842E3"/>
    <w:rsid w:val="00985283"/>
    <w:rsid w:val="00985FFB"/>
    <w:rsid w:val="00987D11"/>
    <w:rsid w:val="009906CA"/>
    <w:rsid w:val="00991980"/>
    <w:rsid w:val="00992385"/>
    <w:rsid w:val="009936F6"/>
    <w:rsid w:val="00993CD7"/>
    <w:rsid w:val="00993DBF"/>
    <w:rsid w:val="00994CBA"/>
    <w:rsid w:val="00994CF9"/>
    <w:rsid w:val="00995992"/>
    <w:rsid w:val="00997B40"/>
    <w:rsid w:val="009A03E5"/>
    <w:rsid w:val="009A0E91"/>
    <w:rsid w:val="009A0F39"/>
    <w:rsid w:val="009A0F3B"/>
    <w:rsid w:val="009A1BB4"/>
    <w:rsid w:val="009A256A"/>
    <w:rsid w:val="009A2628"/>
    <w:rsid w:val="009A26AB"/>
    <w:rsid w:val="009A3200"/>
    <w:rsid w:val="009A33DB"/>
    <w:rsid w:val="009A3CF9"/>
    <w:rsid w:val="009A4BFB"/>
    <w:rsid w:val="009A6BDC"/>
    <w:rsid w:val="009A7FB1"/>
    <w:rsid w:val="009B053A"/>
    <w:rsid w:val="009B0897"/>
    <w:rsid w:val="009B131C"/>
    <w:rsid w:val="009B16E0"/>
    <w:rsid w:val="009B473E"/>
    <w:rsid w:val="009B6E77"/>
    <w:rsid w:val="009B729E"/>
    <w:rsid w:val="009B7862"/>
    <w:rsid w:val="009B7BD9"/>
    <w:rsid w:val="009B7EA6"/>
    <w:rsid w:val="009C0A1D"/>
    <w:rsid w:val="009C189D"/>
    <w:rsid w:val="009C19C7"/>
    <w:rsid w:val="009C1FB5"/>
    <w:rsid w:val="009C2AC0"/>
    <w:rsid w:val="009C32F1"/>
    <w:rsid w:val="009C3A08"/>
    <w:rsid w:val="009C4F0D"/>
    <w:rsid w:val="009C5BB1"/>
    <w:rsid w:val="009C5C47"/>
    <w:rsid w:val="009C5F28"/>
    <w:rsid w:val="009C7DD5"/>
    <w:rsid w:val="009D0766"/>
    <w:rsid w:val="009D095A"/>
    <w:rsid w:val="009D09CB"/>
    <w:rsid w:val="009D1BC4"/>
    <w:rsid w:val="009D22A8"/>
    <w:rsid w:val="009D3380"/>
    <w:rsid w:val="009D3613"/>
    <w:rsid w:val="009D52A2"/>
    <w:rsid w:val="009D5905"/>
    <w:rsid w:val="009D6D45"/>
    <w:rsid w:val="009E227D"/>
    <w:rsid w:val="009E24A9"/>
    <w:rsid w:val="009E3B13"/>
    <w:rsid w:val="009E3F45"/>
    <w:rsid w:val="009E4309"/>
    <w:rsid w:val="009E4725"/>
    <w:rsid w:val="009E5019"/>
    <w:rsid w:val="009E7118"/>
    <w:rsid w:val="009E731A"/>
    <w:rsid w:val="009F1C20"/>
    <w:rsid w:val="009F2391"/>
    <w:rsid w:val="009F2DC4"/>
    <w:rsid w:val="009F3BB1"/>
    <w:rsid w:val="009F4F95"/>
    <w:rsid w:val="009F5CA3"/>
    <w:rsid w:val="009F5EBA"/>
    <w:rsid w:val="009F6B74"/>
    <w:rsid w:val="009F6D0F"/>
    <w:rsid w:val="00A00062"/>
    <w:rsid w:val="00A006C3"/>
    <w:rsid w:val="00A0144A"/>
    <w:rsid w:val="00A0362C"/>
    <w:rsid w:val="00A0372F"/>
    <w:rsid w:val="00A038B0"/>
    <w:rsid w:val="00A04069"/>
    <w:rsid w:val="00A04247"/>
    <w:rsid w:val="00A04F1B"/>
    <w:rsid w:val="00A04FFA"/>
    <w:rsid w:val="00A0501B"/>
    <w:rsid w:val="00A052E4"/>
    <w:rsid w:val="00A06B50"/>
    <w:rsid w:val="00A07066"/>
    <w:rsid w:val="00A10672"/>
    <w:rsid w:val="00A10958"/>
    <w:rsid w:val="00A11D69"/>
    <w:rsid w:val="00A1295C"/>
    <w:rsid w:val="00A12A20"/>
    <w:rsid w:val="00A14947"/>
    <w:rsid w:val="00A14F4C"/>
    <w:rsid w:val="00A16037"/>
    <w:rsid w:val="00A16615"/>
    <w:rsid w:val="00A166ED"/>
    <w:rsid w:val="00A205DC"/>
    <w:rsid w:val="00A20B64"/>
    <w:rsid w:val="00A220D0"/>
    <w:rsid w:val="00A233A9"/>
    <w:rsid w:val="00A23DF6"/>
    <w:rsid w:val="00A23FD2"/>
    <w:rsid w:val="00A24BB9"/>
    <w:rsid w:val="00A24FDD"/>
    <w:rsid w:val="00A25443"/>
    <w:rsid w:val="00A256C1"/>
    <w:rsid w:val="00A25963"/>
    <w:rsid w:val="00A26AFF"/>
    <w:rsid w:val="00A2706D"/>
    <w:rsid w:val="00A27B51"/>
    <w:rsid w:val="00A32A83"/>
    <w:rsid w:val="00A32D61"/>
    <w:rsid w:val="00A32E38"/>
    <w:rsid w:val="00A35684"/>
    <w:rsid w:val="00A36779"/>
    <w:rsid w:val="00A368DB"/>
    <w:rsid w:val="00A36903"/>
    <w:rsid w:val="00A375B8"/>
    <w:rsid w:val="00A40605"/>
    <w:rsid w:val="00A411C3"/>
    <w:rsid w:val="00A41609"/>
    <w:rsid w:val="00A418D4"/>
    <w:rsid w:val="00A423AA"/>
    <w:rsid w:val="00A429AA"/>
    <w:rsid w:val="00A439ED"/>
    <w:rsid w:val="00A43B43"/>
    <w:rsid w:val="00A45210"/>
    <w:rsid w:val="00A4700D"/>
    <w:rsid w:val="00A5073D"/>
    <w:rsid w:val="00A51963"/>
    <w:rsid w:val="00A53152"/>
    <w:rsid w:val="00A53350"/>
    <w:rsid w:val="00A53EC6"/>
    <w:rsid w:val="00A54A87"/>
    <w:rsid w:val="00A55016"/>
    <w:rsid w:val="00A55555"/>
    <w:rsid w:val="00A55C0F"/>
    <w:rsid w:val="00A55C4C"/>
    <w:rsid w:val="00A56C14"/>
    <w:rsid w:val="00A63003"/>
    <w:rsid w:val="00A63B6B"/>
    <w:rsid w:val="00A6443F"/>
    <w:rsid w:val="00A66AFF"/>
    <w:rsid w:val="00A66FF5"/>
    <w:rsid w:val="00A67124"/>
    <w:rsid w:val="00A70194"/>
    <w:rsid w:val="00A708A3"/>
    <w:rsid w:val="00A70D68"/>
    <w:rsid w:val="00A72D56"/>
    <w:rsid w:val="00A73C6D"/>
    <w:rsid w:val="00A74833"/>
    <w:rsid w:val="00A755DF"/>
    <w:rsid w:val="00A757ED"/>
    <w:rsid w:val="00A7609F"/>
    <w:rsid w:val="00A775C1"/>
    <w:rsid w:val="00A802E0"/>
    <w:rsid w:val="00A80593"/>
    <w:rsid w:val="00A813A1"/>
    <w:rsid w:val="00A81603"/>
    <w:rsid w:val="00A830AD"/>
    <w:rsid w:val="00A832E6"/>
    <w:rsid w:val="00A835DD"/>
    <w:rsid w:val="00A83E53"/>
    <w:rsid w:val="00A83F13"/>
    <w:rsid w:val="00A84BAD"/>
    <w:rsid w:val="00A8588C"/>
    <w:rsid w:val="00A85B73"/>
    <w:rsid w:val="00A86A5A"/>
    <w:rsid w:val="00A8713F"/>
    <w:rsid w:val="00A87B81"/>
    <w:rsid w:val="00A902E7"/>
    <w:rsid w:val="00A90BA1"/>
    <w:rsid w:val="00A91086"/>
    <w:rsid w:val="00A92442"/>
    <w:rsid w:val="00A92A71"/>
    <w:rsid w:val="00A92E1A"/>
    <w:rsid w:val="00A93D9F"/>
    <w:rsid w:val="00A94B41"/>
    <w:rsid w:val="00A95311"/>
    <w:rsid w:val="00A953BC"/>
    <w:rsid w:val="00A968C7"/>
    <w:rsid w:val="00A978EC"/>
    <w:rsid w:val="00A97A9A"/>
    <w:rsid w:val="00A97D92"/>
    <w:rsid w:val="00AA010A"/>
    <w:rsid w:val="00AA0620"/>
    <w:rsid w:val="00AA0671"/>
    <w:rsid w:val="00AA08CB"/>
    <w:rsid w:val="00AA0A14"/>
    <w:rsid w:val="00AA2531"/>
    <w:rsid w:val="00AA26AE"/>
    <w:rsid w:val="00AA3986"/>
    <w:rsid w:val="00AA510B"/>
    <w:rsid w:val="00AA6EA0"/>
    <w:rsid w:val="00AA6FE7"/>
    <w:rsid w:val="00AA78C5"/>
    <w:rsid w:val="00AA7C76"/>
    <w:rsid w:val="00AB091C"/>
    <w:rsid w:val="00AB1093"/>
    <w:rsid w:val="00AB1E09"/>
    <w:rsid w:val="00AB20CB"/>
    <w:rsid w:val="00AB4E0D"/>
    <w:rsid w:val="00AB5330"/>
    <w:rsid w:val="00AB596B"/>
    <w:rsid w:val="00AB6CE7"/>
    <w:rsid w:val="00AB7144"/>
    <w:rsid w:val="00AB7747"/>
    <w:rsid w:val="00AC14CE"/>
    <w:rsid w:val="00AC14F5"/>
    <w:rsid w:val="00AC2A56"/>
    <w:rsid w:val="00AC3413"/>
    <w:rsid w:val="00AC3EF9"/>
    <w:rsid w:val="00AC443E"/>
    <w:rsid w:val="00AC5C3E"/>
    <w:rsid w:val="00AC6333"/>
    <w:rsid w:val="00AC6642"/>
    <w:rsid w:val="00AD055E"/>
    <w:rsid w:val="00AD26B3"/>
    <w:rsid w:val="00AD29FF"/>
    <w:rsid w:val="00AD2F57"/>
    <w:rsid w:val="00AD31D0"/>
    <w:rsid w:val="00AD3FD8"/>
    <w:rsid w:val="00AD4607"/>
    <w:rsid w:val="00AD47A7"/>
    <w:rsid w:val="00AD5CCC"/>
    <w:rsid w:val="00AD66AE"/>
    <w:rsid w:val="00AD7435"/>
    <w:rsid w:val="00AD7960"/>
    <w:rsid w:val="00AE188E"/>
    <w:rsid w:val="00AE21AD"/>
    <w:rsid w:val="00AE2506"/>
    <w:rsid w:val="00AE2BCE"/>
    <w:rsid w:val="00AE32C6"/>
    <w:rsid w:val="00AE3AB4"/>
    <w:rsid w:val="00AE6BC0"/>
    <w:rsid w:val="00AE7B5D"/>
    <w:rsid w:val="00AF0CBF"/>
    <w:rsid w:val="00AF253D"/>
    <w:rsid w:val="00AF257F"/>
    <w:rsid w:val="00AF263B"/>
    <w:rsid w:val="00AF2910"/>
    <w:rsid w:val="00AF33CF"/>
    <w:rsid w:val="00AF36A9"/>
    <w:rsid w:val="00AF3830"/>
    <w:rsid w:val="00AF3F2B"/>
    <w:rsid w:val="00AF4D50"/>
    <w:rsid w:val="00AF5332"/>
    <w:rsid w:val="00AF5DD0"/>
    <w:rsid w:val="00AF6179"/>
    <w:rsid w:val="00AF6318"/>
    <w:rsid w:val="00B00C6B"/>
    <w:rsid w:val="00B00C95"/>
    <w:rsid w:val="00B01007"/>
    <w:rsid w:val="00B011B2"/>
    <w:rsid w:val="00B01DB9"/>
    <w:rsid w:val="00B02C91"/>
    <w:rsid w:val="00B03D53"/>
    <w:rsid w:val="00B046B9"/>
    <w:rsid w:val="00B04B89"/>
    <w:rsid w:val="00B0648E"/>
    <w:rsid w:val="00B10098"/>
    <w:rsid w:val="00B114BC"/>
    <w:rsid w:val="00B1197D"/>
    <w:rsid w:val="00B11C26"/>
    <w:rsid w:val="00B1295A"/>
    <w:rsid w:val="00B12F3D"/>
    <w:rsid w:val="00B143FD"/>
    <w:rsid w:val="00B154A6"/>
    <w:rsid w:val="00B16876"/>
    <w:rsid w:val="00B16976"/>
    <w:rsid w:val="00B16E12"/>
    <w:rsid w:val="00B16EFC"/>
    <w:rsid w:val="00B20A45"/>
    <w:rsid w:val="00B211DD"/>
    <w:rsid w:val="00B21BEC"/>
    <w:rsid w:val="00B2292B"/>
    <w:rsid w:val="00B22C5C"/>
    <w:rsid w:val="00B23BB0"/>
    <w:rsid w:val="00B244AC"/>
    <w:rsid w:val="00B24DCD"/>
    <w:rsid w:val="00B24F30"/>
    <w:rsid w:val="00B25E04"/>
    <w:rsid w:val="00B26E04"/>
    <w:rsid w:val="00B27A3C"/>
    <w:rsid w:val="00B30486"/>
    <w:rsid w:val="00B312FB"/>
    <w:rsid w:val="00B31ABF"/>
    <w:rsid w:val="00B31ED6"/>
    <w:rsid w:val="00B33BE3"/>
    <w:rsid w:val="00B3439D"/>
    <w:rsid w:val="00B35368"/>
    <w:rsid w:val="00B35E8D"/>
    <w:rsid w:val="00B3712C"/>
    <w:rsid w:val="00B4029E"/>
    <w:rsid w:val="00B4074C"/>
    <w:rsid w:val="00B40EAD"/>
    <w:rsid w:val="00B41067"/>
    <w:rsid w:val="00B413A8"/>
    <w:rsid w:val="00B4358E"/>
    <w:rsid w:val="00B43788"/>
    <w:rsid w:val="00B440A2"/>
    <w:rsid w:val="00B45E00"/>
    <w:rsid w:val="00B46B76"/>
    <w:rsid w:val="00B46EB4"/>
    <w:rsid w:val="00B47EB6"/>
    <w:rsid w:val="00B50334"/>
    <w:rsid w:val="00B51B43"/>
    <w:rsid w:val="00B52763"/>
    <w:rsid w:val="00B52EB1"/>
    <w:rsid w:val="00B531CC"/>
    <w:rsid w:val="00B53B5D"/>
    <w:rsid w:val="00B546F5"/>
    <w:rsid w:val="00B548C4"/>
    <w:rsid w:val="00B54A95"/>
    <w:rsid w:val="00B55C9C"/>
    <w:rsid w:val="00B56538"/>
    <w:rsid w:val="00B57213"/>
    <w:rsid w:val="00B6055E"/>
    <w:rsid w:val="00B6200D"/>
    <w:rsid w:val="00B62A05"/>
    <w:rsid w:val="00B630E7"/>
    <w:rsid w:val="00B6317D"/>
    <w:rsid w:val="00B644F5"/>
    <w:rsid w:val="00B66FE6"/>
    <w:rsid w:val="00B7050A"/>
    <w:rsid w:val="00B72CC9"/>
    <w:rsid w:val="00B72CF5"/>
    <w:rsid w:val="00B72EB9"/>
    <w:rsid w:val="00B73448"/>
    <w:rsid w:val="00B734F3"/>
    <w:rsid w:val="00B745C3"/>
    <w:rsid w:val="00B74829"/>
    <w:rsid w:val="00B758D4"/>
    <w:rsid w:val="00B75E4E"/>
    <w:rsid w:val="00B76368"/>
    <w:rsid w:val="00B7723F"/>
    <w:rsid w:val="00B7730C"/>
    <w:rsid w:val="00B80534"/>
    <w:rsid w:val="00B8094D"/>
    <w:rsid w:val="00B8148E"/>
    <w:rsid w:val="00B835D4"/>
    <w:rsid w:val="00B84045"/>
    <w:rsid w:val="00B8433C"/>
    <w:rsid w:val="00B843D6"/>
    <w:rsid w:val="00B84B0F"/>
    <w:rsid w:val="00B851F5"/>
    <w:rsid w:val="00B8706E"/>
    <w:rsid w:val="00B87491"/>
    <w:rsid w:val="00B87B5F"/>
    <w:rsid w:val="00B87E70"/>
    <w:rsid w:val="00B9117E"/>
    <w:rsid w:val="00B9171A"/>
    <w:rsid w:val="00B92611"/>
    <w:rsid w:val="00B92D98"/>
    <w:rsid w:val="00B9438E"/>
    <w:rsid w:val="00B949AC"/>
    <w:rsid w:val="00B949D9"/>
    <w:rsid w:val="00B9558E"/>
    <w:rsid w:val="00B96264"/>
    <w:rsid w:val="00B96B8A"/>
    <w:rsid w:val="00B97E1A"/>
    <w:rsid w:val="00BA29E9"/>
    <w:rsid w:val="00BA37AA"/>
    <w:rsid w:val="00BA5908"/>
    <w:rsid w:val="00BA6CFA"/>
    <w:rsid w:val="00BA7142"/>
    <w:rsid w:val="00BA78AE"/>
    <w:rsid w:val="00BA7E2C"/>
    <w:rsid w:val="00BB13A2"/>
    <w:rsid w:val="00BB21B3"/>
    <w:rsid w:val="00BB237C"/>
    <w:rsid w:val="00BB3CD1"/>
    <w:rsid w:val="00BB41A3"/>
    <w:rsid w:val="00BB6E31"/>
    <w:rsid w:val="00BB71B0"/>
    <w:rsid w:val="00BB77C9"/>
    <w:rsid w:val="00BC1540"/>
    <w:rsid w:val="00BC32DC"/>
    <w:rsid w:val="00BC35B6"/>
    <w:rsid w:val="00BC4976"/>
    <w:rsid w:val="00BC6F38"/>
    <w:rsid w:val="00BC7066"/>
    <w:rsid w:val="00BD0163"/>
    <w:rsid w:val="00BD1B51"/>
    <w:rsid w:val="00BD1DDF"/>
    <w:rsid w:val="00BD2209"/>
    <w:rsid w:val="00BD31FD"/>
    <w:rsid w:val="00BD3483"/>
    <w:rsid w:val="00BD3A7D"/>
    <w:rsid w:val="00BD3FCC"/>
    <w:rsid w:val="00BD4596"/>
    <w:rsid w:val="00BD56C4"/>
    <w:rsid w:val="00BD6828"/>
    <w:rsid w:val="00BD7867"/>
    <w:rsid w:val="00BE0340"/>
    <w:rsid w:val="00BE07F5"/>
    <w:rsid w:val="00BE1405"/>
    <w:rsid w:val="00BE1BA0"/>
    <w:rsid w:val="00BE2AF9"/>
    <w:rsid w:val="00BE2F46"/>
    <w:rsid w:val="00BE312D"/>
    <w:rsid w:val="00BE35A7"/>
    <w:rsid w:val="00BE3ABF"/>
    <w:rsid w:val="00BE4A13"/>
    <w:rsid w:val="00BE5453"/>
    <w:rsid w:val="00BE7005"/>
    <w:rsid w:val="00BE7424"/>
    <w:rsid w:val="00BE7561"/>
    <w:rsid w:val="00BE7C4D"/>
    <w:rsid w:val="00BF0E76"/>
    <w:rsid w:val="00BF1B89"/>
    <w:rsid w:val="00BF1C20"/>
    <w:rsid w:val="00BF63E3"/>
    <w:rsid w:val="00BF7434"/>
    <w:rsid w:val="00BF7603"/>
    <w:rsid w:val="00C0021F"/>
    <w:rsid w:val="00C006D6"/>
    <w:rsid w:val="00C006FC"/>
    <w:rsid w:val="00C00D18"/>
    <w:rsid w:val="00C01938"/>
    <w:rsid w:val="00C023F6"/>
    <w:rsid w:val="00C036B4"/>
    <w:rsid w:val="00C0385D"/>
    <w:rsid w:val="00C04718"/>
    <w:rsid w:val="00C068F3"/>
    <w:rsid w:val="00C070C8"/>
    <w:rsid w:val="00C103AD"/>
    <w:rsid w:val="00C10578"/>
    <w:rsid w:val="00C10763"/>
    <w:rsid w:val="00C10E3F"/>
    <w:rsid w:val="00C1138D"/>
    <w:rsid w:val="00C1174B"/>
    <w:rsid w:val="00C1198E"/>
    <w:rsid w:val="00C135BC"/>
    <w:rsid w:val="00C13D77"/>
    <w:rsid w:val="00C14378"/>
    <w:rsid w:val="00C147C8"/>
    <w:rsid w:val="00C149EA"/>
    <w:rsid w:val="00C14CA7"/>
    <w:rsid w:val="00C15C95"/>
    <w:rsid w:val="00C16D66"/>
    <w:rsid w:val="00C174B8"/>
    <w:rsid w:val="00C17CBB"/>
    <w:rsid w:val="00C20287"/>
    <w:rsid w:val="00C20FE6"/>
    <w:rsid w:val="00C22485"/>
    <w:rsid w:val="00C22ACC"/>
    <w:rsid w:val="00C232E9"/>
    <w:rsid w:val="00C234EF"/>
    <w:rsid w:val="00C24207"/>
    <w:rsid w:val="00C2596A"/>
    <w:rsid w:val="00C267EB"/>
    <w:rsid w:val="00C26B15"/>
    <w:rsid w:val="00C27537"/>
    <w:rsid w:val="00C27718"/>
    <w:rsid w:val="00C277AD"/>
    <w:rsid w:val="00C27D50"/>
    <w:rsid w:val="00C30D72"/>
    <w:rsid w:val="00C31263"/>
    <w:rsid w:val="00C3221F"/>
    <w:rsid w:val="00C328FE"/>
    <w:rsid w:val="00C329BA"/>
    <w:rsid w:val="00C33330"/>
    <w:rsid w:val="00C33507"/>
    <w:rsid w:val="00C3409E"/>
    <w:rsid w:val="00C34763"/>
    <w:rsid w:val="00C35209"/>
    <w:rsid w:val="00C35718"/>
    <w:rsid w:val="00C362DF"/>
    <w:rsid w:val="00C36814"/>
    <w:rsid w:val="00C36A7B"/>
    <w:rsid w:val="00C37212"/>
    <w:rsid w:val="00C403EF"/>
    <w:rsid w:val="00C410DD"/>
    <w:rsid w:val="00C42A88"/>
    <w:rsid w:val="00C42D0B"/>
    <w:rsid w:val="00C43238"/>
    <w:rsid w:val="00C43B74"/>
    <w:rsid w:val="00C4409D"/>
    <w:rsid w:val="00C44200"/>
    <w:rsid w:val="00C443C6"/>
    <w:rsid w:val="00C44403"/>
    <w:rsid w:val="00C44E72"/>
    <w:rsid w:val="00C45125"/>
    <w:rsid w:val="00C452A6"/>
    <w:rsid w:val="00C45617"/>
    <w:rsid w:val="00C45A06"/>
    <w:rsid w:val="00C45C0D"/>
    <w:rsid w:val="00C45EEB"/>
    <w:rsid w:val="00C47E5B"/>
    <w:rsid w:val="00C50B12"/>
    <w:rsid w:val="00C50BAD"/>
    <w:rsid w:val="00C515C5"/>
    <w:rsid w:val="00C524E5"/>
    <w:rsid w:val="00C5298D"/>
    <w:rsid w:val="00C54E55"/>
    <w:rsid w:val="00C55007"/>
    <w:rsid w:val="00C555FF"/>
    <w:rsid w:val="00C55FB6"/>
    <w:rsid w:val="00C5624C"/>
    <w:rsid w:val="00C56868"/>
    <w:rsid w:val="00C60D03"/>
    <w:rsid w:val="00C60ED9"/>
    <w:rsid w:val="00C60EE5"/>
    <w:rsid w:val="00C612BE"/>
    <w:rsid w:val="00C61E4B"/>
    <w:rsid w:val="00C62663"/>
    <w:rsid w:val="00C6400C"/>
    <w:rsid w:val="00C64BFF"/>
    <w:rsid w:val="00C66012"/>
    <w:rsid w:val="00C662A7"/>
    <w:rsid w:val="00C66389"/>
    <w:rsid w:val="00C66699"/>
    <w:rsid w:val="00C66DF2"/>
    <w:rsid w:val="00C67EF0"/>
    <w:rsid w:val="00C67FE8"/>
    <w:rsid w:val="00C704E9"/>
    <w:rsid w:val="00C71DD0"/>
    <w:rsid w:val="00C735BC"/>
    <w:rsid w:val="00C74532"/>
    <w:rsid w:val="00C7486C"/>
    <w:rsid w:val="00C74E0E"/>
    <w:rsid w:val="00C753BF"/>
    <w:rsid w:val="00C763C9"/>
    <w:rsid w:val="00C76415"/>
    <w:rsid w:val="00C76A0E"/>
    <w:rsid w:val="00C77E29"/>
    <w:rsid w:val="00C80057"/>
    <w:rsid w:val="00C8018C"/>
    <w:rsid w:val="00C80F4B"/>
    <w:rsid w:val="00C817A3"/>
    <w:rsid w:val="00C81859"/>
    <w:rsid w:val="00C82232"/>
    <w:rsid w:val="00C82913"/>
    <w:rsid w:val="00C8401B"/>
    <w:rsid w:val="00C84404"/>
    <w:rsid w:val="00C84851"/>
    <w:rsid w:val="00C849C4"/>
    <w:rsid w:val="00C84B95"/>
    <w:rsid w:val="00C86110"/>
    <w:rsid w:val="00C86536"/>
    <w:rsid w:val="00C86583"/>
    <w:rsid w:val="00C873DA"/>
    <w:rsid w:val="00C87A8C"/>
    <w:rsid w:val="00C905C4"/>
    <w:rsid w:val="00C90726"/>
    <w:rsid w:val="00C91417"/>
    <w:rsid w:val="00C91731"/>
    <w:rsid w:val="00C91D99"/>
    <w:rsid w:val="00C92376"/>
    <w:rsid w:val="00C92391"/>
    <w:rsid w:val="00C9470F"/>
    <w:rsid w:val="00C95067"/>
    <w:rsid w:val="00C972B1"/>
    <w:rsid w:val="00C974B9"/>
    <w:rsid w:val="00CA166F"/>
    <w:rsid w:val="00CA2288"/>
    <w:rsid w:val="00CA2CCE"/>
    <w:rsid w:val="00CA3DF4"/>
    <w:rsid w:val="00CA3FAC"/>
    <w:rsid w:val="00CA43FD"/>
    <w:rsid w:val="00CA4E9E"/>
    <w:rsid w:val="00CA50A2"/>
    <w:rsid w:val="00CA5B62"/>
    <w:rsid w:val="00CA7EF8"/>
    <w:rsid w:val="00CB0C21"/>
    <w:rsid w:val="00CB0E07"/>
    <w:rsid w:val="00CB1280"/>
    <w:rsid w:val="00CB15D2"/>
    <w:rsid w:val="00CB2C13"/>
    <w:rsid w:val="00CB41B5"/>
    <w:rsid w:val="00CB5E51"/>
    <w:rsid w:val="00CB63E7"/>
    <w:rsid w:val="00CB6895"/>
    <w:rsid w:val="00CC0DA4"/>
    <w:rsid w:val="00CC1903"/>
    <w:rsid w:val="00CC1A22"/>
    <w:rsid w:val="00CC1CAE"/>
    <w:rsid w:val="00CC2568"/>
    <w:rsid w:val="00CC388A"/>
    <w:rsid w:val="00CC3BCD"/>
    <w:rsid w:val="00CC4104"/>
    <w:rsid w:val="00CC489B"/>
    <w:rsid w:val="00CC6AB8"/>
    <w:rsid w:val="00CD00D8"/>
    <w:rsid w:val="00CD102F"/>
    <w:rsid w:val="00CD2BCD"/>
    <w:rsid w:val="00CD2F3D"/>
    <w:rsid w:val="00CD308C"/>
    <w:rsid w:val="00CD34BE"/>
    <w:rsid w:val="00CD35F1"/>
    <w:rsid w:val="00CD3A4C"/>
    <w:rsid w:val="00CD4614"/>
    <w:rsid w:val="00CD5426"/>
    <w:rsid w:val="00CD5D4B"/>
    <w:rsid w:val="00CE10E9"/>
    <w:rsid w:val="00CE2910"/>
    <w:rsid w:val="00CE2D50"/>
    <w:rsid w:val="00CE304C"/>
    <w:rsid w:val="00CE339E"/>
    <w:rsid w:val="00CE38BC"/>
    <w:rsid w:val="00CE5393"/>
    <w:rsid w:val="00CE54EA"/>
    <w:rsid w:val="00CF26F4"/>
    <w:rsid w:val="00CF3522"/>
    <w:rsid w:val="00CF36BE"/>
    <w:rsid w:val="00CF3F96"/>
    <w:rsid w:val="00CF4F9F"/>
    <w:rsid w:val="00CF5453"/>
    <w:rsid w:val="00CF6000"/>
    <w:rsid w:val="00D003F3"/>
    <w:rsid w:val="00D0092C"/>
    <w:rsid w:val="00D0175B"/>
    <w:rsid w:val="00D02170"/>
    <w:rsid w:val="00D024CA"/>
    <w:rsid w:val="00D032BB"/>
    <w:rsid w:val="00D0364F"/>
    <w:rsid w:val="00D03B9E"/>
    <w:rsid w:val="00D046CF"/>
    <w:rsid w:val="00D05862"/>
    <w:rsid w:val="00D05A25"/>
    <w:rsid w:val="00D061D6"/>
    <w:rsid w:val="00D0638A"/>
    <w:rsid w:val="00D06834"/>
    <w:rsid w:val="00D07B6F"/>
    <w:rsid w:val="00D07D8D"/>
    <w:rsid w:val="00D10107"/>
    <w:rsid w:val="00D1017C"/>
    <w:rsid w:val="00D1114A"/>
    <w:rsid w:val="00D11180"/>
    <w:rsid w:val="00D1256B"/>
    <w:rsid w:val="00D14E01"/>
    <w:rsid w:val="00D15DFE"/>
    <w:rsid w:val="00D169A2"/>
    <w:rsid w:val="00D17C40"/>
    <w:rsid w:val="00D215A2"/>
    <w:rsid w:val="00D22323"/>
    <w:rsid w:val="00D22ED1"/>
    <w:rsid w:val="00D23CA1"/>
    <w:rsid w:val="00D2416C"/>
    <w:rsid w:val="00D25F9C"/>
    <w:rsid w:val="00D260BB"/>
    <w:rsid w:val="00D260FC"/>
    <w:rsid w:val="00D2629E"/>
    <w:rsid w:val="00D26370"/>
    <w:rsid w:val="00D26416"/>
    <w:rsid w:val="00D27ACB"/>
    <w:rsid w:val="00D308ED"/>
    <w:rsid w:val="00D30F0A"/>
    <w:rsid w:val="00D31403"/>
    <w:rsid w:val="00D31A10"/>
    <w:rsid w:val="00D31DEA"/>
    <w:rsid w:val="00D31F39"/>
    <w:rsid w:val="00D32929"/>
    <w:rsid w:val="00D32C06"/>
    <w:rsid w:val="00D331D7"/>
    <w:rsid w:val="00D33709"/>
    <w:rsid w:val="00D354EB"/>
    <w:rsid w:val="00D35625"/>
    <w:rsid w:val="00D35DD9"/>
    <w:rsid w:val="00D36D86"/>
    <w:rsid w:val="00D37109"/>
    <w:rsid w:val="00D40D90"/>
    <w:rsid w:val="00D42881"/>
    <w:rsid w:val="00D428AA"/>
    <w:rsid w:val="00D42BDA"/>
    <w:rsid w:val="00D42FE8"/>
    <w:rsid w:val="00D43551"/>
    <w:rsid w:val="00D43DDE"/>
    <w:rsid w:val="00D45ED9"/>
    <w:rsid w:val="00D47167"/>
    <w:rsid w:val="00D50A34"/>
    <w:rsid w:val="00D50A7E"/>
    <w:rsid w:val="00D50F9D"/>
    <w:rsid w:val="00D51397"/>
    <w:rsid w:val="00D5292A"/>
    <w:rsid w:val="00D529D6"/>
    <w:rsid w:val="00D538F6"/>
    <w:rsid w:val="00D539B0"/>
    <w:rsid w:val="00D53EFA"/>
    <w:rsid w:val="00D53F5D"/>
    <w:rsid w:val="00D5438F"/>
    <w:rsid w:val="00D54707"/>
    <w:rsid w:val="00D54AD1"/>
    <w:rsid w:val="00D54FCB"/>
    <w:rsid w:val="00D55978"/>
    <w:rsid w:val="00D56A2B"/>
    <w:rsid w:val="00D60D0F"/>
    <w:rsid w:val="00D61580"/>
    <w:rsid w:val="00D6158F"/>
    <w:rsid w:val="00D61C4C"/>
    <w:rsid w:val="00D62FCE"/>
    <w:rsid w:val="00D6437C"/>
    <w:rsid w:val="00D64E50"/>
    <w:rsid w:val="00D66781"/>
    <w:rsid w:val="00D707FE"/>
    <w:rsid w:val="00D708D0"/>
    <w:rsid w:val="00D710B8"/>
    <w:rsid w:val="00D71774"/>
    <w:rsid w:val="00D7186B"/>
    <w:rsid w:val="00D722D8"/>
    <w:rsid w:val="00D7313F"/>
    <w:rsid w:val="00D7437E"/>
    <w:rsid w:val="00D74561"/>
    <w:rsid w:val="00D75DF6"/>
    <w:rsid w:val="00D75ECF"/>
    <w:rsid w:val="00D75FF7"/>
    <w:rsid w:val="00D76EE0"/>
    <w:rsid w:val="00D7712A"/>
    <w:rsid w:val="00D804BD"/>
    <w:rsid w:val="00D80DD7"/>
    <w:rsid w:val="00D813CF"/>
    <w:rsid w:val="00D8178E"/>
    <w:rsid w:val="00D825E3"/>
    <w:rsid w:val="00D827B0"/>
    <w:rsid w:val="00D828FC"/>
    <w:rsid w:val="00D8298C"/>
    <w:rsid w:val="00D83180"/>
    <w:rsid w:val="00D8380F"/>
    <w:rsid w:val="00D84234"/>
    <w:rsid w:val="00D84D36"/>
    <w:rsid w:val="00D86A6B"/>
    <w:rsid w:val="00D9033D"/>
    <w:rsid w:val="00D9096F"/>
    <w:rsid w:val="00D90C44"/>
    <w:rsid w:val="00D90F6C"/>
    <w:rsid w:val="00D91C72"/>
    <w:rsid w:val="00D94A34"/>
    <w:rsid w:val="00D94A7C"/>
    <w:rsid w:val="00D95896"/>
    <w:rsid w:val="00D9625A"/>
    <w:rsid w:val="00D963A2"/>
    <w:rsid w:val="00D97458"/>
    <w:rsid w:val="00D97631"/>
    <w:rsid w:val="00D97D66"/>
    <w:rsid w:val="00DA192B"/>
    <w:rsid w:val="00DA286E"/>
    <w:rsid w:val="00DA3338"/>
    <w:rsid w:val="00DA6588"/>
    <w:rsid w:val="00DA67FF"/>
    <w:rsid w:val="00DA6969"/>
    <w:rsid w:val="00DA786A"/>
    <w:rsid w:val="00DB105C"/>
    <w:rsid w:val="00DB181E"/>
    <w:rsid w:val="00DB192E"/>
    <w:rsid w:val="00DB1BFB"/>
    <w:rsid w:val="00DB2730"/>
    <w:rsid w:val="00DB297C"/>
    <w:rsid w:val="00DB2983"/>
    <w:rsid w:val="00DB3840"/>
    <w:rsid w:val="00DB633F"/>
    <w:rsid w:val="00DB7D5B"/>
    <w:rsid w:val="00DC1257"/>
    <w:rsid w:val="00DC2F2D"/>
    <w:rsid w:val="00DC3520"/>
    <w:rsid w:val="00DC3DC0"/>
    <w:rsid w:val="00DC5B2B"/>
    <w:rsid w:val="00DC5CFA"/>
    <w:rsid w:val="00DC706A"/>
    <w:rsid w:val="00DC7B08"/>
    <w:rsid w:val="00DD0645"/>
    <w:rsid w:val="00DD0FB5"/>
    <w:rsid w:val="00DD1733"/>
    <w:rsid w:val="00DD318D"/>
    <w:rsid w:val="00DD3790"/>
    <w:rsid w:val="00DD6A1E"/>
    <w:rsid w:val="00DE010E"/>
    <w:rsid w:val="00DE0FB1"/>
    <w:rsid w:val="00DE1465"/>
    <w:rsid w:val="00DE2AD2"/>
    <w:rsid w:val="00DE415E"/>
    <w:rsid w:val="00DE5C57"/>
    <w:rsid w:val="00DE62D6"/>
    <w:rsid w:val="00DE6A06"/>
    <w:rsid w:val="00DF0125"/>
    <w:rsid w:val="00DF1181"/>
    <w:rsid w:val="00DF24DE"/>
    <w:rsid w:val="00DF25E7"/>
    <w:rsid w:val="00DF2E12"/>
    <w:rsid w:val="00DF514A"/>
    <w:rsid w:val="00DF5615"/>
    <w:rsid w:val="00DF5BC3"/>
    <w:rsid w:val="00DF5CCA"/>
    <w:rsid w:val="00DF6690"/>
    <w:rsid w:val="00DF6804"/>
    <w:rsid w:val="00DF6F3F"/>
    <w:rsid w:val="00DF7363"/>
    <w:rsid w:val="00DF7FEA"/>
    <w:rsid w:val="00E003B6"/>
    <w:rsid w:val="00E00DB0"/>
    <w:rsid w:val="00E010BD"/>
    <w:rsid w:val="00E02675"/>
    <w:rsid w:val="00E02721"/>
    <w:rsid w:val="00E0358D"/>
    <w:rsid w:val="00E04323"/>
    <w:rsid w:val="00E045A6"/>
    <w:rsid w:val="00E05D22"/>
    <w:rsid w:val="00E0607C"/>
    <w:rsid w:val="00E06477"/>
    <w:rsid w:val="00E070A2"/>
    <w:rsid w:val="00E070A4"/>
    <w:rsid w:val="00E07B51"/>
    <w:rsid w:val="00E07B9C"/>
    <w:rsid w:val="00E11C73"/>
    <w:rsid w:val="00E11F3C"/>
    <w:rsid w:val="00E12546"/>
    <w:rsid w:val="00E12E57"/>
    <w:rsid w:val="00E146D5"/>
    <w:rsid w:val="00E1501F"/>
    <w:rsid w:val="00E157D8"/>
    <w:rsid w:val="00E1668D"/>
    <w:rsid w:val="00E17C35"/>
    <w:rsid w:val="00E2103A"/>
    <w:rsid w:val="00E22683"/>
    <w:rsid w:val="00E22BEC"/>
    <w:rsid w:val="00E22F6F"/>
    <w:rsid w:val="00E23566"/>
    <w:rsid w:val="00E2445A"/>
    <w:rsid w:val="00E24830"/>
    <w:rsid w:val="00E2656A"/>
    <w:rsid w:val="00E30E20"/>
    <w:rsid w:val="00E30F7C"/>
    <w:rsid w:val="00E31C6A"/>
    <w:rsid w:val="00E32385"/>
    <w:rsid w:val="00E325C2"/>
    <w:rsid w:val="00E333EB"/>
    <w:rsid w:val="00E333FB"/>
    <w:rsid w:val="00E33712"/>
    <w:rsid w:val="00E33F3F"/>
    <w:rsid w:val="00E362D9"/>
    <w:rsid w:val="00E3667C"/>
    <w:rsid w:val="00E36F8A"/>
    <w:rsid w:val="00E36FDB"/>
    <w:rsid w:val="00E37308"/>
    <w:rsid w:val="00E379E7"/>
    <w:rsid w:val="00E40DCF"/>
    <w:rsid w:val="00E41276"/>
    <w:rsid w:val="00E412D0"/>
    <w:rsid w:val="00E4167E"/>
    <w:rsid w:val="00E41A7D"/>
    <w:rsid w:val="00E42396"/>
    <w:rsid w:val="00E429A9"/>
    <w:rsid w:val="00E42A0E"/>
    <w:rsid w:val="00E42EBC"/>
    <w:rsid w:val="00E438CB"/>
    <w:rsid w:val="00E43CD5"/>
    <w:rsid w:val="00E43D72"/>
    <w:rsid w:val="00E45336"/>
    <w:rsid w:val="00E4682D"/>
    <w:rsid w:val="00E468A7"/>
    <w:rsid w:val="00E475A5"/>
    <w:rsid w:val="00E479D6"/>
    <w:rsid w:val="00E50803"/>
    <w:rsid w:val="00E52004"/>
    <w:rsid w:val="00E5368F"/>
    <w:rsid w:val="00E54761"/>
    <w:rsid w:val="00E550AF"/>
    <w:rsid w:val="00E56006"/>
    <w:rsid w:val="00E56322"/>
    <w:rsid w:val="00E5794C"/>
    <w:rsid w:val="00E57CBF"/>
    <w:rsid w:val="00E60982"/>
    <w:rsid w:val="00E60BA1"/>
    <w:rsid w:val="00E60CDF"/>
    <w:rsid w:val="00E61F04"/>
    <w:rsid w:val="00E62927"/>
    <w:rsid w:val="00E62C62"/>
    <w:rsid w:val="00E62CD6"/>
    <w:rsid w:val="00E63970"/>
    <w:rsid w:val="00E64637"/>
    <w:rsid w:val="00E654C1"/>
    <w:rsid w:val="00E65864"/>
    <w:rsid w:val="00E65D97"/>
    <w:rsid w:val="00E65E0A"/>
    <w:rsid w:val="00E66A77"/>
    <w:rsid w:val="00E6739C"/>
    <w:rsid w:val="00E67603"/>
    <w:rsid w:val="00E678BB"/>
    <w:rsid w:val="00E70276"/>
    <w:rsid w:val="00E70478"/>
    <w:rsid w:val="00E71983"/>
    <w:rsid w:val="00E728C4"/>
    <w:rsid w:val="00E729F5"/>
    <w:rsid w:val="00E72A5A"/>
    <w:rsid w:val="00E73354"/>
    <w:rsid w:val="00E73989"/>
    <w:rsid w:val="00E74C4E"/>
    <w:rsid w:val="00E76808"/>
    <w:rsid w:val="00E77B70"/>
    <w:rsid w:val="00E809E0"/>
    <w:rsid w:val="00E80BBD"/>
    <w:rsid w:val="00E815EA"/>
    <w:rsid w:val="00E83FCC"/>
    <w:rsid w:val="00E841C9"/>
    <w:rsid w:val="00E84BDA"/>
    <w:rsid w:val="00E85B49"/>
    <w:rsid w:val="00E85B92"/>
    <w:rsid w:val="00E87654"/>
    <w:rsid w:val="00E87CFC"/>
    <w:rsid w:val="00E90D2B"/>
    <w:rsid w:val="00E912B1"/>
    <w:rsid w:val="00E91A54"/>
    <w:rsid w:val="00E9242D"/>
    <w:rsid w:val="00E92A9F"/>
    <w:rsid w:val="00E92FBC"/>
    <w:rsid w:val="00E944B0"/>
    <w:rsid w:val="00EA048E"/>
    <w:rsid w:val="00EA0DDC"/>
    <w:rsid w:val="00EA11C0"/>
    <w:rsid w:val="00EA2D77"/>
    <w:rsid w:val="00EA325E"/>
    <w:rsid w:val="00EA46DD"/>
    <w:rsid w:val="00EA4AA0"/>
    <w:rsid w:val="00EA519D"/>
    <w:rsid w:val="00EA57A1"/>
    <w:rsid w:val="00EA5DF2"/>
    <w:rsid w:val="00EA74F4"/>
    <w:rsid w:val="00EB040E"/>
    <w:rsid w:val="00EB425D"/>
    <w:rsid w:val="00EB5255"/>
    <w:rsid w:val="00EB5968"/>
    <w:rsid w:val="00EB5C47"/>
    <w:rsid w:val="00EB5FAD"/>
    <w:rsid w:val="00EB72CF"/>
    <w:rsid w:val="00EB7CD1"/>
    <w:rsid w:val="00EB7F84"/>
    <w:rsid w:val="00EC0048"/>
    <w:rsid w:val="00EC00E4"/>
    <w:rsid w:val="00EC0D1F"/>
    <w:rsid w:val="00EC245A"/>
    <w:rsid w:val="00EC3950"/>
    <w:rsid w:val="00EC43D5"/>
    <w:rsid w:val="00EC4D0E"/>
    <w:rsid w:val="00EC6995"/>
    <w:rsid w:val="00EC75FC"/>
    <w:rsid w:val="00EC7765"/>
    <w:rsid w:val="00ED0639"/>
    <w:rsid w:val="00ED2A80"/>
    <w:rsid w:val="00ED333B"/>
    <w:rsid w:val="00ED4366"/>
    <w:rsid w:val="00ED6165"/>
    <w:rsid w:val="00ED7049"/>
    <w:rsid w:val="00ED736A"/>
    <w:rsid w:val="00ED7F1F"/>
    <w:rsid w:val="00EE1C6F"/>
    <w:rsid w:val="00EE2882"/>
    <w:rsid w:val="00EE40B9"/>
    <w:rsid w:val="00EE4314"/>
    <w:rsid w:val="00EE4C43"/>
    <w:rsid w:val="00EE4C64"/>
    <w:rsid w:val="00EE4E6B"/>
    <w:rsid w:val="00EE50C8"/>
    <w:rsid w:val="00EE7520"/>
    <w:rsid w:val="00EF038E"/>
    <w:rsid w:val="00EF0D62"/>
    <w:rsid w:val="00EF1CE5"/>
    <w:rsid w:val="00EF218C"/>
    <w:rsid w:val="00EF2255"/>
    <w:rsid w:val="00EF234E"/>
    <w:rsid w:val="00EF4362"/>
    <w:rsid w:val="00EF4755"/>
    <w:rsid w:val="00EF4874"/>
    <w:rsid w:val="00EF4BC8"/>
    <w:rsid w:val="00EF6FA0"/>
    <w:rsid w:val="00EF7135"/>
    <w:rsid w:val="00EF797E"/>
    <w:rsid w:val="00F00523"/>
    <w:rsid w:val="00F00E3D"/>
    <w:rsid w:val="00F015BE"/>
    <w:rsid w:val="00F01BEA"/>
    <w:rsid w:val="00F027DB"/>
    <w:rsid w:val="00F02DEA"/>
    <w:rsid w:val="00F04D58"/>
    <w:rsid w:val="00F10081"/>
    <w:rsid w:val="00F107AB"/>
    <w:rsid w:val="00F10946"/>
    <w:rsid w:val="00F1278F"/>
    <w:rsid w:val="00F13FCF"/>
    <w:rsid w:val="00F142B2"/>
    <w:rsid w:val="00F14A7A"/>
    <w:rsid w:val="00F1500C"/>
    <w:rsid w:val="00F15FA1"/>
    <w:rsid w:val="00F16281"/>
    <w:rsid w:val="00F16DA3"/>
    <w:rsid w:val="00F170B8"/>
    <w:rsid w:val="00F175D6"/>
    <w:rsid w:val="00F207F5"/>
    <w:rsid w:val="00F208ED"/>
    <w:rsid w:val="00F21FB2"/>
    <w:rsid w:val="00F2280C"/>
    <w:rsid w:val="00F22985"/>
    <w:rsid w:val="00F231EE"/>
    <w:rsid w:val="00F2341F"/>
    <w:rsid w:val="00F23A2F"/>
    <w:rsid w:val="00F23F39"/>
    <w:rsid w:val="00F24DC2"/>
    <w:rsid w:val="00F261F8"/>
    <w:rsid w:val="00F26C80"/>
    <w:rsid w:val="00F26ED4"/>
    <w:rsid w:val="00F275FC"/>
    <w:rsid w:val="00F27A4F"/>
    <w:rsid w:val="00F30153"/>
    <w:rsid w:val="00F303A2"/>
    <w:rsid w:val="00F30BFF"/>
    <w:rsid w:val="00F30EA4"/>
    <w:rsid w:val="00F31923"/>
    <w:rsid w:val="00F3383E"/>
    <w:rsid w:val="00F33944"/>
    <w:rsid w:val="00F3487B"/>
    <w:rsid w:val="00F34FB1"/>
    <w:rsid w:val="00F35955"/>
    <w:rsid w:val="00F35B3C"/>
    <w:rsid w:val="00F37AB9"/>
    <w:rsid w:val="00F403A5"/>
    <w:rsid w:val="00F4053A"/>
    <w:rsid w:val="00F407B1"/>
    <w:rsid w:val="00F45549"/>
    <w:rsid w:val="00F46162"/>
    <w:rsid w:val="00F46312"/>
    <w:rsid w:val="00F465A7"/>
    <w:rsid w:val="00F46C4C"/>
    <w:rsid w:val="00F47ECF"/>
    <w:rsid w:val="00F50803"/>
    <w:rsid w:val="00F50B7C"/>
    <w:rsid w:val="00F50FE5"/>
    <w:rsid w:val="00F5141E"/>
    <w:rsid w:val="00F515B9"/>
    <w:rsid w:val="00F5172D"/>
    <w:rsid w:val="00F52228"/>
    <w:rsid w:val="00F522DA"/>
    <w:rsid w:val="00F52758"/>
    <w:rsid w:val="00F53A42"/>
    <w:rsid w:val="00F53B97"/>
    <w:rsid w:val="00F53DB2"/>
    <w:rsid w:val="00F54CCB"/>
    <w:rsid w:val="00F550E6"/>
    <w:rsid w:val="00F551B6"/>
    <w:rsid w:val="00F56274"/>
    <w:rsid w:val="00F60260"/>
    <w:rsid w:val="00F60A6D"/>
    <w:rsid w:val="00F60B11"/>
    <w:rsid w:val="00F61142"/>
    <w:rsid w:val="00F620C6"/>
    <w:rsid w:val="00F62326"/>
    <w:rsid w:val="00F628DF"/>
    <w:rsid w:val="00F64E68"/>
    <w:rsid w:val="00F65274"/>
    <w:rsid w:val="00F65BD4"/>
    <w:rsid w:val="00F66951"/>
    <w:rsid w:val="00F66C56"/>
    <w:rsid w:val="00F66EEE"/>
    <w:rsid w:val="00F66F96"/>
    <w:rsid w:val="00F67757"/>
    <w:rsid w:val="00F70387"/>
    <w:rsid w:val="00F73A42"/>
    <w:rsid w:val="00F74345"/>
    <w:rsid w:val="00F74423"/>
    <w:rsid w:val="00F74D32"/>
    <w:rsid w:val="00F751D2"/>
    <w:rsid w:val="00F7567A"/>
    <w:rsid w:val="00F76123"/>
    <w:rsid w:val="00F76EAA"/>
    <w:rsid w:val="00F77B93"/>
    <w:rsid w:val="00F80784"/>
    <w:rsid w:val="00F80A0A"/>
    <w:rsid w:val="00F820D9"/>
    <w:rsid w:val="00F82B19"/>
    <w:rsid w:val="00F83236"/>
    <w:rsid w:val="00F83D6E"/>
    <w:rsid w:val="00F844B1"/>
    <w:rsid w:val="00F9076A"/>
    <w:rsid w:val="00F90FCC"/>
    <w:rsid w:val="00F91123"/>
    <w:rsid w:val="00F911CE"/>
    <w:rsid w:val="00F9212D"/>
    <w:rsid w:val="00F92C1C"/>
    <w:rsid w:val="00F92E5E"/>
    <w:rsid w:val="00F93770"/>
    <w:rsid w:val="00F944A1"/>
    <w:rsid w:val="00F96017"/>
    <w:rsid w:val="00F96204"/>
    <w:rsid w:val="00F965DA"/>
    <w:rsid w:val="00F97260"/>
    <w:rsid w:val="00FA08F4"/>
    <w:rsid w:val="00FA1281"/>
    <w:rsid w:val="00FA158E"/>
    <w:rsid w:val="00FA191D"/>
    <w:rsid w:val="00FA2358"/>
    <w:rsid w:val="00FA2651"/>
    <w:rsid w:val="00FA3815"/>
    <w:rsid w:val="00FA406A"/>
    <w:rsid w:val="00FA682C"/>
    <w:rsid w:val="00FA691B"/>
    <w:rsid w:val="00FA6931"/>
    <w:rsid w:val="00FA6B49"/>
    <w:rsid w:val="00FA7E48"/>
    <w:rsid w:val="00FB033D"/>
    <w:rsid w:val="00FB039D"/>
    <w:rsid w:val="00FB0CFA"/>
    <w:rsid w:val="00FB2105"/>
    <w:rsid w:val="00FB292F"/>
    <w:rsid w:val="00FB2F85"/>
    <w:rsid w:val="00FB503A"/>
    <w:rsid w:val="00FB516C"/>
    <w:rsid w:val="00FB718E"/>
    <w:rsid w:val="00FB783F"/>
    <w:rsid w:val="00FB7F22"/>
    <w:rsid w:val="00FC03A1"/>
    <w:rsid w:val="00FC0521"/>
    <w:rsid w:val="00FC19FB"/>
    <w:rsid w:val="00FC1DE6"/>
    <w:rsid w:val="00FC1DE8"/>
    <w:rsid w:val="00FC2144"/>
    <w:rsid w:val="00FC26FE"/>
    <w:rsid w:val="00FC3870"/>
    <w:rsid w:val="00FC3923"/>
    <w:rsid w:val="00FC42BD"/>
    <w:rsid w:val="00FC42F7"/>
    <w:rsid w:val="00FC5204"/>
    <w:rsid w:val="00FC52C9"/>
    <w:rsid w:val="00FC68D6"/>
    <w:rsid w:val="00FC76AF"/>
    <w:rsid w:val="00FD0236"/>
    <w:rsid w:val="00FD04F2"/>
    <w:rsid w:val="00FD0556"/>
    <w:rsid w:val="00FD07EA"/>
    <w:rsid w:val="00FD18F4"/>
    <w:rsid w:val="00FD1A61"/>
    <w:rsid w:val="00FD2517"/>
    <w:rsid w:val="00FD2884"/>
    <w:rsid w:val="00FD447A"/>
    <w:rsid w:val="00FD54DB"/>
    <w:rsid w:val="00FD619F"/>
    <w:rsid w:val="00FD6983"/>
    <w:rsid w:val="00FD6FAA"/>
    <w:rsid w:val="00FE0581"/>
    <w:rsid w:val="00FE0E46"/>
    <w:rsid w:val="00FE392C"/>
    <w:rsid w:val="00FE3B33"/>
    <w:rsid w:val="00FE462C"/>
    <w:rsid w:val="00FE5CF3"/>
    <w:rsid w:val="00FF0A2E"/>
    <w:rsid w:val="00FF15B5"/>
    <w:rsid w:val="00FF192D"/>
    <w:rsid w:val="00FF388F"/>
    <w:rsid w:val="00FF4518"/>
    <w:rsid w:val="00FF45BF"/>
    <w:rsid w:val="00FF5E27"/>
    <w:rsid w:val="00FF77C0"/>
    <w:rsid w:val="00FF7832"/>
    <w:rsid w:val="00FF78EC"/>
    <w:rsid w:val="01290F7E"/>
    <w:rsid w:val="015D1E09"/>
    <w:rsid w:val="01C901A1"/>
    <w:rsid w:val="02697903"/>
    <w:rsid w:val="027D3B5B"/>
    <w:rsid w:val="02F96569"/>
    <w:rsid w:val="03EA7B21"/>
    <w:rsid w:val="04041965"/>
    <w:rsid w:val="051D0188"/>
    <w:rsid w:val="05F83EAE"/>
    <w:rsid w:val="063E7D85"/>
    <w:rsid w:val="07293586"/>
    <w:rsid w:val="07295285"/>
    <w:rsid w:val="07636392"/>
    <w:rsid w:val="07770C56"/>
    <w:rsid w:val="08703B64"/>
    <w:rsid w:val="092217DD"/>
    <w:rsid w:val="093A7294"/>
    <w:rsid w:val="09D773D1"/>
    <w:rsid w:val="0A263993"/>
    <w:rsid w:val="0A2D3AC2"/>
    <w:rsid w:val="0A7904D7"/>
    <w:rsid w:val="0AA755DF"/>
    <w:rsid w:val="0AF0281A"/>
    <w:rsid w:val="0B120D44"/>
    <w:rsid w:val="0B1F590E"/>
    <w:rsid w:val="0BD27BF6"/>
    <w:rsid w:val="0C3B3C7D"/>
    <w:rsid w:val="0C3B7BB5"/>
    <w:rsid w:val="0C7E427E"/>
    <w:rsid w:val="0CAB2EAE"/>
    <w:rsid w:val="0CDF2FE6"/>
    <w:rsid w:val="0CE3602F"/>
    <w:rsid w:val="0D621C7D"/>
    <w:rsid w:val="0D8238FA"/>
    <w:rsid w:val="0E73034D"/>
    <w:rsid w:val="0E7B6147"/>
    <w:rsid w:val="0F13775A"/>
    <w:rsid w:val="0F5F45FE"/>
    <w:rsid w:val="0F9A112B"/>
    <w:rsid w:val="106D2F64"/>
    <w:rsid w:val="10B63710"/>
    <w:rsid w:val="10F10820"/>
    <w:rsid w:val="111C2F7A"/>
    <w:rsid w:val="11665CA1"/>
    <w:rsid w:val="120C34D9"/>
    <w:rsid w:val="130D010A"/>
    <w:rsid w:val="13951726"/>
    <w:rsid w:val="14396509"/>
    <w:rsid w:val="14741FA9"/>
    <w:rsid w:val="14DD2C3C"/>
    <w:rsid w:val="15DB004C"/>
    <w:rsid w:val="16087E1D"/>
    <w:rsid w:val="16897E7E"/>
    <w:rsid w:val="1763479D"/>
    <w:rsid w:val="17701D14"/>
    <w:rsid w:val="17735226"/>
    <w:rsid w:val="177B3894"/>
    <w:rsid w:val="189F624C"/>
    <w:rsid w:val="19937B67"/>
    <w:rsid w:val="19E05CD3"/>
    <w:rsid w:val="1A1C66C0"/>
    <w:rsid w:val="1A42393B"/>
    <w:rsid w:val="1AAD45DE"/>
    <w:rsid w:val="1B046F80"/>
    <w:rsid w:val="1B3267B5"/>
    <w:rsid w:val="1B40161D"/>
    <w:rsid w:val="1B441859"/>
    <w:rsid w:val="1B6606B1"/>
    <w:rsid w:val="1C5E7925"/>
    <w:rsid w:val="1CFD070F"/>
    <w:rsid w:val="1D183933"/>
    <w:rsid w:val="1D5F6196"/>
    <w:rsid w:val="1D6132A5"/>
    <w:rsid w:val="1D8E56D5"/>
    <w:rsid w:val="1D906E36"/>
    <w:rsid w:val="1DC821EB"/>
    <w:rsid w:val="1DF443A0"/>
    <w:rsid w:val="1E200CF1"/>
    <w:rsid w:val="1E7A43DA"/>
    <w:rsid w:val="1F446C62"/>
    <w:rsid w:val="1FB500D5"/>
    <w:rsid w:val="1FE7539E"/>
    <w:rsid w:val="20671BE0"/>
    <w:rsid w:val="20963CB8"/>
    <w:rsid w:val="20A81A1B"/>
    <w:rsid w:val="20B07FB6"/>
    <w:rsid w:val="20B646FB"/>
    <w:rsid w:val="213B74B1"/>
    <w:rsid w:val="215A2310"/>
    <w:rsid w:val="21DE318A"/>
    <w:rsid w:val="21EF5B80"/>
    <w:rsid w:val="22576990"/>
    <w:rsid w:val="22F47480"/>
    <w:rsid w:val="239C52B8"/>
    <w:rsid w:val="23DE1C48"/>
    <w:rsid w:val="23FF66A8"/>
    <w:rsid w:val="240210CD"/>
    <w:rsid w:val="24BF09F7"/>
    <w:rsid w:val="24D81ED3"/>
    <w:rsid w:val="252D53FE"/>
    <w:rsid w:val="25BD32CA"/>
    <w:rsid w:val="25EC2D81"/>
    <w:rsid w:val="25FE250E"/>
    <w:rsid w:val="277057A2"/>
    <w:rsid w:val="27CA1809"/>
    <w:rsid w:val="2809315A"/>
    <w:rsid w:val="29206EB8"/>
    <w:rsid w:val="29595666"/>
    <w:rsid w:val="29874881"/>
    <w:rsid w:val="29E325E0"/>
    <w:rsid w:val="29E7300B"/>
    <w:rsid w:val="2A3E2317"/>
    <w:rsid w:val="2A452503"/>
    <w:rsid w:val="2AEE3B7C"/>
    <w:rsid w:val="2BA936A8"/>
    <w:rsid w:val="2C315A5A"/>
    <w:rsid w:val="2C4B1C25"/>
    <w:rsid w:val="2C6941AB"/>
    <w:rsid w:val="2D616C31"/>
    <w:rsid w:val="2D9E56F5"/>
    <w:rsid w:val="2E667F96"/>
    <w:rsid w:val="2E8226AB"/>
    <w:rsid w:val="2F177EEF"/>
    <w:rsid w:val="2FD065E6"/>
    <w:rsid w:val="2FD96870"/>
    <w:rsid w:val="30580BC9"/>
    <w:rsid w:val="311E2ED7"/>
    <w:rsid w:val="31403E0D"/>
    <w:rsid w:val="315619EE"/>
    <w:rsid w:val="315C449C"/>
    <w:rsid w:val="31B82709"/>
    <w:rsid w:val="31D05482"/>
    <w:rsid w:val="32400B34"/>
    <w:rsid w:val="329E6876"/>
    <w:rsid w:val="32AA2E28"/>
    <w:rsid w:val="32CE2FBA"/>
    <w:rsid w:val="333015F2"/>
    <w:rsid w:val="334B6320"/>
    <w:rsid w:val="337771AE"/>
    <w:rsid w:val="33D934D4"/>
    <w:rsid w:val="33FE2F6A"/>
    <w:rsid w:val="340E07E5"/>
    <w:rsid w:val="34235BF7"/>
    <w:rsid w:val="34412BE1"/>
    <w:rsid w:val="358C5FA8"/>
    <w:rsid w:val="35C15DF1"/>
    <w:rsid w:val="35DA3A24"/>
    <w:rsid w:val="36074A7F"/>
    <w:rsid w:val="36923549"/>
    <w:rsid w:val="36B75FBF"/>
    <w:rsid w:val="36BD0C45"/>
    <w:rsid w:val="377C1856"/>
    <w:rsid w:val="37806329"/>
    <w:rsid w:val="37E00298"/>
    <w:rsid w:val="38B302F9"/>
    <w:rsid w:val="38D75EB8"/>
    <w:rsid w:val="38E250CA"/>
    <w:rsid w:val="38F12CD3"/>
    <w:rsid w:val="38F94775"/>
    <w:rsid w:val="392971ED"/>
    <w:rsid w:val="39325651"/>
    <w:rsid w:val="39AB5E64"/>
    <w:rsid w:val="3A872856"/>
    <w:rsid w:val="3B3763D1"/>
    <w:rsid w:val="3C2F6E1E"/>
    <w:rsid w:val="3C4F64BA"/>
    <w:rsid w:val="3CDA245A"/>
    <w:rsid w:val="3D1E06B7"/>
    <w:rsid w:val="3D5F13DF"/>
    <w:rsid w:val="3D846EEA"/>
    <w:rsid w:val="3EDA0523"/>
    <w:rsid w:val="3F0062A9"/>
    <w:rsid w:val="3FD7253D"/>
    <w:rsid w:val="40366A4E"/>
    <w:rsid w:val="405C1C05"/>
    <w:rsid w:val="407A6407"/>
    <w:rsid w:val="413D44F8"/>
    <w:rsid w:val="4200449D"/>
    <w:rsid w:val="423A3BCC"/>
    <w:rsid w:val="424E57D2"/>
    <w:rsid w:val="427A45C5"/>
    <w:rsid w:val="42B26C49"/>
    <w:rsid w:val="433A6FE6"/>
    <w:rsid w:val="43480868"/>
    <w:rsid w:val="4350713C"/>
    <w:rsid w:val="4364553F"/>
    <w:rsid w:val="436653E0"/>
    <w:rsid w:val="43C4431A"/>
    <w:rsid w:val="43C57AC2"/>
    <w:rsid w:val="44B951CC"/>
    <w:rsid w:val="44CD14E0"/>
    <w:rsid w:val="44F20B0B"/>
    <w:rsid w:val="452E5F4C"/>
    <w:rsid w:val="45612018"/>
    <w:rsid w:val="458946E9"/>
    <w:rsid w:val="45A47C0E"/>
    <w:rsid w:val="46577FD6"/>
    <w:rsid w:val="46D955A7"/>
    <w:rsid w:val="47133957"/>
    <w:rsid w:val="47A07E0C"/>
    <w:rsid w:val="4829600C"/>
    <w:rsid w:val="4870272E"/>
    <w:rsid w:val="49227764"/>
    <w:rsid w:val="49DC7715"/>
    <w:rsid w:val="4A023139"/>
    <w:rsid w:val="4A6F5702"/>
    <w:rsid w:val="4A7B576F"/>
    <w:rsid w:val="4AF561A9"/>
    <w:rsid w:val="4B747061"/>
    <w:rsid w:val="4C014B2C"/>
    <w:rsid w:val="4C4A0649"/>
    <w:rsid w:val="4C57001F"/>
    <w:rsid w:val="4C6E3C0B"/>
    <w:rsid w:val="4C7E5ECA"/>
    <w:rsid w:val="4C876AA5"/>
    <w:rsid w:val="4D0E00FB"/>
    <w:rsid w:val="4D176606"/>
    <w:rsid w:val="4D3756FE"/>
    <w:rsid w:val="4D8271BF"/>
    <w:rsid w:val="4DEC4FB0"/>
    <w:rsid w:val="4E04568A"/>
    <w:rsid w:val="4E075D8A"/>
    <w:rsid w:val="4EC00FAD"/>
    <w:rsid w:val="4F9843DC"/>
    <w:rsid w:val="4FC62A8C"/>
    <w:rsid w:val="4FE20F0D"/>
    <w:rsid w:val="4FE51552"/>
    <w:rsid w:val="50504C4B"/>
    <w:rsid w:val="509C6E7C"/>
    <w:rsid w:val="515F1DCB"/>
    <w:rsid w:val="5162104E"/>
    <w:rsid w:val="53385317"/>
    <w:rsid w:val="53A039CC"/>
    <w:rsid w:val="53A1505A"/>
    <w:rsid w:val="54063E08"/>
    <w:rsid w:val="543437E8"/>
    <w:rsid w:val="54F73313"/>
    <w:rsid w:val="54F80955"/>
    <w:rsid w:val="555170A7"/>
    <w:rsid w:val="556B5DCD"/>
    <w:rsid w:val="5587536D"/>
    <w:rsid w:val="559B174B"/>
    <w:rsid w:val="55CE0CF4"/>
    <w:rsid w:val="55FE57CA"/>
    <w:rsid w:val="56660C90"/>
    <w:rsid w:val="56892E37"/>
    <w:rsid w:val="56B22A9C"/>
    <w:rsid w:val="57560D05"/>
    <w:rsid w:val="57B72A76"/>
    <w:rsid w:val="57C3426C"/>
    <w:rsid w:val="57CE1F93"/>
    <w:rsid w:val="588743D1"/>
    <w:rsid w:val="5887701A"/>
    <w:rsid w:val="59C0439F"/>
    <w:rsid w:val="5A5338E2"/>
    <w:rsid w:val="5A76346C"/>
    <w:rsid w:val="5ABE2233"/>
    <w:rsid w:val="5BDF5D95"/>
    <w:rsid w:val="5BFE7528"/>
    <w:rsid w:val="5CF12C73"/>
    <w:rsid w:val="5CF738E6"/>
    <w:rsid w:val="5D663286"/>
    <w:rsid w:val="5DD36CF1"/>
    <w:rsid w:val="5E1B2CA8"/>
    <w:rsid w:val="5E2467F1"/>
    <w:rsid w:val="5EED2DC8"/>
    <w:rsid w:val="5F016CE8"/>
    <w:rsid w:val="5F1A2B43"/>
    <w:rsid w:val="5FB837BB"/>
    <w:rsid w:val="60CC405A"/>
    <w:rsid w:val="60E82C01"/>
    <w:rsid w:val="61492793"/>
    <w:rsid w:val="617F354E"/>
    <w:rsid w:val="618A0B96"/>
    <w:rsid w:val="61E215D8"/>
    <w:rsid w:val="621B3775"/>
    <w:rsid w:val="62364782"/>
    <w:rsid w:val="6394356A"/>
    <w:rsid w:val="63C61B2C"/>
    <w:rsid w:val="63D40BE9"/>
    <w:rsid w:val="64102431"/>
    <w:rsid w:val="647E203D"/>
    <w:rsid w:val="64A5243A"/>
    <w:rsid w:val="64F531DE"/>
    <w:rsid w:val="65373578"/>
    <w:rsid w:val="655D3558"/>
    <w:rsid w:val="65826222"/>
    <w:rsid w:val="66CD05F6"/>
    <w:rsid w:val="67187161"/>
    <w:rsid w:val="671F124A"/>
    <w:rsid w:val="677A33C6"/>
    <w:rsid w:val="681F6961"/>
    <w:rsid w:val="68466DD7"/>
    <w:rsid w:val="68610A2F"/>
    <w:rsid w:val="68805514"/>
    <w:rsid w:val="69316E2F"/>
    <w:rsid w:val="694E2071"/>
    <w:rsid w:val="69766163"/>
    <w:rsid w:val="697A3B33"/>
    <w:rsid w:val="69D44760"/>
    <w:rsid w:val="6A3A6264"/>
    <w:rsid w:val="6A520EC7"/>
    <w:rsid w:val="6AF87E20"/>
    <w:rsid w:val="6B322639"/>
    <w:rsid w:val="6BCD76CA"/>
    <w:rsid w:val="6C636C38"/>
    <w:rsid w:val="6C64581A"/>
    <w:rsid w:val="6CF25F94"/>
    <w:rsid w:val="6DB34098"/>
    <w:rsid w:val="6DB545B6"/>
    <w:rsid w:val="6DE02FB4"/>
    <w:rsid w:val="6E514CED"/>
    <w:rsid w:val="6EB563D5"/>
    <w:rsid w:val="6ED92677"/>
    <w:rsid w:val="6F225983"/>
    <w:rsid w:val="6FFC5590"/>
    <w:rsid w:val="706D1DD0"/>
    <w:rsid w:val="70856B87"/>
    <w:rsid w:val="70D527EE"/>
    <w:rsid w:val="715B5300"/>
    <w:rsid w:val="71AB5C99"/>
    <w:rsid w:val="71C50B09"/>
    <w:rsid w:val="71D27F8A"/>
    <w:rsid w:val="72553024"/>
    <w:rsid w:val="73122968"/>
    <w:rsid w:val="731C0BFD"/>
    <w:rsid w:val="731F5D5E"/>
    <w:rsid w:val="7371736D"/>
    <w:rsid w:val="73C51AD5"/>
    <w:rsid w:val="741E793C"/>
    <w:rsid w:val="745E3944"/>
    <w:rsid w:val="752E10BB"/>
    <w:rsid w:val="753408A9"/>
    <w:rsid w:val="75924115"/>
    <w:rsid w:val="7635099D"/>
    <w:rsid w:val="765E373E"/>
    <w:rsid w:val="76D637B8"/>
    <w:rsid w:val="77501B09"/>
    <w:rsid w:val="77762421"/>
    <w:rsid w:val="77B56B1F"/>
    <w:rsid w:val="780F09F4"/>
    <w:rsid w:val="78A90480"/>
    <w:rsid w:val="7A364017"/>
    <w:rsid w:val="7A756E44"/>
    <w:rsid w:val="7A8265E1"/>
    <w:rsid w:val="7B567622"/>
    <w:rsid w:val="7B686D42"/>
    <w:rsid w:val="7B841746"/>
    <w:rsid w:val="7BCC204D"/>
    <w:rsid w:val="7BD77DB7"/>
    <w:rsid w:val="7C6C5AC7"/>
    <w:rsid w:val="7CC6544B"/>
    <w:rsid w:val="7CF93984"/>
    <w:rsid w:val="7D0239FF"/>
    <w:rsid w:val="7D5E40CD"/>
    <w:rsid w:val="7DCD56F2"/>
    <w:rsid w:val="7DCE0338"/>
    <w:rsid w:val="7E454319"/>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8"/>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4"/>
    <w:link w:val="92"/>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5">
    <w:name w:val="heading 3"/>
    <w:basedOn w:val="1"/>
    <w:next w:val="4"/>
    <w:link w:val="93"/>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1"/>
    <w:link w:val="94"/>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4"/>
    <w:link w:val="95"/>
    <w:qFormat/>
    <w:locked/>
    <w:uiPriority w:val="0"/>
    <w:pPr>
      <w:keepNext/>
      <w:tabs>
        <w:tab w:val="left" w:pos="1080"/>
      </w:tabs>
      <w:ind w:left="851" w:hanging="851"/>
      <w:outlineLvl w:val="4"/>
    </w:pPr>
    <w:rPr>
      <w:rFonts w:ascii="Arial" w:hAnsi="Arial"/>
      <w:b/>
      <w:sz w:val="28"/>
      <w:szCs w:val="20"/>
    </w:rPr>
  </w:style>
  <w:style w:type="paragraph" w:styleId="8">
    <w:name w:val="heading 6"/>
    <w:basedOn w:val="1"/>
    <w:next w:val="1"/>
    <w:link w:val="96"/>
    <w:qFormat/>
    <w:locked/>
    <w:uiPriority w:val="0"/>
    <w:pPr>
      <w:keepNext/>
      <w:widowControl/>
      <w:tabs>
        <w:tab w:val="left" w:pos="0"/>
      </w:tabs>
      <w:jc w:val="center"/>
      <w:outlineLvl w:val="5"/>
    </w:pPr>
    <w:rPr>
      <w:rFonts w:eastAsia="楷体_GB2312"/>
      <w:b/>
      <w:kern w:val="0"/>
      <w:sz w:val="20"/>
      <w:szCs w:val="20"/>
    </w:rPr>
  </w:style>
  <w:style w:type="paragraph" w:styleId="9">
    <w:name w:val="heading 7"/>
    <w:basedOn w:val="1"/>
    <w:next w:val="1"/>
    <w:link w:val="97"/>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eastAsia="zh-CN"/>
    </w:rPr>
  </w:style>
  <w:style w:type="paragraph" w:styleId="10">
    <w:name w:val="heading 8"/>
    <w:basedOn w:val="1"/>
    <w:next w:val="1"/>
    <w:link w:val="98"/>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eastAsia="zh-CN"/>
    </w:rPr>
  </w:style>
  <w:style w:type="paragraph" w:styleId="11">
    <w:name w:val="heading 9"/>
    <w:basedOn w:val="1"/>
    <w:next w:val="1"/>
    <w:link w:val="99"/>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eastAsia="zh-CN"/>
    </w:rPr>
  </w:style>
  <w:style w:type="character" w:default="1" w:styleId="65">
    <w:name w:val="Default Paragraph Font"/>
    <w:semiHidden/>
    <w:unhideWhenUsed/>
    <w:qFormat/>
    <w:uiPriority w:val="1"/>
  </w:style>
  <w:style w:type="table" w:default="1" w:styleId="5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link w:val="140"/>
    <w:qFormat/>
    <w:locked/>
    <w:uiPriority w:val="0"/>
    <w:pPr>
      <w:ind w:firstLine="420"/>
    </w:pPr>
    <w:rPr>
      <w:kern w:val="0"/>
      <w:sz w:val="20"/>
      <w:szCs w:val="20"/>
    </w:rPr>
  </w:style>
  <w:style w:type="paragraph" w:styleId="12">
    <w:name w:val="toc 7"/>
    <w:basedOn w:val="1"/>
    <w:next w:val="1"/>
    <w:qFormat/>
    <w:locked/>
    <w:uiPriority w:val="39"/>
    <w:pPr>
      <w:ind w:left="2520" w:leftChars="1200"/>
    </w:pPr>
  </w:style>
  <w:style w:type="paragraph" w:styleId="13">
    <w:name w:val="table of authorities"/>
    <w:basedOn w:val="1"/>
    <w:next w:val="1"/>
    <w:qFormat/>
    <w:locked/>
    <w:uiPriority w:val="0"/>
    <w:rPr>
      <w:rFonts w:ascii="宋体"/>
      <w:sz w:val="28"/>
      <w:szCs w:val="20"/>
    </w:rPr>
  </w:style>
  <w:style w:type="paragraph" w:styleId="14">
    <w:name w:val="Note Heading"/>
    <w:basedOn w:val="1"/>
    <w:next w:val="1"/>
    <w:link w:val="240"/>
    <w:qFormat/>
    <w:locked/>
    <w:uiPriority w:val="0"/>
    <w:pPr>
      <w:jc w:val="center"/>
    </w:pPr>
    <w:rPr>
      <w:rFonts w:ascii="宋体"/>
      <w:szCs w:val="20"/>
    </w:rPr>
  </w:style>
  <w:style w:type="paragraph" w:styleId="15">
    <w:name w:val="index 8"/>
    <w:basedOn w:val="1"/>
    <w:next w:val="1"/>
    <w:qFormat/>
    <w:locked/>
    <w:uiPriority w:val="0"/>
    <w:pPr>
      <w:ind w:left="1400" w:leftChars="1400"/>
    </w:pPr>
  </w:style>
  <w:style w:type="paragraph" w:styleId="16">
    <w:name w:val="List Number"/>
    <w:basedOn w:val="1"/>
    <w:qFormat/>
    <w:locked/>
    <w:uiPriority w:val="0"/>
    <w:pPr>
      <w:tabs>
        <w:tab w:val="left" w:pos="360"/>
        <w:tab w:val="left" w:pos="780"/>
      </w:tabs>
      <w:ind w:left="780" w:hanging="210"/>
    </w:pPr>
  </w:style>
  <w:style w:type="paragraph" w:styleId="17">
    <w:name w:val="caption"/>
    <w:basedOn w:val="1"/>
    <w:next w:val="1"/>
    <w:qFormat/>
    <w:locked/>
    <w:uiPriority w:val="0"/>
    <w:pPr>
      <w:keepNext/>
      <w:snapToGrid w:val="0"/>
      <w:jc w:val="center"/>
    </w:pPr>
    <w:rPr>
      <w:rFonts w:ascii="宋体" w:hAnsi="宋体" w:cs="Arial"/>
      <w:szCs w:val="20"/>
    </w:rPr>
  </w:style>
  <w:style w:type="paragraph" w:styleId="18">
    <w:name w:val="Document Map"/>
    <w:basedOn w:val="1"/>
    <w:link w:val="139"/>
    <w:qFormat/>
    <w:locked/>
    <w:uiPriority w:val="99"/>
    <w:pPr>
      <w:widowControl/>
      <w:jc w:val="left"/>
    </w:pPr>
    <w:rPr>
      <w:rFonts w:ascii="宋体"/>
      <w:kern w:val="0"/>
      <w:sz w:val="18"/>
      <w:szCs w:val="20"/>
    </w:rPr>
  </w:style>
  <w:style w:type="paragraph" w:styleId="19">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0">
    <w:name w:val="annotation text"/>
    <w:basedOn w:val="1"/>
    <w:link w:val="84"/>
    <w:qFormat/>
    <w:uiPriority w:val="99"/>
    <w:pPr>
      <w:jc w:val="left"/>
    </w:pPr>
    <w:rPr>
      <w:kern w:val="0"/>
      <w:sz w:val="24"/>
      <w:szCs w:val="20"/>
    </w:rPr>
  </w:style>
  <w:style w:type="paragraph" w:styleId="21">
    <w:name w:val="index 6"/>
    <w:basedOn w:val="1"/>
    <w:next w:val="1"/>
    <w:qFormat/>
    <w:locked/>
    <w:uiPriority w:val="99"/>
    <w:pPr>
      <w:widowControl/>
      <w:ind w:left="1000" w:leftChars="1000"/>
      <w:jc w:val="left"/>
    </w:pPr>
    <w:rPr>
      <w:kern w:val="0"/>
      <w:sz w:val="20"/>
      <w:szCs w:val="20"/>
    </w:rPr>
  </w:style>
  <w:style w:type="paragraph" w:styleId="22">
    <w:name w:val="Body Text 3"/>
    <w:basedOn w:val="1"/>
    <w:link w:val="253"/>
    <w:qFormat/>
    <w:locked/>
    <w:uiPriority w:val="99"/>
    <w:pPr>
      <w:spacing w:after="120"/>
    </w:pPr>
    <w:rPr>
      <w:rFonts w:ascii="宋体" w:hAnsi="宋体"/>
      <w:sz w:val="16"/>
      <w:szCs w:val="16"/>
    </w:rPr>
  </w:style>
  <w:style w:type="paragraph" w:styleId="23">
    <w:name w:val="Body Text"/>
    <w:basedOn w:val="1"/>
    <w:next w:val="24"/>
    <w:link w:val="85"/>
    <w:qFormat/>
    <w:uiPriority w:val="0"/>
    <w:pPr>
      <w:widowControl/>
      <w:snapToGrid w:val="0"/>
      <w:spacing w:before="60" w:after="160" w:line="259" w:lineRule="auto"/>
      <w:ind w:right="113"/>
    </w:pPr>
    <w:rPr>
      <w:kern w:val="0"/>
      <w:sz w:val="18"/>
      <w:szCs w:val="20"/>
    </w:rPr>
  </w:style>
  <w:style w:type="paragraph" w:customStyle="1" w:styleId="24">
    <w:name w:val="xl27"/>
    <w:basedOn w:val="1"/>
    <w:next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styleId="25">
    <w:name w:val="Body Text Indent"/>
    <w:basedOn w:val="1"/>
    <w:link w:val="79"/>
    <w:qFormat/>
    <w:uiPriority w:val="0"/>
    <w:pPr>
      <w:spacing w:after="120"/>
      <w:ind w:left="420" w:leftChars="200"/>
    </w:pPr>
    <w:rPr>
      <w:kern w:val="0"/>
      <w:sz w:val="24"/>
      <w:szCs w:val="20"/>
    </w:rPr>
  </w:style>
  <w:style w:type="paragraph" w:styleId="26">
    <w:name w:val="List 2"/>
    <w:basedOn w:val="1"/>
    <w:qFormat/>
    <w:locked/>
    <w:uiPriority w:val="0"/>
    <w:pPr>
      <w:spacing w:line="360" w:lineRule="exact"/>
      <w:jc w:val="center"/>
    </w:pPr>
    <w:rPr>
      <w:rFonts w:ascii="仿宋_GB2312" w:eastAsia="仿宋_GB2312"/>
      <w:szCs w:val="20"/>
    </w:rPr>
  </w:style>
  <w:style w:type="paragraph" w:styleId="27">
    <w:name w:val="Block Text"/>
    <w:basedOn w:val="1"/>
    <w:qFormat/>
    <w:locked/>
    <w:uiPriority w:val="0"/>
    <w:pPr>
      <w:widowControl/>
      <w:spacing w:after="120"/>
      <w:ind w:left="1440" w:leftChars="700" w:right="1440" w:rightChars="700"/>
      <w:jc w:val="left"/>
    </w:pPr>
    <w:rPr>
      <w:kern w:val="0"/>
      <w:sz w:val="20"/>
      <w:szCs w:val="20"/>
    </w:rPr>
  </w:style>
  <w:style w:type="paragraph" w:styleId="28">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29">
    <w:name w:val="index 4"/>
    <w:basedOn w:val="1"/>
    <w:next w:val="1"/>
    <w:qFormat/>
    <w:locked/>
    <w:uiPriority w:val="0"/>
    <w:pPr>
      <w:suppressAutoHyphens/>
      <w:adjustRightInd w:val="0"/>
      <w:spacing w:line="300" w:lineRule="auto"/>
      <w:ind w:left="1260"/>
    </w:pPr>
    <w:rPr>
      <w:kern w:val="28"/>
      <w:sz w:val="24"/>
      <w:szCs w:val="20"/>
    </w:rPr>
  </w:style>
  <w:style w:type="paragraph" w:styleId="30">
    <w:name w:val="toc 5"/>
    <w:basedOn w:val="1"/>
    <w:next w:val="1"/>
    <w:qFormat/>
    <w:locked/>
    <w:uiPriority w:val="39"/>
    <w:pPr>
      <w:adjustRightInd w:val="0"/>
      <w:snapToGrid w:val="0"/>
      <w:spacing w:line="360" w:lineRule="auto"/>
      <w:ind w:left="840" w:firstLine="112"/>
      <w:jc w:val="center"/>
    </w:pPr>
    <w:rPr>
      <w:sz w:val="20"/>
      <w:szCs w:val="20"/>
    </w:rPr>
  </w:style>
  <w:style w:type="paragraph" w:styleId="31">
    <w:name w:val="toc 3"/>
    <w:basedOn w:val="1"/>
    <w:next w:val="1"/>
    <w:qFormat/>
    <w:locked/>
    <w:uiPriority w:val="39"/>
    <w:pPr>
      <w:ind w:left="240"/>
      <w:jc w:val="left"/>
    </w:pPr>
    <w:rPr>
      <w:sz w:val="20"/>
      <w:szCs w:val="20"/>
    </w:rPr>
  </w:style>
  <w:style w:type="paragraph" w:styleId="32">
    <w:name w:val="Plain Text"/>
    <w:basedOn w:val="1"/>
    <w:link w:val="100"/>
    <w:qFormat/>
    <w:locked/>
    <w:uiPriority w:val="0"/>
    <w:rPr>
      <w:rFonts w:ascii="宋体" w:hAnsi="Courier New"/>
      <w:kern w:val="0"/>
      <w:szCs w:val="20"/>
    </w:rPr>
  </w:style>
  <w:style w:type="paragraph" w:styleId="33">
    <w:name w:val="List Bullet 5"/>
    <w:basedOn w:val="1"/>
    <w:qFormat/>
    <w:locked/>
    <w:uiPriority w:val="0"/>
    <w:pPr>
      <w:widowControl/>
      <w:spacing w:line="360" w:lineRule="auto"/>
      <w:ind w:firstLine="480"/>
      <w:jc w:val="left"/>
    </w:pPr>
    <w:rPr>
      <w:kern w:val="0"/>
      <w:sz w:val="24"/>
    </w:rPr>
  </w:style>
  <w:style w:type="paragraph" w:styleId="34">
    <w:name w:val="toc 8"/>
    <w:basedOn w:val="1"/>
    <w:next w:val="1"/>
    <w:qFormat/>
    <w:locked/>
    <w:uiPriority w:val="39"/>
    <w:pPr>
      <w:ind w:left="1440"/>
      <w:jc w:val="left"/>
    </w:pPr>
    <w:rPr>
      <w:sz w:val="20"/>
      <w:szCs w:val="20"/>
    </w:rPr>
  </w:style>
  <w:style w:type="paragraph" w:styleId="35">
    <w:name w:val="Date"/>
    <w:basedOn w:val="1"/>
    <w:next w:val="1"/>
    <w:link w:val="82"/>
    <w:qFormat/>
    <w:uiPriority w:val="99"/>
    <w:pPr>
      <w:ind w:left="100" w:leftChars="2500"/>
    </w:pPr>
    <w:rPr>
      <w:kern w:val="0"/>
      <w:sz w:val="24"/>
      <w:szCs w:val="20"/>
    </w:rPr>
  </w:style>
  <w:style w:type="paragraph" w:styleId="36">
    <w:name w:val="Body Text Indent 2"/>
    <w:basedOn w:val="1"/>
    <w:link w:val="104"/>
    <w:qFormat/>
    <w:locked/>
    <w:uiPriority w:val="0"/>
    <w:pPr>
      <w:widowControl/>
      <w:ind w:firstLine="600"/>
    </w:pPr>
    <w:rPr>
      <w:rFonts w:eastAsia="仿宋_GB2312"/>
      <w:b/>
      <w:kern w:val="0"/>
      <w:sz w:val="20"/>
      <w:szCs w:val="20"/>
    </w:rPr>
  </w:style>
  <w:style w:type="paragraph" w:styleId="37">
    <w:name w:val="endnote text"/>
    <w:basedOn w:val="1"/>
    <w:link w:val="541"/>
    <w:unhideWhenUsed/>
    <w:qFormat/>
    <w:locked/>
    <w:uiPriority w:val="99"/>
    <w:pPr>
      <w:adjustRightInd w:val="0"/>
      <w:snapToGrid w:val="0"/>
      <w:spacing w:line="312" w:lineRule="atLeast"/>
      <w:jc w:val="left"/>
      <w:textAlignment w:val="baseline"/>
    </w:pPr>
    <w:rPr>
      <w:kern w:val="0"/>
      <w:szCs w:val="20"/>
      <w:lang w:val="zh-CN" w:eastAsia="zh-CN"/>
    </w:rPr>
  </w:style>
  <w:style w:type="paragraph" w:styleId="38">
    <w:name w:val="Balloon Text"/>
    <w:basedOn w:val="1"/>
    <w:link w:val="86"/>
    <w:qFormat/>
    <w:uiPriority w:val="99"/>
    <w:rPr>
      <w:kern w:val="0"/>
      <w:sz w:val="18"/>
      <w:szCs w:val="20"/>
    </w:rPr>
  </w:style>
  <w:style w:type="paragraph" w:styleId="39">
    <w:name w:val="footer"/>
    <w:basedOn w:val="1"/>
    <w:link w:val="80"/>
    <w:qFormat/>
    <w:uiPriority w:val="99"/>
    <w:pPr>
      <w:tabs>
        <w:tab w:val="center" w:pos="4153"/>
        <w:tab w:val="right" w:pos="8306"/>
      </w:tabs>
      <w:snapToGrid w:val="0"/>
      <w:jc w:val="left"/>
    </w:pPr>
    <w:rPr>
      <w:kern w:val="0"/>
      <w:sz w:val="18"/>
      <w:szCs w:val="20"/>
    </w:rPr>
  </w:style>
  <w:style w:type="paragraph" w:styleId="40">
    <w:name w:val="header"/>
    <w:basedOn w:val="1"/>
    <w:link w:val="77"/>
    <w:qFormat/>
    <w:uiPriority w:val="99"/>
    <w:pPr>
      <w:pBdr>
        <w:bottom w:val="single" w:color="auto" w:sz="6" w:space="1"/>
      </w:pBdr>
      <w:tabs>
        <w:tab w:val="center" w:pos="4153"/>
        <w:tab w:val="right" w:pos="8306"/>
      </w:tabs>
      <w:snapToGrid w:val="0"/>
      <w:jc w:val="center"/>
    </w:pPr>
    <w:rPr>
      <w:kern w:val="0"/>
      <w:sz w:val="18"/>
      <w:szCs w:val="20"/>
    </w:rPr>
  </w:style>
  <w:style w:type="paragraph" w:styleId="41">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2">
    <w:name w:val="toc 4"/>
    <w:basedOn w:val="1"/>
    <w:next w:val="1"/>
    <w:qFormat/>
    <w:locked/>
    <w:uiPriority w:val="39"/>
    <w:pPr>
      <w:ind w:left="480"/>
      <w:jc w:val="left"/>
    </w:pPr>
    <w:rPr>
      <w:sz w:val="20"/>
      <w:szCs w:val="20"/>
    </w:rPr>
  </w:style>
  <w:style w:type="paragraph" w:styleId="43">
    <w:name w:val="index heading"/>
    <w:basedOn w:val="1"/>
    <w:next w:val="44"/>
    <w:qFormat/>
    <w:locked/>
    <w:uiPriority w:val="0"/>
    <w:pPr>
      <w:spacing w:line="500" w:lineRule="exact"/>
    </w:pPr>
    <w:rPr>
      <w:rFonts w:ascii="仿宋_GB2312" w:eastAsia="仿宋_GB2312"/>
      <w:sz w:val="28"/>
      <w:szCs w:val="20"/>
    </w:rPr>
  </w:style>
  <w:style w:type="paragraph" w:styleId="44">
    <w:name w:val="index 1"/>
    <w:basedOn w:val="1"/>
    <w:next w:val="1"/>
    <w:qFormat/>
    <w:locked/>
    <w:uiPriority w:val="0"/>
  </w:style>
  <w:style w:type="paragraph" w:styleId="45">
    <w:name w:val="Subtitle"/>
    <w:basedOn w:val="1"/>
    <w:next w:val="1"/>
    <w:link w:val="103"/>
    <w:qFormat/>
    <w:locked/>
    <w:uiPriority w:val="0"/>
    <w:pPr>
      <w:spacing w:line="480" w:lineRule="exact"/>
      <w:jc w:val="center"/>
      <w:outlineLvl w:val="4"/>
    </w:pPr>
    <w:rPr>
      <w:rFonts w:ascii="Cambria" w:hAnsi="Cambria"/>
      <w:kern w:val="0"/>
      <w:sz w:val="24"/>
      <w:szCs w:val="20"/>
      <w:lang w:eastAsia="en-US"/>
    </w:rPr>
  </w:style>
  <w:style w:type="paragraph" w:styleId="46">
    <w:name w:val="List"/>
    <w:basedOn w:val="1"/>
    <w:qFormat/>
    <w:locked/>
    <w:uiPriority w:val="99"/>
    <w:pPr>
      <w:spacing w:line="360" w:lineRule="exact"/>
      <w:jc w:val="center"/>
    </w:pPr>
    <w:rPr>
      <w:rFonts w:ascii="仿宋_GB2312" w:eastAsia="仿宋_GB2312"/>
      <w:sz w:val="24"/>
      <w:szCs w:val="20"/>
    </w:rPr>
  </w:style>
  <w:style w:type="paragraph" w:styleId="47">
    <w:name w:val="toc 6"/>
    <w:basedOn w:val="1"/>
    <w:next w:val="1"/>
    <w:qFormat/>
    <w:locked/>
    <w:uiPriority w:val="39"/>
    <w:pPr>
      <w:ind w:left="960"/>
      <w:jc w:val="left"/>
    </w:pPr>
    <w:rPr>
      <w:sz w:val="20"/>
      <w:szCs w:val="20"/>
    </w:rPr>
  </w:style>
  <w:style w:type="paragraph" w:styleId="48">
    <w:name w:val="Body Text Indent 3"/>
    <w:basedOn w:val="1"/>
    <w:link w:val="111"/>
    <w:qFormat/>
    <w:locked/>
    <w:uiPriority w:val="0"/>
    <w:pPr>
      <w:widowControl/>
      <w:spacing w:line="440" w:lineRule="exact"/>
      <w:ind w:firstLine="561" w:firstLineChars="200"/>
    </w:pPr>
    <w:rPr>
      <w:rFonts w:eastAsia="楷体_GB2312"/>
      <w:b/>
      <w:kern w:val="0"/>
      <w:sz w:val="20"/>
      <w:szCs w:val="20"/>
    </w:rPr>
  </w:style>
  <w:style w:type="paragraph" w:styleId="49">
    <w:name w:val="table of figures"/>
    <w:basedOn w:val="1"/>
    <w:next w:val="1"/>
    <w:qFormat/>
    <w:locked/>
    <w:uiPriority w:val="0"/>
    <w:pPr>
      <w:ind w:left="200" w:leftChars="200" w:hanging="200" w:hangingChars="200"/>
    </w:pPr>
  </w:style>
  <w:style w:type="paragraph" w:styleId="50">
    <w:name w:val="toc 2"/>
    <w:basedOn w:val="1"/>
    <w:next w:val="1"/>
    <w:qFormat/>
    <w:locked/>
    <w:uiPriority w:val="39"/>
    <w:pPr>
      <w:tabs>
        <w:tab w:val="right" w:leader="dot" w:pos="9061"/>
      </w:tabs>
      <w:spacing w:line="360" w:lineRule="auto"/>
      <w:ind w:firstLine="480" w:firstLineChars="200"/>
    </w:pPr>
    <w:rPr>
      <w:sz w:val="24"/>
    </w:rPr>
  </w:style>
  <w:style w:type="paragraph" w:styleId="51">
    <w:name w:val="toc 9"/>
    <w:basedOn w:val="1"/>
    <w:next w:val="1"/>
    <w:qFormat/>
    <w:locked/>
    <w:uiPriority w:val="39"/>
    <w:pPr>
      <w:ind w:left="1680"/>
      <w:jc w:val="left"/>
    </w:pPr>
    <w:rPr>
      <w:sz w:val="20"/>
      <w:szCs w:val="20"/>
    </w:rPr>
  </w:style>
  <w:style w:type="paragraph" w:styleId="52">
    <w:name w:val="Body Text 2"/>
    <w:basedOn w:val="1"/>
    <w:link w:val="156"/>
    <w:qFormat/>
    <w:locked/>
    <w:uiPriority w:val="99"/>
    <w:pPr>
      <w:spacing w:after="120" w:line="480" w:lineRule="auto"/>
    </w:pPr>
    <w:rPr>
      <w:kern w:val="0"/>
      <w:sz w:val="20"/>
      <w:szCs w:val="20"/>
    </w:rPr>
  </w:style>
  <w:style w:type="paragraph" w:styleId="53">
    <w:name w:val="HTML Preformatted"/>
    <w:basedOn w:val="1"/>
    <w:link w:val="272"/>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eastAsia="zh-CN"/>
    </w:rPr>
  </w:style>
  <w:style w:type="paragraph" w:styleId="54">
    <w:name w:val="Normal (Web)"/>
    <w:basedOn w:val="1"/>
    <w:link w:val="78"/>
    <w:qFormat/>
    <w:uiPriority w:val="99"/>
    <w:pPr>
      <w:widowControl/>
      <w:spacing w:before="100" w:beforeAutospacing="1" w:after="100" w:afterAutospacing="1"/>
      <w:jc w:val="left"/>
    </w:pPr>
    <w:rPr>
      <w:rFonts w:ascii="宋体" w:hAnsi="宋体"/>
      <w:kern w:val="0"/>
      <w:sz w:val="24"/>
      <w:szCs w:val="20"/>
    </w:rPr>
  </w:style>
  <w:style w:type="paragraph" w:styleId="55">
    <w:name w:val="Title"/>
    <w:basedOn w:val="1"/>
    <w:link w:val="112"/>
    <w:qFormat/>
    <w:locked/>
    <w:uiPriority w:val="0"/>
    <w:pPr>
      <w:widowControl/>
      <w:spacing w:before="100" w:beforeAutospacing="1" w:after="100" w:afterAutospacing="1"/>
      <w:jc w:val="left"/>
    </w:pPr>
    <w:rPr>
      <w:rFonts w:ascii="宋体"/>
      <w:kern w:val="0"/>
      <w:sz w:val="24"/>
      <w:szCs w:val="20"/>
    </w:rPr>
  </w:style>
  <w:style w:type="paragraph" w:styleId="56">
    <w:name w:val="annotation subject"/>
    <w:basedOn w:val="20"/>
    <w:next w:val="20"/>
    <w:link w:val="81"/>
    <w:qFormat/>
    <w:uiPriority w:val="99"/>
    <w:rPr>
      <w:b/>
    </w:rPr>
  </w:style>
  <w:style w:type="paragraph" w:styleId="57">
    <w:name w:val="Body Text First Indent"/>
    <w:basedOn w:val="23"/>
    <w:link w:val="133"/>
    <w:qFormat/>
    <w:locked/>
    <w:uiPriority w:val="99"/>
    <w:pPr>
      <w:widowControl w:val="0"/>
      <w:snapToGrid/>
      <w:spacing w:before="0" w:after="120" w:line="240" w:lineRule="auto"/>
      <w:ind w:right="0" w:firstLine="420" w:firstLineChars="100"/>
    </w:pPr>
    <w:rPr>
      <w:sz w:val="20"/>
    </w:rPr>
  </w:style>
  <w:style w:type="paragraph" w:styleId="58">
    <w:name w:val="Body Text First Indent 2"/>
    <w:basedOn w:val="25"/>
    <w:link w:val="222"/>
    <w:unhideWhenUsed/>
    <w:qFormat/>
    <w:locked/>
    <w:uiPriority w:val="0"/>
    <w:pPr>
      <w:widowControl/>
      <w:ind w:firstLine="420" w:firstLineChars="200"/>
      <w:jc w:val="left"/>
    </w:pPr>
    <w:rPr>
      <w:sz w:val="20"/>
    </w:rPr>
  </w:style>
  <w:style w:type="table" w:styleId="60">
    <w:name w:val="Table Grid"/>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1">
    <w:name w:val="Table Theme"/>
    <w:basedOn w:val="59"/>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2">
    <w:name w:val="Table Elegant"/>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3">
    <w:name w:val="Table Grid 1"/>
    <w:basedOn w:val="59"/>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4">
    <w:name w:val="Table Grid 5"/>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6">
    <w:name w:val="Strong"/>
    <w:qFormat/>
    <w:locked/>
    <w:uiPriority w:val="22"/>
    <w:rPr>
      <w:b/>
      <w:bCs/>
    </w:rPr>
  </w:style>
  <w:style w:type="character" w:styleId="67">
    <w:name w:val="endnote reference"/>
    <w:unhideWhenUsed/>
    <w:qFormat/>
    <w:locked/>
    <w:uiPriority w:val="99"/>
    <w:rPr>
      <w:rFonts w:cs="Times New Roman"/>
      <w:vertAlign w:val="superscript"/>
    </w:rPr>
  </w:style>
  <w:style w:type="character" w:styleId="68">
    <w:name w:val="page number"/>
    <w:basedOn w:val="65"/>
    <w:qFormat/>
    <w:locked/>
    <w:uiPriority w:val="0"/>
  </w:style>
  <w:style w:type="character" w:styleId="69">
    <w:name w:val="FollowedHyperlink"/>
    <w:qFormat/>
    <w:locked/>
    <w:uiPriority w:val="0"/>
    <w:rPr>
      <w:color w:val="800080"/>
      <w:u w:val="single"/>
    </w:rPr>
  </w:style>
  <w:style w:type="character" w:styleId="70">
    <w:name w:val="Emphasis"/>
    <w:qFormat/>
    <w:locked/>
    <w:uiPriority w:val="20"/>
    <w:rPr>
      <w:color w:val="CC0000"/>
    </w:rPr>
  </w:style>
  <w:style w:type="character" w:styleId="71">
    <w:name w:val="HTML Typewriter"/>
    <w:qFormat/>
    <w:locked/>
    <w:uiPriority w:val="0"/>
    <w:rPr>
      <w:rFonts w:ascii="宋体" w:hAnsi="宋体" w:eastAsia="宋体" w:cs="宋体"/>
      <w:sz w:val="24"/>
      <w:szCs w:val="24"/>
    </w:rPr>
  </w:style>
  <w:style w:type="character" w:styleId="72">
    <w:name w:val="Hyperlink"/>
    <w:qFormat/>
    <w:locked/>
    <w:uiPriority w:val="99"/>
    <w:rPr>
      <w:rFonts w:cs="Times New Roman"/>
      <w:color w:val="136EC2"/>
      <w:u w:val="single"/>
    </w:rPr>
  </w:style>
  <w:style w:type="character" w:styleId="73">
    <w:name w:val="annotation reference"/>
    <w:qFormat/>
    <w:uiPriority w:val="99"/>
    <w:rPr>
      <w:sz w:val="21"/>
    </w:rPr>
  </w:style>
  <w:style w:type="paragraph" w:customStyle="1" w:styleId="74">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75">
    <w:name w:val="批注文字 字符1"/>
    <w:semiHidden/>
    <w:qFormat/>
    <w:uiPriority w:val="0"/>
    <w:rPr>
      <w:rFonts w:ascii="Times New Roman" w:hAnsi="Times New Roman" w:eastAsia="宋体"/>
      <w:sz w:val="24"/>
    </w:rPr>
  </w:style>
  <w:style w:type="character" w:customStyle="1" w:styleId="76">
    <w:name w:val="页脚 字符"/>
    <w:basedOn w:val="65"/>
    <w:qFormat/>
    <w:uiPriority w:val="99"/>
  </w:style>
  <w:style w:type="character" w:customStyle="1" w:styleId="77">
    <w:name w:val="页眉 Char2"/>
    <w:link w:val="40"/>
    <w:qFormat/>
    <w:locked/>
    <w:uiPriority w:val="99"/>
    <w:rPr>
      <w:sz w:val="18"/>
    </w:rPr>
  </w:style>
  <w:style w:type="character" w:customStyle="1" w:styleId="78">
    <w:name w:val="普通(网站) Char2"/>
    <w:link w:val="54"/>
    <w:qFormat/>
    <w:locked/>
    <w:uiPriority w:val="0"/>
    <w:rPr>
      <w:rFonts w:ascii="宋体" w:hAnsi="宋体" w:eastAsia="宋体"/>
      <w:sz w:val="24"/>
    </w:rPr>
  </w:style>
  <w:style w:type="character" w:customStyle="1" w:styleId="79">
    <w:name w:val="正文文本缩进 Char3"/>
    <w:link w:val="25"/>
    <w:qFormat/>
    <w:locked/>
    <w:uiPriority w:val="0"/>
    <w:rPr>
      <w:rFonts w:ascii="Times New Roman" w:hAnsi="Times New Roman" w:eastAsia="宋体"/>
      <w:sz w:val="24"/>
    </w:rPr>
  </w:style>
  <w:style w:type="character" w:customStyle="1" w:styleId="80">
    <w:name w:val="页脚 Char3"/>
    <w:link w:val="39"/>
    <w:qFormat/>
    <w:locked/>
    <w:uiPriority w:val="99"/>
    <w:rPr>
      <w:sz w:val="18"/>
    </w:rPr>
  </w:style>
  <w:style w:type="character" w:customStyle="1" w:styleId="81">
    <w:name w:val="批注主题 Char2"/>
    <w:link w:val="56"/>
    <w:qFormat/>
    <w:locked/>
    <w:uiPriority w:val="99"/>
    <w:rPr>
      <w:rFonts w:ascii="Times New Roman" w:hAnsi="Times New Roman" w:eastAsia="宋体"/>
      <w:b/>
      <w:kern w:val="2"/>
      <w:sz w:val="24"/>
    </w:rPr>
  </w:style>
  <w:style w:type="character" w:customStyle="1" w:styleId="82">
    <w:name w:val="日期 Char2"/>
    <w:link w:val="35"/>
    <w:qFormat/>
    <w:locked/>
    <w:uiPriority w:val="0"/>
    <w:rPr>
      <w:rFonts w:ascii="Times New Roman" w:hAnsi="Times New Roman" w:eastAsia="宋体"/>
      <w:sz w:val="24"/>
    </w:rPr>
  </w:style>
  <w:style w:type="character" w:customStyle="1" w:styleId="83">
    <w:name w:val="正文文本 字符1"/>
    <w:semiHidden/>
    <w:qFormat/>
    <w:uiPriority w:val="0"/>
    <w:rPr>
      <w:rFonts w:ascii="Times New Roman" w:hAnsi="Times New Roman" w:eastAsia="宋体"/>
      <w:sz w:val="24"/>
    </w:rPr>
  </w:style>
  <w:style w:type="character" w:customStyle="1" w:styleId="84">
    <w:name w:val="批注文字 Char3"/>
    <w:link w:val="20"/>
    <w:qFormat/>
    <w:locked/>
    <w:uiPriority w:val="99"/>
    <w:rPr>
      <w:rFonts w:ascii="Times New Roman" w:hAnsi="Times New Roman" w:eastAsia="宋体"/>
      <w:sz w:val="24"/>
    </w:rPr>
  </w:style>
  <w:style w:type="character" w:customStyle="1" w:styleId="85">
    <w:name w:val="正文文本 Char3"/>
    <w:link w:val="23"/>
    <w:qFormat/>
    <w:locked/>
    <w:uiPriority w:val="0"/>
    <w:rPr>
      <w:sz w:val="18"/>
    </w:rPr>
  </w:style>
  <w:style w:type="character" w:customStyle="1" w:styleId="86">
    <w:name w:val="批注框文本 Char3"/>
    <w:link w:val="38"/>
    <w:qFormat/>
    <w:locked/>
    <w:uiPriority w:val="99"/>
    <w:rPr>
      <w:rFonts w:ascii="Times New Roman" w:hAnsi="Times New Roman" w:eastAsia="宋体"/>
      <w:sz w:val="18"/>
    </w:rPr>
  </w:style>
  <w:style w:type="character" w:customStyle="1" w:styleId="87">
    <w:name w:val="表格 Char"/>
    <w:link w:val="88"/>
    <w:qFormat/>
    <w:locked/>
    <w:uiPriority w:val="0"/>
    <w:rPr>
      <w:rFonts w:ascii="宋体"/>
      <w:sz w:val="21"/>
    </w:rPr>
  </w:style>
  <w:style w:type="paragraph" w:customStyle="1" w:styleId="88">
    <w:name w:val="表格"/>
    <w:basedOn w:val="1"/>
    <w:next w:val="1"/>
    <w:link w:val="87"/>
    <w:qFormat/>
    <w:uiPriority w:val="0"/>
    <w:pPr>
      <w:adjustRightInd w:val="0"/>
      <w:snapToGrid w:val="0"/>
      <w:spacing w:beforeLines="10" w:afterLines="10" w:line="259" w:lineRule="auto"/>
      <w:jc w:val="center"/>
    </w:pPr>
    <w:rPr>
      <w:rFonts w:ascii="宋体"/>
      <w:kern w:val="0"/>
      <w:szCs w:val="20"/>
    </w:rPr>
  </w:style>
  <w:style w:type="character" w:customStyle="1" w:styleId="89">
    <w:name w:val="日期 字符"/>
    <w:qFormat/>
    <w:uiPriority w:val="99"/>
    <w:rPr>
      <w:rFonts w:ascii="Times New Roman" w:hAnsi="Times New Roman" w:eastAsia="宋体"/>
      <w:sz w:val="24"/>
    </w:rPr>
  </w:style>
  <w:style w:type="paragraph" w:customStyle="1" w:styleId="9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2">
    <w:name w:val="标题 2 Char"/>
    <w:link w:val="3"/>
    <w:qFormat/>
    <w:uiPriority w:val="99"/>
    <w:rPr>
      <w:rFonts w:ascii="Arial" w:hAnsi="Arial" w:eastAsia="黑体"/>
      <w:b/>
      <w:kern w:val="2"/>
      <w:sz w:val="36"/>
    </w:rPr>
  </w:style>
  <w:style w:type="character" w:customStyle="1" w:styleId="93">
    <w:name w:val="标题 3 Char"/>
    <w:link w:val="5"/>
    <w:qFormat/>
    <w:uiPriority w:val="0"/>
    <w:rPr>
      <w:rFonts w:ascii="Arial" w:hAnsi="Arial" w:eastAsia="黑体"/>
      <w:b/>
      <w:kern w:val="2"/>
      <w:sz w:val="30"/>
    </w:rPr>
  </w:style>
  <w:style w:type="character" w:customStyle="1" w:styleId="94">
    <w:name w:val="标题 4 Char"/>
    <w:link w:val="6"/>
    <w:qFormat/>
    <w:uiPriority w:val="99"/>
    <w:rPr>
      <w:rFonts w:ascii="Arial" w:hAnsi="Arial" w:eastAsia="黑体"/>
      <w:b/>
      <w:kern w:val="2"/>
      <w:sz w:val="28"/>
    </w:rPr>
  </w:style>
  <w:style w:type="character" w:customStyle="1" w:styleId="95">
    <w:name w:val="标题 5 Char"/>
    <w:link w:val="7"/>
    <w:qFormat/>
    <w:uiPriority w:val="0"/>
    <w:rPr>
      <w:rFonts w:ascii="Arial" w:hAnsi="Arial"/>
      <w:b/>
      <w:kern w:val="2"/>
      <w:sz w:val="28"/>
    </w:rPr>
  </w:style>
  <w:style w:type="character" w:customStyle="1" w:styleId="96">
    <w:name w:val="标题 6 Char"/>
    <w:link w:val="8"/>
    <w:qFormat/>
    <w:uiPriority w:val="0"/>
    <w:rPr>
      <w:rFonts w:eastAsia="楷体_GB2312"/>
      <w:b/>
    </w:rPr>
  </w:style>
  <w:style w:type="character" w:customStyle="1" w:styleId="97">
    <w:name w:val="标题 7 Char"/>
    <w:link w:val="9"/>
    <w:qFormat/>
    <w:uiPriority w:val="0"/>
    <w:rPr>
      <w:rFonts w:eastAsia="仿宋_GB2312"/>
      <w:b/>
      <w:sz w:val="24"/>
      <w:szCs w:val="24"/>
      <w:lang w:val="zh-CN" w:eastAsia="zh-CN"/>
    </w:rPr>
  </w:style>
  <w:style w:type="character" w:customStyle="1" w:styleId="98">
    <w:name w:val="标题 8 Char"/>
    <w:link w:val="10"/>
    <w:qFormat/>
    <w:uiPriority w:val="0"/>
    <w:rPr>
      <w:rFonts w:ascii="Arial" w:hAnsi="Arial" w:eastAsia="黑体"/>
      <w:bCs/>
      <w:sz w:val="24"/>
      <w:szCs w:val="24"/>
      <w:lang w:val="zh-CN" w:eastAsia="zh-CN"/>
    </w:rPr>
  </w:style>
  <w:style w:type="character" w:customStyle="1" w:styleId="99">
    <w:name w:val="标题 9 Char"/>
    <w:link w:val="11"/>
    <w:qFormat/>
    <w:uiPriority w:val="0"/>
    <w:rPr>
      <w:rFonts w:ascii="Arial" w:hAnsi="Arial" w:eastAsia="黑体"/>
      <w:bCs/>
      <w:sz w:val="24"/>
      <w:szCs w:val="24"/>
      <w:lang w:val="zh-CN" w:eastAsia="zh-CN"/>
    </w:rPr>
  </w:style>
  <w:style w:type="character" w:customStyle="1" w:styleId="100">
    <w:name w:val="纯文本 Char1"/>
    <w:link w:val="32"/>
    <w:qFormat/>
    <w:locked/>
    <w:uiPriority w:val="0"/>
    <w:rPr>
      <w:rFonts w:ascii="宋体" w:hAnsi="Courier New"/>
      <w:sz w:val="21"/>
    </w:rPr>
  </w:style>
  <w:style w:type="character" w:customStyle="1" w:styleId="101">
    <w:name w:val="纯文本 Char"/>
    <w:qFormat/>
    <w:uiPriority w:val="0"/>
    <w:rPr>
      <w:rFonts w:ascii="宋体" w:hAnsi="Courier New" w:eastAsia="宋体"/>
      <w:kern w:val="0"/>
      <w:sz w:val="21"/>
    </w:rPr>
  </w:style>
  <w:style w:type="character" w:customStyle="1" w:styleId="102">
    <w:name w:val="height"/>
    <w:qFormat/>
    <w:uiPriority w:val="99"/>
    <w:rPr>
      <w:rFonts w:cs="Times New Roman"/>
    </w:rPr>
  </w:style>
  <w:style w:type="character" w:customStyle="1" w:styleId="103">
    <w:name w:val="副标题 Char"/>
    <w:link w:val="45"/>
    <w:qFormat/>
    <w:locked/>
    <w:uiPriority w:val="0"/>
    <w:rPr>
      <w:rFonts w:ascii="Cambria" w:hAnsi="Cambria"/>
      <w:sz w:val="24"/>
      <w:lang w:eastAsia="en-US"/>
    </w:rPr>
  </w:style>
  <w:style w:type="character" w:customStyle="1" w:styleId="104">
    <w:name w:val="正文文本缩进 2 Char"/>
    <w:link w:val="36"/>
    <w:qFormat/>
    <w:locked/>
    <w:uiPriority w:val="99"/>
    <w:rPr>
      <w:rFonts w:eastAsia="仿宋_GB2312"/>
      <w:b/>
    </w:rPr>
  </w:style>
  <w:style w:type="character" w:customStyle="1" w:styleId="105">
    <w:name w:val="apple-converted-space"/>
    <w:qFormat/>
    <w:uiPriority w:val="0"/>
  </w:style>
  <w:style w:type="character" w:customStyle="1" w:styleId="106">
    <w:name w:val="表格内文字 Char Char"/>
    <w:qFormat/>
    <w:uiPriority w:val="0"/>
    <w:rPr>
      <w:rFonts w:eastAsia="仿宋_GB2312"/>
      <w:kern w:val="2"/>
      <w:sz w:val="24"/>
    </w:rPr>
  </w:style>
  <w:style w:type="character" w:customStyle="1" w:styleId="107">
    <w:name w:val="表格文字 Char"/>
    <w:link w:val="108"/>
    <w:qFormat/>
    <w:locked/>
    <w:uiPriority w:val="99"/>
    <w:rPr>
      <w:rFonts w:ascii="仿宋_GB2312" w:hAnsi="Arial Black" w:eastAsia="仿宋_GB2312"/>
      <w:kern w:val="44"/>
      <w:sz w:val="24"/>
    </w:rPr>
  </w:style>
  <w:style w:type="paragraph" w:customStyle="1" w:styleId="108">
    <w:name w:val="表格文字"/>
    <w:basedOn w:val="1"/>
    <w:link w:val="107"/>
    <w:qFormat/>
    <w:uiPriority w:val="0"/>
    <w:pPr>
      <w:jc w:val="center"/>
    </w:pPr>
    <w:rPr>
      <w:rFonts w:ascii="仿宋_GB2312" w:hAnsi="Arial Black" w:eastAsia="仿宋_GB2312"/>
      <w:kern w:val="44"/>
      <w:sz w:val="24"/>
      <w:szCs w:val="20"/>
    </w:rPr>
  </w:style>
  <w:style w:type="character" w:customStyle="1" w:styleId="109">
    <w:name w:val="谏壁正文chen Char Char"/>
    <w:link w:val="110"/>
    <w:qFormat/>
    <w:locked/>
    <w:uiPriority w:val="99"/>
    <w:rPr>
      <w:kern w:val="2"/>
      <w:sz w:val="24"/>
    </w:rPr>
  </w:style>
  <w:style w:type="paragraph" w:customStyle="1" w:styleId="110">
    <w:name w:val="谏壁正文chen"/>
    <w:basedOn w:val="1"/>
    <w:link w:val="109"/>
    <w:qFormat/>
    <w:uiPriority w:val="99"/>
    <w:pPr>
      <w:spacing w:line="360" w:lineRule="auto"/>
      <w:ind w:firstLine="200" w:firstLineChars="200"/>
    </w:pPr>
    <w:rPr>
      <w:sz w:val="24"/>
      <w:szCs w:val="20"/>
    </w:rPr>
  </w:style>
  <w:style w:type="character" w:customStyle="1" w:styleId="111">
    <w:name w:val="正文文本缩进 3 Char"/>
    <w:link w:val="48"/>
    <w:qFormat/>
    <w:locked/>
    <w:uiPriority w:val="0"/>
    <w:rPr>
      <w:rFonts w:eastAsia="楷体_GB2312"/>
      <w:b/>
    </w:rPr>
  </w:style>
  <w:style w:type="character" w:customStyle="1" w:styleId="112">
    <w:name w:val="标题 Char"/>
    <w:link w:val="55"/>
    <w:qFormat/>
    <w:locked/>
    <w:uiPriority w:val="0"/>
    <w:rPr>
      <w:rFonts w:ascii="宋体"/>
      <w:sz w:val="24"/>
    </w:rPr>
  </w:style>
  <w:style w:type="character" w:customStyle="1" w:styleId="113">
    <w:name w:val="正文文本 Char"/>
    <w:qFormat/>
    <w:locked/>
    <w:uiPriority w:val="0"/>
    <w:rPr>
      <w:rFonts w:ascii="Times New Roman" w:hAnsi="Times New Roman" w:eastAsia="宋体" w:cs="Times New Roman"/>
      <w:kern w:val="0"/>
      <w:sz w:val="20"/>
    </w:rPr>
  </w:style>
  <w:style w:type="character" w:customStyle="1" w:styleId="114">
    <w:name w:val="批注主题 Char"/>
    <w:qFormat/>
    <w:locked/>
    <w:uiPriority w:val="99"/>
    <w:rPr>
      <w:rFonts w:ascii="Times New Roman" w:hAnsi="Times New Roman" w:cs="Times New Roman"/>
      <w:b/>
    </w:rPr>
  </w:style>
  <w:style w:type="character" w:customStyle="1" w:styleId="115">
    <w:name w:val="price_unline"/>
    <w:qFormat/>
    <w:uiPriority w:val="99"/>
    <w:rPr>
      <w:rFonts w:cs="Times New Roman"/>
    </w:rPr>
  </w:style>
  <w:style w:type="character" w:customStyle="1" w:styleId="116">
    <w:name w:val="表格样式 Char"/>
    <w:link w:val="117"/>
    <w:qFormat/>
    <w:locked/>
    <w:uiPriority w:val="99"/>
    <w:rPr>
      <w:rFonts w:ascii="宋体"/>
      <w:kern w:val="2"/>
      <w:sz w:val="21"/>
    </w:rPr>
  </w:style>
  <w:style w:type="paragraph" w:customStyle="1" w:styleId="117">
    <w:name w:val="表格样式"/>
    <w:basedOn w:val="1"/>
    <w:link w:val="116"/>
    <w:qFormat/>
    <w:uiPriority w:val="99"/>
    <w:pPr>
      <w:jc w:val="center"/>
    </w:pPr>
    <w:rPr>
      <w:rFonts w:ascii="宋体"/>
      <w:szCs w:val="20"/>
    </w:rPr>
  </w:style>
  <w:style w:type="character" w:customStyle="1" w:styleId="118">
    <w:name w:val="表文字 Char1"/>
    <w:link w:val="119"/>
    <w:qFormat/>
    <w:locked/>
    <w:uiPriority w:val="99"/>
  </w:style>
  <w:style w:type="paragraph" w:customStyle="1" w:styleId="119">
    <w:name w:val="表文字"/>
    <w:basedOn w:val="1"/>
    <w:link w:val="118"/>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20">
    <w:name w:val="aspmaker1"/>
    <w:qFormat/>
    <w:uiPriority w:val="0"/>
    <w:rPr>
      <w:sz w:val="20"/>
    </w:rPr>
  </w:style>
  <w:style w:type="character" w:customStyle="1" w:styleId="121">
    <w:name w:val="正文（首行缩进2字） Char1"/>
    <w:link w:val="122"/>
    <w:qFormat/>
    <w:locked/>
    <w:uiPriority w:val="99"/>
    <w:rPr>
      <w:kern w:val="2"/>
      <w:sz w:val="30"/>
    </w:rPr>
  </w:style>
  <w:style w:type="paragraph" w:customStyle="1" w:styleId="122">
    <w:name w:val="正文（首行缩进2字）"/>
    <w:basedOn w:val="1"/>
    <w:link w:val="121"/>
    <w:qFormat/>
    <w:uiPriority w:val="99"/>
    <w:pPr>
      <w:spacing w:line="440" w:lineRule="exact"/>
      <w:ind w:firstLine="480" w:firstLineChars="200"/>
    </w:pPr>
    <w:rPr>
      <w:sz w:val="30"/>
      <w:szCs w:val="20"/>
    </w:rPr>
  </w:style>
  <w:style w:type="character" w:customStyle="1" w:styleId="123">
    <w:name w:val="正文文本 + MingLiU7"/>
    <w:qFormat/>
    <w:uiPriority w:val="99"/>
    <w:rPr>
      <w:rFonts w:ascii="MingLiU" w:hAnsi="宋体" w:eastAsia="MingLiU"/>
      <w:i/>
      <w:sz w:val="19"/>
    </w:rPr>
  </w:style>
  <w:style w:type="character" w:customStyle="1" w:styleId="124">
    <w:name w:val="表格标题博泵 Char"/>
    <w:link w:val="125"/>
    <w:qFormat/>
    <w:locked/>
    <w:uiPriority w:val="99"/>
    <w:rPr>
      <w:b/>
      <w:color w:val="000000"/>
    </w:rPr>
  </w:style>
  <w:style w:type="paragraph" w:customStyle="1" w:styleId="125">
    <w:name w:val="表格标题博泵"/>
    <w:basedOn w:val="1"/>
    <w:link w:val="124"/>
    <w:qFormat/>
    <w:uiPriority w:val="99"/>
    <w:pPr>
      <w:adjustRightInd w:val="0"/>
      <w:snapToGrid w:val="0"/>
      <w:jc w:val="center"/>
      <w:textAlignment w:val="baseline"/>
    </w:pPr>
    <w:rPr>
      <w:b/>
      <w:color w:val="000000"/>
      <w:kern w:val="0"/>
      <w:sz w:val="20"/>
      <w:szCs w:val="20"/>
    </w:rPr>
  </w:style>
  <w:style w:type="character" w:customStyle="1" w:styleId="126">
    <w:name w:val="正文文本 (6)_"/>
    <w:link w:val="127"/>
    <w:qFormat/>
    <w:locked/>
    <w:uiPriority w:val="99"/>
    <w:rPr>
      <w:rFonts w:ascii="宋体"/>
      <w:shd w:val="clear" w:color="auto" w:fill="FFFFFF"/>
    </w:rPr>
  </w:style>
  <w:style w:type="paragraph" w:customStyle="1" w:styleId="127">
    <w:name w:val="正文文本 (6)"/>
    <w:basedOn w:val="1"/>
    <w:link w:val="126"/>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28">
    <w:name w:val="日期 Char"/>
    <w:qFormat/>
    <w:locked/>
    <w:uiPriority w:val="99"/>
    <w:rPr>
      <w:rFonts w:ascii="Times New Roman" w:hAnsi="Times New Roman" w:eastAsia="宋体" w:cs="Times New Roman"/>
      <w:sz w:val="20"/>
    </w:rPr>
  </w:style>
  <w:style w:type="character" w:customStyle="1" w:styleId="129">
    <w:name w:val="博泵1 Char"/>
    <w:link w:val="130"/>
    <w:qFormat/>
    <w:locked/>
    <w:uiPriority w:val="0"/>
    <w:rPr>
      <w:rFonts w:hAnsi="宋体"/>
      <w:color w:val="000000"/>
      <w:sz w:val="24"/>
    </w:rPr>
  </w:style>
  <w:style w:type="paragraph" w:customStyle="1" w:styleId="130">
    <w:name w:val="博泵1"/>
    <w:basedOn w:val="1"/>
    <w:link w:val="129"/>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31">
    <w:name w:val="批注框文本 Char"/>
    <w:qFormat/>
    <w:locked/>
    <w:uiPriority w:val="99"/>
    <w:rPr>
      <w:rFonts w:ascii="Times New Roman" w:hAnsi="Times New Roman" w:eastAsia="宋体" w:cs="Times New Roman"/>
      <w:kern w:val="0"/>
      <w:sz w:val="18"/>
    </w:rPr>
  </w:style>
  <w:style w:type="character" w:customStyle="1" w:styleId="132">
    <w:name w:val="标题 Char1"/>
    <w:qFormat/>
    <w:uiPriority w:val="99"/>
    <w:rPr>
      <w:rFonts w:ascii="Cambria" w:hAnsi="Cambria" w:eastAsia="宋体"/>
      <w:b/>
      <w:kern w:val="0"/>
      <w:sz w:val="32"/>
    </w:rPr>
  </w:style>
  <w:style w:type="character" w:customStyle="1" w:styleId="133">
    <w:name w:val="正文首行缩进 Char"/>
    <w:link w:val="57"/>
    <w:qFormat/>
    <w:locked/>
    <w:uiPriority w:val="99"/>
  </w:style>
  <w:style w:type="character" w:customStyle="1" w:styleId="134">
    <w:name w:val="正文文本缩进 Char"/>
    <w:qFormat/>
    <w:locked/>
    <w:uiPriority w:val="0"/>
    <w:rPr>
      <w:rFonts w:ascii="Times New Roman" w:hAnsi="Times New Roman" w:eastAsia="楷体_GB2312" w:cs="Times New Roman"/>
      <w:b/>
      <w:kern w:val="0"/>
      <w:sz w:val="20"/>
    </w:rPr>
  </w:style>
  <w:style w:type="character" w:customStyle="1" w:styleId="135">
    <w:name w:val="页眉 Char"/>
    <w:qFormat/>
    <w:locked/>
    <w:uiPriority w:val="99"/>
    <w:rPr>
      <w:rFonts w:cs="Times New Roman"/>
      <w:sz w:val="18"/>
    </w:rPr>
  </w:style>
  <w:style w:type="character" w:customStyle="1" w:styleId="136">
    <w:name w:val="表头 Char"/>
    <w:link w:val="137"/>
    <w:qFormat/>
    <w:locked/>
    <w:uiPriority w:val="0"/>
    <w:rPr>
      <w:rFonts w:eastAsia="黑体"/>
    </w:rPr>
  </w:style>
  <w:style w:type="paragraph" w:customStyle="1" w:styleId="137">
    <w:name w:val="表头"/>
    <w:basedOn w:val="57"/>
    <w:link w:val="136"/>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38">
    <w:name w:val="标题 1 Char"/>
    <w:link w:val="2"/>
    <w:qFormat/>
    <w:locked/>
    <w:uiPriority w:val="0"/>
    <w:rPr>
      <w:rFonts w:eastAsia="黑体"/>
      <w:b/>
      <w:bCs/>
      <w:color w:val="000000"/>
      <w:kern w:val="44"/>
      <w:sz w:val="30"/>
      <w:szCs w:val="30"/>
    </w:rPr>
  </w:style>
  <w:style w:type="character" w:customStyle="1" w:styleId="139">
    <w:name w:val="文档结构图 Char"/>
    <w:link w:val="18"/>
    <w:qFormat/>
    <w:locked/>
    <w:uiPriority w:val="99"/>
    <w:rPr>
      <w:rFonts w:ascii="宋体"/>
      <w:sz w:val="18"/>
    </w:rPr>
  </w:style>
  <w:style w:type="character" w:customStyle="1" w:styleId="140">
    <w:name w:val="正文缩进 Char"/>
    <w:link w:val="4"/>
    <w:qFormat/>
    <w:locked/>
    <w:uiPriority w:val="0"/>
  </w:style>
  <w:style w:type="character" w:customStyle="1" w:styleId="141">
    <w:name w:val="1正文段落 Char"/>
    <w:link w:val="142"/>
    <w:qFormat/>
    <w:locked/>
    <w:uiPriority w:val="99"/>
    <w:rPr>
      <w:snapToGrid w:val="0"/>
      <w:sz w:val="24"/>
    </w:rPr>
  </w:style>
  <w:style w:type="paragraph" w:customStyle="1" w:styleId="142">
    <w:name w:val="1正文段落"/>
    <w:basedOn w:val="1"/>
    <w:link w:val="141"/>
    <w:qFormat/>
    <w:uiPriority w:val="0"/>
    <w:pPr>
      <w:spacing w:line="360" w:lineRule="auto"/>
      <w:ind w:firstLine="480" w:firstLineChars="200"/>
      <w:jc w:val="left"/>
    </w:pPr>
    <w:rPr>
      <w:snapToGrid w:val="0"/>
      <w:kern w:val="0"/>
      <w:sz w:val="24"/>
      <w:szCs w:val="20"/>
    </w:rPr>
  </w:style>
  <w:style w:type="character" w:customStyle="1" w:styleId="143">
    <w:name w:val="批注文字 Char"/>
    <w:qFormat/>
    <w:locked/>
    <w:uiPriority w:val="99"/>
    <w:rPr>
      <w:rFonts w:ascii="Times New Roman" w:hAnsi="Times New Roman" w:cs="Times New Roman"/>
    </w:rPr>
  </w:style>
  <w:style w:type="character" w:customStyle="1" w:styleId="144">
    <w:name w:val="环评正文 Char1"/>
    <w:link w:val="145"/>
    <w:qFormat/>
    <w:locked/>
    <w:uiPriority w:val="99"/>
    <w:rPr>
      <w:rFonts w:ascii="仿宋_GB2312" w:eastAsia="仿宋_GB2312"/>
      <w:kern w:val="2"/>
      <w:sz w:val="28"/>
      <w:lang w:val="zh-CN"/>
    </w:rPr>
  </w:style>
  <w:style w:type="paragraph" w:customStyle="1" w:styleId="145">
    <w:name w:val="环评正文"/>
    <w:basedOn w:val="35"/>
    <w:link w:val="144"/>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6">
    <w:name w:val="正文(首行缩进) Char Char"/>
    <w:link w:val="147"/>
    <w:qFormat/>
    <w:locked/>
    <w:uiPriority w:val="99"/>
    <w:rPr>
      <w:snapToGrid w:val="0"/>
      <w:sz w:val="24"/>
    </w:rPr>
  </w:style>
  <w:style w:type="paragraph" w:customStyle="1" w:styleId="147">
    <w:name w:val="正文(首行缩进)"/>
    <w:basedOn w:val="1"/>
    <w:link w:val="146"/>
    <w:qFormat/>
    <w:uiPriority w:val="0"/>
    <w:pPr>
      <w:spacing w:line="360" w:lineRule="auto"/>
      <w:ind w:firstLine="480" w:firstLineChars="200"/>
    </w:pPr>
    <w:rPr>
      <w:snapToGrid w:val="0"/>
      <w:kern w:val="0"/>
      <w:sz w:val="24"/>
      <w:szCs w:val="20"/>
    </w:rPr>
  </w:style>
  <w:style w:type="character" w:customStyle="1" w:styleId="148">
    <w:name w:val="正文01 Char1"/>
    <w:link w:val="149"/>
    <w:qFormat/>
    <w:locked/>
    <w:uiPriority w:val="0"/>
    <w:rPr>
      <w:kern w:val="2"/>
      <w:sz w:val="24"/>
    </w:rPr>
  </w:style>
  <w:style w:type="paragraph" w:customStyle="1" w:styleId="149">
    <w:name w:val="正文01"/>
    <w:basedOn w:val="1"/>
    <w:link w:val="148"/>
    <w:qFormat/>
    <w:uiPriority w:val="0"/>
    <w:pPr>
      <w:adjustRightInd w:val="0"/>
      <w:snapToGrid w:val="0"/>
      <w:spacing w:before="60" w:line="460" w:lineRule="exact"/>
      <w:ind w:firstLine="200" w:firstLineChars="200"/>
    </w:pPr>
    <w:rPr>
      <w:sz w:val="24"/>
      <w:szCs w:val="20"/>
    </w:rPr>
  </w:style>
  <w:style w:type="character" w:customStyle="1" w:styleId="150">
    <w:name w:val="我的样式（正文） Char"/>
    <w:link w:val="151"/>
    <w:qFormat/>
    <w:locked/>
    <w:uiPriority w:val="99"/>
    <w:rPr>
      <w:rFonts w:ascii="宋体"/>
      <w:kern w:val="2"/>
      <w:sz w:val="24"/>
    </w:rPr>
  </w:style>
  <w:style w:type="paragraph" w:customStyle="1" w:styleId="151">
    <w:name w:val="我的样式（正文）"/>
    <w:basedOn w:val="1"/>
    <w:link w:val="150"/>
    <w:qFormat/>
    <w:uiPriority w:val="0"/>
    <w:pPr>
      <w:adjustRightInd w:val="0"/>
      <w:snapToGrid w:val="0"/>
      <w:spacing w:line="360" w:lineRule="auto"/>
      <w:ind w:firstLine="200" w:firstLineChars="200"/>
    </w:pPr>
    <w:rPr>
      <w:rFonts w:ascii="宋体"/>
      <w:sz w:val="24"/>
      <w:szCs w:val="20"/>
    </w:rPr>
  </w:style>
  <w:style w:type="character" w:customStyle="1" w:styleId="152">
    <w:name w:val="页脚 Char"/>
    <w:qFormat/>
    <w:locked/>
    <w:uiPriority w:val="99"/>
    <w:rPr>
      <w:rFonts w:cs="Times New Roman"/>
      <w:sz w:val="18"/>
    </w:rPr>
  </w:style>
  <w:style w:type="character" w:customStyle="1" w:styleId="153">
    <w:name w:val="正文(首行缩进) Char"/>
    <w:qFormat/>
    <w:uiPriority w:val="0"/>
    <w:rPr>
      <w:rFonts w:eastAsia="宋体"/>
      <w:snapToGrid w:val="0"/>
      <w:sz w:val="24"/>
      <w:lang w:val="en-US" w:eastAsia="zh-CN"/>
    </w:rPr>
  </w:style>
  <w:style w:type="character" w:customStyle="1" w:styleId="154">
    <w:name w:val="表格内文字 Char"/>
    <w:link w:val="155"/>
    <w:qFormat/>
    <w:locked/>
    <w:uiPriority w:val="0"/>
    <w:rPr>
      <w:rFonts w:eastAsia="仿宋_GB2312"/>
      <w:sz w:val="24"/>
    </w:rPr>
  </w:style>
  <w:style w:type="paragraph" w:customStyle="1" w:styleId="155">
    <w:name w:val="表格内文字"/>
    <w:basedOn w:val="1"/>
    <w:link w:val="154"/>
    <w:qFormat/>
    <w:uiPriority w:val="0"/>
    <w:pPr>
      <w:tabs>
        <w:tab w:val="left" w:pos="0"/>
      </w:tabs>
      <w:adjustRightInd w:val="0"/>
      <w:snapToGrid w:val="0"/>
      <w:jc w:val="center"/>
    </w:pPr>
    <w:rPr>
      <w:rFonts w:eastAsia="仿宋_GB2312"/>
      <w:kern w:val="0"/>
      <w:sz w:val="24"/>
      <w:szCs w:val="20"/>
    </w:rPr>
  </w:style>
  <w:style w:type="character" w:customStyle="1" w:styleId="156">
    <w:name w:val="正文文本 2 Char"/>
    <w:link w:val="52"/>
    <w:qFormat/>
    <w:locked/>
    <w:uiPriority w:val="99"/>
  </w:style>
  <w:style w:type="character" w:customStyle="1" w:styleId="157">
    <w:name w:val="crumb"/>
    <w:qFormat/>
    <w:uiPriority w:val="99"/>
  </w:style>
  <w:style w:type="character" w:customStyle="1" w:styleId="158">
    <w:name w:val="样式1 Char"/>
    <w:link w:val="159"/>
    <w:qFormat/>
    <w:locked/>
    <w:uiPriority w:val="0"/>
    <w:rPr>
      <w:rFonts w:ascii="Calibri" w:hAnsi="Calibri"/>
      <w:color w:val="000000"/>
      <w:sz w:val="24"/>
    </w:rPr>
  </w:style>
  <w:style w:type="paragraph" w:customStyle="1" w:styleId="159">
    <w:name w:val="样式1"/>
    <w:basedOn w:val="1"/>
    <w:next w:val="27"/>
    <w:link w:val="158"/>
    <w:qFormat/>
    <w:uiPriority w:val="0"/>
    <w:pPr>
      <w:adjustRightInd w:val="0"/>
      <w:snapToGrid w:val="0"/>
      <w:spacing w:line="320" w:lineRule="exact"/>
      <w:jc w:val="center"/>
    </w:pPr>
    <w:rPr>
      <w:rFonts w:ascii="Calibri" w:hAnsi="Calibri"/>
      <w:color w:val="000000"/>
      <w:kern w:val="0"/>
      <w:sz w:val="24"/>
      <w:szCs w:val="20"/>
    </w:rPr>
  </w:style>
  <w:style w:type="character" w:customStyle="1" w:styleId="160">
    <w:name w:val="报告正文-连续目录 Char Char"/>
    <w:link w:val="161"/>
    <w:qFormat/>
    <w:locked/>
    <w:uiPriority w:val="99"/>
    <w:rPr>
      <w:rFonts w:ascii="Arial" w:hAnsi="Arial"/>
      <w:snapToGrid w:val="0"/>
      <w:sz w:val="24"/>
    </w:rPr>
  </w:style>
  <w:style w:type="paragraph" w:customStyle="1" w:styleId="161">
    <w:name w:val="报告正文-连续目录"/>
    <w:basedOn w:val="1"/>
    <w:link w:val="160"/>
    <w:qFormat/>
    <w:uiPriority w:val="99"/>
    <w:pPr>
      <w:spacing w:line="440" w:lineRule="exact"/>
      <w:ind w:firstLine="200" w:firstLineChars="200"/>
    </w:pPr>
    <w:rPr>
      <w:rFonts w:ascii="Arial" w:hAnsi="Arial"/>
      <w:snapToGrid w:val="0"/>
      <w:kern w:val="0"/>
      <w:sz w:val="24"/>
      <w:szCs w:val="20"/>
    </w:rPr>
  </w:style>
  <w:style w:type="character" w:customStyle="1" w:styleId="162">
    <w:name w:val="表格 普通文字 Char"/>
    <w:link w:val="163"/>
    <w:qFormat/>
    <w:uiPriority w:val="0"/>
    <w:rPr>
      <w:rFonts w:eastAsia="仿宋_GB2312"/>
      <w:kern w:val="2"/>
      <w:sz w:val="21"/>
      <w:szCs w:val="21"/>
    </w:rPr>
  </w:style>
  <w:style w:type="paragraph" w:customStyle="1" w:styleId="163">
    <w:name w:val="表格 普通文字"/>
    <w:link w:val="162"/>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4">
    <w:name w:val="文档结构图 Char1"/>
    <w:qFormat/>
    <w:uiPriority w:val="99"/>
    <w:rPr>
      <w:rFonts w:ascii="宋体"/>
      <w:kern w:val="2"/>
      <w:sz w:val="18"/>
      <w:szCs w:val="18"/>
    </w:rPr>
  </w:style>
  <w:style w:type="paragraph" w:customStyle="1" w:styleId="165">
    <w:name w:val="海尔正文"/>
    <w:basedOn w:val="1"/>
    <w:qFormat/>
    <w:uiPriority w:val="0"/>
    <w:pPr>
      <w:spacing w:line="360" w:lineRule="auto"/>
      <w:ind w:firstLine="200" w:firstLineChars="200"/>
    </w:pPr>
    <w:rPr>
      <w:rFonts w:ascii="宋体" w:cs="宋体"/>
      <w:sz w:val="28"/>
    </w:rPr>
  </w:style>
  <w:style w:type="paragraph" w:customStyle="1" w:styleId="166">
    <w:name w:val="表标题"/>
    <w:basedOn w:val="1"/>
    <w:qFormat/>
    <w:uiPriority w:val="0"/>
    <w:pPr>
      <w:spacing w:line="360" w:lineRule="auto"/>
      <w:ind w:left="3420"/>
    </w:pPr>
    <w:rPr>
      <w:rFonts w:ascii="宋体" w:hAnsi="宋体"/>
      <w:sz w:val="24"/>
    </w:rPr>
  </w:style>
  <w:style w:type="character" w:customStyle="1" w:styleId="167">
    <w:name w:val="正文文本缩进 3 Char1"/>
    <w:qFormat/>
    <w:uiPriority w:val="0"/>
    <w:rPr>
      <w:kern w:val="2"/>
      <w:sz w:val="16"/>
      <w:szCs w:val="16"/>
    </w:rPr>
  </w:style>
  <w:style w:type="paragraph" w:customStyle="1" w:styleId="168">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69">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70">
    <w:name w:val="列出段落1"/>
    <w:basedOn w:val="1"/>
    <w:link w:val="544"/>
    <w:qFormat/>
    <w:uiPriority w:val="34"/>
    <w:pPr>
      <w:widowControl/>
      <w:ind w:firstLine="420" w:firstLineChars="200"/>
      <w:jc w:val="left"/>
    </w:pPr>
    <w:rPr>
      <w:kern w:val="0"/>
      <w:sz w:val="20"/>
      <w:szCs w:val="20"/>
    </w:rPr>
  </w:style>
  <w:style w:type="paragraph" w:customStyle="1" w:styleId="171">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2">
    <w:name w:val="正文文本缩进 2 Char1"/>
    <w:qFormat/>
    <w:uiPriority w:val="0"/>
    <w:rPr>
      <w:kern w:val="2"/>
      <w:sz w:val="21"/>
      <w:szCs w:val="24"/>
    </w:rPr>
  </w:style>
  <w:style w:type="paragraph" w:customStyle="1" w:styleId="173">
    <w:name w:val="Char Char Char1 Char Char Char"/>
    <w:basedOn w:val="1"/>
    <w:qFormat/>
    <w:uiPriority w:val="99"/>
    <w:rPr>
      <w:rFonts w:ascii="Courier New" w:hAnsi="Courier New" w:eastAsia="仿宋" w:cs="Courier New"/>
      <w:sz w:val="24"/>
    </w:rPr>
  </w:style>
  <w:style w:type="character" w:customStyle="1" w:styleId="174">
    <w:name w:val="纯文本 Char2"/>
    <w:qFormat/>
    <w:uiPriority w:val="0"/>
    <w:rPr>
      <w:rFonts w:ascii="宋体" w:hAnsi="Courier New" w:cs="Courier New"/>
      <w:kern w:val="2"/>
      <w:sz w:val="21"/>
      <w:szCs w:val="21"/>
    </w:rPr>
  </w:style>
  <w:style w:type="paragraph" w:customStyle="1" w:styleId="175">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6">
    <w:name w:val="Char Char Char Char1"/>
    <w:basedOn w:val="1"/>
    <w:qFormat/>
    <w:uiPriority w:val="99"/>
    <w:pPr>
      <w:spacing w:line="360" w:lineRule="auto"/>
      <w:ind w:firstLine="200" w:firstLineChars="200"/>
    </w:pPr>
    <w:rPr>
      <w:rFonts w:ascii="宋体" w:hAnsi="宋体" w:cs="宋体"/>
      <w:sz w:val="24"/>
    </w:rPr>
  </w:style>
  <w:style w:type="paragraph" w:customStyle="1" w:styleId="177">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8">
    <w:name w:val="表格正文"/>
    <w:basedOn w:val="1"/>
    <w:link w:val="1102"/>
    <w:qFormat/>
    <w:uiPriority w:val="99"/>
    <w:pPr>
      <w:spacing w:line="360" w:lineRule="exact"/>
      <w:jc w:val="center"/>
    </w:pPr>
    <w:rPr>
      <w:szCs w:val="20"/>
    </w:rPr>
  </w:style>
  <w:style w:type="paragraph" w:customStyle="1" w:styleId="179">
    <w:name w:val="Char Char4 Char Char"/>
    <w:basedOn w:val="1"/>
    <w:qFormat/>
    <w:uiPriority w:val="99"/>
    <w:rPr>
      <w:szCs w:val="20"/>
    </w:rPr>
  </w:style>
  <w:style w:type="paragraph" w:customStyle="1" w:styleId="180">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81">
    <w:name w:val="列出段落2"/>
    <w:basedOn w:val="1"/>
    <w:qFormat/>
    <w:uiPriority w:val="99"/>
    <w:pPr>
      <w:widowControl/>
      <w:ind w:firstLine="420" w:firstLineChars="200"/>
      <w:jc w:val="left"/>
    </w:pPr>
    <w:rPr>
      <w:kern w:val="0"/>
      <w:sz w:val="20"/>
      <w:szCs w:val="20"/>
    </w:rPr>
  </w:style>
  <w:style w:type="character" w:customStyle="1" w:styleId="182">
    <w:name w:val="标题 Char2"/>
    <w:qFormat/>
    <w:uiPriority w:val="0"/>
    <w:rPr>
      <w:rFonts w:ascii="Cambria" w:hAnsi="Cambria" w:cs="Times New Roman"/>
      <w:b/>
      <w:bCs/>
      <w:kern w:val="2"/>
      <w:sz w:val="32"/>
      <w:szCs w:val="32"/>
    </w:rPr>
  </w:style>
  <w:style w:type="paragraph" w:customStyle="1" w:styleId="183">
    <w:name w:val="表格下方正文"/>
    <w:basedOn w:val="1"/>
    <w:qFormat/>
    <w:uiPriority w:val="99"/>
    <w:pPr>
      <w:adjustRightInd w:val="0"/>
      <w:snapToGrid w:val="0"/>
      <w:spacing w:before="300" w:line="460" w:lineRule="exact"/>
      <w:ind w:firstLine="482"/>
    </w:pPr>
    <w:rPr>
      <w:sz w:val="24"/>
    </w:rPr>
  </w:style>
  <w:style w:type="paragraph" w:customStyle="1" w:styleId="18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5">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6">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7">
    <w:name w:val="二级无标题条"/>
    <w:basedOn w:val="1"/>
    <w:qFormat/>
    <w:uiPriority w:val="0"/>
  </w:style>
  <w:style w:type="paragraph" w:customStyle="1" w:styleId="188">
    <w:name w:val="框图"/>
    <w:basedOn w:val="1"/>
    <w:qFormat/>
    <w:uiPriority w:val="99"/>
    <w:pPr>
      <w:adjustRightInd w:val="0"/>
      <w:snapToGrid w:val="0"/>
      <w:jc w:val="center"/>
    </w:pPr>
    <w:rPr>
      <w:rFonts w:ascii="仿宋_GB2312" w:hAnsi="宋体" w:eastAsia="仿宋_GB2312"/>
      <w:szCs w:val="21"/>
    </w:rPr>
  </w:style>
  <w:style w:type="paragraph" w:customStyle="1" w:styleId="189">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0">
    <w:name w:val="默认段落字体 Para Char Char Char Char"/>
    <w:basedOn w:val="1"/>
    <w:qFormat/>
    <w:uiPriority w:val="0"/>
    <w:rPr>
      <w:sz w:val="24"/>
    </w:rPr>
  </w:style>
  <w:style w:type="paragraph" w:customStyle="1" w:styleId="191">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2">
    <w:name w:val="Char Char Char Char"/>
    <w:basedOn w:val="1"/>
    <w:qFormat/>
    <w:uiPriority w:val="0"/>
    <w:rPr>
      <w:szCs w:val="20"/>
    </w:rPr>
  </w:style>
  <w:style w:type="paragraph" w:customStyle="1" w:styleId="193">
    <w:name w:val="样式 表中文字 +"/>
    <w:basedOn w:val="1"/>
    <w:qFormat/>
    <w:uiPriority w:val="99"/>
    <w:pPr>
      <w:adjustRightInd w:val="0"/>
      <w:snapToGrid w:val="0"/>
      <w:spacing w:line="400" w:lineRule="exact"/>
      <w:jc w:val="center"/>
    </w:pPr>
    <w:rPr>
      <w:kern w:val="0"/>
      <w:szCs w:val="21"/>
    </w:rPr>
  </w:style>
  <w:style w:type="paragraph" w:customStyle="1" w:styleId="194">
    <w:name w:val="无间隔1"/>
    <w:basedOn w:val="1"/>
    <w:qFormat/>
    <w:uiPriority w:val="99"/>
    <w:pPr>
      <w:widowControl/>
      <w:jc w:val="left"/>
    </w:pPr>
    <w:rPr>
      <w:rFonts w:ascii="宋体" w:hAnsi="宋体"/>
      <w:kern w:val="0"/>
      <w:sz w:val="20"/>
      <w:szCs w:val="20"/>
    </w:rPr>
  </w:style>
  <w:style w:type="paragraph" w:customStyle="1" w:styleId="195">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6">
    <w:name w:val="表格文字（对中）"/>
    <w:basedOn w:val="4"/>
    <w:qFormat/>
    <w:uiPriority w:val="0"/>
    <w:pPr>
      <w:spacing w:line="480" w:lineRule="exact"/>
      <w:ind w:firstLine="0"/>
      <w:jc w:val="center"/>
    </w:pPr>
    <w:rPr>
      <w:rFonts w:ascii="黑体" w:hAnsi="Calibri" w:eastAsia="黑体"/>
      <w:color w:val="000000"/>
      <w:sz w:val="24"/>
      <w:szCs w:val="21"/>
    </w:rPr>
  </w:style>
  <w:style w:type="character" w:customStyle="1" w:styleId="197">
    <w:name w:val="正文首行缩进 Char1"/>
    <w:qFormat/>
    <w:uiPriority w:val="99"/>
    <w:rPr>
      <w:kern w:val="2"/>
      <w:sz w:val="21"/>
      <w:szCs w:val="24"/>
    </w:rPr>
  </w:style>
  <w:style w:type="character" w:customStyle="1" w:styleId="198">
    <w:name w:val="正文文本 2 Char1"/>
    <w:qFormat/>
    <w:uiPriority w:val="99"/>
    <w:rPr>
      <w:kern w:val="2"/>
      <w:sz w:val="21"/>
      <w:szCs w:val="24"/>
    </w:rPr>
  </w:style>
  <w:style w:type="character" w:customStyle="1" w:styleId="199">
    <w:name w:val="副标题 Char1"/>
    <w:qFormat/>
    <w:uiPriority w:val="11"/>
    <w:rPr>
      <w:rFonts w:ascii="Cambria" w:hAnsi="Cambria" w:cs="Times New Roman"/>
      <w:b/>
      <w:bCs/>
      <w:kern w:val="28"/>
      <w:sz w:val="32"/>
      <w:szCs w:val="32"/>
    </w:rPr>
  </w:style>
  <w:style w:type="paragraph" w:customStyle="1" w:styleId="200">
    <w:name w:val="默认段落字体 Para Char"/>
    <w:basedOn w:val="1"/>
    <w:qFormat/>
    <w:uiPriority w:val="0"/>
  </w:style>
  <w:style w:type="paragraph" w:customStyle="1" w:styleId="201">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2">
    <w:name w:val="Char Char Char Char Char Char"/>
    <w:basedOn w:val="1"/>
    <w:qFormat/>
    <w:uiPriority w:val="0"/>
    <w:rPr>
      <w:sz w:val="24"/>
    </w:rPr>
  </w:style>
  <w:style w:type="paragraph" w:customStyle="1" w:styleId="203">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4">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5">
    <w:name w:val="1 Char Char Char Char"/>
    <w:basedOn w:val="1"/>
    <w:qFormat/>
    <w:uiPriority w:val="0"/>
    <w:pPr>
      <w:spacing w:line="360" w:lineRule="auto"/>
      <w:ind w:firstLine="200" w:firstLineChars="200"/>
    </w:pPr>
    <w:rPr>
      <w:rFonts w:ascii="宋体" w:hAnsi="宋体" w:cs="宋体"/>
      <w:sz w:val="24"/>
    </w:rPr>
  </w:style>
  <w:style w:type="paragraph" w:customStyle="1" w:styleId="206">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7">
    <w:name w:val="新格式表"/>
    <w:basedOn w:val="1"/>
    <w:qFormat/>
    <w:uiPriority w:val="99"/>
    <w:pPr>
      <w:spacing w:line="240" w:lineRule="exact"/>
      <w:jc w:val="center"/>
    </w:pPr>
    <w:rPr>
      <w:bCs/>
      <w:szCs w:val="21"/>
    </w:rPr>
  </w:style>
  <w:style w:type="paragraph" w:customStyle="1" w:styleId="208">
    <w:name w:val="Char"/>
    <w:basedOn w:val="1"/>
    <w:qFormat/>
    <w:uiPriority w:val="99"/>
    <w:rPr>
      <w:sz w:val="24"/>
    </w:rPr>
  </w:style>
  <w:style w:type="paragraph" w:customStyle="1" w:styleId="209">
    <w:name w:val="表格内容自定"/>
    <w:basedOn w:val="1"/>
    <w:qFormat/>
    <w:uiPriority w:val="0"/>
    <w:pPr>
      <w:spacing w:line="280" w:lineRule="exact"/>
      <w:jc w:val="center"/>
    </w:pPr>
    <w:rPr>
      <w:kern w:val="0"/>
      <w:sz w:val="18"/>
      <w:szCs w:val="21"/>
    </w:rPr>
  </w:style>
  <w:style w:type="paragraph" w:customStyle="1" w:styleId="210">
    <w:name w:val="Char Char Char1 Char Char Char1"/>
    <w:basedOn w:val="1"/>
    <w:qFormat/>
    <w:uiPriority w:val="99"/>
    <w:rPr>
      <w:rFonts w:ascii="Courier New" w:hAnsi="Courier New" w:eastAsia="仿宋" w:cs="Courier New"/>
      <w:sz w:val="24"/>
    </w:rPr>
  </w:style>
  <w:style w:type="paragraph" w:customStyle="1" w:styleId="211">
    <w:name w:val="WPS Plain"/>
    <w:qFormat/>
    <w:uiPriority w:val="0"/>
    <w:rPr>
      <w:rFonts w:ascii="Times New Roman" w:hAnsi="Times New Roman" w:eastAsia="宋体" w:cs="Times New Roman"/>
      <w:sz w:val="24"/>
      <w:szCs w:val="24"/>
      <w:lang w:val="en-US" w:eastAsia="zh-CN" w:bidi="ar-SA"/>
    </w:rPr>
  </w:style>
  <w:style w:type="paragraph" w:customStyle="1" w:styleId="2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3">
    <w:name w:val="码头正文"/>
    <w:basedOn w:val="4"/>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4">
    <w:name w:val="Char Char Char Char Char Char Char"/>
    <w:basedOn w:val="1"/>
    <w:qFormat/>
    <w:uiPriority w:val="0"/>
    <w:rPr>
      <w:sz w:val="24"/>
    </w:rPr>
  </w:style>
  <w:style w:type="paragraph" w:customStyle="1" w:styleId="215">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6">
    <w:name w:val="网格型-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ylf"/>
    <w:basedOn w:val="61"/>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paragraph" w:customStyle="1" w:styleId="218">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9">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paragraph" w:styleId="220">
    <w:name w:val="List Paragraph"/>
    <w:basedOn w:val="1"/>
    <w:qFormat/>
    <w:uiPriority w:val="0"/>
    <w:pPr>
      <w:widowControl/>
      <w:ind w:firstLine="420" w:firstLineChars="200"/>
      <w:jc w:val="left"/>
    </w:pPr>
    <w:rPr>
      <w:kern w:val="0"/>
      <w:sz w:val="20"/>
      <w:szCs w:val="20"/>
    </w:rPr>
  </w:style>
  <w:style w:type="character" w:styleId="221">
    <w:name w:val="Placeholder Text"/>
    <w:unhideWhenUsed/>
    <w:qFormat/>
    <w:uiPriority w:val="99"/>
    <w:rPr>
      <w:color w:val="808080"/>
    </w:rPr>
  </w:style>
  <w:style w:type="character" w:customStyle="1" w:styleId="222">
    <w:name w:val="正文首行缩进 2 Char"/>
    <w:basedOn w:val="79"/>
    <w:link w:val="58"/>
    <w:qFormat/>
    <w:uiPriority w:val="0"/>
    <w:rPr>
      <w:rFonts w:ascii="Times New Roman" w:hAnsi="Times New Roman" w:eastAsia="宋体"/>
      <w:sz w:val="24"/>
    </w:rPr>
  </w:style>
  <w:style w:type="character" w:customStyle="1" w:styleId="223">
    <w:name w:val="报告表正文 Char"/>
    <w:link w:val="224"/>
    <w:qFormat/>
    <w:uiPriority w:val="0"/>
    <w:rPr>
      <w:sz w:val="24"/>
    </w:rPr>
  </w:style>
  <w:style w:type="paragraph" w:customStyle="1" w:styleId="224">
    <w:name w:val="报告表正文"/>
    <w:basedOn w:val="1"/>
    <w:link w:val="223"/>
    <w:qFormat/>
    <w:uiPriority w:val="0"/>
    <w:pPr>
      <w:adjustRightInd w:val="0"/>
      <w:spacing w:line="300" w:lineRule="auto"/>
      <w:ind w:left="113" w:right="113"/>
      <w:textAlignment w:val="baseline"/>
    </w:pPr>
    <w:rPr>
      <w:kern w:val="0"/>
      <w:sz w:val="24"/>
      <w:szCs w:val="20"/>
    </w:rPr>
  </w:style>
  <w:style w:type="character" w:customStyle="1" w:styleId="225">
    <w:name w:val="Char Char29"/>
    <w:qFormat/>
    <w:uiPriority w:val="0"/>
    <w:rPr>
      <w:rFonts w:eastAsia="宋体"/>
      <w:b/>
      <w:bCs/>
      <w:kern w:val="2"/>
      <w:sz w:val="32"/>
      <w:szCs w:val="32"/>
      <w:lang w:val="en-US" w:eastAsia="zh-CN" w:bidi="ar-SA"/>
    </w:rPr>
  </w:style>
  <w:style w:type="character" w:customStyle="1" w:styleId="226">
    <w:name w:val="tt"/>
    <w:qFormat/>
    <w:uiPriority w:val="0"/>
  </w:style>
  <w:style w:type="character" w:customStyle="1" w:styleId="227">
    <w:name w:val="3zw1"/>
    <w:qFormat/>
    <w:uiPriority w:val="0"/>
    <w:rPr>
      <w:color w:val="000000"/>
      <w:sz w:val="21"/>
      <w:szCs w:val="21"/>
    </w:rPr>
  </w:style>
  <w:style w:type="character" w:customStyle="1" w:styleId="228">
    <w:name w:val="Char Char11"/>
    <w:qFormat/>
    <w:uiPriority w:val="0"/>
    <w:rPr>
      <w:rFonts w:ascii="Calibri" w:hAnsi="Tahoma" w:eastAsia="Calibri" w:cs="Tahoma"/>
      <w:kern w:val="2"/>
      <w:sz w:val="21"/>
      <w:szCs w:val="21"/>
      <w:lang w:val="en-US" w:eastAsia="zh-CN" w:bidi="ar-SA"/>
    </w:rPr>
  </w:style>
  <w:style w:type="character" w:customStyle="1" w:styleId="229">
    <w:name w:val="未命名11"/>
    <w:qFormat/>
    <w:uiPriority w:val="0"/>
    <w:rPr>
      <w:rFonts w:hint="eastAsia" w:ascii="宋体" w:hAnsi="宋体" w:eastAsia="宋体"/>
      <w:sz w:val="18"/>
      <w:szCs w:val="18"/>
    </w:rPr>
  </w:style>
  <w:style w:type="character" w:customStyle="1" w:styleId="230">
    <w:name w:val="正文文本 + 10 pt8"/>
    <w:qFormat/>
    <w:uiPriority w:val="0"/>
    <w:rPr>
      <w:rFonts w:ascii="宋体" w:eastAsia="宋体" w:cs="宋体"/>
      <w:b/>
      <w:bCs/>
      <w:sz w:val="20"/>
      <w:szCs w:val="20"/>
    </w:rPr>
  </w:style>
  <w:style w:type="character" w:customStyle="1" w:styleId="231">
    <w:name w:val="p18-hei"/>
    <w:qFormat/>
    <w:uiPriority w:val="0"/>
  </w:style>
  <w:style w:type="character" w:customStyle="1" w:styleId="232">
    <w:name w:val="表格内容1 Char"/>
    <w:link w:val="233"/>
    <w:qFormat/>
    <w:uiPriority w:val="0"/>
    <w:rPr>
      <w:kern w:val="24"/>
      <w:sz w:val="21"/>
      <w:szCs w:val="21"/>
    </w:rPr>
  </w:style>
  <w:style w:type="paragraph" w:customStyle="1" w:styleId="233">
    <w:name w:val="表格内容1"/>
    <w:basedOn w:val="1"/>
    <w:link w:val="232"/>
    <w:qFormat/>
    <w:uiPriority w:val="0"/>
    <w:pPr>
      <w:widowControl/>
      <w:jc w:val="center"/>
    </w:pPr>
    <w:rPr>
      <w:kern w:val="24"/>
      <w:szCs w:val="21"/>
    </w:rPr>
  </w:style>
  <w:style w:type="character" w:customStyle="1" w:styleId="234">
    <w:name w:val="正文文本 + 10 pt5"/>
    <w:qFormat/>
    <w:uiPriority w:val="0"/>
    <w:rPr>
      <w:rFonts w:ascii="宋体" w:eastAsia="宋体" w:cs="宋体"/>
      <w:b/>
      <w:bCs/>
      <w:sz w:val="20"/>
      <w:szCs w:val="20"/>
    </w:rPr>
  </w:style>
  <w:style w:type="character" w:customStyle="1" w:styleId="235">
    <w:name w:val="edit_font_color"/>
    <w:qFormat/>
    <w:uiPriority w:val="0"/>
  </w:style>
  <w:style w:type="character" w:customStyle="1" w:styleId="236">
    <w:name w:val="keyword1"/>
    <w:qFormat/>
    <w:uiPriority w:val="0"/>
  </w:style>
  <w:style w:type="character" w:customStyle="1" w:styleId="237">
    <w:name w:val="报告 Char"/>
    <w:link w:val="238"/>
    <w:qFormat/>
    <w:uiPriority w:val="0"/>
    <w:rPr>
      <w:rFonts w:ascii="TimesNewRoman" w:hAnsi="TimesNewRoman"/>
      <w:sz w:val="24"/>
    </w:rPr>
  </w:style>
  <w:style w:type="paragraph" w:customStyle="1" w:styleId="238">
    <w:name w:val="报告"/>
    <w:basedOn w:val="1"/>
    <w:link w:val="237"/>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9">
    <w:name w:val="px141"/>
    <w:qFormat/>
    <w:uiPriority w:val="0"/>
    <w:rPr>
      <w:rFonts w:hint="default" w:ascii="ˎ̥" w:hAnsi="ˎ̥"/>
      <w:sz w:val="21"/>
      <w:szCs w:val="21"/>
    </w:rPr>
  </w:style>
  <w:style w:type="character" w:customStyle="1" w:styleId="240">
    <w:name w:val="注释标题 Char"/>
    <w:link w:val="14"/>
    <w:qFormat/>
    <w:uiPriority w:val="0"/>
    <w:rPr>
      <w:rFonts w:ascii="宋体"/>
      <w:kern w:val="2"/>
      <w:sz w:val="21"/>
    </w:rPr>
  </w:style>
  <w:style w:type="character" w:customStyle="1" w:styleId="241">
    <w:name w:val="标题1"/>
    <w:qFormat/>
    <w:uiPriority w:val="0"/>
  </w:style>
  <w:style w:type="character" w:customStyle="1" w:styleId="242">
    <w:name w:val="spelle"/>
    <w:qFormat/>
    <w:uiPriority w:val="0"/>
  </w:style>
  <w:style w:type="character" w:customStyle="1" w:styleId="243">
    <w:name w:val="css"/>
    <w:qFormat/>
    <w:uiPriority w:val="0"/>
  </w:style>
  <w:style w:type="character" w:customStyle="1" w:styleId="244">
    <w:name w:val="正文B Char"/>
    <w:link w:val="245"/>
    <w:qFormat/>
    <w:locked/>
    <w:uiPriority w:val="0"/>
    <w:rPr>
      <w:rFonts w:ascii="楷体_GB2312" w:eastAsia="楷体_GB2312"/>
      <w:kern w:val="2"/>
      <w:sz w:val="28"/>
    </w:rPr>
  </w:style>
  <w:style w:type="paragraph" w:customStyle="1" w:styleId="245">
    <w:name w:val="正文B"/>
    <w:basedOn w:val="1"/>
    <w:link w:val="244"/>
    <w:qFormat/>
    <w:uiPriority w:val="0"/>
    <w:pPr>
      <w:spacing w:line="500" w:lineRule="exact"/>
    </w:pPr>
    <w:rPr>
      <w:rFonts w:ascii="楷体_GB2312" w:eastAsia="楷体_GB2312"/>
      <w:sz w:val="28"/>
      <w:szCs w:val="20"/>
    </w:rPr>
  </w:style>
  <w:style w:type="character" w:customStyle="1" w:styleId="246">
    <w:name w:val="标题 3 Char Char2"/>
    <w:qFormat/>
    <w:uiPriority w:val="0"/>
    <w:rPr>
      <w:rFonts w:eastAsia="宋体"/>
      <w:b/>
      <w:bCs/>
      <w:kern w:val="2"/>
      <w:sz w:val="32"/>
      <w:szCs w:val="32"/>
      <w:lang w:val="en-US" w:eastAsia="zh-CN" w:bidi="ar-SA"/>
    </w:rPr>
  </w:style>
  <w:style w:type="character" w:customStyle="1" w:styleId="247">
    <w:name w:val="Char Char4"/>
    <w:qFormat/>
    <w:uiPriority w:val="0"/>
    <w:rPr>
      <w:rFonts w:ascii="宋体" w:hAnsi="Courier New" w:eastAsia="宋体"/>
      <w:kern w:val="2"/>
      <w:sz w:val="21"/>
      <w:lang w:val="en-US" w:eastAsia="zh-CN" w:bidi="ar-SA"/>
    </w:rPr>
  </w:style>
  <w:style w:type="character" w:customStyle="1" w:styleId="248">
    <w:name w:val="正文文本 + 6.5 pt3"/>
    <w:qFormat/>
    <w:uiPriority w:val="0"/>
    <w:rPr>
      <w:rFonts w:ascii="宋体" w:hAnsi="宋体" w:eastAsia="宋体" w:cs="宋体"/>
      <w:b/>
      <w:bCs/>
      <w:sz w:val="13"/>
      <w:szCs w:val="13"/>
      <w:lang w:val="en-US" w:eastAsia="zh-CN"/>
    </w:rPr>
  </w:style>
  <w:style w:type="character" w:customStyle="1" w:styleId="249">
    <w:name w:val="t_tag"/>
    <w:qFormat/>
    <w:uiPriority w:val="0"/>
  </w:style>
  <w:style w:type="character" w:customStyle="1" w:styleId="250">
    <w:name w:val="style31"/>
    <w:qFormat/>
    <w:uiPriority w:val="0"/>
    <w:rPr>
      <w:color w:val="000000"/>
      <w:sz w:val="21"/>
      <w:szCs w:val="21"/>
    </w:rPr>
  </w:style>
  <w:style w:type="character" w:customStyle="1" w:styleId="251">
    <w:name w:val="链接"/>
    <w:qFormat/>
    <w:uiPriority w:val="0"/>
    <w:rPr>
      <w:color w:val="0000FF"/>
      <w:u w:val="single" w:color="0000FF"/>
    </w:rPr>
  </w:style>
  <w:style w:type="character" w:customStyle="1" w:styleId="252">
    <w:name w:val="Char Char9"/>
    <w:qFormat/>
    <w:uiPriority w:val="0"/>
    <w:rPr>
      <w:rFonts w:ascii="宋体" w:hAnsi="宋体" w:eastAsia="宋体"/>
      <w:kern w:val="2"/>
      <w:sz w:val="24"/>
      <w:szCs w:val="24"/>
      <w:lang w:val="en-US" w:eastAsia="zh-CN" w:bidi="ar-SA"/>
    </w:rPr>
  </w:style>
  <w:style w:type="character" w:customStyle="1" w:styleId="253">
    <w:name w:val="正文文本 3 Char"/>
    <w:link w:val="22"/>
    <w:qFormat/>
    <w:locked/>
    <w:uiPriority w:val="99"/>
    <w:rPr>
      <w:rFonts w:ascii="宋体" w:hAnsi="宋体"/>
      <w:kern w:val="2"/>
      <w:sz w:val="16"/>
      <w:szCs w:val="16"/>
    </w:rPr>
  </w:style>
  <w:style w:type="character" w:customStyle="1" w:styleId="254">
    <w:name w:val="表1 Char"/>
    <w:link w:val="255"/>
    <w:qFormat/>
    <w:uiPriority w:val="0"/>
    <w:rPr>
      <w:rFonts w:eastAsia="Times New Roman"/>
      <w:sz w:val="21"/>
    </w:rPr>
  </w:style>
  <w:style w:type="paragraph" w:customStyle="1" w:styleId="255">
    <w:name w:val="表1"/>
    <w:next w:val="1"/>
    <w:link w:val="254"/>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6">
    <w:name w:val="标题 2 Char3"/>
    <w:qFormat/>
    <w:uiPriority w:val="0"/>
    <w:rPr>
      <w:rFonts w:eastAsia="宋体"/>
      <w:b/>
      <w:bCs/>
      <w:kern w:val="2"/>
      <w:sz w:val="21"/>
      <w:szCs w:val="24"/>
      <w:lang w:val="en-US" w:eastAsia="zh-CN" w:bidi="ar-SA"/>
    </w:rPr>
  </w:style>
  <w:style w:type="character" w:customStyle="1" w:styleId="257">
    <w:name w:val="grame"/>
    <w:qFormat/>
    <w:uiPriority w:val="0"/>
  </w:style>
  <w:style w:type="character" w:customStyle="1" w:styleId="258">
    <w:name w:val="纯文本1"/>
    <w:qFormat/>
    <w:uiPriority w:val="0"/>
    <w:rPr>
      <w:rFonts w:ascii="宋体" w:hAnsi="Courier New" w:eastAsia="宋体" w:cs="Courier New"/>
      <w:kern w:val="2"/>
      <w:sz w:val="21"/>
      <w:szCs w:val="21"/>
      <w:lang w:val="en-US" w:eastAsia="zh-CN" w:bidi="ar-SA"/>
    </w:rPr>
  </w:style>
  <w:style w:type="character" w:customStyle="1" w:styleId="259">
    <w:name w:val="ddd"/>
    <w:qFormat/>
    <w:uiPriority w:val="0"/>
  </w:style>
  <w:style w:type="character" w:customStyle="1" w:styleId="260">
    <w:name w:val="表格 Char1"/>
    <w:qFormat/>
    <w:uiPriority w:val="0"/>
    <w:rPr>
      <w:rFonts w:ascii="Times New Roman" w:hAnsi="Times New Roman" w:eastAsia="仿宋_GB2312"/>
      <w:color w:val="auto"/>
      <w:kern w:val="2"/>
      <w:sz w:val="21"/>
      <w:szCs w:val="24"/>
    </w:rPr>
  </w:style>
  <w:style w:type="character" w:customStyle="1" w:styleId="261">
    <w:name w:val="表 Char1"/>
    <w:qFormat/>
    <w:uiPriority w:val="0"/>
    <w:rPr>
      <w:rFonts w:eastAsia="仿宋_GB2312" w:cs="仿宋_GB2312"/>
      <w:kern w:val="2"/>
      <w:sz w:val="21"/>
      <w:szCs w:val="21"/>
      <w:lang w:val="en-US" w:eastAsia="zh-CN" w:bidi="ar-SA"/>
    </w:rPr>
  </w:style>
  <w:style w:type="character" w:customStyle="1" w:styleId="262">
    <w:name w:val="正文1 Char"/>
    <w:link w:val="263"/>
    <w:qFormat/>
    <w:uiPriority w:val="0"/>
    <w:rPr>
      <w:rFonts w:ascii="宋体" w:hAnsi="宋体"/>
      <w:color w:val="000000"/>
      <w:kern w:val="2"/>
      <w:sz w:val="24"/>
    </w:rPr>
  </w:style>
  <w:style w:type="paragraph" w:customStyle="1" w:styleId="263">
    <w:name w:val="正文1"/>
    <w:basedOn w:val="1"/>
    <w:link w:val="262"/>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4">
    <w:name w:val="正文调整 Char"/>
    <w:link w:val="265"/>
    <w:qFormat/>
    <w:uiPriority w:val="0"/>
    <w:rPr>
      <w:kern w:val="2"/>
      <w:sz w:val="24"/>
      <w:szCs w:val="24"/>
    </w:rPr>
  </w:style>
  <w:style w:type="paragraph" w:customStyle="1" w:styleId="265">
    <w:name w:val="正文调整"/>
    <w:basedOn w:val="1"/>
    <w:link w:val="264"/>
    <w:qFormat/>
    <w:uiPriority w:val="0"/>
    <w:pPr>
      <w:spacing w:before="60" w:line="460" w:lineRule="atLeast"/>
      <w:ind w:firstLine="200" w:firstLineChars="200"/>
    </w:pPr>
    <w:rPr>
      <w:sz w:val="24"/>
    </w:rPr>
  </w:style>
  <w:style w:type="character" w:customStyle="1" w:styleId="266">
    <w:name w:val="表格标题 Char Char"/>
    <w:link w:val="267"/>
    <w:qFormat/>
    <w:uiPriority w:val="0"/>
    <w:rPr>
      <w:rFonts w:eastAsia="方正魏碑简体"/>
      <w:kern w:val="2"/>
      <w:sz w:val="24"/>
    </w:rPr>
  </w:style>
  <w:style w:type="paragraph" w:customStyle="1" w:styleId="267">
    <w:name w:val="表格标题"/>
    <w:basedOn w:val="1"/>
    <w:link w:val="266"/>
    <w:qFormat/>
    <w:uiPriority w:val="0"/>
    <w:pPr>
      <w:spacing w:before="120"/>
      <w:jc w:val="center"/>
    </w:pPr>
    <w:rPr>
      <w:rFonts w:eastAsia="方正魏碑简体"/>
      <w:sz w:val="24"/>
      <w:szCs w:val="20"/>
    </w:rPr>
  </w:style>
  <w:style w:type="paragraph" w:customStyle="1" w:styleId="268">
    <w:name w:val="居中正文"/>
    <w:basedOn w:val="57"/>
    <w:qFormat/>
    <w:uiPriority w:val="0"/>
    <w:pPr>
      <w:adjustRightInd w:val="0"/>
      <w:spacing w:before="120" w:after="0" w:line="360" w:lineRule="auto"/>
      <w:ind w:firstLine="0" w:firstLineChars="0"/>
      <w:jc w:val="center"/>
      <w:textAlignment w:val="baseline"/>
    </w:pPr>
    <w:rPr>
      <w:rFonts w:ascii="宋体"/>
      <w:kern w:val="28"/>
      <w:sz w:val="24"/>
      <w:szCs w:val="24"/>
      <w:lang w:val="zh-CN" w:eastAsia="zh-CN"/>
    </w:rPr>
  </w:style>
  <w:style w:type="character" w:customStyle="1" w:styleId="269">
    <w:name w:val="注释标题 Char1"/>
    <w:qFormat/>
    <w:uiPriority w:val="99"/>
    <w:rPr>
      <w:kern w:val="2"/>
      <w:sz w:val="21"/>
      <w:szCs w:val="24"/>
    </w:rPr>
  </w:style>
  <w:style w:type="paragraph" w:customStyle="1" w:styleId="270">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71">
    <w:name w:val="CM11"/>
    <w:basedOn w:val="212"/>
    <w:next w:val="212"/>
    <w:qFormat/>
    <w:uiPriority w:val="0"/>
    <w:pPr>
      <w:spacing w:line="460" w:lineRule="atLeast"/>
    </w:pPr>
    <w:rPr>
      <w:rFonts w:ascii="黑体" w:eastAsia="黑体" w:cs="Times New Roman"/>
      <w:color w:val="auto"/>
      <w:sz w:val="20"/>
    </w:rPr>
  </w:style>
  <w:style w:type="character" w:customStyle="1" w:styleId="272">
    <w:name w:val="HTML 预设格式 Char"/>
    <w:link w:val="53"/>
    <w:qFormat/>
    <w:uiPriority w:val="99"/>
    <w:rPr>
      <w:rFonts w:ascii="Arial" w:hAnsi="Arial"/>
      <w:sz w:val="23"/>
      <w:szCs w:val="23"/>
      <w:lang w:val="zh-CN" w:eastAsia="zh-CN"/>
    </w:rPr>
  </w:style>
  <w:style w:type="character" w:customStyle="1" w:styleId="273">
    <w:name w:val="正文文本 3 Char1"/>
    <w:qFormat/>
    <w:uiPriority w:val="99"/>
    <w:rPr>
      <w:kern w:val="2"/>
      <w:sz w:val="16"/>
      <w:szCs w:val="16"/>
    </w:rPr>
  </w:style>
  <w:style w:type="paragraph" w:customStyle="1" w:styleId="274">
    <w:name w:val="IDC A-Head (2nd Line)"/>
    <w:basedOn w:val="1"/>
    <w:next w:val="1"/>
    <w:qFormat/>
    <w:uiPriority w:val="0"/>
    <w:pPr>
      <w:widowControl/>
      <w:jc w:val="center"/>
    </w:pPr>
    <w:rPr>
      <w:caps/>
      <w:kern w:val="0"/>
      <w:sz w:val="24"/>
      <w:szCs w:val="20"/>
    </w:rPr>
  </w:style>
  <w:style w:type="paragraph" w:customStyle="1" w:styleId="275">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6">
    <w:name w:val="默认段落字体 Para Char Char Char Char Char Char Char Char Char Char Char Char Char"/>
    <w:basedOn w:val="1"/>
    <w:qFormat/>
    <w:uiPriority w:val="0"/>
    <w:rPr>
      <w:sz w:val="24"/>
    </w:rPr>
  </w:style>
  <w:style w:type="paragraph" w:customStyle="1" w:styleId="277">
    <w:name w:val="1 Char Char Char Char Char Char Char Char Char Char Char Char Char Char Char Char"/>
    <w:basedOn w:val="1"/>
    <w:qFormat/>
    <w:uiPriority w:val="0"/>
  </w:style>
  <w:style w:type="paragraph" w:customStyle="1" w:styleId="278">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9">
    <w:name w:val="表2"/>
    <w:basedOn w:val="4"/>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0">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1">
    <w:name w:val="码头表"/>
    <w:basedOn w:val="1"/>
    <w:qFormat/>
    <w:uiPriority w:val="0"/>
    <w:pPr>
      <w:jc w:val="center"/>
    </w:pPr>
    <w:rPr>
      <w:rFonts w:ascii="宋体" w:hAnsi="宋体"/>
      <w:color w:val="FF0000"/>
      <w:sz w:val="24"/>
    </w:rPr>
  </w:style>
  <w:style w:type="paragraph" w:customStyle="1" w:styleId="282">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3">
    <w:name w:val="Char1"/>
    <w:basedOn w:val="1"/>
    <w:qFormat/>
    <w:uiPriority w:val="0"/>
    <w:rPr>
      <w:sz w:val="24"/>
    </w:rPr>
  </w:style>
  <w:style w:type="paragraph" w:customStyle="1" w:styleId="284">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5">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6">
    <w:name w:val="样式 标题 3ReHead 3 WSAh3标题 3 Char标题 32标题 311Re11Head 3 WSA1..."/>
    <w:basedOn w:val="5"/>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87">
    <w:name w:val="1 Char Char Char Char Char Char Char Char Char Char"/>
    <w:basedOn w:val="1"/>
    <w:qFormat/>
    <w:uiPriority w:val="0"/>
  </w:style>
  <w:style w:type="paragraph" w:customStyle="1" w:styleId="288">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9">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0">
    <w:name w:val="正文两端对齐"/>
    <w:basedOn w:val="1"/>
    <w:qFormat/>
    <w:uiPriority w:val="0"/>
    <w:pPr>
      <w:spacing w:line="480" w:lineRule="exact"/>
    </w:pPr>
    <w:rPr>
      <w:rFonts w:ascii="宋体"/>
      <w:sz w:val="24"/>
    </w:rPr>
  </w:style>
  <w:style w:type="paragraph" w:customStyle="1" w:styleId="291">
    <w:name w:val="Char2"/>
    <w:basedOn w:val="1"/>
    <w:qFormat/>
    <w:uiPriority w:val="0"/>
    <w:pPr>
      <w:ind w:firstLine="200" w:firstLineChars="200"/>
    </w:pPr>
    <w:rPr>
      <w:rFonts w:ascii="宋体" w:hAnsi="宋体" w:cs="宋体"/>
    </w:rPr>
  </w:style>
  <w:style w:type="paragraph" w:customStyle="1" w:styleId="292">
    <w:name w:val="1 Char Char Char Char Char Char Char Char Char Char Char Char Char"/>
    <w:basedOn w:val="1"/>
    <w:qFormat/>
    <w:uiPriority w:val="0"/>
  </w:style>
  <w:style w:type="paragraph" w:customStyle="1" w:styleId="293">
    <w:name w:val="表格1"/>
    <w:basedOn w:val="1"/>
    <w:qFormat/>
    <w:uiPriority w:val="0"/>
    <w:pPr>
      <w:spacing w:before="120" w:line="360" w:lineRule="auto"/>
    </w:pPr>
    <w:rPr>
      <w:sz w:val="24"/>
      <w:szCs w:val="20"/>
    </w:rPr>
  </w:style>
  <w:style w:type="paragraph" w:customStyle="1" w:styleId="294">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5">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6">
    <w:name w:val="简单回函地址"/>
    <w:basedOn w:val="1"/>
    <w:qFormat/>
    <w:uiPriority w:val="0"/>
    <w:rPr>
      <w:szCs w:val="20"/>
    </w:rPr>
  </w:style>
  <w:style w:type="paragraph" w:customStyle="1" w:styleId="297">
    <w:name w:val="Char Char2"/>
    <w:basedOn w:val="1"/>
    <w:qFormat/>
    <w:uiPriority w:val="0"/>
    <w:pPr>
      <w:adjustRightInd w:val="0"/>
      <w:spacing w:line="360" w:lineRule="auto"/>
    </w:pPr>
    <w:rPr>
      <w:kern w:val="0"/>
      <w:sz w:val="24"/>
    </w:rPr>
  </w:style>
  <w:style w:type="paragraph" w:customStyle="1" w:styleId="298">
    <w:name w:val="二级条标题"/>
    <w:basedOn w:val="299"/>
    <w:next w:val="1"/>
    <w:qFormat/>
    <w:uiPriority w:val="0"/>
    <w:pPr>
      <w:tabs>
        <w:tab w:val="left" w:pos="360"/>
        <w:tab w:val="left" w:pos="903"/>
      </w:tabs>
      <w:outlineLvl w:val="3"/>
    </w:pPr>
  </w:style>
  <w:style w:type="paragraph" w:customStyle="1" w:styleId="299">
    <w:name w:val="一级条标题"/>
    <w:basedOn w:val="300"/>
    <w:next w:val="1"/>
    <w:qFormat/>
    <w:uiPriority w:val="0"/>
    <w:pPr>
      <w:tabs>
        <w:tab w:val="left" w:pos="360"/>
        <w:tab w:val="left" w:pos="903"/>
      </w:tabs>
      <w:spacing w:before="0" w:after="0"/>
      <w:ind w:left="0" w:firstLine="0"/>
      <w:outlineLvl w:val="2"/>
    </w:pPr>
  </w:style>
  <w:style w:type="paragraph" w:customStyle="1" w:styleId="300">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1">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2">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3">
    <w:name w:val="表格001"/>
    <w:basedOn w:val="1"/>
    <w:qFormat/>
    <w:uiPriority w:val="0"/>
    <w:pPr>
      <w:jc w:val="center"/>
    </w:pPr>
    <w:rPr>
      <w:rFonts w:ascii="宋体" w:hAnsi="宋体"/>
      <w:sz w:val="24"/>
      <w:szCs w:val="20"/>
    </w:rPr>
  </w:style>
  <w:style w:type="paragraph" w:customStyle="1" w:styleId="304">
    <w:name w:val="三级标题"/>
    <w:basedOn w:val="1"/>
    <w:next w:val="58"/>
    <w:qFormat/>
    <w:uiPriority w:val="0"/>
    <w:pPr>
      <w:spacing w:line="360" w:lineRule="exact"/>
      <w:jc w:val="center"/>
    </w:pPr>
    <w:rPr>
      <w:sz w:val="24"/>
    </w:rPr>
  </w:style>
  <w:style w:type="paragraph" w:customStyle="1" w:styleId="305">
    <w:name w:val="表格内容"/>
    <w:basedOn w:val="1"/>
    <w:link w:val="463"/>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6">
    <w:name w:val="1文章"/>
    <w:basedOn w:val="1"/>
    <w:qFormat/>
    <w:uiPriority w:val="0"/>
    <w:pPr>
      <w:snapToGrid w:val="0"/>
      <w:spacing w:line="420" w:lineRule="auto"/>
      <w:ind w:firstLine="454"/>
      <w:outlineLvl w:val="4"/>
    </w:pPr>
    <w:rPr>
      <w:spacing w:val="4"/>
      <w:sz w:val="24"/>
    </w:rPr>
  </w:style>
  <w:style w:type="paragraph" w:customStyle="1" w:styleId="307">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8">
    <w:name w:val="Char Char Char"/>
    <w:basedOn w:val="1"/>
    <w:qFormat/>
    <w:uiPriority w:val="0"/>
  </w:style>
  <w:style w:type="paragraph" w:customStyle="1" w:styleId="309">
    <w:name w:val="样式"/>
    <w:basedOn w:val="1"/>
    <w:next w:val="32"/>
    <w:qFormat/>
    <w:uiPriority w:val="0"/>
    <w:rPr>
      <w:rFonts w:ascii="宋体" w:hAnsi="Courier New"/>
      <w:sz w:val="24"/>
    </w:rPr>
  </w:style>
  <w:style w:type="paragraph" w:customStyle="1" w:styleId="310">
    <w:name w:val="4级标题"/>
    <w:basedOn w:val="142"/>
    <w:qFormat/>
    <w:uiPriority w:val="0"/>
    <w:pPr>
      <w:ind w:firstLine="0" w:firstLineChars="0"/>
    </w:pPr>
    <w:rPr>
      <w:b/>
      <w:szCs w:val="24"/>
      <w:lang w:val="zh-CN" w:eastAsia="zh-CN"/>
    </w:rPr>
  </w:style>
  <w:style w:type="paragraph" w:customStyle="1" w:styleId="311">
    <w:name w:val="Char Char Char Char Char Char1 Char"/>
    <w:basedOn w:val="1"/>
    <w:qFormat/>
    <w:uiPriority w:val="0"/>
    <w:pPr>
      <w:spacing w:line="360" w:lineRule="auto"/>
    </w:pPr>
    <w:rPr>
      <w:sz w:val="24"/>
    </w:rPr>
  </w:style>
  <w:style w:type="paragraph" w:customStyle="1" w:styleId="312">
    <w:name w:val="样式2"/>
    <w:basedOn w:val="1"/>
    <w:link w:val="402"/>
    <w:qFormat/>
    <w:uiPriority w:val="0"/>
    <w:pPr>
      <w:spacing w:line="240" w:lineRule="exact"/>
      <w:jc w:val="left"/>
      <w:outlineLvl w:val="0"/>
    </w:pPr>
    <w:rPr>
      <w:sz w:val="24"/>
    </w:rPr>
  </w:style>
  <w:style w:type="paragraph" w:customStyle="1" w:styleId="313">
    <w:name w:val="表文"/>
    <w:basedOn w:val="137"/>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14">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5">
    <w:name w:val="xl22"/>
    <w:basedOn w:val="1"/>
    <w:qFormat/>
    <w:uiPriority w:val="0"/>
    <w:pPr>
      <w:widowControl/>
      <w:spacing w:before="100" w:after="100"/>
      <w:jc w:val="center"/>
    </w:pPr>
    <w:rPr>
      <w:kern w:val="0"/>
      <w:sz w:val="24"/>
    </w:rPr>
  </w:style>
  <w:style w:type="paragraph" w:customStyle="1" w:styleId="316">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7">
    <w:name w:val="三级条标题"/>
    <w:basedOn w:val="298"/>
    <w:next w:val="1"/>
    <w:qFormat/>
    <w:uiPriority w:val="0"/>
    <w:pPr>
      <w:tabs>
        <w:tab w:val="clear" w:pos="360"/>
      </w:tabs>
      <w:outlineLvl w:val="4"/>
    </w:pPr>
  </w:style>
  <w:style w:type="paragraph" w:customStyle="1" w:styleId="318">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19">
    <w:name w:val="CM2"/>
    <w:basedOn w:val="212"/>
    <w:next w:val="212"/>
    <w:qFormat/>
    <w:uiPriority w:val="0"/>
    <w:pPr>
      <w:spacing w:line="460" w:lineRule="atLeast"/>
    </w:pPr>
    <w:rPr>
      <w:rFonts w:ascii="黑体" w:eastAsia="黑体" w:cs="Times New Roman"/>
      <w:color w:val="auto"/>
      <w:sz w:val="20"/>
    </w:rPr>
  </w:style>
  <w:style w:type="paragraph" w:customStyle="1" w:styleId="320">
    <w:name w:val="表序号"/>
    <w:basedOn w:val="7"/>
    <w:qFormat/>
    <w:uiPriority w:val="0"/>
    <w:pPr>
      <w:keepLines/>
      <w:tabs>
        <w:tab w:val="clear" w:pos="1080"/>
      </w:tabs>
      <w:spacing w:line="360" w:lineRule="auto"/>
      <w:ind w:left="1134" w:hanging="1134"/>
      <w:jc w:val="center"/>
    </w:pPr>
    <w:rPr>
      <w:rFonts w:ascii="宋体" w:hAnsi="宋体"/>
      <w:sz w:val="24"/>
    </w:rPr>
  </w:style>
  <w:style w:type="paragraph" w:customStyle="1" w:styleId="321">
    <w:name w:val="2"/>
    <w:basedOn w:val="1"/>
    <w:next w:val="48"/>
    <w:qFormat/>
    <w:uiPriority w:val="0"/>
    <w:pPr>
      <w:spacing w:line="360" w:lineRule="auto"/>
      <w:ind w:firstLine="480"/>
    </w:pPr>
    <w:rPr>
      <w:sz w:val="24"/>
      <w:szCs w:val="20"/>
    </w:rPr>
  </w:style>
  <w:style w:type="paragraph" w:customStyle="1" w:styleId="322">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3">
    <w:name w:val="1"/>
    <w:basedOn w:val="1"/>
    <w:next w:val="4"/>
    <w:qFormat/>
    <w:uiPriority w:val="0"/>
    <w:pPr>
      <w:ind w:firstLine="420"/>
    </w:pPr>
    <w:rPr>
      <w:sz w:val="24"/>
    </w:rPr>
  </w:style>
  <w:style w:type="paragraph" w:customStyle="1" w:styleId="324">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5">
    <w:name w:val="y表格"/>
    <w:basedOn w:val="23"/>
    <w:qFormat/>
    <w:uiPriority w:val="0"/>
    <w:pPr>
      <w:adjustRightInd w:val="0"/>
      <w:spacing w:before="0" w:after="0" w:line="240" w:lineRule="auto"/>
      <w:ind w:right="0"/>
      <w:jc w:val="center"/>
      <w:textAlignment w:val="baseline"/>
    </w:pPr>
    <w:rPr>
      <w:rFonts w:hint="eastAsia" w:ascii="宋体" w:hAnsi="宋体"/>
      <w:sz w:val="24"/>
      <w:lang w:val="zh-CN" w:eastAsia="zh-CN"/>
    </w:rPr>
  </w:style>
  <w:style w:type="paragraph" w:customStyle="1" w:styleId="326">
    <w:name w:val="四级条标题"/>
    <w:basedOn w:val="317"/>
    <w:next w:val="1"/>
    <w:qFormat/>
    <w:uiPriority w:val="0"/>
    <w:pPr>
      <w:outlineLvl w:val="5"/>
    </w:pPr>
  </w:style>
  <w:style w:type="paragraph" w:customStyle="1" w:styleId="327">
    <w:name w:val="五级条标题"/>
    <w:basedOn w:val="326"/>
    <w:next w:val="1"/>
    <w:qFormat/>
    <w:uiPriority w:val="0"/>
    <w:pPr>
      <w:outlineLvl w:val="6"/>
    </w:pPr>
  </w:style>
  <w:style w:type="paragraph" w:customStyle="1" w:styleId="328">
    <w:name w:val="标题b"/>
    <w:basedOn w:val="1"/>
    <w:next w:val="1"/>
    <w:qFormat/>
    <w:uiPriority w:val="0"/>
    <w:pPr>
      <w:spacing w:line="700" w:lineRule="exact"/>
    </w:pPr>
    <w:rPr>
      <w:rFonts w:ascii="楷体_GB2312" w:hAnsi="楷体_GB2312" w:eastAsia="楷体_GB2312"/>
      <w:b/>
      <w:sz w:val="30"/>
      <w:szCs w:val="20"/>
    </w:rPr>
  </w:style>
  <w:style w:type="paragraph" w:customStyle="1" w:styleId="329">
    <w:name w:val="iw_poi_title"/>
    <w:basedOn w:val="1"/>
    <w:qFormat/>
    <w:uiPriority w:val="0"/>
    <w:pPr>
      <w:widowControl/>
      <w:jc w:val="left"/>
    </w:pPr>
    <w:rPr>
      <w:rFonts w:ascii="宋体" w:hAnsi="宋体" w:cs="宋体"/>
      <w:b/>
      <w:bCs/>
      <w:color w:val="CC5522"/>
      <w:kern w:val="0"/>
      <w:szCs w:val="21"/>
    </w:rPr>
  </w:style>
  <w:style w:type="paragraph" w:customStyle="1" w:styleId="330">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1">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2">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3">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4">
    <w:name w:val="_Style 10"/>
    <w:basedOn w:val="1"/>
    <w:qFormat/>
    <w:uiPriority w:val="0"/>
    <w:rPr>
      <w:sz w:val="24"/>
    </w:rPr>
  </w:style>
  <w:style w:type="paragraph" w:customStyle="1" w:styleId="335">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6">
    <w:name w:val="表前文字"/>
    <w:basedOn w:val="1"/>
    <w:qFormat/>
    <w:uiPriority w:val="0"/>
    <w:pPr>
      <w:jc w:val="center"/>
    </w:pPr>
    <w:rPr>
      <w:sz w:val="24"/>
      <w:szCs w:val="21"/>
    </w:rPr>
  </w:style>
  <w:style w:type="paragraph" w:customStyle="1" w:styleId="337">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8">
    <w:name w:val="样式 正文文字缩进 + 小四 首行缩进:  2 字符1"/>
    <w:basedOn w:val="25"/>
    <w:qFormat/>
    <w:uiPriority w:val="0"/>
    <w:pPr>
      <w:spacing w:afterLines="50" w:line="400" w:lineRule="exact"/>
      <w:ind w:left="0" w:leftChars="0" w:firstLine="200" w:firstLineChars="200"/>
    </w:pPr>
    <w:rPr>
      <w:rFonts w:eastAsia="华文楷体" w:cs="宋体"/>
      <w:kern w:val="2"/>
      <w:sz w:val="28"/>
    </w:rPr>
  </w:style>
  <w:style w:type="paragraph" w:customStyle="1" w:styleId="339">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40">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1">
    <w:name w:val="引言"/>
    <w:basedOn w:val="1"/>
    <w:next w:val="1"/>
    <w:qFormat/>
    <w:uiPriority w:val="0"/>
    <w:pPr>
      <w:jc w:val="center"/>
    </w:pPr>
    <w:rPr>
      <w:bCs/>
      <w:color w:val="000000"/>
      <w:szCs w:val="20"/>
    </w:rPr>
  </w:style>
  <w:style w:type="paragraph" w:customStyle="1" w:styleId="342">
    <w:name w:val="正文楷体"/>
    <w:basedOn w:val="1"/>
    <w:qFormat/>
    <w:uiPriority w:val="0"/>
    <w:rPr>
      <w:rFonts w:eastAsia="楷体_GB2312"/>
    </w:rPr>
  </w:style>
  <w:style w:type="paragraph" w:customStyle="1" w:styleId="343">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4">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5">
    <w:name w:val="body"/>
    <w:basedOn w:val="1"/>
    <w:qFormat/>
    <w:uiPriority w:val="0"/>
    <w:pPr>
      <w:spacing w:line="360" w:lineRule="auto"/>
    </w:pPr>
    <w:rPr>
      <w:rFonts w:ascii="宋体" w:hAnsi="宋体" w:cs="宋体"/>
      <w:sz w:val="24"/>
    </w:rPr>
  </w:style>
  <w:style w:type="paragraph" w:customStyle="1" w:styleId="346">
    <w:name w:val="小四表文左齐"/>
    <w:basedOn w:val="1"/>
    <w:qFormat/>
    <w:uiPriority w:val="0"/>
    <w:pPr>
      <w:jc w:val="center"/>
    </w:pPr>
    <w:rPr>
      <w:rFonts w:ascii="宋体" w:hAnsi="宋体"/>
      <w:color w:val="000000"/>
      <w:szCs w:val="21"/>
    </w:rPr>
  </w:style>
  <w:style w:type="paragraph" w:customStyle="1" w:styleId="347">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8">
    <w:name w:val="新正文样式"/>
    <w:basedOn w:val="1"/>
    <w:qFormat/>
    <w:uiPriority w:val="0"/>
    <w:pPr>
      <w:tabs>
        <w:tab w:val="left" w:pos="567"/>
      </w:tabs>
      <w:spacing w:line="360" w:lineRule="auto"/>
      <w:ind w:firstLine="567"/>
    </w:pPr>
    <w:rPr>
      <w:spacing w:val="20"/>
      <w:sz w:val="24"/>
      <w:szCs w:val="20"/>
    </w:rPr>
  </w:style>
  <w:style w:type="paragraph" w:customStyle="1" w:styleId="349">
    <w:name w:val="标题11"/>
    <w:basedOn w:val="1"/>
    <w:qFormat/>
    <w:uiPriority w:val="0"/>
    <w:pPr>
      <w:spacing w:line="360" w:lineRule="auto"/>
    </w:pPr>
    <w:rPr>
      <w:b/>
      <w:bCs/>
      <w:sz w:val="28"/>
    </w:rPr>
  </w:style>
  <w:style w:type="paragraph" w:customStyle="1" w:styleId="350">
    <w:name w:val="字元 字元"/>
    <w:basedOn w:val="1"/>
    <w:qFormat/>
    <w:uiPriority w:val="0"/>
    <w:rPr>
      <w:sz w:val="24"/>
    </w:rPr>
  </w:style>
  <w:style w:type="paragraph" w:customStyle="1" w:styleId="351">
    <w:name w:val="Char Char Char Char Char Char1 Char Char Char Char Char Char Char Char Char"/>
    <w:basedOn w:val="1"/>
    <w:qFormat/>
    <w:uiPriority w:val="0"/>
    <w:rPr>
      <w:sz w:val="24"/>
    </w:rPr>
  </w:style>
  <w:style w:type="paragraph" w:customStyle="1" w:styleId="352">
    <w:name w:val="默认段落字体 Para Char Char Char1 Char Char Char Char Char Char Char Char Char Char"/>
    <w:basedOn w:val="1"/>
    <w:qFormat/>
    <w:uiPriority w:val="0"/>
    <w:rPr>
      <w:sz w:val="24"/>
    </w:rPr>
  </w:style>
  <w:style w:type="paragraph" w:customStyle="1" w:styleId="353">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4">
    <w:name w:val="正文 1"/>
    <w:basedOn w:val="1"/>
    <w:qFormat/>
    <w:uiPriority w:val="0"/>
    <w:pPr>
      <w:spacing w:line="480" w:lineRule="exact"/>
      <w:ind w:firstLine="567"/>
    </w:pPr>
    <w:rPr>
      <w:sz w:val="28"/>
    </w:rPr>
  </w:style>
  <w:style w:type="paragraph" w:customStyle="1" w:styleId="355">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6">
    <w:name w:val="表格主题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7">
    <w:name w:val="网格型 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8">
    <w:name w:val="网格型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9">
    <w:name w:val="左右无边框"/>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360">
    <w:name w:val="网格型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1">
    <w:name w:val="无左右边框型"/>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2">
    <w:name w:val="典雅型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3">
    <w:name w:val="左右无边表格"/>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364">
    <w:name w:val="典雅型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5">
    <w:name w:val="Char Char Char1 Char1 Char Char Char"/>
    <w:basedOn w:val="1"/>
    <w:qFormat/>
    <w:uiPriority w:val="0"/>
    <w:pPr>
      <w:spacing w:line="500" w:lineRule="exact"/>
      <w:ind w:firstLine="480" w:firstLineChars="200"/>
    </w:pPr>
    <w:rPr>
      <w:sz w:val="24"/>
      <w:szCs w:val="20"/>
    </w:rPr>
  </w:style>
  <w:style w:type="character" w:customStyle="1" w:styleId="366">
    <w:name w:val="A标准格式 Char Char"/>
    <w:link w:val="367"/>
    <w:qFormat/>
    <w:uiPriority w:val="0"/>
    <w:rPr>
      <w:kern w:val="2"/>
      <w:sz w:val="24"/>
      <w:szCs w:val="24"/>
    </w:rPr>
  </w:style>
  <w:style w:type="paragraph" w:customStyle="1" w:styleId="367">
    <w:name w:val="A标准格式"/>
    <w:basedOn w:val="1"/>
    <w:link w:val="366"/>
    <w:qFormat/>
    <w:uiPriority w:val="0"/>
    <w:pPr>
      <w:spacing w:line="440" w:lineRule="exact"/>
      <w:ind w:firstLine="480" w:firstLineChars="200"/>
    </w:pPr>
    <w:rPr>
      <w:sz w:val="24"/>
    </w:rPr>
  </w:style>
  <w:style w:type="paragraph" w:customStyle="1" w:styleId="368">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69">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Normal+3"/>
    <w:basedOn w:val="212"/>
    <w:next w:val="212"/>
    <w:qFormat/>
    <w:uiPriority w:val="0"/>
    <w:rPr>
      <w:rFonts w:cs="Times New Roman"/>
      <w:color w:val="auto"/>
    </w:rPr>
  </w:style>
  <w:style w:type="character" w:customStyle="1" w:styleId="382">
    <w:name w:val="地理段落 Char"/>
    <w:link w:val="383"/>
    <w:qFormat/>
    <w:uiPriority w:val="0"/>
    <w:rPr>
      <w:rFonts w:ascii="仿宋_GB2312" w:eastAsia="仿宋_GB2312"/>
      <w:kern w:val="2"/>
      <w:sz w:val="28"/>
      <w:szCs w:val="28"/>
    </w:rPr>
  </w:style>
  <w:style w:type="paragraph" w:customStyle="1" w:styleId="383">
    <w:name w:val="地理段落"/>
    <w:basedOn w:val="1"/>
    <w:link w:val="382"/>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4">
    <w:name w:val="报告正文"/>
    <w:basedOn w:val="1"/>
    <w:link w:val="385"/>
    <w:qFormat/>
    <w:uiPriority w:val="0"/>
    <w:pPr>
      <w:spacing w:line="360" w:lineRule="auto"/>
      <w:ind w:firstLine="482"/>
    </w:pPr>
    <w:rPr>
      <w:sz w:val="24"/>
      <w:szCs w:val="21"/>
    </w:rPr>
  </w:style>
  <w:style w:type="character" w:customStyle="1" w:styleId="385">
    <w:name w:val="报告正文 Char"/>
    <w:link w:val="384"/>
    <w:qFormat/>
    <w:uiPriority w:val="0"/>
    <w:rPr>
      <w:kern w:val="2"/>
      <w:sz w:val="24"/>
      <w:szCs w:val="21"/>
    </w:rPr>
  </w:style>
  <w:style w:type="character" w:customStyle="1" w:styleId="386">
    <w:name w:val="Char Char30"/>
    <w:qFormat/>
    <w:uiPriority w:val="0"/>
    <w:rPr>
      <w:rFonts w:eastAsia="宋体"/>
      <w:b/>
      <w:bCs/>
      <w:kern w:val="2"/>
      <w:sz w:val="21"/>
      <w:szCs w:val="24"/>
      <w:lang w:val="en-US" w:eastAsia="zh-CN" w:bidi="ar-SA"/>
    </w:rPr>
  </w:style>
  <w:style w:type="character" w:customStyle="1" w:styleId="387">
    <w:name w:val="Char Char17"/>
    <w:qFormat/>
    <w:locked/>
    <w:uiPriority w:val="0"/>
    <w:rPr>
      <w:rFonts w:eastAsia="宋体"/>
      <w:b/>
      <w:bCs/>
      <w:kern w:val="2"/>
      <w:sz w:val="32"/>
      <w:szCs w:val="32"/>
      <w:lang w:val="en-US" w:eastAsia="zh-CN" w:bidi="ar-SA"/>
    </w:rPr>
  </w:style>
  <w:style w:type="character" w:customStyle="1" w:styleId="388">
    <w:name w:val="Char Char6"/>
    <w:qFormat/>
    <w:locked/>
    <w:uiPriority w:val="0"/>
    <w:rPr>
      <w:rFonts w:eastAsia="宋体"/>
      <w:kern w:val="2"/>
      <w:sz w:val="21"/>
      <w:szCs w:val="24"/>
      <w:lang w:val="en-US" w:eastAsia="zh-CN" w:bidi="ar-SA"/>
    </w:rPr>
  </w:style>
  <w:style w:type="character" w:customStyle="1" w:styleId="389">
    <w:name w:val="Char Char1"/>
    <w:qFormat/>
    <w:uiPriority w:val="0"/>
    <w:rPr>
      <w:rFonts w:eastAsia="宋体"/>
      <w:kern w:val="2"/>
      <w:sz w:val="18"/>
      <w:szCs w:val="18"/>
      <w:lang w:val="en-US" w:eastAsia="zh-CN" w:bidi="ar-SA"/>
    </w:rPr>
  </w:style>
  <w:style w:type="character" w:customStyle="1" w:styleId="390">
    <w:name w:val="text06"/>
    <w:qFormat/>
    <w:uiPriority w:val="0"/>
  </w:style>
  <w:style w:type="character" w:customStyle="1" w:styleId="391">
    <w:name w:val="标题 4 Char1"/>
    <w:qFormat/>
    <w:locked/>
    <w:uiPriority w:val="0"/>
    <w:rPr>
      <w:rFonts w:ascii="Arial" w:hAnsi="Arial" w:eastAsia="黑体"/>
      <w:b/>
      <w:bCs/>
      <w:kern w:val="2"/>
      <w:sz w:val="28"/>
      <w:szCs w:val="28"/>
      <w:lang w:val="en-US" w:eastAsia="zh-CN" w:bidi="ar-SA"/>
    </w:rPr>
  </w:style>
  <w:style w:type="character" w:customStyle="1" w:styleId="392">
    <w:name w:val="表 标题 Char"/>
    <w:link w:val="393"/>
    <w:qFormat/>
    <w:uiPriority w:val="0"/>
    <w:rPr>
      <w:rFonts w:hAnsi="宋体" w:cs="宋体"/>
      <w:b/>
      <w:smallCaps/>
      <w:kern w:val="2"/>
      <w:sz w:val="24"/>
    </w:rPr>
  </w:style>
  <w:style w:type="paragraph" w:customStyle="1" w:styleId="393">
    <w:name w:val="表 标题"/>
    <w:basedOn w:val="49"/>
    <w:next w:val="1"/>
    <w:link w:val="392"/>
    <w:qFormat/>
    <w:uiPriority w:val="0"/>
    <w:pPr>
      <w:spacing w:beforeLines="50"/>
      <w:ind w:left="420" w:leftChars="0" w:firstLine="0" w:firstLineChars="0"/>
      <w:jc w:val="center"/>
    </w:pPr>
    <w:rPr>
      <w:rFonts w:hAnsi="宋体" w:cs="宋体"/>
      <w:b/>
      <w:smallCaps/>
      <w:sz w:val="24"/>
      <w:szCs w:val="20"/>
    </w:rPr>
  </w:style>
  <w:style w:type="character" w:customStyle="1" w:styleId="394">
    <w:name w:val="文本 Char"/>
    <w:link w:val="395"/>
    <w:qFormat/>
    <w:uiPriority w:val="0"/>
    <w:rPr>
      <w:rFonts w:eastAsia="Times New Roman"/>
      <w:kern w:val="2"/>
      <w:sz w:val="24"/>
      <w:szCs w:val="24"/>
    </w:rPr>
  </w:style>
  <w:style w:type="paragraph" w:customStyle="1" w:styleId="395">
    <w:name w:val="文本"/>
    <w:link w:val="394"/>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6">
    <w:name w:val="dandan6-13正文 Char Char Char"/>
    <w:basedOn w:val="1"/>
    <w:next w:val="1"/>
    <w:autoRedefine/>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7">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8">
    <w:name w:val="表格中文字 Char"/>
    <w:link w:val="399"/>
    <w:qFormat/>
    <w:uiPriority w:val="0"/>
    <w:rPr>
      <w:kern w:val="18"/>
      <w:sz w:val="21"/>
      <w:szCs w:val="21"/>
    </w:rPr>
  </w:style>
  <w:style w:type="paragraph" w:customStyle="1" w:styleId="399">
    <w:name w:val="表格中文字"/>
    <w:basedOn w:val="1"/>
    <w:link w:val="398"/>
    <w:qFormat/>
    <w:uiPriority w:val="0"/>
    <w:pPr>
      <w:adjustRightInd w:val="0"/>
      <w:snapToGrid w:val="0"/>
      <w:jc w:val="center"/>
    </w:pPr>
    <w:rPr>
      <w:kern w:val="18"/>
      <w:szCs w:val="21"/>
    </w:rPr>
  </w:style>
  <w:style w:type="character" w:customStyle="1" w:styleId="400">
    <w:name w:val="正本文字 Char"/>
    <w:link w:val="401"/>
    <w:qFormat/>
    <w:uiPriority w:val="0"/>
    <w:rPr>
      <w:kern w:val="18"/>
      <w:sz w:val="24"/>
    </w:rPr>
  </w:style>
  <w:style w:type="paragraph" w:customStyle="1" w:styleId="401">
    <w:name w:val="正本文字"/>
    <w:basedOn w:val="1"/>
    <w:link w:val="400"/>
    <w:qFormat/>
    <w:uiPriority w:val="0"/>
    <w:pPr>
      <w:adjustRightInd w:val="0"/>
      <w:snapToGrid w:val="0"/>
      <w:spacing w:line="360" w:lineRule="auto"/>
      <w:ind w:firstLine="480" w:firstLineChars="200"/>
      <w:jc w:val="left"/>
    </w:pPr>
    <w:rPr>
      <w:kern w:val="18"/>
      <w:sz w:val="24"/>
      <w:szCs w:val="20"/>
    </w:rPr>
  </w:style>
  <w:style w:type="character" w:customStyle="1" w:styleId="402">
    <w:name w:val="样式2 Char"/>
    <w:link w:val="312"/>
    <w:qFormat/>
    <w:uiPriority w:val="0"/>
    <w:rPr>
      <w:kern w:val="2"/>
      <w:sz w:val="24"/>
      <w:szCs w:val="24"/>
    </w:rPr>
  </w:style>
  <w:style w:type="paragraph" w:customStyle="1" w:styleId="403">
    <w:name w:val="Char Char1 Char Char Char Char"/>
    <w:basedOn w:val="1"/>
    <w:qFormat/>
    <w:uiPriority w:val="0"/>
    <w:pPr>
      <w:spacing w:line="360" w:lineRule="auto"/>
    </w:pPr>
    <w:rPr>
      <w:sz w:val="32"/>
    </w:rPr>
  </w:style>
  <w:style w:type="paragraph" w:customStyle="1" w:styleId="404">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5">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6">
    <w:name w:val="普通(网站) Char"/>
    <w:qFormat/>
    <w:uiPriority w:val="0"/>
    <w:rPr>
      <w:rFonts w:ascii="宋体" w:hAnsi="宋体" w:cs="宋体"/>
      <w:sz w:val="24"/>
      <w:szCs w:val="24"/>
    </w:rPr>
  </w:style>
  <w:style w:type="character" w:customStyle="1" w:styleId="407">
    <w:name w:val="表格标题新 Char Char Char"/>
    <w:qFormat/>
    <w:uiPriority w:val="0"/>
    <w:rPr>
      <w:rFonts w:ascii="仿宋_GB2312" w:eastAsia="仿宋_GB2312"/>
      <w:kern w:val="2"/>
      <w:sz w:val="24"/>
      <w:szCs w:val="24"/>
      <w:lang w:val="en-US" w:eastAsia="zh-CN" w:bidi="ar-SA"/>
    </w:rPr>
  </w:style>
  <w:style w:type="character" w:customStyle="1" w:styleId="408">
    <w:name w:val="Char Char15"/>
    <w:qFormat/>
    <w:uiPriority w:val="0"/>
    <w:rPr>
      <w:rFonts w:ascii="宋体" w:hAnsi="Courier New" w:eastAsia="宋体"/>
      <w:kern w:val="2"/>
      <w:sz w:val="21"/>
      <w:lang w:val="en-US" w:eastAsia="zh-CN" w:bidi="ar-SA"/>
    </w:rPr>
  </w:style>
  <w:style w:type="character" w:customStyle="1" w:styleId="409">
    <w:name w:val="霍尼韦尔 Char Char"/>
    <w:link w:val="410"/>
    <w:qFormat/>
    <w:uiPriority w:val="0"/>
    <w:rPr>
      <w:rFonts w:cs="宋体"/>
      <w:kern w:val="2"/>
      <w:sz w:val="24"/>
    </w:rPr>
  </w:style>
  <w:style w:type="paragraph" w:customStyle="1" w:styleId="410">
    <w:name w:val="霍尼韦尔"/>
    <w:basedOn w:val="1"/>
    <w:link w:val="409"/>
    <w:qFormat/>
    <w:uiPriority w:val="0"/>
    <w:pPr>
      <w:spacing w:line="480" w:lineRule="exact"/>
      <w:ind w:firstLine="480" w:firstLineChars="200"/>
      <w:jc w:val="left"/>
    </w:pPr>
    <w:rPr>
      <w:rFonts w:cs="宋体"/>
      <w:sz w:val="24"/>
      <w:szCs w:val="20"/>
    </w:rPr>
  </w:style>
  <w:style w:type="character" w:customStyle="1" w:styleId="411">
    <w:name w:val="条标题1.1.1 Char2"/>
    <w:qFormat/>
    <w:uiPriority w:val="0"/>
    <w:rPr>
      <w:rFonts w:eastAsia="宋体"/>
      <w:b/>
      <w:bCs/>
      <w:kern w:val="2"/>
      <w:sz w:val="32"/>
      <w:szCs w:val="32"/>
      <w:lang w:val="en-US" w:eastAsia="zh-CN" w:bidi="ar-SA"/>
    </w:rPr>
  </w:style>
  <w:style w:type="character" w:customStyle="1" w:styleId="412">
    <w:name w:val="z101"/>
    <w:qFormat/>
    <w:uiPriority w:val="0"/>
    <w:rPr>
      <w:color w:val="000000"/>
      <w:sz w:val="21"/>
      <w:szCs w:val="21"/>
    </w:rPr>
  </w:style>
  <w:style w:type="character" w:customStyle="1" w:styleId="413">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4">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5">
    <w:name w:val="正文4号 Char Char"/>
    <w:link w:val="416"/>
    <w:qFormat/>
    <w:uiPriority w:val="0"/>
    <w:rPr>
      <w:kern w:val="2"/>
      <w:sz w:val="24"/>
      <w:szCs w:val="24"/>
    </w:rPr>
  </w:style>
  <w:style w:type="paragraph" w:customStyle="1" w:styleId="416">
    <w:name w:val="正文4号"/>
    <w:link w:val="415"/>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7">
    <w:name w:val="图表文字"/>
    <w:basedOn w:val="1"/>
    <w:qFormat/>
    <w:uiPriority w:val="0"/>
    <w:pPr>
      <w:spacing w:line="300" w:lineRule="exact"/>
      <w:jc w:val="center"/>
    </w:pPr>
    <w:rPr>
      <w:bCs/>
      <w:szCs w:val="20"/>
    </w:rPr>
  </w:style>
  <w:style w:type="paragraph" w:customStyle="1" w:styleId="41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19">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20">
    <w:name w:val="二级标题"/>
    <w:basedOn w:val="45"/>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1">
    <w:name w:val="五号表格 Char Char"/>
    <w:link w:val="422"/>
    <w:qFormat/>
    <w:locked/>
    <w:uiPriority w:val="0"/>
    <w:rPr>
      <w:rFonts w:ascii="宋体" w:hAnsi="宋体"/>
      <w:color w:val="000000"/>
      <w:kern w:val="2"/>
      <w:sz w:val="21"/>
      <w:szCs w:val="21"/>
      <w:lang w:val="en-GB"/>
    </w:rPr>
  </w:style>
  <w:style w:type="paragraph" w:customStyle="1" w:styleId="422">
    <w:name w:val="五号表格"/>
    <w:next w:val="1"/>
    <w:link w:val="421"/>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3">
    <w:name w:val="占位符文本1"/>
    <w:semiHidden/>
    <w:qFormat/>
    <w:uiPriority w:val="99"/>
    <w:rPr>
      <w:rFonts w:cs="Times New Roman"/>
      <w:color w:val="808080"/>
    </w:rPr>
  </w:style>
  <w:style w:type="character" w:customStyle="1" w:styleId="424">
    <w:name w:val="宗兴正文 Char Char"/>
    <w:link w:val="425"/>
    <w:qFormat/>
    <w:locked/>
    <w:uiPriority w:val="0"/>
    <w:rPr>
      <w:sz w:val="24"/>
    </w:rPr>
  </w:style>
  <w:style w:type="paragraph" w:customStyle="1" w:styleId="425">
    <w:name w:val="宗兴正文"/>
    <w:basedOn w:val="1"/>
    <w:link w:val="424"/>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6">
    <w:name w:val="表题 Char Char"/>
    <w:link w:val="427"/>
    <w:qFormat/>
    <w:locked/>
    <w:uiPriority w:val="0"/>
    <w:rPr>
      <w:rFonts w:ascii="宋体"/>
      <w:b/>
      <w:sz w:val="24"/>
      <w:lang w:eastAsia="en-US"/>
    </w:rPr>
  </w:style>
  <w:style w:type="paragraph" w:customStyle="1" w:styleId="427">
    <w:name w:val="表题"/>
    <w:basedOn w:val="1"/>
    <w:link w:val="426"/>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8">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29">
    <w:name w:val="样式 样式 标题 2节 + (西文) Times New Roman (中文) 宋体 四号 段前: 0.5 行 段后: 0...... Char Char"/>
    <w:link w:val="430"/>
    <w:qFormat/>
    <w:locked/>
    <w:uiPriority w:val="0"/>
    <w:rPr>
      <w:rFonts w:ascii="宋体"/>
      <w:b/>
      <w:sz w:val="30"/>
    </w:rPr>
  </w:style>
  <w:style w:type="paragraph" w:customStyle="1" w:styleId="430">
    <w:name w:val="样式 样式 标题 2节 + (西文) Times New Roman (中文) 宋体 四号 段前: 0.5 行 段后: 0......"/>
    <w:basedOn w:val="1"/>
    <w:link w:val="429"/>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1">
    <w:name w:val="纯文本1 Char1"/>
    <w:qFormat/>
    <w:uiPriority w:val="0"/>
    <w:rPr>
      <w:rFonts w:ascii="宋体" w:hAnsi="Courier New" w:eastAsia="宋体"/>
      <w:kern w:val="2"/>
      <w:sz w:val="21"/>
      <w:lang w:val="en-US" w:eastAsia="zh-CN"/>
    </w:rPr>
  </w:style>
  <w:style w:type="character" w:customStyle="1" w:styleId="432">
    <w:name w:val="表格 Char Char"/>
    <w:qFormat/>
    <w:locked/>
    <w:uiPriority w:val="0"/>
    <w:rPr>
      <w:rFonts w:ascii="Times New Roman" w:hAnsi="Times New Roman"/>
      <w:b/>
      <w:sz w:val="24"/>
    </w:rPr>
  </w:style>
  <w:style w:type="character" w:customStyle="1" w:styleId="433">
    <w:name w:val="正文文本缩进 2 Char Char"/>
    <w:qFormat/>
    <w:uiPriority w:val="0"/>
    <w:rPr>
      <w:rFonts w:eastAsia="宋体"/>
      <w:kern w:val="2"/>
      <w:sz w:val="24"/>
      <w:lang w:val="en-US" w:eastAsia="zh-CN"/>
    </w:rPr>
  </w:style>
  <w:style w:type="character" w:customStyle="1" w:styleId="434">
    <w:name w:val="表格的字 Char Char"/>
    <w:link w:val="435"/>
    <w:qFormat/>
    <w:locked/>
    <w:uiPriority w:val="0"/>
    <w:rPr>
      <w:sz w:val="24"/>
    </w:rPr>
  </w:style>
  <w:style w:type="paragraph" w:customStyle="1" w:styleId="435">
    <w:name w:val="表格的字"/>
    <w:basedOn w:val="1"/>
    <w:link w:val="434"/>
    <w:qFormat/>
    <w:uiPriority w:val="0"/>
    <w:pPr>
      <w:adjustRightInd w:val="0"/>
      <w:spacing w:line="312" w:lineRule="atLeast"/>
      <w:jc w:val="center"/>
      <w:textAlignment w:val="baseline"/>
    </w:pPr>
    <w:rPr>
      <w:kern w:val="0"/>
      <w:sz w:val="24"/>
      <w:szCs w:val="20"/>
    </w:rPr>
  </w:style>
  <w:style w:type="character" w:customStyle="1" w:styleId="436">
    <w:name w:val="表名图名 Char Char"/>
    <w:link w:val="437"/>
    <w:qFormat/>
    <w:locked/>
    <w:uiPriority w:val="0"/>
    <w:rPr>
      <w:rFonts w:ascii="宋体"/>
      <w:b/>
      <w:sz w:val="24"/>
      <w:lang w:eastAsia="en-US"/>
    </w:rPr>
  </w:style>
  <w:style w:type="paragraph" w:customStyle="1" w:styleId="437">
    <w:name w:val="表名图名"/>
    <w:basedOn w:val="1"/>
    <w:link w:val="436"/>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8">
    <w:name w:val="表、图名 Char Char"/>
    <w:link w:val="439"/>
    <w:qFormat/>
    <w:locked/>
    <w:uiPriority w:val="0"/>
    <w:rPr>
      <w:b/>
      <w:kern w:val="2"/>
      <w:sz w:val="21"/>
      <w:szCs w:val="24"/>
    </w:rPr>
  </w:style>
  <w:style w:type="paragraph" w:customStyle="1" w:styleId="439">
    <w:name w:val="表、图名"/>
    <w:link w:val="438"/>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0">
    <w:name w:val="Body Text Indent Char"/>
    <w:qFormat/>
    <w:locked/>
    <w:uiPriority w:val="0"/>
    <w:rPr>
      <w:sz w:val="24"/>
    </w:rPr>
  </w:style>
  <w:style w:type="character" w:customStyle="1" w:styleId="441">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2">
    <w:name w:val="Document Map Char"/>
    <w:qFormat/>
    <w:locked/>
    <w:uiPriority w:val="0"/>
    <w:rPr>
      <w:rFonts w:ascii="宋体"/>
      <w:sz w:val="18"/>
    </w:rPr>
  </w:style>
  <w:style w:type="character" w:customStyle="1" w:styleId="443">
    <w:name w:val="Body Text First Indent Char"/>
    <w:qFormat/>
    <w:locked/>
    <w:uiPriority w:val="0"/>
    <w:rPr>
      <w:rFonts w:ascii="Calibri" w:hAnsi="Calibri" w:eastAsia="宋体"/>
      <w:sz w:val="24"/>
    </w:rPr>
  </w:style>
  <w:style w:type="character" w:customStyle="1" w:styleId="444">
    <w:name w:val="表头 Char2"/>
    <w:qFormat/>
    <w:locked/>
    <w:uiPriority w:val="0"/>
    <w:rPr>
      <w:rFonts w:eastAsia="黑体"/>
      <w:color w:val="000000"/>
      <w:spacing w:val="-10"/>
    </w:rPr>
  </w:style>
  <w:style w:type="character" w:customStyle="1" w:styleId="445">
    <w:name w:val="图名 Char Char"/>
    <w:link w:val="446"/>
    <w:qFormat/>
    <w:locked/>
    <w:uiPriority w:val="0"/>
    <w:rPr>
      <w:b/>
      <w:kern w:val="2"/>
      <w:sz w:val="24"/>
      <w:szCs w:val="24"/>
      <w:lang w:eastAsia="en-US"/>
    </w:rPr>
  </w:style>
  <w:style w:type="paragraph" w:customStyle="1" w:styleId="446">
    <w:name w:val="图名"/>
    <w:link w:val="445"/>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7">
    <w:name w:val="样式 标题 3 + (西文) Times New Roman (中文) 宋体 小四 加粗 Char Char"/>
    <w:link w:val="448"/>
    <w:qFormat/>
    <w:locked/>
    <w:uiPriority w:val="0"/>
    <w:rPr>
      <w:sz w:val="24"/>
    </w:rPr>
  </w:style>
  <w:style w:type="paragraph" w:customStyle="1" w:styleId="448">
    <w:name w:val="样式 标题 3 + (西文) Times New Roman (中文) 宋体 小四 加粗"/>
    <w:basedOn w:val="1"/>
    <w:link w:val="447"/>
    <w:qFormat/>
    <w:uiPriority w:val="0"/>
    <w:pPr>
      <w:adjustRightInd w:val="0"/>
      <w:spacing w:line="312" w:lineRule="atLeast"/>
      <w:textAlignment w:val="baseline"/>
    </w:pPr>
    <w:rPr>
      <w:kern w:val="0"/>
      <w:sz w:val="24"/>
      <w:szCs w:val="20"/>
    </w:rPr>
  </w:style>
  <w:style w:type="character" w:customStyle="1" w:styleId="449">
    <w:name w:val="1-正文样式 Char Char"/>
    <w:link w:val="450"/>
    <w:qFormat/>
    <w:locked/>
    <w:uiPriority w:val="0"/>
    <w:rPr>
      <w:sz w:val="24"/>
    </w:rPr>
  </w:style>
  <w:style w:type="paragraph" w:customStyle="1" w:styleId="450">
    <w:name w:val="1-正文样式"/>
    <w:basedOn w:val="1"/>
    <w:link w:val="449"/>
    <w:qFormat/>
    <w:uiPriority w:val="0"/>
    <w:pPr>
      <w:adjustRightInd w:val="0"/>
      <w:spacing w:afterLines="50" w:line="360" w:lineRule="auto"/>
      <w:ind w:firstLine="200" w:firstLineChars="200"/>
      <w:textAlignment w:val="baseline"/>
    </w:pPr>
    <w:rPr>
      <w:kern w:val="0"/>
      <w:sz w:val="24"/>
      <w:szCs w:val="20"/>
    </w:rPr>
  </w:style>
  <w:style w:type="character" w:customStyle="1" w:styleId="451">
    <w:name w:val="我的正文 Char Char"/>
    <w:link w:val="452"/>
    <w:qFormat/>
    <w:locked/>
    <w:uiPriority w:val="0"/>
    <w:rPr>
      <w:kern w:val="2"/>
      <w:sz w:val="24"/>
      <w:szCs w:val="24"/>
    </w:rPr>
  </w:style>
  <w:style w:type="paragraph" w:customStyle="1" w:styleId="452">
    <w:name w:val="我的正文"/>
    <w:link w:val="451"/>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3">
    <w:name w:val="样式1 Char Char"/>
    <w:qFormat/>
    <w:locked/>
    <w:uiPriority w:val="0"/>
    <w:rPr>
      <w:rFonts w:ascii="Calibri" w:hAnsi="Calibri"/>
      <w:color w:val="000000"/>
      <w:sz w:val="24"/>
    </w:rPr>
  </w:style>
  <w:style w:type="character" w:customStyle="1" w:styleId="454">
    <w:name w:val="正文1 Char Char"/>
    <w:qFormat/>
    <w:locked/>
    <w:uiPriority w:val="0"/>
    <w:rPr>
      <w:color w:val="000000"/>
      <w:sz w:val="24"/>
    </w:rPr>
  </w:style>
  <w:style w:type="character" w:customStyle="1" w:styleId="455">
    <w:name w:val="正文（小四） Char Char"/>
    <w:link w:val="456"/>
    <w:qFormat/>
    <w:locked/>
    <w:uiPriority w:val="0"/>
    <w:rPr>
      <w:bCs/>
      <w:kern w:val="2"/>
      <w:sz w:val="24"/>
      <w:szCs w:val="32"/>
    </w:rPr>
  </w:style>
  <w:style w:type="paragraph" w:customStyle="1" w:styleId="456">
    <w:name w:val="正文（小四）"/>
    <w:link w:val="455"/>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7">
    <w:name w:val="表格文字 Char Char"/>
    <w:qFormat/>
    <w:locked/>
    <w:uiPriority w:val="0"/>
    <w:rPr>
      <w:kern w:val="2"/>
      <w:sz w:val="21"/>
      <w:szCs w:val="24"/>
    </w:rPr>
  </w:style>
  <w:style w:type="character" w:customStyle="1" w:styleId="458">
    <w:name w:val="我的正文 Char Char Char"/>
    <w:qFormat/>
    <w:uiPriority w:val="0"/>
    <w:rPr>
      <w:kern w:val="2"/>
      <w:sz w:val="24"/>
      <w:lang w:val="en-US" w:eastAsia="zh-CN"/>
    </w:rPr>
  </w:style>
  <w:style w:type="character" w:customStyle="1" w:styleId="459">
    <w:name w:val="样式4 Char"/>
    <w:link w:val="460"/>
    <w:qFormat/>
    <w:locked/>
    <w:uiPriority w:val="0"/>
    <w:rPr>
      <w:rFonts w:eastAsia="仿宋_GB2312"/>
      <w:color w:val="0000FF"/>
      <w:spacing w:val="4"/>
      <w:sz w:val="24"/>
    </w:rPr>
  </w:style>
  <w:style w:type="paragraph" w:customStyle="1" w:styleId="460">
    <w:name w:val="样式4"/>
    <w:basedOn w:val="23"/>
    <w:link w:val="459"/>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1">
    <w:name w:val="表格文字nana Char Char"/>
    <w:link w:val="462"/>
    <w:qFormat/>
    <w:locked/>
    <w:uiPriority w:val="0"/>
    <w:rPr>
      <w:rFonts w:ascii="宋体" w:hAnsi="宋体" w:eastAsia="仿宋_GB2312"/>
      <w:snapToGrid w:val="0"/>
      <w:color w:val="000000"/>
      <w:sz w:val="21"/>
    </w:rPr>
  </w:style>
  <w:style w:type="paragraph" w:customStyle="1" w:styleId="462">
    <w:name w:val="表格文字nana"/>
    <w:basedOn w:val="1"/>
    <w:link w:val="461"/>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3">
    <w:name w:val="表格内容 Char Char"/>
    <w:link w:val="305"/>
    <w:qFormat/>
    <w:locked/>
    <w:uiPriority w:val="0"/>
    <w:rPr>
      <w:rFonts w:ascii="Arial" w:hAnsi="Arial" w:eastAsia="仿宋_GB2312"/>
      <w:sz w:val="24"/>
    </w:rPr>
  </w:style>
  <w:style w:type="character" w:customStyle="1" w:styleId="464">
    <w:name w:val="样式2 Char Char"/>
    <w:qFormat/>
    <w:locked/>
    <w:uiPriority w:val="0"/>
    <w:rPr>
      <w:rFonts w:ascii="Calibri" w:hAnsi="Calibri"/>
      <w:sz w:val="24"/>
    </w:rPr>
  </w:style>
  <w:style w:type="character" w:customStyle="1" w:styleId="465">
    <w:name w:val="注释 Char Char"/>
    <w:link w:val="466"/>
    <w:qFormat/>
    <w:locked/>
    <w:uiPriority w:val="0"/>
    <w:rPr>
      <w:rFonts w:ascii="宋体"/>
      <w:snapToGrid w:val="0"/>
      <w:spacing w:val="4"/>
      <w:sz w:val="24"/>
    </w:rPr>
  </w:style>
  <w:style w:type="paragraph" w:customStyle="1" w:styleId="466">
    <w:name w:val="注释"/>
    <w:basedOn w:val="1"/>
    <w:link w:val="465"/>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7">
    <w:name w:val="表格字体 Char Char"/>
    <w:link w:val="468"/>
    <w:qFormat/>
    <w:locked/>
    <w:uiPriority w:val="0"/>
    <w:rPr>
      <w:sz w:val="21"/>
    </w:rPr>
  </w:style>
  <w:style w:type="paragraph" w:customStyle="1" w:styleId="468">
    <w:name w:val="表格字体"/>
    <w:basedOn w:val="1"/>
    <w:link w:val="467"/>
    <w:qFormat/>
    <w:uiPriority w:val="0"/>
    <w:pPr>
      <w:adjustRightInd w:val="0"/>
      <w:spacing w:beforeLines="20" w:afterLines="20" w:line="360" w:lineRule="auto"/>
      <w:jc w:val="center"/>
      <w:textAlignment w:val="baseline"/>
    </w:pPr>
    <w:rPr>
      <w:kern w:val="0"/>
      <w:szCs w:val="20"/>
    </w:rPr>
  </w:style>
  <w:style w:type="character" w:customStyle="1" w:styleId="469">
    <w:name w:val="Char Char18"/>
    <w:qFormat/>
    <w:uiPriority w:val="0"/>
    <w:rPr>
      <w:rFonts w:ascii="Cambria" w:hAnsi="Cambria" w:eastAsia="宋体"/>
      <w:sz w:val="24"/>
      <w:lang w:val="en-US" w:eastAsia="en-US"/>
    </w:rPr>
  </w:style>
  <w:style w:type="character" w:customStyle="1" w:styleId="470">
    <w:name w:val="1正文段落 Char Char"/>
    <w:qFormat/>
    <w:locked/>
    <w:uiPriority w:val="0"/>
    <w:rPr>
      <w:snapToGrid w:val="0"/>
      <w:sz w:val="24"/>
      <w:szCs w:val="24"/>
    </w:rPr>
  </w:style>
  <w:style w:type="character" w:customStyle="1" w:styleId="471">
    <w:name w:val="正文B Char Char"/>
    <w:qFormat/>
    <w:locked/>
    <w:uiPriority w:val="0"/>
    <w:rPr>
      <w:rFonts w:ascii="宋体" w:hAnsi="宋体" w:eastAsia="宋体"/>
      <w:sz w:val="24"/>
    </w:rPr>
  </w:style>
  <w:style w:type="character" w:customStyle="1" w:styleId="472">
    <w:name w:val="正文加粗 Char Char"/>
    <w:link w:val="473"/>
    <w:qFormat/>
    <w:locked/>
    <w:uiPriority w:val="0"/>
    <w:rPr>
      <w:rFonts w:eastAsia="仿宋_GB2312"/>
      <w:b/>
      <w:kern w:val="2"/>
      <w:sz w:val="24"/>
      <w:szCs w:val="24"/>
    </w:rPr>
  </w:style>
  <w:style w:type="paragraph" w:customStyle="1" w:styleId="473">
    <w:name w:val="正文加粗"/>
    <w:next w:val="1"/>
    <w:link w:val="472"/>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4">
    <w:name w:val="表头 Char1"/>
    <w:qFormat/>
    <w:uiPriority w:val="0"/>
    <w:rPr>
      <w:rFonts w:eastAsia="仿宋_GB2312"/>
      <w:b/>
      <w:snapToGrid w:val="0"/>
      <w:color w:val="000000"/>
      <w:sz w:val="21"/>
    </w:rPr>
  </w:style>
  <w:style w:type="character" w:customStyle="1" w:styleId="475">
    <w:name w:val="正文(首行缩进) Char1"/>
    <w:qFormat/>
    <w:locked/>
    <w:uiPriority w:val="0"/>
    <w:rPr>
      <w:rFonts w:ascii="宋体" w:eastAsia="宋体"/>
      <w:snapToGrid w:val="0"/>
      <w:color w:val="000000"/>
      <w:sz w:val="24"/>
    </w:rPr>
  </w:style>
  <w:style w:type="character" w:customStyle="1" w:styleId="476">
    <w:name w:val="nr"/>
    <w:qFormat/>
    <w:uiPriority w:val="0"/>
    <w:rPr>
      <w:rFonts w:cs="Times New Roman"/>
    </w:rPr>
  </w:style>
  <w:style w:type="character" w:customStyle="1" w:styleId="477">
    <w:name w:val="批注文字 Char1"/>
    <w:qFormat/>
    <w:locked/>
    <w:uiPriority w:val="99"/>
    <w:rPr>
      <w:kern w:val="2"/>
      <w:sz w:val="21"/>
      <w:szCs w:val="24"/>
    </w:rPr>
  </w:style>
  <w:style w:type="paragraph" w:customStyle="1" w:styleId="478">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79">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0">
    <w:name w:val="正文文本缩进 Char1"/>
    <w:semiHidden/>
    <w:qFormat/>
    <w:uiPriority w:val="99"/>
    <w:rPr>
      <w:rFonts w:ascii="Times New Roman" w:hAnsi="Times New Roman" w:eastAsia="宋体" w:cs="Times New Roman"/>
      <w:sz w:val="24"/>
      <w:szCs w:val="24"/>
    </w:rPr>
  </w:style>
  <w:style w:type="paragraph" w:customStyle="1" w:styleId="481">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2">
    <w:name w:val="a表格"/>
    <w:basedOn w:val="1"/>
    <w:qFormat/>
    <w:uiPriority w:val="0"/>
    <w:pPr>
      <w:adjustRightInd w:val="0"/>
      <w:snapToGrid w:val="0"/>
      <w:spacing w:line="312" w:lineRule="atLeast"/>
      <w:jc w:val="center"/>
      <w:textAlignment w:val="baseline"/>
    </w:pPr>
    <w:rPr>
      <w:kern w:val="0"/>
      <w:szCs w:val="20"/>
    </w:rPr>
  </w:style>
  <w:style w:type="paragraph" w:customStyle="1" w:styleId="483">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4">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5">
    <w:name w:val="正文文本 Char1"/>
    <w:qFormat/>
    <w:locked/>
    <w:uiPriority w:val="0"/>
    <w:rPr>
      <w:kern w:val="2"/>
      <w:sz w:val="44"/>
      <w:szCs w:val="24"/>
    </w:rPr>
  </w:style>
  <w:style w:type="paragraph" w:customStyle="1" w:styleId="486">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7">
    <w:name w:val="样式 正文首行缩进 + 首行缩进:  1 字符"/>
    <w:basedOn w:val="57"/>
    <w:qFormat/>
    <w:uiPriority w:val="0"/>
    <w:pPr>
      <w:adjustRightInd w:val="0"/>
      <w:spacing w:after="0" w:line="480" w:lineRule="exact"/>
      <w:ind w:firstLine="200" w:firstLineChars="200"/>
      <w:textAlignment w:val="baseline"/>
    </w:pPr>
    <w:rPr>
      <w:rFonts w:ascii="Calibri" w:hAnsi="Calibri" w:cs="宋体"/>
      <w:bCs/>
      <w:sz w:val="28"/>
      <w:lang w:val="zh-CN" w:eastAsia="zh-CN"/>
    </w:rPr>
  </w:style>
  <w:style w:type="paragraph" w:customStyle="1" w:styleId="488">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89">
    <w:name w:val="环表头"/>
    <w:basedOn w:val="1"/>
    <w:link w:val="610"/>
    <w:qFormat/>
    <w:uiPriority w:val="0"/>
    <w:pPr>
      <w:adjustRightInd w:val="0"/>
      <w:spacing w:line="480" w:lineRule="exact"/>
      <w:jc w:val="center"/>
      <w:textAlignment w:val="baseline"/>
    </w:pPr>
    <w:rPr>
      <w:rFonts w:ascii="黑体" w:hAnsi="宋体" w:eastAsia="黑体"/>
      <w:iCs/>
      <w:color w:val="000000"/>
      <w:kern w:val="0"/>
      <w:sz w:val="24"/>
      <w:szCs w:val="20"/>
      <w:lang w:val="zh-CN" w:eastAsia="zh-CN"/>
    </w:rPr>
  </w:style>
  <w:style w:type="paragraph" w:customStyle="1" w:styleId="490">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1">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3">
    <w:name w:val="zhang正文"/>
    <w:basedOn w:val="25"/>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4">
    <w:name w:val="样式 正文首行缩进正文首行缩进 Char + 首行缩进:  1 字符1"/>
    <w:basedOn w:val="57"/>
    <w:qFormat/>
    <w:uiPriority w:val="0"/>
    <w:pPr>
      <w:widowControl/>
      <w:adjustRightInd w:val="0"/>
      <w:spacing w:line="360" w:lineRule="auto"/>
      <w:ind w:firstLine="100"/>
      <w:jc w:val="left"/>
      <w:textAlignment w:val="baseline"/>
    </w:pPr>
    <w:rPr>
      <w:rFonts w:ascii="Calibri" w:hAnsi="Calibri" w:cs="宋体"/>
      <w:sz w:val="24"/>
      <w:lang w:val="zh-CN" w:eastAsia="zh-CN"/>
    </w:rPr>
  </w:style>
  <w:style w:type="paragraph" w:customStyle="1" w:styleId="495">
    <w:name w:val="p19"/>
    <w:basedOn w:val="1"/>
    <w:qFormat/>
    <w:uiPriority w:val="0"/>
    <w:pPr>
      <w:widowControl/>
      <w:adjustRightInd w:val="0"/>
      <w:spacing w:line="360" w:lineRule="atLeast"/>
      <w:jc w:val="center"/>
      <w:textAlignment w:val="baseline"/>
    </w:pPr>
    <w:rPr>
      <w:kern w:val="0"/>
      <w:szCs w:val="21"/>
    </w:rPr>
  </w:style>
  <w:style w:type="paragraph" w:customStyle="1" w:styleId="496">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7">
    <w:name w:val="样式3"/>
    <w:basedOn w:val="3"/>
    <w:next w:val="498"/>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8">
    <w:name w:val="目录 53"/>
    <w:basedOn w:val="1"/>
    <w:next w:val="1"/>
    <w:qFormat/>
    <w:uiPriority w:val="99"/>
    <w:pPr>
      <w:ind w:left="840"/>
    </w:pPr>
    <w:rPr>
      <w:rFonts w:cs="宋体"/>
      <w:color w:val="000000"/>
    </w:rPr>
  </w:style>
  <w:style w:type="paragraph" w:customStyle="1" w:styleId="499">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0">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501">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2">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3">
    <w:name w:val="样式 标题 3 + 段前: 0 磅 段后: 8 磅 行距: 固定值 22 磅1"/>
    <w:basedOn w:val="5"/>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4">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5">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6">
    <w:name w:val="5"/>
    <w:basedOn w:val="1"/>
    <w:next w:val="48"/>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7">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8">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9">
    <w:name w:val="样式 标题 3H3h33rd level第二层条Re标题 3 Char3条标题1.1.1 Char标题 3 Ch..."/>
    <w:basedOn w:val="5"/>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0">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1">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2">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3">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4">
    <w:name w:val="表名（标题）"/>
    <w:basedOn w:val="1"/>
    <w:qFormat/>
    <w:uiPriority w:val="0"/>
    <w:pPr>
      <w:adjustRightInd w:val="0"/>
      <w:spacing w:line="460" w:lineRule="exact"/>
      <w:jc w:val="left"/>
      <w:textAlignment w:val="baseline"/>
    </w:pPr>
    <w:rPr>
      <w:kern w:val="0"/>
      <w:sz w:val="24"/>
      <w:szCs w:val="20"/>
    </w:rPr>
  </w:style>
  <w:style w:type="paragraph" w:customStyle="1" w:styleId="515">
    <w:name w:val="Char11"/>
    <w:basedOn w:val="1"/>
    <w:qFormat/>
    <w:uiPriority w:val="0"/>
    <w:pPr>
      <w:adjustRightInd w:val="0"/>
      <w:spacing w:line="312" w:lineRule="atLeast"/>
      <w:textAlignment w:val="baseline"/>
    </w:pPr>
    <w:rPr>
      <w:kern w:val="0"/>
      <w:szCs w:val="20"/>
    </w:rPr>
  </w:style>
  <w:style w:type="paragraph" w:customStyle="1" w:styleId="516">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7">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8">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9">
    <w:name w:val="CM16"/>
    <w:basedOn w:val="212"/>
    <w:next w:val="212"/>
    <w:qFormat/>
    <w:uiPriority w:val="0"/>
    <w:pPr>
      <w:spacing w:line="566" w:lineRule="atLeast"/>
    </w:pPr>
    <w:rPr>
      <w:rFonts w:ascii="华文中宋" w:eastAsia="华文中宋" w:cs="华文中宋"/>
      <w:color w:val="auto"/>
    </w:rPr>
  </w:style>
  <w:style w:type="paragraph" w:customStyle="1" w:styleId="520">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1">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2">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3">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4">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5">
    <w:name w:val="p18"/>
    <w:basedOn w:val="1"/>
    <w:qFormat/>
    <w:uiPriority w:val="0"/>
    <w:pPr>
      <w:widowControl/>
      <w:adjustRightInd w:val="0"/>
      <w:spacing w:after="120" w:line="312" w:lineRule="atLeast"/>
      <w:textAlignment w:val="baseline"/>
    </w:pPr>
    <w:rPr>
      <w:kern w:val="0"/>
      <w:szCs w:val="21"/>
    </w:rPr>
  </w:style>
  <w:style w:type="paragraph" w:customStyle="1" w:styleId="526">
    <w:name w:val="样式 正文文本缩进 3 + 12 磅 左侧:  2 字符"/>
    <w:basedOn w:val="48"/>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7">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8">
    <w:name w:val="CM4"/>
    <w:basedOn w:val="212"/>
    <w:next w:val="212"/>
    <w:qFormat/>
    <w:uiPriority w:val="0"/>
    <w:pPr>
      <w:spacing w:line="566" w:lineRule="atLeast"/>
    </w:pPr>
    <w:rPr>
      <w:rFonts w:ascii="华文中宋" w:eastAsia="华文中宋" w:cs="华文中宋"/>
      <w:color w:val="auto"/>
    </w:rPr>
  </w:style>
  <w:style w:type="paragraph" w:customStyle="1" w:styleId="529">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0">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1">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2">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3">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4">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5">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6">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7">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8">
    <w:name w:val="javascript1"/>
    <w:qFormat/>
    <w:uiPriority w:val="0"/>
    <w:rPr>
      <w:rFonts w:ascii="Tahoma" w:hAnsi="Tahoma" w:eastAsia="宋体"/>
      <w:kern w:val="2"/>
      <w:sz w:val="24"/>
      <w:lang w:val="en-US" w:eastAsia="zh-CN"/>
    </w:rPr>
  </w:style>
  <w:style w:type="paragraph" w:customStyle="1" w:styleId="539">
    <w:name w:val="A正文"/>
    <w:basedOn w:val="1"/>
    <w:qFormat/>
    <w:uiPriority w:val="0"/>
    <w:pPr>
      <w:snapToGrid w:val="0"/>
      <w:spacing w:line="500" w:lineRule="exact"/>
      <w:ind w:firstLine="480"/>
    </w:pPr>
    <w:rPr>
      <w:sz w:val="24"/>
    </w:rPr>
  </w:style>
  <w:style w:type="paragraph" w:customStyle="1" w:styleId="540">
    <w:name w:val="1.1.1"/>
    <w:basedOn w:val="1"/>
    <w:qFormat/>
    <w:uiPriority w:val="0"/>
    <w:pPr>
      <w:spacing w:line="360" w:lineRule="auto"/>
      <w:ind w:firstLine="200" w:firstLineChars="200"/>
    </w:pPr>
    <w:rPr>
      <w:rFonts w:ascii="黑体"/>
      <w:sz w:val="24"/>
      <w:szCs w:val="20"/>
    </w:rPr>
  </w:style>
  <w:style w:type="character" w:customStyle="1" w:styleId="541">
    <w:name w:val="尾注文本 Char"/>
    <w:link w:val="37"/>
    <w:qFormat/>
    <w:uiPriority w:val="99"/>
    <w:rPr>
      <w:sz w:val="21"/>
      <w:lang w:val="zh-CN" w:eastAsia="zh-CN"/>
    </w:rPr>
  </w:style>
  <w:style w:type="paragraph" w:customStyle="1" w:styleId="542">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3">
    <w:name w:val="apple-style-span"/>
    <w:qFormat/>
    <w:uiPriority w:val="0"/>
  </w:style>
  <w:style w:type="character" w:customStyle="1" w:styleId="544">
    <w:name w:val="List Paragraph Char"/>
    <w:link w:val="170"/>
    <w:qFormat/>
    <w:locked/>
    <w:uiPriority w:val="0"/>
  </w:style>
  <w:style w:type="paragraph" w:customStyle="1" w:styleId="545">
    <w:name w:val="Char6"/>
    <w:basedOn w:val="1"/>
    <w:qFormat/>
    <w:uiPriority w:val="0"/>
  </w:style>
  <w:style w:type="table" w:customStyle="1" w:styleId="546">
    <w:name w:val="网格型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7">
    <w:name w:val="网格型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48">
    <w:name w:val="Char5"/>
    <w:basedOn w:val="1"/>
    <w:qFormat/>
    <w:uiPriority w:val="0"/>
  </w:style>
  <w:style w:type="table" w:customStyle="1" w:styleId="549">
    <w:name w:val="网格型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0">
    <w:name w:val="Char4"/>
    <w:basedOn w:val="1"/>
    <w:qFormat/>
    <w:uiPriority w:val="0"/>
  </w:style>
  <w:style w:type="paragraph" w:customStyle="1" w:styleId="551">
    <w:name w:val="Char Char Char Char Char Char Char Char Char1 Char Char Char Char"/>
    <w:basedOn w:val="1"/>
    <w:qFormat/>
    <w:uiPriority w:val="0"/>
    <w:rPr>
      <w:sz w:val="24"/>
    </w:rPr>
  </w:style>
  <w:style w:type="paragraph" w:customStyle="1" w:styleId="552">
    <w:name w:val="Char Char Char Char Char Char Char Char Char1 Char Char Char Char1"/>
    <w:basedOn w:val="1"/>
    <w:qFormat/>
    <w:uiPriority w:val="0"/>
    <w:rPr>
      <w:sz w:val="24"/>
    </w:rPr>
  </w:style>
  <w:style w:type="paragraph" w:customStyle="1" w:styleId="553">
    <w:name w:val="新正文"/>
    <w:basedOn w:val="1"/>
    <w:link w:val="554"/>
    <w:qFormat/>
    <w:uiPriority w:val="0"/>
    <w:pPr>
      <w:adjustRightInd w:val="0"/>
      <w:snapToGrid w:val="0"/>
      <w:spacing w:line="480" w:lineRule="exact"/>
      <w:ind w:firstLine="482" w:firstLineChars="200"/>
    </w:pPr>
    <w:rPr>
      <w:rFonts w:ascii="仿宋_GB2312" w:eastAsia="仿宋_GB2312"/>
      <w:kern w:val="0"/>
      <w:sz w:val="20"/>
      <w:szCs w:val="20"/>
      <w:lang w:val="zh-CN" w:eastAsia="zh-CN"/>
    </w:rPr>
  </w:style>
  <w:style w:type="character" w:customStyle="1" w:styleId="554">
    <w:name w:val="新正文 Char"/>
    <w:link w:val="553"/>
    <w:qFormat/>
    <w:locked/>
    <w:uiPriority w:val="0"/>
    <w:rPr>
      <w:rFonts w:ascii="仿宋_GB2312" w:eastAsia="仿宋_GB2312"/>
      <w:lang w:val="zh-CN" w:eastAsia="zh-CN"/>
    </w:rPr>
  </w:style>
  <w:style w:type="table" w:customStyle="1" w:styleId="555">
    <w:name w:val="网格型1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6">
    <w:name w:val="Char21"/>
    <w:basedOn w:val="1"/>
    <w:qFormat/>
    <w:uiPriority w:val="0"/>
  </w:style>
  <w:style w:type="paragraph" w:customStyle="1" w:styleId="557">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8">
    <w:name w:val="网格型5"/>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59">
    <w:name w:val="show-img-bd"/>
    <w:qFormat/>
    <w:uiPriority w:val="0"/>
  </w:style>
  <w:style w:type="character" w:customStyle="1" w:styleId="560">
    <w:name w:val="图 标题 Char"/>
    <w:link w:val="561"/>
    <w:qFormat/>
    <w:uiPriority w:val="0"/>
    <w:rPr>
      <w:b/>
      <w:kern w:val="2"/>
      <w:sz w:val="24"/>
    </w:rPr>
  </w:style>
  <w:style w:type="paragraph" w:customStyle="1" w:styleId="561">
    <w:name w:val="图 标题"/>
    <w:basedOn w:val="1"/>
    <w:link w:val="560"/>
    <w:qFormat/>
    <w:uiPriority w:val="0"/>
    <w:pPr>
      <w:adjustRightInd w:val="0"/>
      <w:snapToGrid w:val="0"/>
      <w:spacing w:line="360" w:lineRule="auto"/>
      <w:jc w:val="center"/>
    </w:pPr>
    <w:rPr>
      <w:b/>
      <w:sz w:val="24"/>
      <w:szCs w:val="20"/>
    </w:rPr>
  </w:style>
  <w:style w:type="character" w:customStyle="1" w:styleId="562">
    <w:name w:val="aa正文 Char"/>
    <w:link w:val="563"/>
    <w:qFormat/>
    <w:uiPriority w:val="0"/>
    <w:rPr>
      <w:sz w:val="24"/>
      <w:szCs w:val="24"/>
    </w:rPr>
  </w:style>
  <w:style w:type="paragraph" w:customStyle="1" w:styleId="563">
    <w:name w:val="aa正文"/>
    <w:basedOn w:val="1"/>
    <w:link w:val="562"/>
    <w:qFormat/>
    <w:uiPriority w:val="0"/>
    <w:pPr>
      <w:spacing w:line="360" w:lineRule="auto"/>
      <w:ind w:firstLine="200" w:firstLineChars="200"/>
    </w:pPr>
    <w:rPr>
      <w:kern w:val="0"/>
      <w:sz w:val="24"/>
    </w:rPr>
  </w:style>
  <w:style w:type="character" w:customStyle="1" w:styleId="564">
    <w:name w:val="words-outer-wrap"/>
    <w:qFormat/>
    <w:uiPriority w:val="0"/>
  </w:style>
  <w:style w:type="character" w:customStyle="1" w:styleId="565">
    <w:name w:val="split-word"/>
    <w:qFormat/>
    <w:uiPriority w:val="0"/>
  </w:style>
  <w:style w:type="paragraph" w:customStyle="1" w:styleId="566">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7">
    <w:name w:val="表格标题 Char"/>
    <w:qFormat/>
    <w:uiPriority w:val="0"/>
    <w:rPr>
      <w:rFonts w:ascii="TimesNewRoman" w:hAnsi="TimesNewRoman"/>
      <w:b/>
      <w:sz w:val="24"/>
    </w:rPr>
  </w:style>
  <w:style w:type="paragraph" w:customStyle="1" w:styleId="568">
    <w:name w:val="Char Char21"/>
    <w:basedOn w:val="1"/>
    <w:qFormat/>
    <w:uiPriority w:val="0"/>
    <w:rPr>
      <w:szCs w:val="21"/>
    </w:rPr>
  </w:style>
  <w:style w:type="paragraph" w:customStyle="1" w:styleId="569">
    <w:name w:val="333333333333333"/>
    <w:basedOn w:val="5"/>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0">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1">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2">
    <w:name w:val="表的标题 Char"/>
    <w:link w:val="573"/>
    <w:qFormat/>
    <w:uiPriority w:val="0"/>
    <w:rPr>
      <w:rFonts w:eastAsia="黑体" w:cs="宋体"/>
      <w:kern w:val="2"/>
      <w:sz w:val="24"/>
    </w:rPr>
  </w:style>
  <w:style w:type="paragraph" w:customStyle="1" w:styleId="573">
    <w:name w:val="表的标题"/>
    <w:basedOn w:val="1"/>
    <w:next w:val="1"/>
    <w:link w:val="572"/>
    <w:qFormat/>
    <w:uiPriority w:val="0"/>
    <w:pPr>
      <w:adjustRightInd w:val="0"/>
      <w:snapToGrid w:val="0"/>
      <w:spacing w:beforeLines="50"/>
      <w:jc w:val="center"/>
    </w:pPr>
    <w:rPr>
      <w:rFonts w:eastAsia="黑体" w:cs="宋体"/>
      <w:sz w:val="24"/>
      <w:szCs w:val="20"/>
    </w:rPr>
  </w:style>
  <w:style w:type="character" w:customStyle="1" w:styleId="574">
    <w:name w:val="4正文 Char"/>
    <w:link w:val="575"/>
    <w:qFormat/>
    <w:uiPriority w:val="0"/>
    <w:rPr>
      <w:kern w:val="2"/>
      <w:sz w:val="24"/>
    </w:rPr>
  </w:style>
  <w:style w:type="paragraph" w:customStyle="1" w:styleId="575">
    <w:name w:val="4正文"/>
    <w:basedOn w:val="1"/>
    <w:link w:val="574"/>
    <w:qFormat/>
    <w:uiPriority w:val="0"/>
    <w:pPr>
      <w:spacing w:line="360" w:lineRule="auto"/>
      <w:ind w:firstLine="480" w:firstLineChars="200"/>
    </w:pPr>
    <w:rPr>
      <w:sz w:val="24"/>
      <w:szCs w:val="20"/>
    </w:rPr>
  </w:style>
  <w:style w:type="paragraph" w:customStyle="1" w:styleId="576">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7">
    <w:name w:val="Char Char291"/>
    <w:qFormat/>
    <w:uiPriority w:val="0"/>
    <w:rPr>
      <w:rFonts w:eastAsia="宋体"/>
      <w:b/>
      <w:bCs/>
      <w:kern w:val="2"/>
      <w:sz w:val="32"/>
      <w:szCs w:val="32"/>
      <w:lang w:val="en-US" w:eastAsia="zh-CN" w:bidi="ar-SA"/>
    </w:rPr>
  </w:style>
  <w:style w:type="character" w:customStyle="1" w:styleId="578">
    <w:name w:val="Char Char111"/>
    <w:qFormat/>
    <w:uiPriority w:val="0"/>
    <w:rPr>
      <w:rFonts w:ascii="Calibri" w:hAnsi="Tahoma" w:eastAsia="Calibri" w:cs="Tahoma"/>
      <w:kern w:val="2"/>
      <w:sz w:val="21"/>
      <w:szCs w:val="21"/>
      <w:lang w:val="en-US" w:eastAsia="zh-CN" w:bidi="ar-SA"/>
    </w:rPr>
  </w:style>
  <w:style w:type="character" w:customStyle="1" w:styleId="579">
    <w:name w:val="Char Char41"/>
    <w:qFormat/>
    <w:uiPriority w:val="0"/>
    <w:rPr>
      <w:rFonts w:ascii="宋体" w:hAnsi="Courier New" w:eastAsia="宋体"/>
      <w:kern w:val="2"/>
      <w:sz w:val="21"/>
      <w:lang w:val="en-US" w:eastAsia="zh-CN" w:bidi="ar-SA"/>
    </w:rPr>
  </w:style>
  <w:style w:type="character" w:customStyle="1" w:styleId="580">
    <w:name w:val="Char Char91"/>
    <w:qFormat/>
    <w:uiPriority w:val="0"/>
    <w:rPr>
      <w:rFonts w:ascii="宋体" w:hAnsi="宋体" w:eastAsia="宋体"/>
      <w:kern w:val="2"/>
      <w:sz w:val="24"/>
      <w:szCs w:val="24"/>
      <w:lang w:val="en-US" w:eastAsia="zh-CN" w:bidi="ar-SA"/>
    </w:rPr>
  </w:style>
  <w:style w:type="character" w:customStyle="1" w:styleId="581">
    <w:name w:val="正文文本缩进 2 Char2"/>
    <w:semiHidden/>
    <w:qFormat/>
    <w:uiPriority w:val="99"/>
    <w:rPr>
      <w:kern w:val="2"/>
      <w:sz w:val="21"/>
      <w:szCs w:val="24"/>
    </w:rPr>
  </w:style>
  <w:style w:type="character" w:customStyle="1" w:styleId="582">
    <w:name w:val="页脚 Char1"/>
    <w:qFormat/>
    <w:uiPriority w:val="0"/>
    <w:rPr>
      <w:kern w:val="2"/>
      <w:sz w:val="18"/>
      <w:szCs w:val="18"/>
    </w:rPr>
  </w:style>
  <w:style w:type="paragraph" w:customStyle="1" w:styleId="583">
    <w:name w:val="Char Char Char Char Char Char Char2"/>
    <w:basedOn w:val="1"/>
    <w:qFormat/>
    <w:uiPriority w:val="0"/>
    <w:pPr>
      <w:adjustRightInd w:val="0"/>
      <w:spacing w:line="360" w:lineRule="auto"/>
    </w:pPr>
    <w:rPr>
      <w:kern w:val="0"/>
      <w:sz w:val="24"/>
      <w:szCs w:val="20"/>
    </w:rPr>
  </w:style>
  <w:style w:type="character" w:customStyle="1" w:styleId="584">
    <w:name w:val="批注框文本 Char1"/>
    <w:semiHidden/>
    <w:qFormat/>
    <w:uiPriority w:val="99"/>
    <w:rPr>
      <w:kern w:val="2"/>
      <w:sz w:val="18"/>
      <w:szCs w:val="18"/>
    </w:rPr>
  </w:style>
  <w:style w:type="character" w:customStyle="1" w:styleId="585">
    <w:name w:val="正文首行缩进 2 Char1"/>
    <w:semiHidden/>
    <w:qFormat/>
    <w:uiPriority w:val="99"/>
    <w:rPr>
      <w:rFonts w:ascii="Times New Roman" w:hAnsi="Times New Roman" w:eastAsia="宋体" w:cs="Times New Roman"/>
      <w:kern w:val="2"/>
      <w:sz w:val="21"/>
      <w:szCs w:val="24"/>
    </w:rPr>
  </w:style>
  <w:style w:type="paragraph" w:customStyle="1" w:styleId="586">
    <w:name w:val="Char12"/>
    <w:basedOn w:val="1"/>
    <w:qFormat/>
    <w:uiPriority w:val="0"/>
    <w:rPr>
      <w:sz w:val="24"/>
    </w:rPr>
  </w:style>
  <w:style w:type="paragraph" w:customStyle="1" w:styleId="587">
    <w:name w:val="Char22"/>
    <w:basedOn w:val="1"/>
    <w:qFormat/>
    <w:uiPriority w:val="0"/>
    <w:pPr>
      <w:ind w:firstLine="200" w:firstLineChars="200"/>
    </w:pPr>
    <w:rPr>
      <w:rFonts w:ascii="宋体" w:hAnsi="宋体" w:cs="宋体"/>
    </w:rPr>
  </w:style>
  <w:style w:type="paragraph" w:customStyle="1" w:styleId="588">
    <w:name w:val="Char Char Char2"/>
    <w:basedOn w:val="1"/>
    <w:qFormat/>
    <w:uiPriority w:val="0"/>
  </w:style>
  <w:style w:type="paragraph" w:customStyle="1" w:styleId="589">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0">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1">
    <w:name w:val="字元 字元1"/>
    <w:basedOn w:val="1"/>
    <w:qFormat/>
    <w:uiPriority w:val="0"/>
    <w:rPr>
      <w:sz w:val="24"/>
    </w:rPr>
  </w:style>
  <w:style w:type="paragraph" w:customStyle="1" w:styleId="592">
    <w:name w:val="Char Char Char Char Char Char1 Char Char Char Char Char Char Char Char Char1"/>
    <w:basedOn w:val="1"/>
    <w:qFormat/>
    <w:uiPriority w:val="0"/>
    <w:rPr>
      <w:sz w:val="24"/>
    </w:rPr>
  </w:style>
  <w:style w:type="paragraph" w:customStyle="1" w:styleId="593">
    <w:name w:val="Char Char Char1 Char1 Char Char Char1"/>
    <w:basedOn w:val="1"/>
    <w:qFormat/>
    <w:uiPriority w:val="0"/>
    <w:pPr>
      <w:spacing w:line="500" w:lineRule="exact"/>
      <w:ind w:firstLine="480" w:firstLineChars="200"/>
    </w:pPr>
    <w:rPr>
      <w:sz w:val="24"/>
      <w:szCs w:val="20"/>
    </w:rPr>
  </w:style>
  <w:style w:type="character" w:customStyle="1" w:styleId="594">
    <w:name w:val="Char Char301"/>
    <w:qFormat/>
    <w:uiPriority w:val="0"/>
    <w:rPr>
      <w:rFonts w:eastAsia="宋体"/>
      <w:b/>
      <w:bCs/>
      <w:kern w:val="2"/>
      <w:sz w:val="21"/>
      <w:szCs w:val="24"/>
      <w:lang w:val="en-US" w:eastAsia="zh-CN" w:bidi="ar-SA"/>
    </w:rPr>
  </w:style>
  <w:style w:type="character" w:customStyle="1" w:styleId="595">
    <w:name w:val="Char Char171"/>
    <w:qFormat/>
    <w:locked/>
    <w:uiPriority w:val="0"/>
    <w:rPr>
      <w:rFonts w:eastAsia="宋体"/>
      <w:b/>
      <w:bCs/>
      <w:kern w:val="2"/>
      <w:sz w:val="32"/>
      <w:szCs w:val="32"/>
      <w:lang w:val="en-US" w:eastAsia="zh-CN" w:bidi="ar-SA"/>
    </w:rPr>
  </w:style>
  <w:style w:type="character" w:customStyle="1" w:styleId="596">
    <w:name w:val="Char Char61"/>
    <w:qFormat/>
    <w:locked/>
    <w:uiPriority w:val="0"/>
    <w:rPr>
      <w:rFonts w:eastAsia="宋体"/>
      <w:kern w:val="2"/>
      <w:sz w:val="21"/>
      <w:szCs w:val="24"/>
      <w:lang w:val="en-US" w:eastAsia="zh-CN" w:bidi="ar-SA"/>
    </w:rPr>
  </w:style>
  <w:style w:type="character" w:customStyle="1" w:styleId="597">
    <w:name w:val="Char Char12"/>
    <w:qFormat/>
    <w:uiPriority w:val="0"/>
    <w:rPr>
      <w:rFonts w:eastAsia="宋体"/>
      <w:kern w:val="2"/>
      <w:sz w:val="18"/>
      <w:szCs w:val="18"/>
      <w:lang w:val="en-US" w:eastAsia="zh-CN" w:bidi="ar-SA"/>
    </w:rPr>
  </w:style>
  <w:style w:type="character" w:customStyle="1" w:styleId="598">
    <w:name w:val="Char Char151"/>
    <w:qFormat/>
    <w:uiPriority w:val="0"/>
    <w:rPr>
      <w:rFonts w:ascii="宋体" w:hAnsi="Courier New" w:eastAsia="宋体"/>
      <w:kern w:val="2"/>
      <w:sz w:val="21"/>
      <w:lang w:val="en-US" w:eastAsia="zh-CN" w:bidi="ar-SA"/>
    </w:rPr>
  </w:style>
  <w:style w:type="character" w:customStyle="1" w:styleId="599">
    <w:name w:val="占位符文本2"/>
    <w:semiHidden/>
    <w:qFormat/>
    <w:uiPriority w:val="99"/>
    <w:rPr>
      <w:rFonts w:cs="Times New Roman"/>
      <w:color w:val="808080"/>
    </w:rPr>
  </w:style>
  <w:style w:type="paragraph" w:customStyle="1" w:styleId="600">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1">
    <w:name w:val="description"/>
    <w:qFormat/>
    <w:uiPriority w:val="0"/>
  </w:style>
  <w:style w:type="character" w:customStyle="1" w:styleId="602">
    <w:name w:val="Char Char1 Char"/>
    <w:qFormat/>
    <w:uiPriority w:val="0"/>
    <w:rPr>
      <w:rFonts w:ascii="宋体" w:hAnsi="宋体" w:cs="宋体"/>
      <w:kern w:val="2"/>
      <w:sz w:val="24"/>
      <w:szCs w:val="24"/>
    </w:rPr>
  </w:style>
  <w:style w:type="character" w:customStyle="1" w:styleId="603">
    <w:name w:val="5文章(治) Char Char"/>
    <w:link w:val="604"/>
    <w:qFormat/>
    <w:uiPriority w:val="0"/>
    <w:rPr>
      <w:kern w:val="2"/>
      <w:sz w:val="24"/>
    </w:rPr>
  </w:style>
  <w:style w:type="paragraph" w:customStyle="1" w:styleId="604">
    <w:name w:val="5文章(治)"/>
    <w:basedOn w:val="1"/>
    <w:link w:val="603"/>
    <w:qFormat/>
    <w:uiPriority w:val="0"/>
    <w:pPr>
      <w:spacing w:line="360" w:lineRule="auto"/>
      <w:ind w:firstLine="560" w:firstLineChars="200"/>
    </w:pPr>
    <w:rPr>
      <w:sz w:val="24"/>
      <w:szCs w:val="20"/>
    </w:rPr>
  </w:style>
  <w:style w:type="character" w:customStyle="1" w:styleId="605">
    <w:name w:val="bjh-p"/>
    <w:qFormat/>
    <w:uiPriority w:val="0"/>
  </w:style>
  <w:style w:type="paragraph" w:customStyle="1" w:styleId="606">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7">
    <w:name w:val="002"/>
    <w:qFormat/>
    <w:uiPriority w:val="0"/>
    <w:rPr>
      <w:rFonts w:ascii="黑体" w:hAnsi="黑体" w:eastAsia="黑体"/>
      <w:sz w:val="28"/>
    </w:rPr>
  </w:style>
  <w:style w:type="character" w:customStyle="1" w:styleId="608">
    <w:name w:val="表格标题新 Char"/>
    <w:link w:val="609"/>
    <w:qFormat/>
    <w:uiPriority w:val="0"/>
    <w:rPr>
      <w:rFonts w:ascii="仿宋_GB2312" w:eastAsia="黑体"/>
      <w:b/>
      <w:snapToGrid w:val="0"/>
      <w:spacing w:val="4"/>
      <w:sz w:val="24"/>
      <w:szCs w:val="24"/>
    </w:rPr>
  </w:style>
  <w:style w:type="paragraph" w:customStyle="1" w:styleId="609">
    <w:name w:val="表格标题新"/>
    <w:basedOn w:val="155"/>
    <w:link w:val="608"/>
    <w:qFormat/>
    <w:uiPriority w:val="0"/>
    <w:pPr>
      <w:spacing w:before="120" w:beforeLines="50"/>
      <w:ind w:firstLine="562"/>
    </w:pPr>
    <w:rPr>
      <w:rFonts w:ascii="仿宋_GB2312" w:eastAsia="黑体"/>
      <w:b/>
      <w:snapToGrid w:val="0"/>
      <w:spacing w:val="4"/>
      <w:szCs w:val="24"/>
    </w:rPr>
  </w:style>
  <w:style w:type="character" w:customStyle="1" w:styleId="610">
    <w:name w:val="环表头 Char Char"/>
    <w:link w:val="489"/>
    <w:qFormat/>
    <w:uiPriority w:val="0"/>
    <w:rPr>
      <w:rFonts w:ascii="黑体" w:hAnsi="宋体" w:eastAsia="黑体"/>
      <w:iCs/>
      <w:color w:val="000000"/>
      <w:sz w:val="24"/>
      <w:lang w:val="zh-CN" w:eastAsia="zh-CN"/>
    </w:rPr>
  </w:style>
  <w:style w:type="character" w:customStyle="1" w:styleId="611">
    <w:name w:val="Book Title"/>
    <w:qFormat/>
    <w:uiPriority w:val="33"/>
    <w:rPr>
      <w:b/>
      <w:bCs/>
      <w:smallCaps/>
      <w:spacing w:val="5"/>
    </w:rPr>
  </w:style>
  <w:style w:type="character" w:customStyle="1" w:styleId="612">
    <w:name w:val="large1"/>
    <w:qFormat/>
    <w:uiPriority w:val="0"/>
    <w:rPr>
      <w:rFonts w:hint="eastAsia" w:ascii="宋体" w:hAnsi="宋体" w:eastAsia="宋体"/>
      <w:sz w:val="22"/>
      <w:szCs w:val="22"/>
    </w:rPr>
  </w:style>
  <w:style w:type="character" w:customStyle="1" w:styleId="613">
    <w:name w:val="fontstyle11"/>
    <w:qFormat/>
    <w:uiPriority w:val="0"/>
    <w:rPr>
      <w:rFonts w:hint="eastAsia" w:ascii="宋体" w:hAnsi="宋体" w:eastAsia="宋体"/>
      <w:color w:val="000000"/>
      <w:sz w:val="22"/>
      <w:szCs w:val="22"/>
    </w:rPr>
  </w:style>
  <w:style w:type="character" w:customStyle="1" w:styleId="614">
    <w:name w:val="3级 Char"/>
    <w:link w:val="615"/>
    <w:qFormat/>
    <w:uiPriority w:val="0"/>
    <w:rPr>
      <w:rFonts w:eastAsia="仿宋_GB2312"/>
      <w:bCs/>
      <w:kern w:val="2"/>
      <w:sz w:val="28"/>
      <w:szCs w:val="32"/>
    </w:rPr>
  </w:style>
  <w:style w:type="paragraph" w:customStyle="1" w:styleId="615">
    <w:name w:val="3级"/>
    <w:basedOn w:val="1"/>
    <w:link w:val="614"/>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6">
    <w:name w:val="表题前1后0.5行 Char"/>
    <w:link w:val="617"/>
    <w:qFormat/>
    <w:uiPriority w:val="0"/>
    <w:rPr>
      <w:rFonts w:ascii="宋体"/>
      <w:kern w:val="2"/>
      <w:sz w:val="26"/>
      <w:szCs w:val="24"/>
    </w:rPr>
  </w:style>
  <w:style w:type="paragraph" w:customStyle="1" w:styleId="617">
    <w:name w:val="表题前1后0.5行"/>
    <w:basedOn w:val="1"/>
    <w:link w:val="616"/>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8">
    <w:name w:val="height21"/>
    <w:qFormat/>
    <w:uiPriority w:val="0"/>
    <w:rPr>
      <w:sz w:val="18"/>
      <w:szCs w:val="18"/>
    </w:rPr>
  </w:style>
  <w:style w:type="character" w:customStyle="1" w:styleId="619">
    <w:name w:val="fontstyle21"/>
    <w:qFormat/>
    <w:uiPriority w:val="0"/>
    <w:rPr>
      <w:rFonts w:hint="default" w:ascii="TimesNewRomanPSMT" w:hAnsi="TimesNewRomanPSMT"/>
      <w:color w:val="000000"/>
      <w:sz w:val="28"/>
      <w:szCs w:val="28"/>
    </w:rPr>
  </w:style>
  <w:style w:type="character" w:customStyle="1" w:styleId="620">
    <w:name w:val="正文01 Char Char"/>
    <w:qFormat/>
    <w:uiPriority w:val="0"/>
    <w:rPr>
      <w:kern w:val="2"/>
      <w:sz w:val="24"/>
      <w:szCs w:val="24"/>
    </w:rPr>
  </w:style>
  <w:style w:type="character" w:customStyle="1" w:styleId="621">
    <w:name w:val="fontstyle01"/>
    <w:qFormat/>
    <w:uiPriority w:val="0"/>
    <w:rPr>
      <w:rFonts w:hint="default" w:ascii="Times New Roman" w:hAnsi="Times New Roman" w:cs="Times New Roman"/>
      <w:color w:val="000000"/>
      <w:sz w:val="22"/>
      <w:szCs w:val="22"/>
    </w:rPr>
  </w:style>
  <w:style w:type="paragraph" w:customStyle="1" w:styleId="622">
    <w:name w:val="Char33"/>
    <w:basedOn w:val="1"/>
    <w:qFormat/>
    <w:uiPriority w:val="0"/>
    <w:rPr>
      <w:sz w:val="24"/>
    </w:rPr>
  </w:style>
  <w:style w:type="paragraph" w:customStyle="1" w:styleId="623">
    <w:name w:val="Hu表内"/>
    <w:basedOn w:val="624"/>
    <w:qFormat/>
    <w:uiPriority w:val="0"/>
    <w:rPr>
      <w:sz w:val="24"/>
    </w:rPr>
  </w:style>
  <w:style w:type="paragraph" w:customStyle="1" w:styleId="624">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5">
    <w:name w:val="中等深浅网格 1 - 强调文字颜色 21"/>
    <w:basedOn w:val="1"/>
    <w:qFormat/>
    <w:uiPriority w:val="34"/>
    <w:pPr>
      <w:ind w:firstLine="420" w:firstLineChars="200"/>
    </w:pPr>
    <w:rPr>
      <w:rFonts w:ascii="Calibri" w:hAnsi="Calibri"/>
      <w:szCs w:val="22"/>
    </w:rPr>
  </w:style>
  <w:style w:type="paragraph" w:customStyle="1" w:styleId="626">
    <w:name w:val="纯文本2"/>
    <w:basedOn w:val="1"/>
    <w:qFormat/>
    <w:uiPriority w:val="0"/>
    <w:pPr>
      <w:adjustRightInd w:val="0"/>
      <w:textAlignment w:val="baseline"/>
    </w:pPr>
    <w:rPr>
      <w:rFonts w:ascii="宋体" w:hAnsi="Courier New" w:eastAsia="仿宋_GB2312"/>
      <w:sz w:val="28"/>
      <w:szCs w:val="28"/>
    </w:rPr>
  </w:style>
  <w:style w:type="paragraph" w:customStyle="1" w:styleId="627">
    <w:name w:val="二级大标题"/>
    <w:basedOn w:val="3"/>
    <w:qFormat/>
    <w:uiPriority w:val="0"/>
    <w:pPr>
      <w:keepNext w:val="0"/>
      <w:keepLines w:val="0"/>
      <w:tabs>
        <w:tab w:val="left" w:pos="720"/>
        <w:tab w:val="clear" w:pos="425"/>
      </w:tabs>
      <w:adjustRightInd w:val="0"/>
      <w:snapToGrid w:val="0"/>
      <w:spacing w:before="0" w:after="0" w:line="360" w:lineRule="auto"/>
      <w:ind w:left="425" w:hanging="425"/>
    </w:pPr>
    <w:rPr>
      <w:rFonts w:ascii="Times New Roman" w:hAnsi="Times New Roman" w:eastAsia="仿宋_GB2312"/>
      <w:sz w:val="28"/>
      <w:szCs w:val="28"/>
    </w:rPr>
  </w:style>
  <w:style w:type="paragraph" w:customStyle="1" w:styleId="628">
    <w:name w:val="Char Char Char5"/>
    <w:basedOn w:val="1"/>
    <w:qFormat/>
    <w:uiPriority w:val="0"/>
    <w:pPr>
      <w:spacing w:line="360" w:lineRule="auto"/>
    </w:pPr>
    <w:rPr>
      <w:rFonts w:ascii="Tahoma" w:hAnsi="Tahoma"/>
      <w:sz w:val="24"/>
      <w:szCs w:val="20"/>
    </w:rPr>
  </w:style>
  <w:style w:type="paragraph" w:customStyle="1" w:styleId="629">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30">
    <w:name w:val="项目编号"/>
    <w:basedOn w:val="1"/>
    <w:next w:val="1"/>
    <w:qFormat/>
    <w:uiPriority w:val="0"/>
    <w:pPr>
      <w:spacing w:before="120" w:after="120" w:line="360" w:lineRule="auto"/>
    </w:pPr>
    <w:rPr>
      <w:rFonts w:ascii="仿宋_GB2312" w:eastAsia="仿宋_GB2312"/>
      <w:sz w:val="24"/>
      <w:szCs w:val="20"/>
    </w:rPr>
  </w:style>
  <w:style w:type="paragraph" w:customStyle="1" w:styleId="631">
    <w:name w:val="默认段落字体 Para Char Char Char Char Char Char Char Char Char Char"/>
    <w:basedOn w:val="5"/>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2">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3">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4">
    <w:name w:val="HTML Bottom of Form"/>
    <w:basedOn w:val="1"/>
    <w:next w:val="1"/>
    <w:link w:val="635"/>
    <w:qFormat/>
    <w:uiPriority w:val="0"/>
    <w:pPr>
      <w:pBdr>
        <w:top w:val="single" w:color="auto" w:sz="6" w:space="1"/>
      </w:pBdr>
      <w:jc w:val="center"/>
    </w:pPr>
    <w:rPr>
      <w:rFonts w:ascii="Arial"/>
      <w:vanish/>
      <w:sz w:val="16"/>
    </w:rPr>
  </w:style>
  <w:style w:type="character" w:customStyle="1" w:styleId="635">
    <w:name w:val="z-窗体底端 Char"/>
    <w:link w:val="634"/>
    <w:qFormat/>
    <w:uiPriority w:val="0"/>
    <w:rPr>
      <w:rFonts w:ascii="Arial"/>
      <w:vanish/>
      <w:kern w:val="2"/>
      <w:sz w:val="16"/>
      <w:szCs w:val="24"/>
    </w:rPr>
  </w:style>
  <w:style w:type="paragraph" w:customStyle="1" w:styleId="636">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7">
    <w:name w:val="Char Char Char Char Char Char Char5"/>
    <w:basedOn w:val="1"/>
    <w:qFormat/>
    <w:uiPriority w:val="0"/>
    <w:rPr>
      <w:sz w:val="24"/>
    </w:rPr>
  </w:style>
  <w:style w:type="paragraph" w:customStyle="1" w:styleId="638">
    <w:name w:val="HTML Top of Form"/>
    <w:basedOn w:val="1"/>
    <w:next w:val="1"/>
    <w:link w:val="639"/>
    <w:qFormat/>
    <w:uiPriority w:val="0"/>
    <w:pPr>
      <w:pBdr>
        <w:bottom w:val="single" w:color="auto" w:sz="6" w:space="1"/>
      </w:pBdr>
      <w:jc w:val="center"/>
    </w:pPr>
    <w:rPr>
      <w:rFonts w:ascii="Arial"/>
      <w:vanish/>
      <w:sz w:val="16"/>
    </w:rPr>
  </w:style>
  <w:style w:type="character" w:customStyle="1" w:styleId="639">
    <w:name w:val="z-窗体顶端 Char"/>
    <w:link w:val="638"/>
    <w:qFormat/>
    <w:uiPriority w:val="0"/>
    <w:rPr>
      <w:rFonts w:ascii="Arial"/>
      <w:vanish/>
      <w:kern w:val="2"/>
      <w:sz w:val="16"/>
      <w:szCs w:val="24"/>
    </w:rPr>
  </w:style>
  <w:style w:type="paragraph" w:customStyle="1" w:styleId="640">
    <w:name w:val="Char15"/>
    <w:basedOn w:val="1"/>
    <w:qFormat/>
    <w:uiPriority w:val="0"/>
    <w:pPr>
      <w:widowControl/>
      <w:spacing w:line="360" w:lineRule="auto"/>
      <w:ind w:firstLine="200" w:firstLineChars="200"/>
      <w:jc w:val="left"/>
    </w:pPr>
    <w:rPr>
      <w:kern w:val="0"/>
      <w:sz w:val="24"/>
      <w:szCs w:val="20"/>
    </w:rPr>
  </w:style>
  <w:style w:type="paragraph" w:customStyle="1" w:styleId="641">
    <w:name w:val="_Style 5"/>
    <w:basedOn w:val="1"/>
    <w:qFormat/>
    <w:uiPriority w:val="0"/>
  </w:style>
  <w:style w:type="paragraph" w:customStyle="1" w:styleId="642">
    <w:name w:val="日期1"/>
    <w:basedOn w:val="1"/>
    <w:next w:val="1"/>
    <w:qFormat/>
    <w:uiPriority w:val="0"/>
    <w:pPr>
      <w:adjustRightInd w:val="0"/>
      <w:textAlignment w:val="baseline"/>
    </w:pPr>
    <w:rPr>
      <w:sz w:val="28"/>
      <w:szCs w:val="20"/>
    </w:rPr>
  </w:style>
  <w:style w:type="character" w:customStyle="1" w:styleId="643">
    <w:name w:val="4biaoge neibu Char"/>
    <w:link w:val="644"/>
    <w:qFormat/>
    <w:uiPriority w:val="0"/>
    <w:rPr>
      <w:rFonts w:cs="黑体"/>
      <w:kern w:val="2"/>
      <w:sz w:val="21"/>
      <w:szCs w:val="16"/>
    </w:rPr>
  </w:style>
  <w:style w:type="paragraph" w:customStyle="1" w:styleId="644">
    <w:name w:val="4biaoge neibu"/>
    <w:basedOn w:val="1"/>
    <w:link w:val="643"/>
    <w:qFormat/>
    <w:uiPriority w:val="0"/>
    <w:pPr>
      <w:jc w:val="center"/>
    </w:pPr>
    <w:rPr>
      <w:rFonts w:cs="黑体"/>
      <w:szCs w:val="16"/>
    </w:rPr>
  </w:style>
  <w:style w:type="paragraph" w:customStyle="1" w:styleId="645">
    <w:name w:val="图表标题"/>
    <w:basedOn w:val="1"/>
    <w:next w:val="1"/>
    <w:qFormat/>
    <w:uiPriority w:val="0"/>
    <w:pPr>
      <w:spacing w:line="360" w:lineRule="auto"/>
      <w:ind w:firstLine="640" w:firstLineChars="200"/>
      <w:jc w:val="center"/>
    </w:pPr>
    <w:rPr>
      <w:b/>
      <w:bCs/>
    </w:rPr>
  </w:style>
  <w:style w:type="paragraph" w:customStyle="1" w:styleId="646">
    <w:name w:val="1正文"/>
    <w:basedOn w:val="1"/>
    <w:qFormat/>
    <w:uiPriority w:val="0"/>
    <w:pPr>
      <w:widowControl/>
      <w:spacing w:line="360" w:lineRule="auto"/>
      <w:ind w:firstLine="200" w:firstLineChars="200"/>
    </w:pPr>
    <w:rPr>
      <w:kern w:val="0"/>
      <w:sz w:val="24"/>
      <w:szCs w:val="20"/>
      <w:lang w:val="en-GB"/>
    </w:rPr>
  </w:style>
  <w:style w:type="character" w:customStyle="1" w:styleId="647">
    <w:name w:val="doc_title"/>
    <w:qFormat/>
    <w:uiPriority w:val="0"/>
  </w:style>
  <w:style w:type="paragraph" w:customStyle="1" w:styleId="648">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9">
    <w:name w:val="表格内容 Char1"/>
    <w:qFormat/>
    <w:uiPriority w:val="0"/>
    <w:rPr>
      <w:kern w:val="20481"/>
      <w:sz w:val="21"/>
    </w:rPr>
  </w:style>
  <w:style w:type="table" w:customStyle="1" w:styleId="650">
    <w:name w:val="网格型6"/>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51">
    <w:name w:val="标题2"/>
    <w:qFormat/>
    <w:uiPriority w:val="0"/>
  </w:style>
  <w:style w:type="table" w:customStyle="1" w:styleId="652">
    <w:name w:val="表格主题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3">
    <w:name w:val="网格型-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4">
    <w:name w:val="网格型 5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5">
    <w:name w:val="典雅型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6">
    <w:name w:val="网格型 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7">
    <w:name w:val="网格型4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8">
    <w:name w:val="左右无边框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659">
    <w:name w:val="网格型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0">
    <w:name w:val="无左右边框型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1">
    <w:name w:val="典雅型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2">
    <w:name w:val="左右无边表格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663">
    <w:name w:val="典雅型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4">
    <w:name w:val="网格型2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5">
    <w:name w:val="网格型1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6">
    <w:name w:val="网格型1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7">
    <w:name w:val="网格型1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8">
    <w:name w:val="网格型5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69">
    <w:name w:val="Char32"/>
    <w:basedOn w:val="1"/>
    <w:qFormat/>
    <w:uiPriority w:val="0"/>
    <w:rPr>
      <w:sz w:val="24"/>
    </w:rPr>
  </w:style>
  <w:style w:type="paragraph" w:customStyle="1" w:styleId="670">
    <w:name w:val="纯文本3"/>
    <w:basedOn w:val="1"/>
    <w:qFormat/>
    <w:uiPriority w:val="0"/>
    <w:pPr>
      <w:adjustRightInd w:val="0"/>
      <w:textAlignment w:val="baseline"/>
    </w:pPr>
    <w:rPr>
      <w:rFonts w:ascii="宋体" w:hAnsi="Courier New" w:eastAsia="仿宋_GB2312"/>
      <w:sz w:val="28"/>
      <w:szCs w:val="28"/>
    </w:rPr>
  </w:style>
  <w:style w:type="paragraph" w:customStyle="1" w:styleId="671">
    <w:name w:val="Char Char Char4"/>
    <w:basedOn w:val="1"/>
    <w:qFormat/>
    <w:uiPriority w:val="0"/>
    <w:pPr>
      <w:spacing w:line="360" w:lineRule="auto"/>
    </w:pPr>
    <w:rPr>
      <w:rFonts w:ascii="Tahoma" w:hAnsi="Tahoma"/>
      <w:sz w:val="24"/>
      <w:szCs w:val="20"/>
    </w:rPr>
  </w:style>
  <w:style w:type="paragraph" w:customStyle="1" w:styleId="672">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3">
    <w:name w:val="Char Char Char Char Char Char Char4"/>
    <w:basedOn w:val="1"/>
    <w:qFormat/>
    <w:uiPriority w:val="0"/>
    <w:rPr>
      <w:sz w:val="24"/>
    </w:rPr>
  </w:style>
  <w:style w:type="paragraph" w:customStyle="1" w:styleId="674">
    <w:name w:val="Char14"/>
    <w:basedOn w:val="1"/>
    <w:qFormat/>
    <w:uiPriority w:val="0"/>
    <w:pPr>
      <w:widowControl/>
      <w:spacing w:line="360" w:lineRule="auto"/>
      <w:ind w:firstLine="200" w:firstLineChars="200"/>
      <w:jc w:val="left"/>
    </w:pPr>
    <w:rPr>
      <w:kern w:val="0"/>
      <w:sz w:val="24"/>
      <w:szCs w:val="20"/>
    </w:rPr>
  </w:style>
  <w:style w:type="paragraph" w:customStyle="1" w:styleId="675">
    <w:name w:val="日期2"/>
    <w:basedOn w:val="1"/>
    <w:next w:val="1"/>
    <w:qFormat/>
    <w:uiPriority w:val="0"/>
    <w:pPr>
      <w:adjustRightInd w:val="0"/>
      <w:textAlignment w:val="baseline"/>
    </w:pPr>
    <w:rPr>
      <w:sz w:val="28"/>
      <w:szCs w:val="20"/>
    </w:rPr>
  </w:style>
  <w:style w:type="table" w:customStyle="1" w:styleId="676">
    <w:name w:val="网格型6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7">
    <w:name w:val="网格型7"/>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8">
    <w:name w:val="网格型8"/>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679">
    <w:name w:val="font01"/>
    <w:qFormat/>
    <w:uiPriority w:val="0"/>
    <w:rPr>
      <w:rFonts w:ascii="font-weight : 400" w:hAnsi="font-weight : 400" w:eastAsia="font-weight : 400" w:cs="font-weight : 400"/>
      <w:color w:val="000000"/>
      <w:sz w:val="22"/>
      <w:szCs w:val="22"/>
      <w:u w:val="none"/>
    </w:rPr>
  </w:style>
  <w:style w:type="table" w:customStyle="1" w:styleId="680">
    <w:name w:val="网格型9"/>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681">
    <w:name w:val="Pa17"/>
    <w:basedOn w:val="212"/>
    <w:next w:val="212"/>
    <w:qFormat/>
    <w:uiPriority w:val="99"/>
    <w:pPr>
      <w:spacing w:line="161" w:lineRule="atLeast"/>
    </w:pPr>
    <w:rPr>
      <w:rFonts w:ascii="黑体" w:eastAsia="黑体" w:cs="Times New Roman"/>
      <w:color w:val="auto"/>
    </w:rPr>
  </w:style>
  <w:style w:type="paragraph" w:customStyle="1" w:styleId="682">
    <w:name w:val="Pa29"/>
    <w:basedOn w:val="212"/>
    <w:next w:val="212"/>
    <w:qFormat/>
    <w:uiPriority w:val="99"/>
    <w:pPr>
      <w:spacing w:line="161" w:lineRule="atLeast"/>
    </w:pPr>
    <w:rPr>
      <w:rFonts w:ascii="黑体" w:eastAsia="黑体" w:cs="Times New Roman"/>
      <w:color w:val="auto"/>
    </w:rPr>
  </w:style>
  <w:style w:type="character" w:customStyle="1" w:styleId="683">
    <w:name w:val="A24"/>
    <w:qFormat/>
    <w:uiPriority w:val="99"/>
    <w:rPr>
      <w:rFonts w:ascii="Times New Roman"/>
      <w:i/>
      <w:iCs/>
      <w:color w:val="211D1E"/>
      <w:sz w:val="9"/>
      <w:szCs w:val="9"/>
    </w:rPr>
  </w:style>
  <w:style w:type="character" w:customStyle="1" w:styleId="684">
    <w:name w:val="A25"/>
    <w:qFormat/>
    <w:uiPriority w:val="99"/>
    <w:rPr>
      <w:rFonts w:ascii="FZShuSong-Z01" w:eastAsia="FZShuSong-Z01" w:cs="FZShuSong-Z01"/>
      <w:color w:val="211D1E"/>
      <w:sz w:val="20"/>
      <w:szCs w:val="20"/>
    </w:rPr>
  </w:style>
  <w:style w:type="character" w:customStyle="1" w:styleId="685">
    <w:name w:val="HTML 预设格式 字符"/>
    <w:qFormat/>
    <w:locked/>
    <w:uiPriority w:val="99"/>
    <w:rPr>
      <w:rFonts w:ascii="Arial" w:hAnsi="Arial" w:cs="Arial"/>
      <w:sz w:val="23"/>
      <w:szCs w:val="23"/>
    </w:rPr>
  </w:style>
  <w:style w:type="character" w:customStyle="1" w:styleId="686">
    <w:name w:val="标题 1 字符"/>
    <w:qFormat/>
    <w:uiPriority w:val="0"/>
    <w:rPr>
      <w:rFonts w:eastAsia="宋体"/>
      <w:b/>
      <w:bCs/>
      <w:kern w:val="2"/>
      <w:sz w:val="24"/>
      <w:szCs w:val="24"/>
      <w:lang w:val="en-US" w:eastAsia="zh-CN" w:bidi="ar-SA"/>
    </w:rPr>
  </w:style>
  <w:style w:type="character" w:customStyle="1" w:styleId="687">
    <w:name w:val="标题 3 字符"/>
    <w:qFormat/>
    <w:uiPriority w:val="0"/>
    <w:rPr>
      <w:rFonts w:eastAsia="宋体"/>
      <w:b/>
      <w:bCs/>
      <w:kern w:val="2"/>
      <w:sz w:val="32"/>
      <w:szCs w:val="32"/>
      <w:lang w:val="en-US" w:eastAsia="zh-CN" w:bidi="ar-SA"/>
    </w:rPr>
  </w:style>
  <w:style w:type="character" w:customStyle="1" w:styleId="688">
    <w:name w:val="标题 7 字符"/>
    <w:qFormat/>
    <w:locked/>
    <w:uiPriority w:val="0"/>
    <w:rPr>
      <w:rFonts w:eastAsia="仿宋_GB2312"/>
      <w:b/>
      <w:sz w:val="24"/>
      <w:szCs w:val="24"/>
    </w:rPr>
  </w:style>
  <w:style w:type="character" w:customStyle="1" w:styleId="689">
    <w:name w:val="尾注文本 字符"/>
    <w:qFormat/>
    <w:uiPriority w:val="99"/>
    <w:rPr>
      <w:sz w:val="21"/>
    </w:rPr>
  </w:style>
  <w:style w:type="character" w:customStyle="1" w:styleId="690">
    <w:name w:val="标题 8 字符"/>
    <w:qFormat/>
    <w:locked/>
    <w:uiPriority w:val="0"/>
    <w:rPr>
      <w:rFonts w:ascii="Arial" w:hAnsi="Arial" w:eastAsia="黑体"/>
      <w:bCs/>
      <w:sz w:val="24"/>
      <w:szCs w:val="24"/>
    </w:rPr>
  </w:style>
  <w:style w:type="character" w:customStyle="1" w:styleId="691">
    <w:name w:val="正文缩进 字符"/>
    <w:qFormat/>
    <w:uiPriority w:val="0"/>
    <w:rPr>
      <w:rFonts w:eastAsia="宋体"/>
      <w:kern w:val="2"/>
      <w:sz w:val="28"/>
      <w:szCs w:val="21"/>
      <w:lang w:val="en-US" w:eastAsia="zh-CN" w:bidi="ar-SA"/>
    </w:rPr>
  </w:style>
  <w:style w:type="character" w:customStyle="1" w:styleId="692">
    <w:name w:val="副标题 字符"/>
    <w:qFormat/>
    <w:uiPriority w:val="0"/>
    <w:rPr>
      <w:rFonts w:ascii="Cambria" w:hAnsi="Cambria" w:eastAsia="宋体"/>
      <w:sz w:val="21"/>
      <w:szCs w:val="24"/>
      <w:lang w:val="en-US" w:eastAsia="en-US" w:bidi="en-US"/>
    </w:rPr>
  </w:style>
  <w:style w:type="character" w:customStyle="1" w:styleId="693">
    <w:name w:val="正文文本 2 字符"/>
    <w:qFormat/>
    <w:locked/>
    <w:uiPriority w:val="99"/>
    <w:rPr>
      <w:rFonts w:eastAsia="宋体"/>
      <w:kern w:val="2"/>
      <w:sz w:val="24"/>
      <w:szCs w:val="24"/>
      <w:lang w:val="en-US" w:eastAsia="zh-CN" w:bidi="ar-SA"/>
    </w:rPr>
  </w:style>
  <w:style w:type="character" w:customStyle="1" w:styleId="694">
    <w:name w:val="正文文本缩进 2 字符"/>
    <w:qFormat/>
    <w:uiPriority w:val="0"/>
    <w:rPr>
      <w:rFonts w:eastAsia="宋体"/>
      <w:kern w:val="2"/>
      <w:sz w:val="21"/>
      <w:szCs w:val="24"/>
      <w:lang w:val="en-US" w:eastAsia="zh-CN" w:bidi="ar-SA"/>
    </w:rPr>
  </w:style>
  <w:style w:type="character" w:customStyle="1" w:styleId="695">
    <w:name w:val="z-窗体底端 字符"/>
    <w:qFormat/>
    <w:uiPriority w:val="0"/>
    <w:rPr>
      <w:rFonts w:ascii="Arial"/>
      <w:vanish/>
      <w:kern w:val="2"/>
      <w:sz w:val="16"/>
      <w:szCs w:val="24"/>
    </w:rPr>
  </w:style>
  <w:style w:type="character" w:customStyle="1" w:styleId="696">
    <w:name w:val="注释标题 字符"/>
    <w:qFormat/>
    <w:uiPriority w:val="0"/>
    <w:rPr>
      <w:rFonts w:ascii="宋体" w:eastAsia="宋体"/>
      <w:kern w:val="2"/>
      <w:sz w:val="21"/>
      <w:lang w:val="en-US" w:eastAsia="zh-CN" w:bidi="ar-SA"/>
    </w:rPr>
  </w:style>
  <w:style w:type="character" w:customStyle="1" w:styleId="697">
    <w:name w:val="标题 2 字符"/>
    <w:qFormat/>
    <w:uiPriority w:val="0"/>
    <w:rPr>
      <w:rFonts w:eastAsia="宋体"/>
      <w:b/>
      <w:bCs/>
      <w:kern w:val="2"/>
      <w:sz w:val="21"/>
      <w:szCs w:val="24"/>
      <w:lang w:val="en-US" w:eastAsia="zh-CN" w:bidi="ar-SA"/>
    </w:rPr>
  </w:style>
  <w:style w:type="character" w:customStyle="1" w:styleId="698">
    <w:name w:val="标题 字符"/>
    <w:qFormat/>
    <w:uiPriority w:val="0"/>
    <w:rPr>
      <w:rFonts w:ascii="Cambria" w:hAnsi="Cambria"/>
      <w:b/>
      <w:bCs/>
      <w:kern w:val="2"/>
      <w:sz w:val="32"/>
      <w:szCs w:val="32"/>
    </w:rPr>
  </w:style>
  <w:style w:type="character" w:customStyle="1" w:styleId="699">
    <w:name w:val="正文文本首行缩进 2 字符"/>
    <w:qFormat/>
    <w:locked/>
    <w:uiPriority w:val="0"/>
    <w:rPr>
      <w:rFonts w:eastAsia="宋体"/>
      <w:kern w:val="2"/>
      <w:sz w:val="21"/>
      <w:szCs w:val="24"/>
      <w:lang w:val="en-US" w:eastAsia="zh-CN" w:bidi="ar-SA"/>
    </w:rPr>
  </w:style>
  <w:style w:type="character" w:customStyle="1" w:styleId="700">
    <w:name w:val="标题 4 字符"/>
    <w:qFormat/>
    <w:locked/>
    <w:uiPriority w:val="0"/>
    <w:rPr>
      <w:rFonts w:ascii="Arial" w:hAnsi="Arial" w:eastAsia="黑体"/>
      <w:b/>
      <w:bCs/>
      <w:kern w:val="2"/>
      <w:sz w:val="28"/>
      <w:szCs w:val="28"/>
      <w:lang w:val="en-US" w:eastAsia="zh-CN" w:bidi="ar-SA"/>
    </w:rPr>
  </w:style>
  <w:style w:type="character" w:customStyle="1" w:styleId="701">
    <w:name w:val="标题 9 字符"/>
    <w:qFormat/>
    <w:locked/>
    <w:uiPriority w:val="0"/>
    <w:rPr>
      <w:rFonts w:ascii="Arial" w:hAnsi="Arial" w:eastAsia="黑体"/>
      <w:bCs/>
      <w:sz w:val="24"/>
      <w:szCs w:val="24"/>
    </w:rPr>
  </w:style>
  <w:style w:type="character" w:customStyle="1" w:styleId="702">
    <w:name w:val="文档结构图 字符"/>
    <w:qFormat/>
    <w:locked/>
    <w:uiPriority w:val="99"/>
    <w:rPr>
      <w:kern w:val="2"/>
      <w:sz w:val="21"/>
      <w:szCs w:val="24"/>
      <w:shd w:val="clear" w:color="auto" w:fill="000080"/>
    </w:rPr>
  </w:style>
  <w:style w:type="character" w:customStyle="1" w:styleId="703">
    <w:name w:val="正文文本缩进 3 字符"/>
    <w:qFormat/>
    <w:locked/>
    <w:uiPriority w:val="0"/>
    <w:rPr>
      <w:rFonts w:eastAsia="宋体"/>
      <w:kern w:val="2"/>
      <w:sz w:val="16"/>
      <w:szCs w:val="16"/>
      <w:lang w:val="en-US" w:eastAsia="zh-CN" w:bidi="ar-SA"/>
    </w:rPr>
  </w:style>
  <w:style w:type="character" w:customStyle="1" w:styleId="704">
    <w:name w:val="纯文本 字符"/>
    <w:qFormat/>
    <w:uiPriority w:val="0"/>
    <w:rPr>
      <w:rFonts w:ascii="宋体" w:hAnsi="Courier New" w:eastAsia="宋体" w:cs="Courier New"/>
      <w:kern w:val="2"/>
      <w:sz w:val="21"/>
      <w:szCs w:val="21"/>
      <w:lang w:val="en-US" w:eastAsia="zh-CN" w:bidi="ar-SA"/>
    </w:rPr>
  </w:style>
  <w:style w:type="character" w:customStyle="1" w:styleId="705">
    <w:name w:val="正文文本 3 字符"/>
    <w:qFormat/>
    <w:locked/>
    <w:uiPriority w:val="99"/>
    <w:rPr>
      <w:rFonts w:ascii="宋体" w:hAnsi="宋体" w:eastAsia="宋体"/>
      <w:kern w:val="2"/>
      <w:sz w:val="16"/>
      <w:szCs w:val="16"/>
      <w:lang w:val="en-US" w:eastAsia="zh-CN" w:bidi="ar-SA"/>
    </w:rPr>
  </w:style>
  <w:style w:type="character" w:customStyle="1" w:styleId="706">
    <w:name w:val="标题 6 字符"/>
    <w:qFormat/>
    <w:locked/>
    <w:uiPriority w:val="0"/>
    <w:rPr>
      <w:rFonts w:ascii="Arial" w:hAnsi="Arial" w:eastAsia="黑体"/>
      <w:b/>
      <w:sz w:val="24"/>
      <w:szCs w:val="24"/>
    </w:rPr>
  </w:style>
  <w:style w:type="character" w:customStyle="1" w:styleId="707">
    <w:name w:val="标题 5 字符"/>
    <w:qFormat/>
    <w:locked/>
    <w:uiPriority w:val="0"/>
    <w:rPr>
      <w:rFonts w:eastAsia="宋体"/>
      <w:b/>
      <w:bCs/>
      <w:kern w:val="2"/>
      <w:sz w:val="28"/>
      <w:szCs w:val="28"/>
      <w:lang w:val="en-US" w:eastAsia="zh-CN" w:bidi="ar-SA"/>
    </w:rPr>
  </w:style>
  <w:style w:type="character" w:customStyle="1" w:styleId="708">
    <w:name w:val="正文文本首行缩进 字符"/>
    <w:qFormat/>
    <w:locked/>
    <w:uiPriority w:val="99"/>
    <w:rPr>
      <w:kern w:val="2"/>
      <w:sz w:val="21"/>
      <w:szCs w:val="24"/>
    </w:rPr>
  </w:style>
  <w:style w:type="character" w:customStyle="1" w:styleId="709">
    <w:name w:val="z-窗体顶端 字符"/>
    <w:qFormat/>
    <w:uiPriority w:val="0"/>
    <w:rPr>
      <w:rFonts w:ascii="Arial"/>
      <w:vanish/>
      <w:kern w:val="2"/>
      <w:sz w:val="16"/>
      <w:szCs w:val="24"/>
    </w:rPr>
  </w:style>
  <w:style w:type="table" w:customStyle="1" w:styleId="710">
    <w:name w:val="网格型 1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1">
    <w:name w:val="典雅型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2">
    <w:name w:val="网格型 51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3">
    <w:name w:val="典雅型2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4">
    <w:name w:val="典雅型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5">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6">
    <w:name w:val="标题 5 字符1"/>
    <w:qFormat/>
    <w:locked/>
    <w:uiPriority w:val="0"/>
    <w:rPr>
      <w:rFonts w:eastAsia="宋体"/>
      <w:b/>
      <w:bCs/>
      <w:kern w:val="2"/>
      <w:sz w:val="28"/>
      <w:szCs w:val="28"/>
      <w:lang w:val="en-US" w:eastAsia="zh-CN" w:bidi="ar-SA"/>
    </w:rPr>
  </w:style>
  <w:style w:type="character" w:customStyle="1" w:styleId="717">
    <w:name w:val="纯文本 字符1"/>
    <w:qFormat/>
    <w:uiPriority w:val="0"/>
    <w:rPr>
      <w:rFonts w:ascii="宋体" w:hAnsi="Courier New" w:eastAsia="宋体" w:cs="Courier New"/>
      <w:kern w:val="2"/>
      <w:sz w:val="21"/>
      <w:szCs w:val="21"/>
      <w:lang w:val="en-US" w:eastAsia="zh-CN" w:bidi="ar-SA"/>
    </w:rPr>
  </w:style>
  <w:style w:type="table" w:customStyle="1" w:styleId="718">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9">
    <w:name w:val="font141"/>
    <w:qFormat/>
    <w:uiPriority w:val="0"/>
    <w:rPr>
      <w:rFonts w:hint="default" w:ascii="Times New Roman" w:hAnsi="Times New Roman" w:cs="Times New Roman"/>
      <w:b/>
      <w:color w:val="000000"/>
      <w:sz w:val="21"/>
      <w:szCs w:val="21"/>
      <w:u w:val="none"/>
    </w:rPr>
  </w:style>
  <w:style w:type="character" w:customStyle="1" w:styleId="720">
    <w:name w:val="font91"/>
    <w:qFormat/>
    <w:uiPriority w:val="0"/>
    <w:rPr>
      <w:rFonts w:hint="eastAsia" w:ascii="宋体" w:hAnsi="宋体" w:eastAsia="宋体" w:cs="宋体"/>
      <w:color w:val="000000"/>
      <w:sz w:val="18"/>
      <w:szCs w:val="18"/>
      <w:u w:val="none"/>
    </w:rPr>
  </w:style>
  <w:style w:type="character" w:customStyle="1" w:styleId="721">
    <w:name w:val="font31"/>
    <w:qFormat/>
    <w:uiPriority w:val="0"/>
    <w:rPr>
      <w:rFonts w:hint="eastAsia" w:ascii="宋体" w:hAnsi="宋体" w:eastAsia="宋体" w:cs="宋体"/>
      <w:color w:val="000000"/>
      <w:sz w:val="21"/>
      <w:szCs w:val="21"/>
      <w:u w:val="none"/>
    </w:rPr>
  </w:style>
  <w:style w:type="character" w:customStyle="1" w:styleId="722">
    <w:name w:val="标题 1 Char Char"/>
    <w:qFormat/>
    <w:uiPriority w:val="0"/>
    <w:rPr>
      <w:rFonts w:eastAsia="宋体"/>
      <w:b/>
      <w:bCs/>
      <w:kern w:val="44"/>
      <w:sz w:val="44"/>
      <w:szCs w:val="44"/>
      <w:lang w:val="en-US" w:eastAsia="zh-CN" w:bidi="ar-SA"/>
    </w:rPr>
  </w:style>
  <w:style w:type="character" w:customStyle="1" w:styleId="723">
    <w:name w:val="font21"/>
    <w:qFormat/>
    <w:uiPriority w:val="0"/>
    <w:rPr>
      <w:rFonts w:hint="default" w:ascii="Times New Roman" w:hAnsi="Times New Roman" w:cs="Times New Roman"/>
      <w:color w:val="000000"/>
      <w:sz w:val="21"/>
      <w:szCs w:val="21"/>
      <w:u w:val="none"/>
      <w:vertAlign w:val="superscript"/>
    </w:rPr>
  </w:style>
  <w:style w:type="character" w:customStyle="1" w:styleId="724">
    <w:name w:val="font71"/>
    <w:qFormat/>
    <w:uiPriority w:val="0"/>
    <w:rPr>
      <w:rFonts w:hint="default" w:ascii="Times New Roman" w:hAnsi="Times New Roman" w:cs="Times New Roman"/>
      <w:color w:val="000000"/>
      <w:sz w:val="21"/>
      <w:szCs w:val="21"/>
      <w:u w:val="none"/>
      <w:vertAlign w:val="subscript"/>
    </w:rPr>
  </w:style>
  <w:style w:type="character" w:customStyle="1" w:styleId="725">
    <w:name w:val="font41"/>
    <w:qFormat/>
    <w:uiPriority w:val="0"/>
    <w:rPr>
      <w:rFonts w:hint="eastAsia" w:ascii="宋体" w:hAnsi="宋体" w:eastAsia="宋体" w:cs="宋体"/>
      <w:color w:val="000000"/>
      <w:sz w:val="18"/>
      <w:szCs w:val="18"/>
      <w:u w:val="none"/>
    </w:rPr>
  </w:style>
  <w:style w:type="character" w:customStyle="1" w:styleId="726">
    <w:name w:val="font51"/>
    <w:qFormat/>
    <w:uiPriority w:val="0"/>
    <w:rPr>
      <w:rFonts w:hint="default" w:ascii="Times New Roman" w:hAnsi="Times New Roman" w:cs="Times New Roman"/>
      <w:color w:val="000000"/>
      <w:sz w:val="21"/>
      <w:szCs w:val="21"/>
      <w:u w:val="none"/>
    </w:rPr>
  </w:style>
  <w:style w:type="character" w:customStyle="1" w:styleId="727">
    <w:name w:val="font101"/>
    <w:qFormat/>
    <w:uiPriority w:val="0"/>
    <w:rPr>
      <w:rFonts w:hint="default" w:ascii="Times New Roman" w:hAnsi="Times New Roman" w:cs="Times New Roman"/>
      <w:color w:val="000000"/>
      <w:sz w:val="18"/>
      <w:szCs w:val="18"/>
      <w:u w:val="none"/>
    </w:rPr>
  </w:style>
  <w:style w:type="character" w:customStyle="1" w:styleId="728">
    <w:name w:val="font131"/>
    <w:qFormat/>
    <w:uiPriority w:val="0"/>
    <w:rPr>
      <w:rFonts w:hint="eastAsia" w:ascii="宋体" w:hAnsi="宋体" w:eastAsia="宋体" w:cs="宋体"/>
      <w:b/>
      <w:color w:val="000000"/>
      <w:sz w:val="21"/>
      <w:szCs w:val="21"/>
      <w:u w:val="none"/>
    </w:rPr>
  </w:style>
  <w:style w:type="character" w:customStyle="1" w:styleId="729">
    <w:name w:val="2号标题 Char Char"/>
    <w:qFormat/>
    <w:uiPriority w:val="0"/>
    <w:rPr>
      <w:rFonts w:ascii="Arial" w:hAnsi="Arial" w:eastAsia="宋体"/>
      <w:b/>
      <w:bCs/>
      <w:kern w:val="2"/>
      <w:sz w:val="28"/>
      <w:szCs w:val="32"/>
      <w:lang w:val="en-US" w:eastAsia="zh-CN" w:bidi="ar-SA"/>
    </w:rPr>
  </w:style>
  <w:style w:type="character" w:customStyle="1" w:styleId="730">
    <w:name w:val="标题 3 Char Char Char Char Char Char"/>
    <w:qFormat/>
    <w:uiPriority w:val="0"/>
    <w:rPr>
      <w:rFonts w:eastAsia="宋体"/>
      <w:b/>
      <w:bCs/>
      <w:kern w:val="2"/>
      <w:sz w:val="32"/>
      <w:szCs w:val="32"/>
      <w:lang w:val="en-US" w:eastAsia="zh-CN" w:bidi="ar-SA"/>
    </w:rPr>
  </w:style>
  <w:style w:type="character" w:customStyle="1" w:styleId="731">
    <w:name w:val="font121"/>
    <w:qFormat/>
    <w:uiPriority w:val="0"/>
    <w:rPr>
      <w:rFonts w:hint="eastAsia" w:ascii="宋体" w:hAnsi="宋体" w:eastAsia="宋体" w:cs="宋体"/>
      <w:color w:val="000000"/>
      <w:sz w:val="21"/>
      <w:szCs w:val="21"/>
      <w:u w:val="none"/>
    </w:rPr>
  </w:style>
  <w:style w:type="character" w:customStyle="1" w:styleId="732">
    <w:name w:val="font11"/>
    <w:qFormat/>
    <w:uiPriority w:val="0"/>
    <w:rPr>
      <w:rFonts w:hint="default" w:ascii="Times New Roman" w:hAnsi="Times New Roman" w:cs="Times New Roman"/>
      <w:color w:val="000000"/>
      <w:sz w:val="21"/>
      <w:szCs w:val="21"/>
      <w:u w:val="none"/>
      <w:vertAlign w:val="subscript"/>
    </w:rPr>
  </w:style>
  <w:style w:type="paragraph" w:customStyle="1" w:styleId="733">
    <w:name w:val="WPSOffice手动目录 1"/>
    <w:qFormat/>
    <w:uiPriority w:val="0"/>
    <w:rPr>
      <w:rFonts w:ascii="Times New Roman" w:hAnsi="Times New Roman" w:eastAsia="宋体" w:cs="Times New Roman"/>
      <w:lang w:val="en-US" w:eastAsia="zh-CN" w:bidi="ar-SA"/>
    </w:rPr>
  </w:style>
  <w:style w:type="paragraph" w:customStyle="1" w:styleId="734">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5">
    <w:name w:val="正文 首行缩进:  2 字符"/>
    <w:basedOn w:val="1"/>
    <w:qFormat/>
    <w:uiPriority w:val="0"/>
    <w:pPr>
      <w:ind w:firstLine="579" w:firstLineChars="200"/>
    </w:pPr>
    <w:rPr>
      <w:rFonts w:cs="宋体"/>
      <w:szCs w:val="20"/>
    </w:rPr>
  </w:style>
  <w:style w:type="paragraph" w:customStyle="1" w:styleId="736">
    <w:name w:val="默认 A"/>
    <w:qFormat/>
    <w:uiPriority w:val="0"/>
    <w:rPr>
      <w:rFonts w:ascii="Helvetica" w:hAnsi="Helvetica" w:eastAsia="Arial Unicode MS" w:cs="Arial Unicode MS"/>
      <w:color w:val="000000"/>
      <w:sz w:val="22"/>
      <w:szCs w:val="22"/>
      <w:lang w:val="en-US" w:eastAsia="zh-CN" w:bidi="ar-SA"/>
    </w:rPr>
  </w:style>
  <w:style w:type="paragraph" w:customStyle="1" w:styleId="737">
    <w:name w:val="正文王"/>
    <w:basedOn w:val="32"/>
    <w:qFormat/>
    <w:uiPriority w:val="0"/>
    <w:pPr>
      <w:spacing w:line="440" w:lineRule="exact"/>
    </w:pPr>
    <w:rPr>
      <w:rFonts w:ascii="Arial" w:hAnsi="Arial"/>
      <w:sz w:val="24"/>
    </w:rPr>
  </w:style>
  <w:style w:type="paragraph" w:customStyle="1" w:styleId="738">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9">
    <w:name w:val="一级目录 1"/>
    <w:basedOn w:val="1"/>
    <w:qFormat/>
    <w:uiPriority w:val="0"/>
    <w:pPr>
      <w:jc w:val="center"/>
    </w:pPr>
    <w:rPr>
      <w:rFonts w:eastAsia="黑体"/>
      <w:b/>
      <w:sz w:val="36"/>
      <w:szCs w:val="36"/>
    </w:rPr>
  </w:style>
  <w:style w:type="paragraph" w:customStyle="1" w:styleId="740">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1">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2">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3">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4">
    <w:name w:val="33333333"/>
    <w:basedOn w:val="1"/>
    <w:qFormat/>
    <w:uiPriority w:val="0"/>
    <w:pPr>
      <w:spacing w:line="500" w:lineRule="exact"/>
    </w:pPr>
    <w:rPr>
      <w:sz w:val="28"/>
      <w:szCs w:val="28"/>
    </w:rPr>
  </w:style>
  <w:style w:type="paragraph" w:customStyle="1" w:styleId="745">
    <w:name w:val="表内格式"/>
    <w:basedOn w:val="1"/>
    <w:qFormat/>
    <w:uiPriority w:val="0"/>
    <w:pPr>
      <w:jc w:val="center"/>
    </w:pPr>
    <w:rPr>
      <w:sz w:val="18"/>
    </w:rPr>
  </w:style>
  <w:style w:type="paragraph" w:customStyle="1" w:styleId="746">
    <w:name w:val="_Style 158"/>
    <w:basedOn w:val="1"/>
    <w:next w:val="1"/>
    <w:qFormat/>
    <w:uiPriority w:val="0"/>
    <w:rPr>
      <w:sz w:val="24"/>
    </w:rPr>
  </w:style>
  <w:style w:type="paragraph" w:customStyle="1" w:styleId="747">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4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9">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0">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1">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2">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3">
    <w:name w:val="表内小410"/>
    <w:basedOn w:val="1"/>
    <w:qFormat/>
    <w:uiPriority w:val="0"/>
    <w:pPr>
      <w:adjustRightInd w:val="0"/>
      <w:snapToGrid w:val="0"/>
      <w:ind w:left="240" w:hanging="240"/>
    </w:pPr>
    <w:rPr>
      <w:rFonts w:ascii="宋体" w:hAnsi="Times"/>
      <w:sz w:val="24"/>
      <w:szCs w:val="20"/>
    </w:rPr>
  </w:style>
  <w:style w:type="paragraph" w:customStyle="1" w:styleId="754">
    <w:name w:val="表头样式1"/>
    <w:basedOn w:val="1"/>
    <w:qFormat/>
    <w:uiPriority w:val="0"/>
    <w:pPr>
      <w:spacing w:before="156" w:beforeLines="50"/>
      <w:jc w:val="center"/>
    </w:pPr>
    <w:rPr>
      <w:rFonts w:eastAsia="黑体"/>
      <w:b/>
      <w:kern w:val="0"/>
      <w:sz w:val="24"/>
      <w:szCs w:val="20"/>
    </w:rPr>
  </w:style>
  <w:style w:type="paragraph" w:customStyle="1" w:styleId="755">
    <w:name w:val="3级标题"/>
    <w:basedOn w:val="5"/>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6">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7">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8">
    <w:name w:val="标题3"/>
    <w:qFormat/>
    <w:uiPriority w:val="0"/>
  </w:style>
  <w:style w:type="table" w:customStyle="1" w:styleId="759">
    <w:name w:val="表格主题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0">
    <w:name w:val="网格型-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1">
    <w:name w:val="网格型 5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2">
    <w:name w:val="典雅型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3">
    <w:name w:val="网格型 13"/>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4">
    <w:name w:val="网格型4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5">
    <w:name w:val="左右无边框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766">
    <w:name w:val="网格型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7">
    <w:name w:val="无左右边框型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8">
    <w:name w:val="典雅型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9">
    <w:name w:val="左右无边表格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770">
    <w:name w:val="典雅型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1">
    <w:name w:val="网格型2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2">
    <w:name w:val="网格型1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3">
    <w:name w:val="网格型1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4">
    <w:name w:val="网格型1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5">
    <w:name w:val="网格型5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76">
    <w:name w:val="Char31"/>
    <w:basedOn w:val="1"/>
    <w:qFormat/>
    <w:uiPriority w:val="0"/>
    <w:rPr>
      <w:sz w:val="24"/>
    </w:rPr>
  </w:style>
  <w:style w:type="paragraph" w:customStyle="1" w:styleId="777">
    <w:name w:val="纯文本4"/>
    <w:basedOn w:val="1"/>
    <w:qFormat/>
    <w:uiPriority w:val="0"/>
    <w:pPr>
      <w:adjustRightInd w:val="0"/>
      <w:textAlignment w:val="baseline"/>
    </w:pPr>
    <w:rPr>
      <w:rFonts w:ascii="宋体" w:hAnsi="Courier New" w:eastAsia="仿宋_GB2312"/>
      <w:sz w:val="28"/>
      <w:szCs w:val="28"/>
    </w:rPr>
  </w:style>
  <w:style w:type="paragraph" w:customStyle="1" w:styleId="778">
    <w:name w:val="Char Char Char3"/>
    <w:basedOn w:val="1"/>
    <w:qFormat/>
    <w:uiPriority w:val="0"/>
    <w:pPr>
      <w:spacing w:line="360" w:lineRule="auto"/>
    </w:pPr>
    <w:rPr>
      <w:rFonts w:ascii="Tahoma" w:hAnsi="Tahoma"/>
      <w:sz w:val="24"/>
      <w:szCs w:val="20"/>
    </w:rPr>
  </w:style>
  <w:style w:type="paragraph" w:customStyle="1" w:styleId="779">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80">
    <w:name w:val="Char Char Char Char Char Char Char3"/>
    <w:basedOn w:val="1"/>
    <w:qFormat/>
    <w:uiPriority w:val="0"/>
    <w:rPr>
      <w:sz w:val="24"/>
    </w:rPr>
  </w:style>
  <w:style w:type="paragraph" w:customStyle="1" w:styleId="781">
    <w:name w:val="Char13"/>
    <w:basedOn w:val="1"/>
    <w:qFormat/>
    <w:uiPriority w:val="0"/>
    <w:pPr>
      <w:widowControl/>
      <w:spacing w:line="360" w:lineRule="auto"/>
      <w:ind w:firstLine="200" w:firstLineChars="200"/>
      <w:jc w:val="left"/>
    </w:pPr>
    <w:rPr>
      <w:kern w:val="0"/>
      <w:sz w:val="24"/>
      <w:szCs w:val="20"/>
    </w:rPr>
  </w:style>
  <w:style w:type="paragraph" w:customStyle="1" w:styleId="782">
    <w:name w:val="日期3"/>
    <w:basedOn w:val="1"/>
    <w:next w:val="1"/>
    <w:qFormat/>
    <w:uiPriority w:val="0"/>
    <w:pPr>
      <w:adjustRightInd w:val="0"/>
      <w:textAlignment w:val="baseline"/>
    </w:pPr>
    <w:rPr>
      <w:sz w:val="28"/>
      <w:szCs w:val="20"/>
    </w:rPr>
  </w:style>
  <w:style w:type="table" w:customStyle="1" w:styleId="783">
    <w:name w:val="网格型6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4">
    <w:name w:val="网格型7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5">
    <w:name w:val="网格型8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6">
    <w:name w:val="网格型9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7">
    <w:name w:val="网格型 1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8">
    <w:name w:val="典雅型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9">
    <w:name w:val="网格型 51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0">
    <w:name w:val="典雅型2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1">
    <w:name w:val="典雅型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2">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3">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4">
    <w:name w:val="表格主题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5">
    <w:name w:val="网格型-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6">
    <w:name w:val="网格型 53"/>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7">
    <w:name w:val="典雅型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8">
    <w:name w:val="网格型 14"/>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9">
    <w:name w:val="网格型4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0">
    <w:name w:val="左右无边框3"/>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01">
    <w:name w:val="网格型3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2">
    <w:name w:val="无左右边框型3"/>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3">
    <w:name w:val="典雅型2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4">
    <w:name w:val="左右无边表格3"/>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05">
    <w:name w:val="典雅型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6">
    <w:name w:val="网格型23"/>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7">
    <w:name w:val="网格型11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8">
    <w:name w:val="网格型12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9">
    <w:name w:val="网格型13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0">
    <w:name w:val="网格型53"/>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1">
    <w:name w:val="网格型63"/>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2">
    <w:name w:val="网格型7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3">
    <w:name w:val="网格型8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4">
    <w:name w:val="网格型9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5">
    <w:name w:val="网格型 113"/>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6">
    <w:name w:val="典雅型3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7">
    <w:name w:val="网格型 513"/>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8">
    <w:name w:val="典雅型2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9">
    <w:name w:val="典雅型1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0">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1">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2">
    <w:name w:val="TOC Heading"/>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3">
    <w:name w:val="网格型 15"/>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4">
    <w:name w:val="网格型-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5">
    <w:name w:val="表格主题5"/>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6">
    <w:name w:val="ylf1"/>
    <w:basedOn w:val="61"/>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27">
    <w:name w:val="表格主题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8">
    <w:name w:val="网格型-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9">
    <w:name w:val="网格型 54"/>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0">
    <w:name w:val="典雅型6"/>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1">
    <w:name w:val="网格型 114"/>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2">
    <w:name w:val="网格型4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3">
    <w:name w:val="左右无边框4"/>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34">
    <w:name w:val="网格型3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5">
    <w:name w:val="无左右边框型4"/>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6">
    <w:name w:val="典雅型2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7">
    <w:name w:val="左右无边表格4"/>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38">
    <w:name w:val="典雅型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9">
    <w:name w:val="网格型24"/>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0">
    <w:name w:val="网格型11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1">
    <w:name w:val="网格型12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2">
    <w:name w:val="网格型13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3">
    <w:name w:val="网格型54"/>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4">
    <w:name w:val="网格型64"/>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5">
    <w:name w:val="表格主题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6">
    <w:name w:val="网格型-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7">
    <w:name w:val="网格型 514"/>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8">
    <w:name w:val="典雅型3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9">
    <w:name w:val="网格型 12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0">
    <w:name w:val="网格型4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1">
    <w:name w:val="左右无边框1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52">
    <w:name w:val="网格型3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3">
    <w:name w:val="无左右边框型1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4">
    <w:name w:val="典雅型2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5">
    <w:name w:val="左右无边表格1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56">
    <w:name w:val="典雅型1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7">
    <w:name w:val="网格型21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8">
    <w:name w:val="网格型11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59">
    <w:name w:val="网格型12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0">
    <w:name w:val="网格型13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1">
    <w:name w:val="网格型51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2">
    <w:name w:val="网格型61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3">
    <w:name w:val="网格型7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4">
    <w:name w:val="网格型83"/>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5">
    <w:name w:val="网格型93"/>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6">
    <w:name w:val="网格型 11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7">
    <w:name w:val="典雅型3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8">
    <w:name w:val="网格型 511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9">
    <w:name w:val="典雅型2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0">
    <w:name w:val="典雅型1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1">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2">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3">
    <w:name w:val="表格主题3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4">
    <w:name w:val="网格型-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5">
    <w:name w:val="网格型 52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6">
    <w:name w:val="典雅型4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7">
    <w:name w:val="网格型 13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8">
    <w:name w:val="网格型4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9">
    <w:name w:val="左右无边框2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80">
    <w:name w:val="网格型3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1">
    <w:name w:val="无左右边框型2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2">
    <w:name w:val="典雅型2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3">
    <w:name w:val="左右无边表格2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84">
    <w:name w:val="典雅型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5">
    <w:name w:val="网格型22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6">
    <w:name w:val="网格型11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7">
    <w:name w:val="网格型12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8">
    <w:name w:val="网格型13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9">
    <w:name w:val="网格型52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0">
    <w:name w:val="网格型62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1">
    <w:name w:val="网格型7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2">
    <w:name w:val="网格型81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3">
    <w:name w:val="网格型91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4">
    <w:name w:val="网格型 112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5">
    <w:name w:val="典雅型3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6">
    <w:name w:val="网格型 512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7">
    <w:name w:val="典雅型2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8">
    <w:name w:val="典雅型1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9">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0">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1">
    <w:name w:val="表格主题4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2">
    <w:name w:val="网格型-4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3">
    <w:name w:val="网格型 53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4">
    <w:name w:val="典雅型5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5">
    <w:name w:val="网格型 14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6">
    <w:name w:val="网格型4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7">
    <w:name w:val="左右无边框3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08">
    <w:name w:val="网格型3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9">
    <w:name w:val="无左右边框型3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0">
    <w:name w:val="典雅型2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1">
    <w:name w:val="左右无边表格3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12">
    <w:name w:val="典雅型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3">
    <w:name w:val="网格型23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4">
    <w:name w:val="网格型11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5">
    <w:name w:val="网格型12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6">
    <w:name w:val="网格型13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7">
    <w:name w:val="网格型53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8">
    <w:name w:val="网格型63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9">
    <w:name w:val="网格型7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0">
    <w:name w:val="网格型82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1">
    <w:name w:val="网格型92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2">
    <w:name w:val="网格型 113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3">
    <w:name w:val="典雅型3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4">
    <w:name w:val="网格型 513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5">
    <w:name w:val="典雅型2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6">
    <w:name w:val="典雅型1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7">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8">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9">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30">
    <w:name w:val="网格型 16"/>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1">
    <w:name w:val="网格型-6"/>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2">
    <w:name w:val="表格主题6"/>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3">
    <w:name w:val="ylf2"/>
    <w:basedOn w:val="61"/>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34">
    <w:name w:val="表格主题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5">
    <w:name w:val="网格型-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6">
    <w:name w:val="网格型 55"/>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7">
    <w:name w:val="典雅型7"/>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8">
    <w:name w:val="网格型 115"/>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9">
    <w:name w:val="网格型4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0">
    <w:name w:val="左右无边框5"/>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41">
    <w:name w:val="网格型3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2">
    <w:name w:val="无左右边框型5"/>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3">
    <w:name w:val="典雅型2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4">
    <w:name w:val="左右无边表格5"/>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45">
    <w:name w:val="典雅型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6">
    <w:name w:val="网格型25"/>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7">
    <w:name w:val="网格型11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8">
    <w:name w:val="网格型12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9">
    <w:name w:val="网格型13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50">
    <w:name w:val="网格型55"/>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1">
    <w:name w:val="网格型65"/>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2">
    <w:name w:val="表格主题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3">
    <w:name w:val="网格型-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4">
    <w:name w:val="网格型 515"/>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5">
    <w:name w:val="典雅型3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6">
    <w:name w:val="网格型 12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7">
    <w:name w:val="网格型4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8">
    <w:name w:val="左右无边框1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59">
    <w:name w:val="网格型3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0">
    <w:name w:val="无左右边框型1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1">
    <w:name w:val="典雅型2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2">
    <w:name w:val="左右无边表格1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63">
    <w:name w:val="典雅型1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4">
    <w:name w:val="网格型21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5">
    <w:name w:val="网格型11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6">
    <w:name w:val="网格型12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7">
    <w:name w:val="网格型13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8">
    <w:name w:val="网格型51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9">
    <w:name w:val="网格型61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70">
    <w:name w:val="网格型7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71">
    <w:name w:val="网格型84"/>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2">
    <w:name w:val="网格型94"/>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3">
    <w:name w:val="网格型 11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4">
    <w:name w:val="典雅型3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5">
    <w:name w:val="网格型 511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6">
    <w:name w:val="典雅型2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7">
    <w:name w:val="典雅型1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8">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9">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0">
    <w:name w:val="表格主题3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1">
    <w:name w:val="网格型-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2">
    <w:name w:val="网格型 52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3">
    <w:name w:val="典雅型4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4">
    <w:name w:val="网格型 13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5">
    <w:name w:val="网格型4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6">
    <w:name w:val="左右无边框2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87">
    <w:name w:val="网格型3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8">
    <w:name w:val="无左右边框型2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9">
    <w:name w:val="典雅型2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0">
    <w:name w:val="左右无边表格2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91">
    <w:name w:val="典雅型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2">
    <w:name w:val="网格型22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3">
    <w:name w:val="网格型11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4">
    <w:name w:val="网格型12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5">
    <w:name w:val="网格型13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6">
    <w:name w:val="网格型52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7">
    <w:name w:val="网格型62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8">
    <w:name w:val="网格型7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9">
    <w:name w:val="网格型81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00">
    <w:name w:val="网格型91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01">
    <w:name w:val="网格型 112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2">
    <w:name w:val="典雅型3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3">
    <w:name w:val="网格型 512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4">
    <w:name w:val="典雅型2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5">
    <w:name w:val="典雅型1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6">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7">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8">
    <w:name w:val="表格主题4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9">
    <w:name w:val="网格型-4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0">
    <w:name w:val="网格型 53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1">
    <w:name w:val="典雅型5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2">
    <w:name w:val="网格型 14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3">
    <w:name w:val="网格型4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4">
    <w:name w:val="左右无边框3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15">
    <w:name w:val="网格型3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6">
    <w:name w:val="无左右边框型3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7">
    <w:name w:val="典雅型2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8">
    <w:name w:val="左右无边表格3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1019">
    <w:name w:val="典雅型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0">
    <w:name w:val="网格型23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1">
    <w:name w:val="网格型11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2">
    <w:name w:val="网格型12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3">
    <w:name w:val="网格型13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4">
    <w:name w:val="网格型53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5">
    <w:name w:val="网格型63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6">
    <w:name w:val="网格型7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7">
    <w:name w:val="网格型82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8">
    <w:name w:val="网格型92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9">
    <w:name w:val="网格型 113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0">
    <w:name w:val="典雅型3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1">
    <w:name w:val="网格型 513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2">
    <w:name w:val="典雅型2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3">
    <w:name w:val="典雅型1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4">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5">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6">
    <w:name w:val="网格型-7"/>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37">
    <w:name w:val="正文+宋体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38">
    <w:name w:val="ylf3"/>
    <w:basedOn w:val="61"/>
    <w:qFormat/>
    <w:uiPriority w:val="0"/>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tcPr>
      <w:vAlign w:val="center"/>
    </w:tcPr>
  </w:style>
  <w:style w:type="table" w:customStyle="1" w:styleId="1039">
    <w:name w:val="表格主题7"/>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40">
    <w:name w:val="Char Char Char1 Char Char Char2"/>
    <w:basedOn w:val="1"/>
    <w:qFormat/>
    <w:uiPriority w:val="0"/>
    <w:rPr>
      <w:rFonts w:ascii="Courier New" w:hAnsi="Courier New" w:eastAsia="仿宋" w:cs="Courier New"/>
      <w:sz w:val="24"/>
    </w:rPr>
  </w:style>
  <w:style w:type="paragraph" w:customStyle="1" w:styleId="1041">
    <w:name w:val="Char Char Char1 Char Char Char6"/>
    <w:basedOn w:val="1"/>
    <w:qFormat/>
    <w:uiPriority w:val="0"/>
    <w:rPr>
      <w:rFonts w:ascii="Courier New" w:hAnsi="Courier New" w:eastAsia="仿宋" w:cs="Courier New"/>
      <w:sz w:val="24"/>
    </w:rPr>
  </w:style>
  <w:style w:type="character" w:customStyle="1" w:styleId="1042">
    <w:name w:val="正文1 Char1"/>
    <w:qFormat/>
    <w:uiPriority w:val="0"/>
    <w:rPr>
      <w:rFonts w:eastAsia="楷体_GB2312"/>
      <w:sz w:val="32"/>
    </w:rPr>
  </w:style>
  <w:style w:type="paragraph" w:customStyle="1" w:styleId="1043">
    <w:name w:val="Char Char Char1 Char Char Char5"/>
    <w:basedOn w:val="1"/>
    <w:qFormat/>
    <w:uiPriority w:val="0"/>
    <w:rPr>
      <w:rFonts w:ascii="Courier New" w:hAnsi="Courier New" w:eastAsia="仿宋" w:cs="Courier New"/>
      <w:sz w:val="24"/>
    </w:rPr>
  </w:style>
  <w:style w:type="paragraph" w:customStyle="1" w:styleId="1044">
    <w:name w:val="Char Char Char1 Char Char Char4"/>
    <w:basedOn w:val="1"/>
    <w:qFormat/>
    <w:uiPriority w:val="0"/>
    <w:rPr>
      <w:rFonts w:ascii="Courier New" w:hAnsi="Courier New" w:eastAsia="仿宋" w:cs="Courier New"/>
      <w:sz w:val="24"/>
    </w:rPr>
  </w:style>
  <w:style w:type="paragraph" w:customStyle="1" w:styleId="1045">
    <w:name w:val="Char Char Char1 Char Char Char3"/>
    <w:basedOn w:val="1"/>
    <w:qFormat/>
    <w:uiPriority w:val="0"/>
    <w:rPr>
      <w:rFonts w:ascii="Courier New" w:hAnsi="Courier New" w:eastAsia="仿宋" w:cs="Courier New"/>
      <w:sz w:val="24"/>
    </w:rPr>
  </w:style>
  <w:style w:type="paragraph" w:customStyle="1" w:styleId="1046">
    <w:name w:val="样式 标题 3标题 3 Char标题 3 Char Char Char Char Char Char Char Char C..."/>
    <w:basedOn w:val="5"/>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eastAsia="zh-CN"/>
    </w:rPr>
  </w:style>
  <w:style w:type="paragraph" w:customStyle="1" w:styleId="1047">
    <w:name w:val="样式35"/>
    <w:basedOn w:val="1"/>
    <w:qFormat/>
    <w:uiPriority w:val="0"/>
    <w:pPr>
      <w:adjustRightInd w:val="0"/>
      <w:spacing w:line="312" w:lineRule="auto"/>
      <w:ind w:firstLine="567"/>
    </w:pPr>
    <w:rPr>
      <w:rFonts w:ascii="宋体"/>
      <w:kern w:val="0"/>
      <w:sz w:val="28"/>
      <w:szCs w:val="20"/>
    </w:rPr>
  </w:style>
  <w:style w:type="paragraph" w:customStyle="1" w:styleId="1048">
    <w:name w:val="dandan6-13正文 Char Char Char Char Char1 Char Char Char Char"/>
    <w:basedOn w:val="1"/>
    <w:next w:val="1"/>
    <w:autoRedefine/>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49">
    <w:name w:val="页眉 Char1"/>
    <w:qFormat/>
    <w:locked/>
    <w:uiPriority w:val="99"/>
    <w:rPr>
      <w:sz w:val="18"/>
    </w:rPr>
  </w:style>
  <w:style w:type="character" w:customStyle="1" w:styleId="1050">
    <w:name w:val="普通(网站) Char1"/>
    <w:qFormat/>
    <w:locked/>
    <w:uiPriority w:val="0"/>
    <w:rPr>
      <w:rFonts w:ascii="宋体" w:hAnsi="宋体" w:eastAsia="宋体"/>
      <w:sz w:val="24"/>
    </w:rPr>
  </w:style>
  <w:style w:type="character" w:customStyle="1" w:styleId="1051">
    <w:name w:val="正文文本缩进 Char2"/>
    <w:qFormat/>
    <w:locked/>
    <w:uiPriority w:val="0"/>
    <w:rPr>
      <w:rFonts w:ascii="Times New Roman" w:hAnsi="Times New Roman" w:eastAsia="宋体"/>
      <w:sz w:val="24"/>
    </w:rPr>
  </w:style>
  <w:style w:type="character" w:customStyle="1" w:styleId="1052">
    <w:name w:val="页脚 Char2"/>
    <w:qFormat/>
    <w:locked/>
    <w:uiPriority w:val="99"/>
    <w:rPr>
      <w:sz w:val="18"/>
    </w:rPr>
  </w:style>
  <w:style w:type="character" w:customStyle="1" w:styleId="1053">
    <w:name w:val="批注主题 Char1"/>
    <w:qFormat/>
    <w:locked/>
    <w:uiPriority w:val="99"/>
    <w:rPr>
      <w:rFonts w:ascii="Times New Roman" w:hAnsi="Times New Roman" w:eastAsia="宋体"/>
      <w:b/>
      <w:kern w:val="2"/>
      <w:sz w:val="24"/>
    </w:rPr>
  </w:style>
  <w:style w:type="character" w:customStyle="1" w:styleId="1054">
    <w:name w:val="日期 Char1"/>
    <w:qFormat/>
    <w:locked/>
    <w:uiPriority w:val="0"/>
    <w:rPr>
      <w:rFonts w:ascii="Times New Roman" w:hAnsi="Times New Roman" w:eastAsia="宋体"/>
      <w:sz w:val="24"/>
    </w:rPr>
  </w:style>
  <w:style w:type="character" w:customStyle="1" w:styleId="1055">
    <w:name w:val="批注文字 Char2"/>
    <w:qFormat/>
    <w:locked/>
    <w:uiPriority w:val="99"/>
    <w:rPr>
      <w:rFonts w:ascii="Times New Roman" w:hAnsi="Times New Roman" w:eastAsia="宋体"/>
      <w:sz w:val="24"/>
    </w:rPr>
  </w:style>
  <w:style w:type="character" w:customStyle="1" w:styleId="1056">
    <w:name w:val="正文文本 Char2"/>
    <w:qFormat/>
    <w:locked/>
    <w:uiPriority w:val="0"/>
    <w:rPr>
      <w:sz w:val="18"/>
    </w:rPr>
  </w:style>
  <w:style w:type="character" w:customStyle="1" w:styleId="1057">
    <w:name w:val="批注框文本 Char2"/>
    <w:qFormat/>
    <w:locked/>
    <w:uiPriority w:val="99"/>
    <w:rPr>
      <w:rFonts w:ascii="Times New Roman" w:hAnsi="Times New Roman" w:eastAsia="宋体"/>
      <w:sz w:val="18"/>
    </w:rPr>
  </w:style>
  <w:style w:type="table" w:customStyle="1" w:styleId="1058">
    <w:name w:val="左右无边框6"/>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59">
    <w:name w:val="无左右边框型6"/>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60">
    <w:name w:val="书籍标题1"/>
    <w:qFormat/>
    <w:uiPriority w:val="33"/>
    <w:rPr>
      <w:b/>
      <w:bCs/>
      <w:smallCaps/>
      <w:spacing w:val="5"/>
    </w:rPr>
  </w:style>
  <w:style w:type="paragraph" w:customStyle="1" w:styleId="1061">
    <w:name w:val="z-窗体底端1"/>
    <w:basedOn w:val="1"/>
    <w:next w:val="1"/>
    <w:qFormat/>
    <w:uiPriority w:val="0"/>
    <w:pPr>
      <w:pBdr>
        <w:top w:val="single" w:color="auto" w:sz="6" w:space="1"/>
      </w:pBdr>
      <w:jc w:val="center"/>
    </w:pPr>
    <w:rPr>
      <w:rFonts w:ascii="Arial"/>
      <w:vanish/>
      <w:sz w:val="16"/>
    </w:rPr>
  </w:style>
  <w:style w:type="paragraph" w:customStyle="1" w:styleId="1062">
    <w:name w:val="z-窗体顶端1"/>
    <w:basedOn w:val="1"/>
    <w:next w:val="1"/>
    <w:qFormat/>
    <w:uiPriority w:val="0"/>
    <w:pPr>
      <w:pBdr>
        <w:bottom w:val="single" w:color="auto" w:sz="6" w:space="1"/>
      </w:pBdr>
      <w:jc w:val="center"/>
    </w:pPr>
    <w:rPr>
      <w:rFonts w:ascii="Arial"/>
      <w:vanish/>
      <w:sz w:val="16"/>
    </w:rPr>
  </w:style>
  <w:style w:type="table" w:customStyle="1" w:styleId="1063">
    <w:name w:val="左右无边框13"/>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64">
    <w:name w:val="无左右边框型13"/>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65">
    <w:name w:val="左右无边框23"/>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66">
    <w:name w:val="无左右边框型23"/>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67">
    <w:name w:val="左右无边框33"/>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68">
    <w:name w:val="无左右边框型33"/>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69">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70">
    <w:name w:val="左右无边框4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1">
    <w:name w:val="无左右边框型4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2">
    <w:name w:val="左右无边框11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3">
    <w:name w:val="无左右边框型11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4">
    <w:name w:val="左右无边框21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5">
    <w:name w:val="无左右边框型21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6">
    <w:name w:val="左右无边框31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7">
    <w:name w:val="无左右边框型31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78">
    <w:name w:val="左右无边框5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79">
    <w:name w:val="无左右边框型5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80">
    <w:name w:val="左右无边框12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81">
    <w:name w:val="无左右边框型12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82">
    <w:name w:val="左右无边框22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83">
    <w:name w:val="无左右边框型22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84">
    <w:name w:val="左右无边框32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85">
    <w:name w:val="无左右边框型32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86">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87">
    <w:name w:val="ref"/>
    <w:basedOn w:val="65"/>
    <w:qFormat/>
    <w:uiPriority w:val="0"/>
  </w:style>
  <w:style w:type="paragraph" w:customStyle="1" w:styleId="1088">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089">
    <w:name w:val="正文_26"/>
    <w:qFormat/>
    <w:uiPriority w:val="0"/>
    <w:pPr>
      <w:widowControl w:val="0"/>
      <w:jc w:val="both"/>
    </w:pPr>
    <w:rPr>
      <w:rFonts w:ascii="Calibri" w:hAnsi="Calibri" w:eastAsia="宋体" w:cs="Times New Roman"/>
      <w:kern w:val="2"/>
      <w:sz w:val="21"/>
      <w:lang w:val="en-US" w:eastAsia="zh-CN" w:bidi="ar-SA"/>
    </w:rPr>
  </w:style>
  <w:style w:type="paragraph" w:customStyle="1" w:styleId="1090">
    <w:name w:val="正文_21"/>
    <w:qFormat/>
    <w:uiPriority w:val="0"/>
    <w:pPr>
      <w:widowControl w:val="0"/>
      <w:jc w:val="both"/>
    </w:pPr>
    <w:rPr>
      <w:rFonts w:ascii="Calibri" w:hAnsi="Calibri" w:eastAsia="宋体" w:cs="Times New Roman"/>
      <w:kern w:val="2"/>
      <w:sz w:val="21"/>
      <w:lang w:val="en-US" w:eastAsia="zh-CN" w:bidi="ar-SA"/>
    </w:rPr>
  </w:style>
  <w:style w:type="paragraph" w:customStyle="1" w:styleId="1091">
    <w:name w:val="正文_28"/>
    <w:qFormat/>
    <w:uiPriority w:val="0"/>
    <w:pPr>
      <w:widowControl w:val="0"/>
      <w:jc w:val="both"/>
    </w:pPr>
    <w:rPr>
      <w:rFonts w:ascii="Calibri" w:hAnsi="Calibri" w:eastAsia="宋体" w:cs="Times New Roman"/>
      <w:kern w:val="2"/>
      <w:sz w:val="21"/>
      <w:lang w:val="en-US" w:eastAsia="zh-CN" w:bidi="ar-SA"/>
    </w:rPr>
  </w:style>
  <w:style w:type="paragraph" w:customStyle="1" w:styleId="1092">
    <w:name w:val="正文_20"/>
    <w:qFormat/>
    <w:uiPriority w:val="0"/>
    <w:pPr>
      <w:widowControl w:val="0"/>
      <w:jc w:val="both"/>
    </w:pPr>
    <w:rPr>
      <w:rFonts w:ascii="Calibri" w:hAnsi="Calibri" w:eastAsia="宋体" w:cs="Times New Roman"/>
      <w:kern w:val="2"/>
      <w:sz w:val="21"/>
      <w:lang w:val="en-US" w:eastAsia="zh-CN" w:bidi="ar-SA"/>
    </w:rPr>
  </w:style>
  <w:style w:type="paragraph" w:customStyle="1" w:styleId="1093">
    <w:name w:val="正文_27"/>
    <w:qFormat/>
    <w:uiPriority w:val="0"/>
    <w:pPr>
      <w:widowControl w:val="0"/>
      <w:jc w:val="both"/>
    </w:pPr>
    <w:rPr>
      <w:rFonts w:ascii="Calibri" w:hAnsi="Calibri" w:eastAsia="宋体" w:cs="Times New Roman"/>
      <w:kern w:val="2"/>
      <w:sz w:val="21"/>
      <w:lang w:val="en-US" w:eastAsia="zh-CN" w:bidi="ar-SA"/>
    </w:rPr>
  </w:style>
  <w:style w:type="paragraph" w:customStyle="1" w:styleId="1094">
    <w:name w:val="正文_23"/>
    <w:qFormat/>
    <w:uiPriority w:val="0"/>
    <w:pPr>
      <w:widowControl w:val="0"/>
      <w:jc w:val="both"/>
    </w:pPr>
    <w:rPr>
      <w:rFonts w:ascii="Calibri" w:hAnsi="Calibri" w:eastAsia="宋体" w:cs="Times New Roman"/>
      <w:kern w:val="2"/>
      <w:sz w:val="21"/>
      <w:lang w:val="en-US" w:eastAsia="zh-CN" w:bidi="ar-SA"/>
    </w:rPr>
  </w:style>
  <w:style w:type="paragraph" w:customStyle="1" w:styleId="1095">
    <w:name w:val="正文_29"/>
    <w:qFormat/>
    <w:uiPriority w:val="0"/>
    <w:pPr>
      <w:widowControl w:val="0"/>
      <w:jc w:val="both"/>
    </w:pPr>
    <w:rPr>
      <w:rFonts w:ascii="Calibri" w:hAnsi="Calibri" w:eastAsia="宋体" w:cs="Times New Roman"/>
      <w:kern w:val="2"/>
      <w:sz w:val="21"/>
      <w:lang w:val="en-US" w:eastAsia="zh-CN" w:bidi="ar-SA"/>
    </w:rPr>
  </w:style>
  <w:style w:type="paragraph" w:customStyle="1" w:styleId="1096">
    <w:name w:val="正文_7"/>
    <w:qFormat/>
    <w:uiPriority w:val="0"/>
    <w:pPr>
      <w:widowControl w:val="0"/>
      <w:jc w:val="both"/>
    </w:pPr>
    <w:rPr>
      <w:rFonts w:ascii="Calibri" w:hAnsi="Calibri" w:eastAsia="宋体" w:cs="Times New Roman"/>
      <w:kern w:val="2"/>
      <w:sz w:val="21"/>
      <w:lang w:val="en-US" w:eastAsia="zh-CN" w:bidi="ar-SA"/>
    </w:rPr>
  </w:style>
  <w:style w:type="paragraph" w:customStyle="1" w:styleId="1097">
    <w:name w:val="正文_11"/>
    <w:qFormat/>
    <w:uiPriority w:val="0"/>
    <w:pPr>
      <w:widowControl w:val="0"/>
      <w:jc w:val="both"/>
    </w:pPr>
    <w:rPr>
      <w:rFonts w:ascii="Calibri" w:hAnsi="Calibri" w:eastAsia="宋体" w:cs="Times New Roman"/>
      <w:kern w:val="2"/>
      <w:sz w:val="21"/>
      <w:lang w:val="en-US" w:eastAsia="zh-CN" w:bidi="ar-SA"/>
    </w:rPr>
  </w:style>
  <w:style w:type="paragraph" w:customStyle="1" w:styleId="1098">
    <w:name w:val="正文_37"/>
    <w:qFormat/>
    <w:uiPriority w:val="0"/>
    <w:pPr>
      <w:widowControl w:val="0"/>
      <w:jc w:val="both"/>
    </w:pPr>
    <w:rPr>
      <w:rFonts w:ascii="等线" w:hAnsi="等线" w:eastAsia="等线" w:cs="Times New Roman"/>
      <w:kern w:val="2"/>
      <w:sz w:val="21"/>
      <w:szCs w:val="22"/>
      <w:lang w:val="en-US" w:eastAsia="zh-CN" w:bidi="ar-SA"/>
    </w:rPr>
  </w:style>
  <w:style w:type="paragraph" w:customStyle="1" w:styleId="1099">
    <w:name w:val="表内容"/>
    <w:basedOn w:val="1"/>
    <w:next w:val="1"/>
    <w:qFormat/>
    <w:uiPriority w:val="0"/>
    <w:pPr>
      <w:jc w:val="center"/>
    </w:pPr>
    <w:rPr>
      <w:szCs w:val="20"/>
    </w:rPr>
  </w:style>
  <w:style w:type="paragraph" w:customStyle="1" w:styleId="1100">
    <w:name w:val="报告书 正文"/>
    <w:link w:val="1101"/>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1101">
    <w:name w:val="报告书 正文 Char"/>
    <w:link w:val="1100"/>
    <w:qFormat/>
    <w:uiPriority w:val="0"/>
    <w:rPr>
      <w:kern w:val="2"/>
      <w:sz w:val="24"/>
      <w:szCs w:val="24"/>
    </w:rPr>
  </w:style>
  <w:style w:type="character" w:customStyle="1" w:styleId="1102">
    <w:name w:val="表格正文 Char1"/>
    <w:link w:val="178"/>
    <w:qFormat/>
    <w:uiPriority w:val="99"/>
    <w:rPr>
      <w:kern w:val="2"/>
      <w:sz w:val="21"/>
    </w:rPr>
  </w:style>
  <w:style w:type="paragraph" w:customStyle="1" w:styleId="1103">
    <w:name w:val="表格 标题"/>
    <w:autoRedefine/>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paragraph" w:customStyle="1" w:styleId="1104">
    <w:name w:val="表格内容--中祥"/>
    <w:basedOn w:val="1"/>
    <w:qFormat/>
    <w:uiPriority w:val="0"/>
    <w:pPr>
      <w:spacing w:line="240" w:lineRule="auto"/>
      <w:ind w:firstLine="0" w:firstLineChars="0"/>
      <w:jc w:val="center"/>
    </w:pPr>
    <w:rPr>
      <w:rFonts w:ascii="Times New Roman" w:hAnsi="Times New Roman" w:eastAsia="宋体" w:cs="Times New Roman"/>
      <w:kern w:val="0"/>
      <w:sz w:val="21"/>
      <w:szCs w:val="21"/>
    </w:rPr>
  </w:style>
  <w:style w:type="paragraph" w:customStyle="1" w:styleId="1105">
    <w:name w:val="正文首行缩进1"/>
    <w:basedOn w:val="23"/>
    <w:next w:val="1"/>
    <w:autoRedefine/>
    <w:qFormat/>
    <w:uiPriority w:val="0"/>
    <w:pPr>
      <w:widowControl w:val="0"/>
      <w:autoSpaceDE w:val="0"/>
      <w:autoSpaceDN w:val="0"/>
      <w:snapToGrid/>
      <w:spacing w:before="0" w:after="0" w:line="240" w:lineRule="auto"/>
      <w:ind w:right="0" w:firstLine="420" w:firstLineChars="100"/>
      <w:jc w:val="left"/>
    </w:pPr>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7.wmf"/><Relationship Id="rId17" Type="http://schemas.openxmlformats.org/officeDocument/2006/relationships/oleObject" Target="embeddings/oleObject2.bin"/><Relationship Id="rId16" Type="http://schemas.openxmlformats.org/officeDocument/2006/relationships/image" Target="media/image6.wmf"/><Relationship Id="rId15" Type="http://schemas.openxmlformats.org/officeDocument/2006/relationships/oleObject" Target="embeddings/oleObject1.bin"/><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103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867387-2820-4816-AE21-4A6E4A622C9B}">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73</Pages>
  <Words>20103</Words>
  <Characters>21115</Characters>
  <Lines>314</Lines>
  <Paragraphs>88</Paragraphs>
  <TotalTime>5</TotalTime>
  <ScaleCrop>false</ScaleCrop>
  <LinksUpToDate>false</LinksUpToDate>
  <CharactersWithSpaces>21216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2021-03-31T09:19:00Z</dcterms:created>
  <dc:creator>lhj</dc:creator>
  <cp:lastModifiedBy>王俊</cp:lastModifiedBy>
  <cp:lastPrinted>2023-04-13T12:11:00Z</cp:lastPrinted>
  <dcterms:modified xsi:type="dcterms:W3CDTF">2025-06-23T08:36:28Z</dcterms:modified>
  <dc:title>附件2</dc:title>
  <cp:revision>952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eyJoZGlkIjoiZmIzYjM4Nzc0OTE2ZDA3YjRiN2Y1Y2U0ZjcwYWY5NjciLCJ1c2VySWQiOiIyMTA3NzYzNTMifQ==</vt:lpwstr>
  </property>
  <property fmtid="{D5CDD505-2E9C-101B-9397-08002B2CF9AE}" pid="4" name="ICV">
    <vt:lpwstr>E0E14EFF77914B70BD719635BB9E6917_12</vt:lpwstr>
  </property>
</Properties>
</file>