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32B80A">
      <w:pPr>
        <w:rPr>
          <w:rFonts w:hint="default" w:ascii="Times New Roman" w:hAnsi="Times New Roman" w:eastAsia="仿宋_GB2312" w:cs="Times New Roman"/>
          <w:color w:val="auto"/>
          <w:sz w:val="36"/>
          <w:szCs w:val="36"/>
        </w:rPr>
      </w:pPr>
      <w:r>
        <w:rPr>
          <w:rFonts w:hint="default" w:ascii="Times New Roman" w:hAnsi="Times New Roman" w:cs="Times New Roman"/>
          <w:color w:val="auto"/>
          <w:sz w:val="36"/>
          <w:szCs w:val="36"/>
          <w:lang w:val="en-US" w:eastAsia="zh-CN"/>
        </w:rPr>
        <w:t xml:space="preserve"> </w:t>
      </w:r>
    </w:p>
    <w:p w14:paraId="35A56629">
      <w:pPr>
        <w:rPr>
          <w:rFonts w:hint="default" w:ascii="Times New Roman" w:hAnsi="Times New Roman" w:eastAsia="仿宋_GB2312" w:cs="Times New Roman"/>
          <w:color w:val="auto"/>
          <w:sz w:val="24"/>
          <w:szCs w:val="24"/>
        </w:rPr>
      </w:pPr>
    </w:p>
    <w:p w14:paraId="759BA8DD">
      <w:pPr>
        <w:rPr>
          <w:rFonts w:hint="default" w:ascii="Times New Roman" w:hAnsi="Times New Roman" w:eastAsia="仿宋_GB2312" w:cs="Times New Roman"/>
          <w:color w:val="auto"/>
          <w:sz w:val="24"/>
          <w:szCs w:val="24"/>
        </w:rPr>
      </w:pPr>
    </w:p>
    <w:p w14:paraId="6DC52EF8">
      <w:pPr>
        <w:rPr>
          <w:rFonts w:hint="default" w:ascii="Times New Roman" w:hAnsi="Times New Roman" w:eastAsia="仿宋_GB2312" w:cs="Times New Roman"/>
          <w:color w:val="auto"/>
          <w:sz w:val="36"/>
          <w:szCs w:val="36"/>
        </w:rPr>
      </w:pPr>
    </w:p>
    <w:p w14:paraId="7DC61D6B">
      <w:pPr>
        <w:adjustRightInd w:val="0"/>
        <w:snapToGrid w:val="0"/>
        <w:jc w:val="center"/>
        <w:outlineLvl w:val="0"/>
        <w:rPr>
          <w:rFonts w:hint="default" w:ascii="Times New Roman" w:hAnsi="Times New Roman" w:eastAsia="方正小标宋_GBK" w:cs="Times New Roman"/>
          <w:bCs/>
          <w:color w:val="auto"/>
          <w:sz w:val="72"/>
          <w:szCs w:val="72"/>
        </w:rPr>
      </w:pPr>
      <w:r>
        <w:rPr>
          <w:rFonts w:hint="default" w:ascii="Times New Roman" w:hAnsi="Times New Roman" w:eastAsia="方正小标宋_GBK" w:cs="Times New Roman"/>
          <w:bCs/>
          <w:color w:val="auto"/>
          <w:sz w:val="72"/>
          <w:szCs w:val="72"/>
        </w:rPr>
        <w:t>建设项目环境影响报告表</w:t>
      </w:r>
    </w:p>
    <w:p w14:paraId="2BACEFE5">
      <w:pPr>
        <w:jc w:val="center"/>
        <w:rPr>
          <w:rFonts w:hint="default" w:ascii="Times New Roman" w:hAnsi="Times New Roman" w:eastAsia="楷体_GB2312" w:cs="Times New Roman"/>
          <w:color w:val="auto"/>
          <w:sz w:val="52"/>
          <w:szCs w:val="52"/>
          <w:lang w:val="en-US" w:eastAsia="zh-CN"/>
        </w:rPr>
      </w:pPr>
      <w:r>
        <w:rPr>
          <w:rFonts w:hint="default" w:ascii="Times New Roman" w:hAnsi="Times New Roman" w:eastAsia="楷体_GB2312" w:cs="Times New Roman"/>
          <w:bCs/>
          <w:color w:val="auto"/>
          <w:sz w:val="48"/>
          <w:szCs w:val="48"/>
        </w:rPr>
        <w:t>（</w:t>
      </w:r>
      <w:r>
        <w:rPr>
          <w:rFonts w:hint="default" w:ascii="Times New Roman" w:hAnsi="Times New Roman" w:eastAsia="楷体_GB2312" w:cs="Times New Roman"/>
          <w:bCs/>
          <w:color w:val="auto"/>
          <w:sz w:val="48"/>
          <w:szCs w:val="48"/>
          <w:lang w:eastAsia="zh-CN"/>
        </w:rPr>
        <w:t>污染影响类</w:t>
      </w:r>
      <w:r>
        <w:rPr>
          <w:rFonts w:hint="default" w:ascii="Times New Roman" w:hAnsi="Times New Roman" w:eastAsia="楷体_GB2312" w:cs="Times New Roman"/>
          <w:bCs/>
          <w:color w:val="auto"/>
          <w:sz w:val="48"/>
          <w:szCs w:val="48"/>
        </w:rPr>
        <w:t>）</w:t>
      </w:r>
      <w:r>
        <w:rPr>
          <w:rFonts w:hint="default" w:ascii="Times New Roman" w:hAnsi="Times New Roman" w:eastAsia="楷体_GB2312" w:cs="Times New Roman"/>
          <w:bCs/>
          <w:color w:val="auto"/>
          <w:sz w:val="48"/>
          <w:szCs w:val="48"/>
          <w:lang w:val="en-US" w:eastAsia="zh-CN"/>
        </w:rPr>
        <w:t xml:space="preserve"> </w:t>
      </w:r>
    </w:p>
    <w:p w14:paraId="38E978AF">
      <w:pPr>
        <w:ind w:firstLine="1040"/>
        <w:rPr>
          <w:rFonts w:hint="default" w:ascii="Times New Roman" w:hAnsi="Times New Roman" w:eastAsia="仿宋" w:cs="Times New Roman"/>
          <w:color w:val="auto"/>
          <w:sz w:val="44"/>
          <w:szCs w:val="44"/>
        </w:rPr>
      </w:pPr>
      <w:bookmarkStart w:id="4" w:name="_GoBack"/>
      <w:bookmarkEnd w:id="4"/>
    </w:p>
    <w:p w14:paraId="4BB4CA6E">
      <w:pPr>
        <w:ind w:firstLine="1040"/>
        <w:rPr>
          <w:rFonts w:hint="eastAsia" w:ascii="Times New Roman" w:hAnsi="Times New Roman" w:eastAsia="仿宋" w:cs="Times New Roman"/>
          <w:color w:val="auto"/>
          <w:sz w:val="44"/>
          <w:szCs w:val="44"/>
          <w:lang w:val="en-US" w:eastAsia="zh-CN"/>
        </w:rPr>
      </w:pPr>
      <w:r>
        <w:rPr>
          <w:rFonts w:hint="eastAsia" w:ascii="Times New Roman" w:hAnsi="Times New Roman" w:eastAsia="仿宋" w:cs="Times New Roman"/>
          <w:color w:val="auto"/>
          <w:sz w:val="44"/>
          <w:szCs w:val="44"/>
          <w:lang w:val="en-US" w:eastAsia="zh-CN"/>
        </w:rPr>
        <w:t xml:space="preserve"> </w:t>
      </w:r>
    </w:p>
    <w:p w14:paraId="4BDB3F26">
      <w:pPr>
        <w:pStyle w:val="42"/>
        <w:rPr>
          <w:rFonts w:hint="default" w:ascii="Times New Roman" w:hAnsi="Times New Roman" w:cs="Times New Roman"/>
          <w:color w:val="auto"/>
        </w:rPr>
      </w:pPr>
    </w:p>
    <w:p w14:paraId="045B1E28">
      <w:pPr>
        <w:ind w:firstLine="1040"/>
        <w:rPr>
          <w:rFonts w:hint="default" w:ascii="Times New Roman" w:hAnsi="Times New Roman" w:eastAsia="仿宋" w:cs="Times New Roman"/>
          <w:color w:val="auto"/>
          <w:sz w:val="44"/>
          <w:szCs w:val="44"/>
        </w:rPr>
      </w:pPr>
    </w:p>
    <w:p w14:paraId="5BD16456">
      <w:pPr>
        <w:pStyle w:val="57"/>
        <w:rPr>
          <w:rFonts w:hint="default" w:ascii="Times New Roman" w:hAnsi="Times New Roman" w:eastAsia="仿宋" w:cs="Times New Roman"/>
          <w:color w:val="auto"/>
          <w:sz w:val="44"/>
          <w:szCs w:val="44"/>
        </w:rPr>
      </w:pPr>
    </w:p>
    <w:p w14:paraId="3179FD0A">
      <w:pPr>
        <w:rPr>
          <w:rFonts w:hint="default" w:ascii="Times New Roman" w:hAnsi="Times New Roman" w:eastAsia="仿宋" w:cs="Times New Roman"/>
          <w:color w:val="auto"/>
          <w:sz w:val="44"/>
          <w:szCs w:val="44"/>
        </w:rPr>
      </w:pPr>
    </w:p>
    <w:p w14:paraId="58CF040A">
      <w:pPr>
        <w:pStyle w:val="57"/>
        <w:rPr>
          <w:rFonts w:hint="default"/>
          <w:color w:val="auto"/>
        </w:rPr>
      </w:pPr>
    </w:p>
    <w:p w14:paraId="53500A85">
      <w:pPr>
        <w:keepNext w:val="0"/>
        <w:keepLines w:val="0"/>
        <w:pageBreakBefore w:val="0"/>
        <w:widowControl w:val="0"/>
        <w:kinsoku/>
        <w:wordWrap/>
        <w:overflowPunct/>
        <w:topLinePunct w:val="0"/>
        <w:autoSpaceDE/>
        <w:autoSpaceDN/>
        <w:bidi w:val="0"/>
        <w:adjustRightInd w:val="0"/>
        <w:snapToGrid w:val="0"/>
        <w:spacing w:line="288" w:lineRule="auto"/>
        <w:ind w:left="2238" w:leftChars="304" w:hanging="1600" w:hangingChars="500"/>
        <w:textAlignment w:val="auto"/>
        <w:rPr>
          <w:rFonts w:hint="default" w:eastAsia="仿宋_GB2312" w:cs="Times New Roman"/>
          <w:color w:val="auto"/>
          <w:sz w:val="32"/>
          <w:szCs w:val="32"/>
          <w:u w:val="single"/>
          <w:lang w:val="en-US" w:eastAsia="zh-CN"/>
        </w:rPr>
      </w:pPr>
      <w:r>
        <w:rPr>
          <w:rFonts w:hint="default" w:ascii="Times New Roman" w:hAnsi="Times New Roman" w:eastAsia="仿宋_GB2312" w:cs="Times New Roman"/>
          <w:color w:val="auto"/>
          <w:sz w:val="32"/>
          <w:szCs w:val="32"/>
          <w:u w:val="none"/>
          <w:lang w:val="en-US" w:eastAsia="zh-CN"/>
        </w:rPr>
        <w:t>项目名称：</w:t>
      </w:r>
      <w:r>
        <w:rPr>
          <w:rFonts w:hint="eastAsia" w:eastAsia="仿宋_GB2312" w:cs="Times New Roman"/>
          <w:color w:val="auto"/>
          <w:sz w:val="32"/>
          <w:szCs w:val="32"/>
          <w:u w:val="single"/>
          <w:lang w:val="en-US" w:eastAsia="zh-CN"/>
        </w:rPr>
        <w:t xml:space="preserve">       汽车轮毂单元生产项目          </w:t>
      </w:r>
    </w:p>
    <w:p w14:paraId="70387A3A">
      <w:pPr>
        <w:keepNext w:val="0"/>
        <w:keepLines w:val="0"/>
        <w:pageBreakBefore w:val="0"/>
        <w:widowControl w:val="0"/>
        <w:kinsoku/>
        <w:wordWrap/>
        <w:overflowPunct/>
        <w:topLinePunct w:val="0"/>
        <w:autoSpaceDE/>
        <w:autoSpaceDN/>
        <w:bidi w:val="0"/>
        <w:adjustRightInd w:val="0"/>
        <w:snapToGrid w:val="0"/>
        <w:spacing w:line="288" w:lineRule="auto"/>
        <w:ind w:left="2238" w:leftChars="304" w:hanging="1600" w:hangingChars="500"/>
        <w:textAlignment w:val="auto"/>
        <w:rPr>
          <w:rFonts w:hint="default" w:ascii="Times New Roman" w:hAnsi="Times New Roman" w:eastAsia="仿宋_GB2312" w:cs="Times New Roman"/>
          <w:color w:val="auto"/>
          <w:sz w:val="32"/>
          <w:szCs w:val="32"/>
          <w:u w:val="single"/>
          <w:lang w:val="en-US"/>
        </w:rPr>
      </w:pPr>
      <w:r>
        <w:rPr>
          <w:rFonts w:hint="default" w:ascii="Times New Roman" w:hAnsi="Times New Roman" w:eastAsia="仿宋_GB2312" w:cs="Times New Roman"/>
          <w:color w:val="auto"/>
          <w:sz w:val="32"/>
          <w:szCs w:val="32"/>
        </w:rPr>
        <w:t>建设单位（盖章）：</w:t>
      </w:r>
      <w:r>
        <w:rPr>
          <w:rFonts w:hint="default" w:ascii="Times New Roman" w:hAnsi="Times New Roman" w:eastAsia="仿宋_GB2312" w:cs="Times New Roman"/>
          <w:color w:val="auto"/>
          <w:sz w:val="32"/>
          <w:szCs w:val="32"/>
          <w:u w:val="single"/>
        </w:rPr>
        <w:t xml:space="preserve"> </w:t>
      </w:r>
      <w:r>
        <w:rPr>
          <w:rFonts w:hint="eastAsia" w:eastAsia="仿宋_GB2312" w:cs="Times New Roman"/>
          <w:color w:val="auto"/>
          <w:sz w:val="32"/>
          <w:szCs w:val="32"/>
          <w:u w:val="single"/>
          <w:lang w:val="en-US" w:eastAsia="zh-CN"/>
        </w:rPr>
        <w:t>安徽众金机械科技有限公司</w:t>
      </w:r>
      <w:r>
        <w:rPr>
          <w:rFonts w:hint="default" w:ascii="Times New Roman" w:hAnsi="Times New Roman" w:eastAsia="仿宋_GB2312" w:cs="Times New Roman"/>
          <w:color w:val="auto"/>
          <w:sz w:val="32"/>
          <w:szCs w:val="32"/>
          <w:u w:val="single"/>
          <w:lang w:val="en-US" w:eastAsia="zh-CN"/>
        </w:rPr>
        <w:t xml:space="preserve"> </w:t>
      </w:r>
      <w:r>
        <w:rPr>
          <w:rFonts w:hint="eastAsia" w:ascii="Times New Roman" w:hAnsi="Times New Roman" w:eastAsia="仿宋_GB2312" w:cs="Times New Roman"/>
          <w:color w:val="auto"/>
          <w:sz w:val="32"/>
          <w:szCs w:val="32"/>
          <w:u w:val="single"/>
          <w:lang w:val="en-US" w:eastAsia="zh-CN"/>
        </w:rPr>
        <w:t xml:space="preserve">   </w:t>
      </w:r>
    </w:p>
    <w:p w14:paraId="506C31DC">
      <w:pPr>
        <w:keepNext w:val="0"/>
        <w:keepLines w:val="0"/>
        <w:pageBreakBefore w:val="0"/>
        <w:widowControl w:val="0"/>
        <w:kinsoku/>
        <w:wordWrap/>
        <w:overflowPunct/>
        <w:topLinePunct w:val="0"/>
        <w:autoSpaceDE/>
        <w:autoSpaceDN/>
        <w:bidi w:val="0"/>
        <w:adjustRightInd w:val="0"/>
        <w:snapToGrid w:val="0"/>
        <w:spacing w:line="288" w:lineRule="auto"/>
        <w:ind w:firstLine="640" w:firstLineChars="200"/>
        <w:textAlignment w:val="auto"/>
        <w:rPr>
          <w:rFonts w:hint="default" w:ascii="Times New Roman" w:hAnsi="Times New Roman" w:eastAsia="仿宋_GB2312" w:cs="Times New Roman"/>
          <w:color w:val="auto"/>
          <w:sz w:val="32"/>
          <w:szCs w:val="32"/>
          <w:u w:val="single"/>
        </w:rPr>
      </w:pPr>
      <w:r>
        <w:rPr>
          <w:rFonts w:hint="default" w:ascii="Times New Roman" w:hAnsi="Times New Roman" w:eastAsia="仿宋_GB2312" w:cs="Times New Roman"/>
          <w:color w:val="auto"/>
          <w:sz w:val="32"/>
          <w:szCs w:val="32"/>
        </w:rPr>
        <w:t>编制日期：</w:t>
      </w:r>
      <w:r>
        <w:rPr>
          <w:rFonts w:hint="default" w:ascii="Times New Roman" w:hAnsi="Times New Roman" w:eastAsia="仿宋_GB2312" w:cs="Times New Roman"/>
          <w:color w:val="auto"/>
          <w:sz w:val="32"/>
          <w:szCs w:val="32"/>
          <w:u w:val="single"/>
        </w:rPr>
        <w:t xml:space="preserve">        </w:t>
      </w:r>
      <w:r>
        <w:rPr>
          <w:rFonts w:hint="default" w:ascii="Times New Roman" w:hAnsi="Times New Roman" w:eastAsia="仿宋_GB2312" w:cs="Times New Roman"/>
          <w:color w:val="auto"/>
          <w:sz w:val="32"/>
          <w:szCs w:val="32"/>
          <w:u w:val="single"/>
          <w:lang w:val="en-US" w:eastAsia="zh-CN"/>
        </w:rPr>
        <w:t xml:space="preserve">      </w:t>
      </w:r>
      <w:r>
        <w:rPr>
          <w:rFonts w:hint="default" w:ascii="Times New Roman" w:hAnsi="Times New Roman" w:eastAsia="仿宋_GB2312" w:cs="Times New Roman"/>
          <w:color w:val="auto"/>
          <w:sz w:val="32"/>
          <w:szCs w:val="32"/>
          <w:u w:val="single"/>
        </w:rPr>
        <w:t xml:space="preserve"> </w:t>
      </w:r>
      <w:r>
        <w:rPr>
          <w:rFonts w:hint="default" w:ascii="Times New Roman" w:hAnsi="Times New Roman" w:eastAsia="仿宋_GB2312" w:cs="Times New Roman"/>
          <w:color w:val="auto"/>
          <w:sz w:val="32"/>
          <w:szCs w:val="32"/>
          <w:u w:val="single"/>
          <w:lang w:val="en-US" w:eastAsia="zh-CN"/>
        </w:rPr>
        <w:t>202</w:t>
      </w:r>
      <w:r>
        <w:rPr>
          <w:rFonts w:hint="eastAsia" w:ascii="Times New Roman" w:hAnsi="Times New Roman" w:eastAsia="仿宋_GB2312" w:cs="Times New Roman"/>
          <w:color w:val="auto"/>
          <w:sz w:val="32"/>
          <w:szCs w:val="32"/>
          <w:u w:val="single"/>
          <w:lang w:val="en-US" w:eastAsia="zh-CN"/>
        </w:rPr>
        <w:t>5</w:t>
      </w:r>
      <w:r>
        <w:rPr>
          <w:rFonts w:hint="default" w:ascii="Times New Roman" w:hAnsi="Times New Roman" w:eastAsia="仿宋_GB2312" w:cs="Times New Roman"/>
          <w:color w:val="auto"/>
          <w:sz w:val="32"/>
          <w:szCs w:val="32"/>
          <w:u w:val="single"/>
          <w:lang w:val="en-US" w:eastAsia="zh-CN"/>
        </w:rPr>
        <w:t>年</w:t>
      </w:r>
      <w:r>
        <w:rPr>
          <w:rFonts w:hint="eastAsia" w:ascii="Times New Roman" w:hAnsi="Times New Roman" w:eastAsia="仿宋_GB2312" w:cs="Times New Roman"/>
          <w:color w:val="auto"/>
          <w:sz w:val="32"/>
          <w:szCs w:val="32"/>
          <w:u w:val="single"/>
          <w:lang w:val="en-US" w:eastAsia="zh-CN"/>
        </w:rPr>
        <w:t>0</w:t>
      </w:r>
      <w:r>
        <w:rPr>
          <w:rFonts w:hint="eastAsia" w:eastAsia="仿宋_GB2312" w:cs="Times New Roman"/>
          <w:color w:val="auto"/>
          <w:sz w:val="32"/>
          <w:szCs w:val="32"/>
          <w:u w:val="single"/>
          <w:lang w:val="en-US" w:eastAsia="zh-CN"/>
        </w:rPr>
        <w:t>6</w:t>
      </w:r>
      <w:r>
        <w:rPr>
          <w:rFonts w:hint="default" w:ascii="Times New Roman" w:hAnsi="Times New Roman" w:eastAsia="仿宋_GB2312" w:cs="Times New Roman"/>
          <w:color w:val="auto"/>
          <w:sz w:val="32"/>
          <w:szCs w:val="32"/>
          <w:u w:val="single"/>
          <w:lang w:val="en-US" w:eastAsia="zh-CN"/>
        </w:rPr>
        <w:t>月</w:t>
      </w:r>
      <w:r>
        <w:rPr>
          <w:rFonts w:hint="default" w:ascii="Times New Roman" w:hAnsi="Times New Roman" w:eastAsia="仿宋_GB2312" w:cs="Times New Roman"/>
          <w:color w:val="auto"/>
          <w:sz w:val="32"/>
          <w:szCs w:val="32"/>
          <w:u w:val="single"/>
        </w:rPr>
        <w:t xml:space="preserve">       </w:t>
      </w:r>
      <w:r>
        <w:rPr>
          <w:rFonts w:hint="default" w:ascii="Times New Roman" w:hAnsi="Times New Roman" w:eastAsia="仿宋_GB2312" w:cs="Times New Roman"/>
          <w:color w:val="auto"/>
          <w:sz w:val="32"/>
          <w:szCs w:val="32"/>
          <w:u w:val="single"/>
          <w:lang w:val="en-US" w:eastAsia="zh-CN"/>
        </w:rPr>
        <w:t xml:space="preserve"> </w:t>
      </w:r>
      <w:r>
        <w:rPr>
          <w:rFonts w:hint="eastAsia" w:ascii="Times New Roman" w:hAnsi="Times New Roman" w:eastAsia="仿宋_GB2312" w:cs="Times New Roman"/>
          <w:color w:val="auto"/>
          <w:sz w:val="32"/>
          <w:szCs w:val="32"/>
          <w:u w:val="single"/>
          <w:lang w:val="en-US" w:eastAsia="zh-CN"/>
        </w:rPr>
        <w:t xml:space="preserve"> </w:t>
      </w:r>
      <w:r>
        <w:rPr>
          <w:rFonts w:hint="eastAsia" w:eastAsia="仿宋_GB2312" w:cs="Times New Roman"/>
          <w:color w:val="auto"/>
          <w:sz w:val="32"/>
          <w:szCs w:val="32"/>
          <w:u w:val="single"/>
          <w:lang w:val="en-US" w:eastAsia="zh-CN"/>
        </w:rPr>
        <w:t xml:space="preserve"> </w:t>
      </w:r>
    </w:p>
    <w:p w14:paraId="1300E383">
      <w:pPr>
        <w:adjustRightInd w:val="0"/>
        <w:snapToGrid w:val="0"/>
        <w:spacing w:line="288" w:lineRule="auto"/>
        <w:ind w:firstLine="1040"/>
        <w:rPr>
          <w:rFonts w:hint="default" w:ascii="Times New Roman" w:hAnsi="Times New Roman" w:eastAsia="仿宋_GB2312" w:cs="Times New Roman"/>
          <w:color w:val="auto"/>
          <w:sz w:val="36"/>
          <w:szCs w:val="36"/>
          <w:u w:val="single"/>
        </w:rPr>
      </w:pPr>
      <w:bookmarkStart w:id="0" w:name="_Hlk57884087"/>
    </w:p>
    <w:p w14:paraId="2931BCF3">
      <w:pPr>
        <w:adjustRightInd w:val="0"/>
        <w:snapToGrid w:val="0"/>
        <w:spacing w:line="288" w:lineRule="auto"/>
        <w:ind w:firstLine="1040"/>
        <w:rPr>
          <w:rFonts w:hint="default" w:ascii="Times New Roman" w:hAnsi="Times New Roman" w:eastAsia="仿宋_GB2312" w:cs="Times New Roman"/>
          <w:color w:val="auto"/>
          <w:sz w:val="36"/>
          <w:szCs w:val="36"/>
        </w:rPr>
      </w:pPr>
    </w:p>
    <w:p w14:paraId="505B3DC5">
      <w:pPr>
        <w:pStyle w:val="42"/>
        <w:rPr>
          <w:rFonts w:hint="default" w:ascii="Times New Roman" w:hAnsi="Times New Roman" w:cs="Times New Roman"/>
          <w:color w:val="auto"/>
        </w:rPr>
      </w:pPr>
    </w:p>
    <w:p w14:paraId="62C83DCF">
      <w:pPr>
        <w:pStyle w:val="42"/>
        <w:rPr>
          <w:rFonts w:hint="default" w:ascii="Times New Roman" w:hAnsi="Times New Roman" w:cs="Times New Roman"/>
          <w:color w:val="auto"/>
        </w:rPr>
      </w:pPr>
    </w:p>
    <w:p w14:paraId="6142BEC9">
      <w:pPr>
        <w:pStyle w:val="42"/>
        <w:rPr>
          <w:rFonts w:hint="default" w:ascii="Times New Roman" w:hAnsi="Times New Roman" w:cs="Times New Roman"/>
          <w:color w:val="auto"/>
        </w:rPr>
      </w:pPr>
    </w:p>
    <w:p w14:paraId="4D86B487">
      <w:pPr>
        <w:pStyle w:val="42"/>
        <w:rPr>
          <w:rFonts w:hint="default" w:ascii="Times New Roman" w:hAnsi="Times New Roman" w:cs="Times New Roman"/>
          <w:color w:val="auto"/>
        </w:rPr>
      </w:pPr>
    </w:p>
    <w:p w14:paraId="754F59C1">
      <w:pPr>
        <w:pStyle w:val="57"/>
        <w:rPr>
          <w:rFonts w:hint="default" w:ascii="Times New Roman" w:hAnsi="Times New Roman" w:eastAsia="仿宋_GB2312" w:cs="Times New Roman"/>
          <w:color w:val="auto"/>
          <w:sz w:val="36"/>
          <w:szCs w:val="36"/>
        </w:rPr>
      </w:pPr>
    </w:p>
    <w:p w14:paraId="4ADFC888">
      <w:pPr>
        <w:rPr>
          <w:rFonts w:hint="default"/>
          <w:color w:val="auto"/>
        </w:rPr>
      </w:pPr>
    </w:p>
    <w:bookmarkEnd w:id="0"/>
    <w:p w14:paraId="1A6F80DD">
      <w:pPr>
        <w:adjustRightInd w:val="0"/>
        <w:snapToGrid w:val="0"/>
        <w:spacing w:line="288" w:lineRule="auto"/>
        <w:jc w:val="center"/>
        <w:rPr>
          <w:color w:val="auto"/>
        </w:rPr>
      </w:pPr>
      <w:r>
        <w:rPr>
          <w:rFonts w:hint="default" w:ascii="Times New Roman" w:hAnsi="Times New Roman" w:eastAsia="楷体_GB2312" w:cs="Times New Roman"/>
          <w:color w:val="auto"/>
          <w:sz w:val="36"/>
          <w:szCs w:val="36"/>
        </w:rPr>
        <w:t>中华人民共和国生态环境部制</w:t>
      </w:r>
    </w:p>
    <w:p w14:paraId="56377843">
      <w:pPr>
        <w:pStyle w:val="59"/>
        <w:spacing w:before="0" w:beforeAutospacing="0" w:after="0" w:afterAutospacing="0"/>
        <w:jc w:val="center"/>
        <w:outlineLvl w:val="0"/>
        <w:rPr>
          <w:rFonts w:hint="default" w:ascii="Times New Roman" w:hAnsi="Times New Roman" w:cs="Times New Roman"/>
          <w:b/>
          <w:snapToGrid w:val="0"/>
          <w:color w:val="auto"/>
          <w:sz w:val="30"/>
          <w:szCs w:val="30"/>
        </w:rPr>
      </w:pPr>
    </w:p>
    <w:p w14:paraId="76FE36DB">
      <w:pPr>
        <w:pStyle w:val="59"/>
        <w:spacing w:before="0" w:beforeAutospacing="0" w:after="0" w:afterAutospacing="0"/>
        <w:jc w:val="center"/>
        <w:outlineLvl w:val="0"/>
        <w:rPr>
          <w:rFonts w:hint="default" w:ascii="Times New Roman" w:hAnsi="Times New Roman" w:cs="Times New Roman"/>
          <w:b/>
          <w:snapToGrid w:val="0"/>
          <w:color w:val="auto"/>
          <w:sz w:val="30"/>
          <w:szCs w:val="30"/>
        </w:rPr>
      </w:pPr>
    </w:p>
    <w:p w14:paraId="315C64BE">
      <w:pPr>
        <w:pStyle w:val="59"/>
        <w:spacing w:before="0" w:beforeAutospacing="0" w:after="0" w:afterAutospacing="0"/>
        <w:jc w:val="center"/>
        <w:outlineLvl w:val="0"/>
        <w:rPr>
          <w:rFonts w:hint="default" w:ascii="Times New Roman" w:hAnsi="Times New Roman" w:cs="Times New Roman"/>
          <w:b/>
          <w:snapToGrid w:val="0"/>
          <w:color w:val="auto"/>
          <w:sz w:val="30"/>
          <w:szCs w:val="30"/>
        </w:rPr>
        <w:sectPr>
          <w:footerReference r:id="rId3" w:type="default"/>
          <w:pgSz w:w="11906" w:h="16838"/>
          <w:pgMar w:top="1701" w:right="1531" w:bottom="1124" w:left="1531" w:header="851" w:footer="1077" w:gutter="0"/>
          <w:pgNumType w:start="1"/>
          <w:cols w:space="720" w:num="1"/>
          <w:docGrid w:linePitch="312" w:charSpace="0"/>
        </w:sectPr>
      </w:pPr>
    </w:p>
    <w:p w14:paraId="70D70E81">
      <w:pPr>
        <w:pStyle w:val="59"/>
        <w:spacing w:before="0" w:beforeAutospacing="0" w:after="0" w:afterAutospacing="0"/>
        <w:jc w:val="center"/>
        <w:outlineLvl w:val="0"/>
        <w:rPr>
          <w:rFonts w:hint="default" w:ascii="Times New Roman" w:hAnsi="Times New Roman" w:cs="Times New Roman"/>
          <w:b/>
          <w:snapToGrid w:val="0"/>
          <w:color w:val="auto"/>
          <w:sz w:val="30"/>
          <w:szCs w:val="30"/>
        </w:rPr>
      </w:pPr>
      <w:r>
        <w:rPr>
          <w:rFonts w:hint="default" w:ascii="Times New Roman" w:hAnsi="Times New Roman" w:cs="Times New Roman"/>
          <w:b/>
          <w:snapToGrid w:val="0"/>
          <w:color w:val="auto"/>
          <w:sz w:val="30"/>
          <w:szCs w:val="30"/>
        </w:rPr>
        <w:t>一、建设项目基本情况</w:t>
      </w:r>
    </w:p>
    <w:tbl>
      <w:tblPr>
        <w:tblStyle w:val="63"/>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656"/>
        <w:gridCol w:w="2430"/>
        <w:gridCol w:w="1455"/>
        <w:gridCol w:w="3334"/>
      </w:tblGrid>
      <w:tr w14:paraId="4D8672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656" w:type="dxa"/>
            <w:tcMar>
              <w:top w:w="16" w:type="dxa"/>
              <w:left w:w="16" w:type="dxa"/>
              <w:right w:w="16" w:type="dxa"/>
            </w:tcMar>
            <w:vAlign w:val="center"/>
          </w:tcPr>
          <w:p w14:paraId="0EBB5C1B">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建设项目名称</w:t>
            </w:r>
          </w:p>
        </w:tc>
        <w:tc>
          <w:tcPr>
            <w:tcW w:w="7219" w:type="dxa"/>
            <w:gridSpan w:val="3"/>
            <w:vAlign w:val="center"/>
          </w:tcPr>
          <w:p w14:paraId="1BE7774F">
            <w:pPr>
              <w:adjustRightInd w:val="0"/>
              <w:snapToGrid w:val="0"/>
              <w:jc w:val="center"/>
              <w:rPr>
                <w:rFonts w:hint="default" w:ascii="Times New Roman" w:hAnsi="Times New Roman" w:eastAsia="宋体" w:cs="Times New Roman"/>
                <w:color w:val="auto"/>
                <w:sz w:val="24"/>
                <w:lang w:eastAsia="zh-CN"/>
              </w:rPr>
            </w:pPr>
            <w:r>
              <w:rPr>
                <w:rFonts w:hint="default" w:ascii="Times New Roman" w:hAnsi="Times New Roman" w:cs="Times New Roman"/>
                <w:color w:val="auto"/>
                <w:sz w:val="24"/>
                <w:lang w:eastAsia="zh-CN"/>
              </w:rPr>
              <w:t>汽车轮毂单元生产项目</w:t>
            </w:r>
          </w:p>
        </w:tc>
      </w:tr>
      <w:tr w14:paraId="63815B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656" w:type="dxa"/>
            <w:tcMar>
              <w:top w:w="16" w:type="dxa"/>
              <w:left w:w="16" w:type="dxa"/>
              <w:right w:w="16" w:type="dxa"/>
            </w:tcMar>
            <w:vAlign w:val="center"/>
          </w:tcPr>
          <w:p w14:paraId="38DD551D">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项目代码</w:t>
            </w:r>
          </w:p>
        </w:tc>
        <w:tc>
          <w:tcPr>
            <w:tcW w:w="7219" w:type="dxa"/>
            <w:gridSpan w:val="3"/>
            <w:vAlign w:val="center"/>
          </w:tcPr>
          <w:p w14:paraId="7FE719B7">
            <w:pPr>
              <w:adjustRightInd w:val="0"/>
              <w:snapToGrid w:val="0"/>
              <w:jc w:val="center"/>
              <w:rPr>
                <w:rFonts w:hint="default" w:ascii="Times New Roman" w:hAnsi="Times New Roman" w:eastAsia="宋体" w:cs="Times New Roman"/>
                <w:color w:val="auto"/>
                <w:sz w:val="24"/>
                <w:lang w:eastAsia="zh-CN"/>
              </w:rPr>
            </w:pPr>
            <w:r>
              <w:rPr>
                <w:rFonts w:hint="default" w:ascii="Times New Roman" w:hAnsi="Times New Roman" w:cs="Times New Roman"/>
                <w:color w:val="auto"/>
                <w:kern w:val="0"/>
                <w:sz w:val="24"/>
                <w:lang w:eastAsia="zh-CN"/>
              </w:rPr>
              <w:t>2505-340221-04-01-619703</w:t>
            </w:r>
          </w:p>
        </w:tc>
      </w:tr>
      <w:tr w14:paraId="030C21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656" w:type="dxa"/>
            <w:tcMar>
              <w:top w:w="16" w:type="dxa"/>
              <w:left w:w="16" w:type="dxa"/>
              <w:right w:w="16" w:type="dxa"/>
            </w:tcMar>
            <w:vAlign w:val="center"/>
          </w:tcPr>
          <w:p w14:paraId="6ABA3F77">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建设单位</w:t>
            </w:r>
          </w:p>
          <w:p w14:paraId="741D9D20">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联系人</w:t>
            </w:r>
          </w:p>
        </w:tc>
        <w:tc>
          <w:tcPr>
            <w:tcW w:w="2430" w:type="dxa"/>
            <w:vAlign w:val="center"/>
          </w:tcPr>
          <w:p w14:paraId="5967470F">
            <w:pPr>
              <w:adjustRightInd w:val="0"/>
              <w:snapToGrid w:val="0"/>
              <w:jc w:val="center"/>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kern w:val="0"/>
                <w:sz w:val="24"/>
                <w:lang w:val="en-US" w:eastAsia="zh-CN"/>
              </w:rPr>
              <w:t>高升</w:t>
            </w:r>
          </w:p>
        </w:tc>
        <w:tc>
          <w:tcPr>
            <w:tcW w:w="1455" w:type="dxa"/>
            <w:vAlign w:val="center"/>
          </w:tcPr>
          <w:p w14:paraId="44C12020">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联系方式</w:t>
            </w:r>
          </w:p>
        </w:tc>
        <w:tc>
          <w:tcPr>
            <w:tcW w:w="3334" w:type="dxa"/>
            <w:vAlign w:val="center"/>
          </w:tcPr>
          <w:p w14:paraId="75469838">
            <w:pPr>
              <w:adjustRightInd w:val="0"/>
              <w:snapToGrid w:val="0"/>
              <w:jc w:val="center"/>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kern w:val="0"/>
                <w:sz w:val="24"/>
                <w:lang w:val="en-US" w:eastAsia="zh-CN"/>
              </w:rPr>
              <w:t>188</w:t>
            </w:r>
            <w:r>
              <w:rPr>
                <w:rFonts w:hint="eastAsia" w:cs="Times New Roman"/>
                <w:color w:val="auto"/>
                <w:kern w:val="0"/>
                <w:sz w:val="24"/>
                <w:lang w:val="en-US" w:eastAsia="zh-CN"/>
              </w:rPr>
              <w:t>****</w:t>
            </w:r>
            <w:r>
              <w:rPr>
                <w:rFonts w:hint="default" w:ascii="Times New Roman" w:hAnsi="Times New Roman" w:cs="Times New Roman"/>
                <w:color w:val="auto"/>
                <w:kern w:val="0"/>
                <w:sz w:val="24"/>
                <w:lang w:val="en-US" w:eastAsia="zh-CN"/>
              </w:rPr>
              <w:t>6432</w:t>
            </w:r>
          </w:p>
        </w:tc>
      </w:tr>
      <w:tr w14:paraId="488987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656" w:type="dxa"/>
            <w:tcMar>
              <w:top w:w="16" w:type="dxa"/>
              <w:left w:w="16" w:type="dxa"/>
              <w:right w:w="16" w:type="dxa"/>
            </w:tcMar>
            <w:vAlign w:val="center"/>
          </w:tcPr>
          <w:p w14:paraId="2A112ACC">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建设地点</w:t>
            </w:r>
          </w:p>
        </w:tc>
        <w:tc>
          <w:tcPr>
            <w:tcW w:w="7219" w:type="dxa"/>
            <w:gridSpan w:val="3"/>
            <w:vAlign w:val="center"/>
          </w:tcPr>
          <w:p w14:paraId="382B72EA">
            <w:pPr>
              <w:adjustRightInd w:val="0"/>
              <w:snapToGrid w:val="0"/>
              <w:jc w:val="center"/>
              <w:rPr>
                <w:rFonts w:hint="default" w:ascii="Times New Roman" w:hAnsi="Times New Roman" w:eastAsia="宋体" w:cs="Times New Roman"/>
                <w:color w:val="auto"/>
                <w:sz w:val="24"/>
                <w:lang w:eastAsia="zh-CN"/>
              </w:rPr>
            </w:pPr>
            <w:r>
              <w:rPr>
                <w:rFonts w:hint="default" w:ascii="Times New Roman" w:hAnsi="Times New Roman" w:cs="Times New Roman"/>
                <w:color w:val="auto"/>
                <w:sz w:val="24"/>
                <w:lang w:eastAsia="zh-CN"/>
              </w:rPr>
              <w:t>芜湖市湾沚区安徽新芜经济开发区西支六路222号</w:t>
            </w:r>
          </w:p>
        </w:tc>
      </w:tr>
      <w:tr w14:paraId="4E0E23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656" w:type="dxa"/>
            <w:tcMar>
              <w:top w:w="16" w:type="dxa"/>
              <w:left w:w="16" w:type="dxa"/>
              <w:right w:w="16" w:type="dxa"/>
            </w:tcMar>
            <w:vAlign w:val="center"/>
          </w:tcPr>
          <w:p w14:paraId="700B1F6D">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地理坐标</w:t>
            </w:r>
          </w:p>
        </w:tc>
        <w:tc>
          <w:tcPr>
            <w:tcW w:w="7219" w:type="dxa"/>
            <w:gridSpan w:val="3"/>
            <w:vAlign w:val="center"/>
          </w:tcPr>
          <w:p w14:paraId="6AB58D17">
            <w:pPr>
              <w:jc w:val="center"/>
              <w:rPr>
                <w:rFonts w:hint="default" w:ascii="Times New Roman" w:hAnsi="Times New Roman" w:cs="Times New Roman"/>
                <w:color w:val="auto"/>
                <w:sz w:val="24"/>
              </w:rPr>
            </w:pPr>
            <w:r>
              <w:rPr>
                <w:rFonts w:hint="default" w:ascii="Times New Roman" w:hAnsi="Times New Roman" w:cs="Times New Roman"/>
                <w:color w:val="auto"/>
                <w:sz w:val="24"/>
                <w:lang w:eastAsia="zh-CN"/>
              </w:rPr>
              <w:t>（经度</w:t>
            </w:r>
            <w:r>
              <w:rPr>
                <w:rFonts w:hint="default" w:ascii="Times New Roman" w:hAnsi="Times New Roman" w:cs="Times New Roman"/>
                <w:color w:val="auto"/>
                <w:sz w:val="24"/>
                <w:u w:val="single"/>
                <w:lang w:eastAsia="zh-CN"/>
              </w:rPr>
              <w:t>11</w:t>
            </w:r>
            <w:r>
              <w:rPr>
                <w:rFonts w:hint="default" w:ascii="Times New Roman" w:hAnsi="Times New Roman" w:cs="Times New Roman"/>
                <w:color w:val="auto"/>
                <w:sz w:val="24"/>
                <w:u w:val="single"/>
                <w:lang w:val="en-US" w:eastAsia="zh-CN"/>
              </w:rPr>
              <w:t>8</w:t>
            </w:r>
            <w:r>
              <w:rPr>
                <w:rFonts w:hint="default" w:ascii="Times New Roman" w:hAnsi="Times New Roman" w:cs="Times New Roman"/>
                <w:color w:val="auto"/>
                <w:sz w:val="24"/>
                <w:lang w:eastAsia="zh-CN"/>
              </w:rPr>
              <w:t>度</w:t>
            </w:r>
            <w:r>
              <w:rPr>
                <w:rFonts w:hint="default" w:ascii="Times New Roman" w:hAnsi="Times New Roman" w:cs="Times New Roman"/>
                <w:color w:val="auto"/>
                <w:sz w:val="24"/>
                <w:u w:val="single"/>
                <w:lang w:val="en-US" w:eastAsia="zh-CN"/>
              </w:rPr>
              <w:t>36</w:t>
            </w:r>
            <w:r>
              <w:rPr>
                <w:rFonts w:hint="default" w:ascii="Times New Roman" w:hAnsi="Times New Roman" w:cs="Times New Roman"/>
                <w:color w:val="auto"/>
                <w:sz w:val="24"/>
                <w:lang w:eastAsia="zh-CN"/>
              </w:rPr>
              <w:t>分</w:t>
            </w:r>
            <w:r>
              <w:rPr>
                <w:rFonts w:hint="default" w:ascii="Times New Roman" w:hAnsi="Times New Roman" w:cs="Times New Roman"/>
                <w:color w:val="auto"/>
                <w:sz w:val="24"/>
                <w:u w:val="single"/>
                <w:lang w:val="en-US" w:eastAsia="zh-CN"/>
              </w:rPr>
              <w:t>36.203</w:t>
            </w:r>
            <w:r>
              <w:rPr>
                <w:rFonts w:hint="default" w:ascii="Times New Roman" w:hAnsi="Times New Roman" w:cs="Times New Roman"/>
                <w:color w:val="auto"/>
                <w:sz w:val="24"/>
                <w:lang w:eastAsia="zh-CN"/>
              </w:rPr>
              <w:t>秒，纬度</w:t>
            </w:r>
            <w:r>
              <w:rPr>
                <w:rFonts w:hint="default" w:ascii="Times New Roman" w:hAnsi="Times New Roman" w:cs="Times New Roman"/>
                <w:color w:val="auto"/>
                <w:sz w:val="24"/>
                <w:u w:val="single"/>
                <w:lang w:eastAsia="zh-CN"/>
              </w:rPr>
              <w:t>31</w:t>
            </w:r>
            <w:r>
              <w:rPr>
                <w:rFonts w:hint="default" w:ascii="Times New Roman" w:hAnsi="Times New Roman" w:cs="Times New Roman"/>
                <w:color w:val="auto"/>
                <w:sz w:val="24"/>
                <w:lang w:eastAsia="zh-CN"/>
              </w:rPr>
              <w:t>度</w:t>
            </w:r>
            <w:r>
              <w:rPr>
                <w:rFonts w:hint="default" w:ascii="Times New Roman" w:hAnsi="Times New Roman" w:cs="Times New Roman"/>
                <w:color w:val="auto"/>
                <w:sz w:val="24"/>
                <w:u w:val="single"/>
                <w:lang w:val="en-US" w:eastAsia="zh-CN"/>
              </w:rPr>
              <w:t>08</w:t>
            </w:r>
            <w:r>
              <w:rPr>
                <w:rFonts w:hint="default" w:ascii="Times New Roman" w:hAnsi="Times New Roman" w:cs="Times New Roman"/>
                <w:color w:val="auto"/>
                <w:sz w:val="24"/>
                <w:lang w:eastAsia="zh-CN"/>
              </w:rPr>
              <w:t>分</w:t>
            </w:r>
            <w:r>
              <w:rPr>
                <w:rFonts w:hint="default" w:ascii="Times New Roman" w:hAnsi="Times New Roman" w:cs="Times New Roman"/>
                <w:color w:val="auto"/>
                <w:sz w:val="24"/>
                <w:u w:val="single"/>
                <w:lang w:val="en-US" w:eastAsia="zh-CN"/>
              </w:rPr>
              <w:t>10.174</w:t>
            </w:r>
            <w:r>
              <w:rPr>
                <w:rFonts w:hint="default" w:ascii="Times New Roman" w:hAnsi="Times New Roman" w:cs="Times New Roman"/>
                <w:color w:val="auto"/>
                <w:sz w:val="24"/>
                <w:lang w:eastAsia="zh-CN"/>
              </w:rPr>
              <w:t>秒）</w:t>
            </w:r>
          </w:p>
        </w:tc>
      </w:tr>
      <w:tr w14:paraId="00F8A4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656" w:type="dxa"/>
            <w:tcMar>
              <w:top w:w="16" w:type="dxa"/>
              <w:left w:w="16" w:type="dxa"/>
              <w:right w:w="16" w:type="dxa"/>
            </w:tcMar>
            <w:vAlign w:val="center"/>
          </w:tcPr>
          <w:p w14:paraId="06D935D8">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国民经济</w:t>
            </w:r>
          </w:p>
          <w:p w14:paraId="4E6CAEC9">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行业类别</w:t>
            </w:r>
          </w:p>
        </w:tc>
        <w:tc>
          <w:tcPr>
            <w:tcW w:w="2430" w:type="dxa"/>
            <w:vAlign w:val="center"/>
          </w:tcPr>
          <w:p w14:paraId="545E8E24">
            <w:pPr>
              <w:adjustRightInd w:val="0"/>
              <w:snapToGrid w:val="0"/>
              <w:jc w:val="both"/>
              <w:rPr>
                <w:rFonts w:hint="default" w:ascii="Times New Roman" w:hAnsi="Times New Roman" w:eastAsia="宋体" w:cs="Times New Roman"/>
                <w:color w:val="auto"/>
                <w:lang w:val="en-US" w:eastAsia="zh-CN"/>
              </w:rPr>
            </w:pPr>
            <w:r>
              <w:rPr>
                <w:rFonts w:hint="default" w:ascii="Times New Roman" w:hAnsi="Times New Roman" w:cs="Times New Roman"/>
                <w:color w:val="auto"/>
                <w:sz w:val="24"/>
              </w:rPr>
              <w:t>C3670汽车零部件及配件制造</w:t>
            </w:r>
          </w:p>
        </w:tc>
        <w:tc>
          <w:tcPr>
            <w:tcW w:w="1455" w:type="dxa"/>
            <w:vAlign w:val="center"/>
          </w:tcPr>
          <w:p w14:paraId="30D696AF">
            <w:pPr>
              <w:adjustRightInd w:val="0"/>
              <w:snapToGrid w:val="0"/>
              <w:jc w:val="center"/>
              <w:rPr>
                <w:rFonts w:hint="default" w:ascii="Times New Roman" w:hAnsi="Times New Roman" w:cs="Times New Roman"/>
                <w:color w:val="auto"/>
                <w:sz w:val="24"/>
              </w:rPr>
            </w:pPr>
            <w:bookmarkStart w:id="1" w:name="_Hlk49843745"/>
            <w:r>
              <w:rPr>
                <w:rFonts w:hint="default" w:ascii="Times New Roman" w:hAnsi="Times New Roman" w:cs="Times New Roman"/>
                <w:color w:val="auto"/>
                <w:sz w:val="24"/>
              </w:rPr>
              <w:t>建设项目</w:t>
            </w:r>
          </w:p>
          <w:p w14:paraId="111BA517">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行业类别</w:t>
            </w:r>
            <w:bookmarkEnd w:id="1"/>
          </w:p>
        </w:tc>
        <w:tc>
          <w:tcPr>
            <w:tcW w:w="3334" w:type="dxa"/>
            <w:vAlign w:val="center"/>
          </w:tcPr>
          <w:p w14:paraId="5FFF4622">
            <w:pPr>
              <w:adjustRightInd w:val="0"/>
              <w:snapToGrid w:val="0"/>
              <w:jc w:val="center"/>
              <w:rPr>
                <w:rFonts w:hint="default" w:ascii="Times New Roman" w:hAnsi="Times New Roman" w:cs="Times New Roman"/>
                <w:color w:val="auto"/>
                <w:lang w:val="en-US" w:eastAsia="zh-CN"/>
              </w:rPr>
            </w:pPr>
            <w:r>
              <w:rPr>
                <w:rFonts w:hint="default" w:ascii="Times New Roman" w:hAnsi="Times New Roman" w:cs="Times New Roman"/>
                <w:color w:val="auto"/>
                <w:sz w:val="24"/>
              </w:rPr>
              <w:t>三十三、汽车制造业36——71、汽车零部件及配件制造367类中的其他（年用非溶剂型低VOCs含量涂料10吨以下的除外）</w:t>
            </w:r>
          </w:p>
        </w:tc>
      </w:tr>
      <w:tr w14:paraId="44697A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656" w:type="dxa"/>
            <w:tcMar>
              <w:top w:w="16" w:type="dxa"/>
              <w:left w:w="16" w:type="dxa"/>
              <w:right w:w="16" w:type="dxa"/>
            </w:tcMar>
            <w:vAlign w:val="center"/>
          </w:tcPr>
          <w:p w14:paraId="411C194D">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建设性质</w:t>
            </w:r>
          </w:p>
        </w:tc>
        <w:tc>
          <w:tcPr>
            <w:tcW w:w="2430" w:type="dxa"/>
            <w:vAlign w:val="center"/>
          </w:tcPr>
          <w:p w14:paraId="648DBEA3">
            <w:pPr>
              <w:jc w:val="left"/>
              <w:rPr>
                <w:rFonts w:hint="default" w:ascii="Times New Roman" w:hAnsi="Times New Roman" w:cs="Times New Roman"/>
                <w:color w:val="auto"/>
                <w:sz w:val="24"/>
              </w:rPr>
            </w:pPr>
            <w:r>
              <w:rPr>
                <w:rFonts w:hint="default" w:ascii="Times New Roman" w:hAnsi="Times New Roman" w:cs="Times New Roman"/>
                <w:color w:val="auto"/>
                <w:sz w:val="24"/>
              </w:rPr>
              <w:t>☑新建（迁建）</w:t>
            </w:r>
          </w:p>
          <w:p w14:paraId="42420867">
            <w:pPr>
              <w:jc w:val="left"/>
              <w:rPr>
                <w:rFonts w:hint="default" w:ascii="Times New Roman" w:hAnsi="Times New Roman" w:cs="Times New Roman"/>
                <w:color w:val="auto"/>
                <w:sz w:val="24"/>
              </w:rPr>
            </w:pPr>
            <w:r>
              <w:rPr>
                <w:rFonts w:hint="default" w:ascii="Times New Roman" w:hAnsi="Times New Roman" w:cs="Times New Roman"/>
                <w:color w:val="auto"/>
                <w:sz w:val="24"/>
              </w:rPr>
              <w:t>□改建</w:t>
            </w:r>
          </w:p>
          <w:p w14:paraId="28A4CD9B">
            <w:pPr>
              <w:jc w:val="left"/>
              <w:rPr>
                <w:rFonts w:hint="default" w:ascii="Times New Roman" w:hAnsi="Times New Roman" w:cs="Times New Roman"/>
                <w:color w:val="auto"/>
                <w:sz w:val="24"/>
              </w:rPr>
            </w:pPr>
            <w:r>
              <w:rPr>
                <w:rFonts w:hint="default" w:ascii="Times New Roman" w:hAnsi="Times New Roman" w:cs="Times New Roman"/>
                <w:color w:val="auto"/>
                <w:sz w:val="24"/>
              </w:rPr>
              <w:t>□扩建</w:t>
            </w:r>
          </w:p>
          <w:p w14:paraId="33F9DD2D">
            <w:pPr>
              <w:jc w:val="left"/>
              <w:rPr>
                <w:rFonts w:hint="default" w:ascii="Times New Roman" w:hAnsi="Times New Roman" w:cs="Times New Roman"/>
                <w:color w:val="auto"/>
                <w:sz w:val="24"/>
              </w:rPr>
            </w:pPr>
            <w:r>
              <w:rPr>
                <w:rFonts w:hint="default" w:ascii="Times New Roman" w:hAnsi="Times New Roman" w:cs="Times New Roman"/>
                <w:color w:val="auto"/>
                <w:sz w:val="24"/>
              </w:rPr>
              <w:t>□技术改造</w:t>
            </w:r>
          </w:p>
        </w:tc>
        <w:tc>
          <w:tcPr>
            <w:tcW w:w="1455" w:type="dxa"/>
            <w:vAlign w:val="center"/>
          </w:tcPr>
          <w:p w14:paraId="6BF58A19">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建设项目</w:t>
            </w:r>
          </w:p>
          <w:p w14:paraId="3BEA8322">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申报情形</w:t>
            </w:r>
          </w:p>
        </w:tc>
        <w:tc>
          <w:tcPr>
            <w:tcW w:w="3334" w:type="dxa"/>
            <w:vAlign w:val="center"/>
          </w:tcPr>
          <w:p w14:paraId="32ABC72B">
            <w:pPr>
              <w:jc w:val="left"/>
              <w:rPr>
                <w:rFonts w:hint="default" w:ascii="Times New Roman" w:hAnsi="Times New Roman" w:cs="Times New Roman"/>
                <w:color w:val="auto"/>
                <w:sz w:val="24"/>
              </w:rPr>
            </w:pPr>
            <w:r>
              <w:rPr>
                <w:rFonts w:hint="default" w:ascii="Times New Roman" w:hAnsi="Times New Roman" w:cs="Times New Roman"/>
                <w:color w:val="auto"/>
                <w:sz w:val="24"/>
              </w:rPr>
              <w:t xml:space="preserve">☑首次申报项目             </w:t>
            </w:r>
          </w:p>
          <w:p w14:paraId="278AAF38">
            <w:pPr>
              <w:jc w:val="left"/>
              <w:rPr>
                <w:rFonts w:hint="default" w:ascii="Times New Roman" w:hAnsi="Times New Roman" w:cs="Times New Roman"/>
                <w:color w:val="auto"/>
                <w:sz w:val="24"/>
              </w:rPr>
            </w:pPr>
            <w:r>
              <w:rPr>
                <w:rFonts w:hint="default" w:ascii="Times New Roman" w:hAnsi="Times New Roman" w:cs="Times New Roman"/>
                <w:color w:val="auto"/>
                <w:sz w:val="24"/>
              </w:rPr>
              <w:t>□不予批准后再次申报项目</w:t>
            </w:r>
          </w:p>
          <w:p w14:paraId="4C7C9FD4">
            <w:pPr>
              <w:jc w:val="left"/>
              <w:rPr>
                <w:rFonts w:hint="default" w:ascii="Times New Roman" w:hAnsi="Times New Roman" w:cs="Times New Roman"/>
                <w:color w:val="auto"/>
                <w:sz w:val="24"/>
              </w:rPr>
            </w:pPr>
            <w:r>
              <w:rPr>
                <w:rFonts w:hint="default" w:ascii="Times New Roman" w:hAnsi="Times New Roman" w:cs="Times New Roman"/>
                <w:color w:val="auto"/>
                <w:sz w:val="24"/>
              </w:rPr>
              <w:t xml:space="preserve">□超五年重新审核项目     </w:t>
            </w:r>
          </w:p>
          <w:p w14:paraId="0FF425E3">
            <w:pPr>
              <w:jc w:val="left"/>
              <w:rPr>
                <w:rFonts w:hint="default" w:ascii="Times New Roman" w:hAnsi="Times New Roman" w:cs="Times New Roman"/>
                <w:color w:val="auto"/>
                <w:sz w:val="24"/>
              </w:rPr>
            </w:pPr>
            <w:r>
              <w:rPr>
                <w:rFonts w:hint="default" w:ascii="Times New Roman" w:hAnsi="Times New Roman" w:cs="Times New Roman"/>
                <w:color w:val="auto"/>
                <w:sz w:val="24"/>
              </w:rPr>
              <w:t>□重大变动重新报批项目</w:t>
            </w:r>
          </w:p>
        </w:tc>
      </w:tr>
      <w:tr w14:paraId="6EDD0C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656" w:type="dxa"/>
            <w:tcMar>
              <w:top w:w="16" w:type="dxa"/>
              <w:left w:w="16" w:type="dxa"/>
              <w:right w:w="16" w:type="dxa"/>
            </w:tcMar>
            <w:vAlign w:val="center"/>
          </w:tcPr>
          <w:p w14:paraId="3DA306BF">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项目审批（核准/备案）部门（选填）</w:t>
            </w:r>
          </w:p>
        </w:tc>
        <w:tc>
          <w:tcPr>
            <w:tcW w:w="2430" w:type="dxa"/>
            <w:vAlign w:val="center"/>
          </w:tcPr>
          <w:p w14:paraId="3CCFB99D">
            <w:pPr>
              <w:adjustRightInd w:val="0"/>
              <w:snapToGrid w:val="0"/>
              <w:jc w:val="center"/>
              <w:rPr>
                <w:rFonts w:hint="default" w:ascii="Times New Roman" w:hAnsi="Times New Roman" w:eastAsia="宋体" w:cs="Times New Roman"/>
                <w:color w:val="auto"/>
                <w:sz w:val="24"/>
                <w:lang w:eastAsia="zh-CN"/>
              </w:rPr>
            </w:pPr>
            <w:r>
              <w:rPr>
                <w:rFonts w:hint="default" w:ascii="Times New Roman" w:hAnsi="Times New Roman" w:cs="Times New Roman"/>
                <w:color w:val="auto"/>
                <w:sz w:val="24"/>
                <w:lang w:eastAsia="zh-CN"/>
              </w:rPr>
              <w:t>芜湖市湾沚区发展和改革委员会</w:t>
            </w:r>
          </w:p>
        </w:tc>
        <w:tc>
          <w:tcPr>
            <w:tcW w:w="1455" w:type="dxa"/>
            <w:vAlign w:val="center"/>
          </w:tcPr>
          <w:p w14:paraId="59BC0C5B">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项目审批（核准/备案）文号（选填）</w:t>
            </w:r>
          </w:p>
        </w:tc>
        <w:tc>
          <w:tcPr>
            <w:tcW w:w="3334" w:type="dxa"/>
            <w:vAlign w:val="center"/>
          </w:tcPr>
          <w:p w14:paraId="688F0269">
            <w:pPr>
              <w:adjustRightInd w:val="0"/>
              <w:snapToGrid w:val="0"/>
              <w:jc w:val="center"/>
              <w:rPr>
                <w:rFonts w:hint="default" w:ascii="Times New Roman" w:hAnsi="Times New Roman" w:eastAsia="宋体" w:cs="Times New Roman"/>
                <w:color w:val="auto"/>
                <w:sz w:val="24"/>
                <w:lang w:val="en-US" w:eastAsia="zh-CN"/>
              </w:rPr>
            </w:pPr>
            <w:r>
              <w:rPr>
                <w:rFonts w:hint="eastAsia"/>
                <w:color w:val="auto"/>
                <w:sz w:val="24"/>
                <w:szCs w:val="24"/>
                <w:lang w:val="en-US" w:eastAsia="zh-CN"/>
              </w:rPr>
              <w:t>湾</w:t>
            </w:r>
            <w:r>
              <w:rPr>
                <w:rFonts w:hint="eastAsia" w:ascii="Times New Roman" w:hAnsi="Times New Roman" w:eastAsia="宋体" w:cs="Times New Roman"/>
                <w:color w:val="auto"/>
                <w:sz w:val="24"/>
                <w:szCs w:val="24"/>
                <w:lang w:val="en-US" w:eastAsia="zh-CN"/>
              </w:rPr>
              <w:t>发改备【2025】</w:t>
            </w:r>
            <w:r>
              <w:rPr>
                <w:rFonts w:hint="eastAsia" w:cs="Times New Roman"/>
                <w:color w:val="auto"/>
                <w:sz w:val="24"/>
                <w:szCs w:val="24"/>
                <w:lang w:val="en-US" w:eastAsia="zh-CN"/>
              </w:rPr>
              <w:t>216号</w:t>
            </w:r>
          </w:p>
        </w:tc>
      </w:tr>
      <w:tr w14:paraId="6593FB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656" w:type="dxa"/>
            <w:tcMar>
              <w:top w:w="16" w:type="dxa"/>
              <w:left w:w="16" w:type="dxa"/>
              <w:right w:w="16" w:type="dxa"/>
            </w:tcMar>
            <w:vAlign w:val="center"/>
          </w:tcPr>
          <w:p w14:paraId="3D2E9C0B">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总投资</w:t>
            </w:r>
          </w:p>
          <w:p w14:paraId="297F15EC">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（万元）</w:t>
            </w:r>
          </w:p>
        </w:tc>
        <w:tc>
          <w:tcPr>
            <w:tcW w:w="2430" w:type="dxa"/>
            <w:vAlign w:val="center"/>
          </w:tcPr>
          <w:p w14:paraId="6A7A0276">
            <w:pPr>
              <w:adjustRightInd w:val="0"/>
              <w:snapToGrid w:val="0"/>
              <w:jc w:val="center"/>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1</w:t>
            </w:r>
            <w:r>
              <w:rPr>
                <w:rFonts w:hint="default" w:ascii="Times New Roman" w:hAnsi="Times New Roman" w:cs="Times New Roman"/>
                <w:color w:val="auto"/>
                <w:sz w:val="24"/>
                <w:lang w:val="en-US" w:eastAsia="zh-CN"/>
              </w:rPr>
              <w:t>10</w:t>
            </w:r>
            <w:r>
              <w:rPr>
                <w:rFonts w:hint="default" w:ascii="Times New Roman" w:hAnsi="Times New Roman" w:eastAsia="宋体" w:cs="Times New Roman"/>
                <w:color w:val="auto"/>
                <w:sz w:val="24"/>
                <w:lang w:val="en-US" w:eastAsia="zh-CN"/>
              </w:rPr>
              <w:t>00</w:t>
            </w:r>
          </w:p>
        </w:tc>
        <w:tc>
          <w:tcPr>
            <w:tcW w:w="1455" w:type="dxa"/>
            <w:tcMar>
              <w:top w:w="16" w:type="dxa"/>
              <w:left w:w="16" w:type="dxa"/>
              <w:right w:w="16" w:type="dxa"/>
            </w:tcMar>
            <w:vAlign w:val="center"/>
          </w:tcPr>
          <w:p w14:paraId="4F21C048">
            <w:pPr>
              <w:adjustRightInd w:val="0"/>
              <w:snapToGrid w:val="0"/>
              <w:jc w:val="center"/>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环保投资</w:t>
            </w:r>
          </w:p>
          <w:p w14:paraId="2532BF3A">
            <w:pPr>
              <w:adjustRightInd w:val="0"/>
              <w:snapToGrid w:val="0"/>
              <w:jc w:val="center"/>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（万元）</w:t>
            </w:r>
          </w:p>
        </w:tc>
        <w:tc>
          <w:tcPr>
            <w:tcW w:w="3334" w:type="dxa"/>
            <w:vAlign w:val="center"/>
          </w:tcPr>
          <w:p w14:paraId="14B35000">
            <w:pPr>
              <w:adjustRightInd w:val="0"/>
              <w:snapToGrid w:val="0"/>
              <w:jc w:val="center"/>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79</w:t>
            </w:r>
          </w:p>
        </w:tc>
      </w:tr>
      <w:tr w14:paraId="7B9D8D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656" w:type="dxa"/>
            <w:tcMar>
              <w:top w:w="16" w:type="dxa"/>
              <w:left w:w="16" w:type="dxa"/>
              <w:right w:w="16" w:type="dxa"/>
            </w:tcMar>
            <w:vAlign w:val="center"/>
          </w:tcPr>
          <w:p w14:paraId="0AC95E6E">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环保投资占比（%）</w:t>
            </w:r>
          </w:p>
        </w:tc>
        <w:tc>
          <w:tcPr>
            <w:tcW w:w="2430" w:type="dxa"/>
            <w:vAlign w:val="center"/>
          </w:tcPr>
          <w:p w14:paraId="33FEE395">
            <w:pPr>
              <w:adjustRightInd w:val="0"/>
              <w:snapToGrid w:val="0"/>
              <w:jc w:val="center"/>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0.72</w:t>
            </w:r>
          </w:p>
        </w:tc>
        <w:tc>
          <w:tcPr>
            <w:tcW w:w="1455" w:type="dxa"/>
            <w:tcMar>
              <w:top w:w="16" w:type="dxa"/>
              <w:left w:w="16" w:type="dxa"/>
              <w:right w:w="16" w:type="dxa"/>
            </w:tcMar>
            <w:vAlign w:val="center"/>
          </w:tcPr>
          <w:p w14:paraId="2232FE38">
            <w:pPr>
              <w:adjustRightInd w:val="0"/>
              <w:snapToGrid w:val="0"/>
              <w:jc w:val="center"/>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施工工期</w:t>
            </w:r>
          </w:p>
        </w:tc>
        <w:tc>
          <w:tcPr>
            <w:tcW w:w="3334" w:type="dxa"/>
            <w:vAlign w:val="center"/>
          </w:tcPr>
          <w:p w14:paraId="78B394CA">
            <w:pPr>
              <w:adjustRightInd w:val="0"/>
              <w:snapToGrid w:val="0"/>
              <w:jc w:val="center"/>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3</w:t>
            </w:r>
            <w:r>
              <w:rPr>
                <w:rFonts w:hint="default" w:ascii="Times New Roman" w:hAnsi="Times New Roman" w:eastAsia="宋体" w:cs="Times New Roman"/>
                <w:color w:val="auto"/>
                <w:sz w:val="24"/>
                <w:lang w:val="en-US" w:eastAsia="zh-CN"/>
              </w:rPr>
              <w:t>个月</w:t>
            </w:r>
          </w:p>
        </w:tc>
      </w:tr>
      <w:tr w14:paraId="582594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656" w:type="dxa"/>
            <w:tcMar>
              <w:top w:w="16" w:type="dxa"/>
              <w:left w:w="16" w:type="dxa"/>
              <w:right w:w="16" w:type="dxa"/>
            </w:tcMar>
            <w:vAlign w:val="center"/>
          </w:tcPr>
          <w:p w14:paraId="58A02847">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是否开工建设</w:t>
            </w:r>
          </w:p>
        </w:tc>
        <w:tc>
          <w:tcPr>
            <w:tcW w:w="2430" w:type="dxa"/>
            <w:vAlign w:val="center"/>
          </w:tcPr>
          <w:p w14:paraId="0814AC34">
            <w:pPr>
              <w:adjustRightInd w:val="0"/>
              <w:snapToGrid w:val="0"/>
              <w:rPr>
                <w:rFonts w:hint="default" w:ascii="Times New Roman" w:hAnsi="Times New Roman" w:cs="Times New Roman"/>
                <w:color w:val="auto"/>
                <w:sz w:val="24"/>
              </w:rPr>
            </w:pPr>
            <w:r>
              <w:rPr>
                <w:rFonts w:hint="default" w:ascii="Times New Roman" w:hAnsi="Times New Roman" w:cs="Times New Roman"/>
                <w:color w:val="auto"/>
                <w:sz w:val="24"/>
              </w:rPr>
              <w:t>☑否</w:t>
            </w:r>
          </w:p>
          <w:p w14:paraId="3248FD13">
            <w:pPr>
              <w:adjustRightInd w:val="0"/>
              <w:snapToGrid w:val="0"/>
              <w:rPr>
                <w:rFonts w:hint="default" w:ascii="Times New Roman" w:hAnsi="Times New Roman" w:cs="Times New Roman"/>
                <w:color w:val="auto"/>
                <w:sz w:val="24"/>
              </w:rPr>
            </w:pPr>
            <w:r>
              <w:rPr>
                <w:rFonts w:hint="default" w:ascii="Times New Roman" w:hAnsi="Times New Roman" w:cs="Times New Roman"/>
                <w:color w:val="auto"/>
                <w:sz w:val="24"/>
              </w:rPr>
              <w:t>□是</w:t>
            </w:r>
          </w:p>
        </w:tc>
        <w:tc>
          <w:tcPr>
            <w:tcW w:w="1455" w:type="dxa"/>
            <w:tcMar>
              <w:top w:w="16" w:type="dxa"/>
              <w:left w:w="16" w:type="dxa"/>
              <w:right w:w="16" w:type="dxa"/>
            </w:tcMar>
            <w:vAlign w:val="center"/>
          </w:tcPr>
          <w:p w14:paraId="00683A1D">
            <w:pPr>
              <w:adjustRightInd w:val="0"/>
              <w:snapToGrid w:val="0"/>
              <w:jc w:val="center"/>
              <w:rPr>
                <w:rFonts w:hint="default" w:ascii="Times New Roman" w:hAnsi="Times New Roman" w:cs="Times New Roman"/>
                <w:color w:val="auto"/>
                <w:spacing w:val="-6"/>
                <w:sz w:val="24"/>
              </w:rPr>
            </w:pPr>
            <w:r>
              <w:rPr>
                <w:rFonts w:hint="default" w:ascii="Times New Roman" w:hAnsi="Times New Roman" w:cs="Times New Roman"/>
                <w:color w:val="auto"/>
                <w:spacing w:val="-6"/>
                <w:sz w:val="24"/>
              </w:rPr>
              <w:t>用地（用海）</w:t>
            </w:r>
          </w:p>
          <w:p w14:paraId="1B3469F7">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pacing w:val="-6"/>
                <w:sz w:val="24"/>
              </w:rPr>
              <w:t>面积（m</w:t>
            </w:r>
            <w:r>
              <w:rPr>
                <w:rFonts w:hint="default" w:ascii="Times New Roman" w:hAnsi="Times New Roman" w:cs="Times New Roman"/>
                <w:color w:val="auto"/>
                <w:spacing w:val="-6"/>
                <w:sz w:val="24"/>
                <w:vertAlign w:val="superscript"/>
              </w:rPr>
              <w:t>2</w:t>
            </w:r>
            <w:r>
              <w:rPr>
                <w:rFonts w:hint="default" w:ascii="Times New Roman" w:hAnsi="Times New Roman" w:cs="Times New Roman"/>
                <w:color w:val="auto"/>
                <w:spacing w:val="-6"/>
                <w:sz w:val="24"/>
              </w:rPr>
              <w:t>）</w:t>
            </w:r>
          </w:p>
        </w:tc>
        <w:tc>
          <w:tcPr>
            <w:tcW w:w="3334" w:type="dxa"/>
            <w:vAlign w:val="center"/>
          </w:tcPr>
          <w:p w14:paraId="6B9EA326">
            <w:pPr>
              <w:adjustRightInd w:val="0"/>
              <w:snapToGrid w:val="0"/>
              <w:jc w:val="center"/>
              <w:rPr>
                <w:rFonts w:hint="default" w:ascii="Times New Roman" w:hAnsi="Times New Roman" w:eastAsia="宋体" w:cs="Times New Roman"/>
                <w:color w:val="auto"/>
                <w:sz w:val="24"/>
                <w:lang w:val="en-US" w:eastAsia="zh-CN"/>
              </w:rPr>
            </w:pPr>
            <w:r>
              <w:rPr>
                <w:rFonts w:hint="default" w:ascii="Times New Roman" w:hAnsi="Times New Roman" w:cs="Times New Roman"/>
                <w:bCs/>
                <w:color w:val="auto"/>
                <w:sz w:val="24"/>
                <w:lang w:val="en-US" w:eastAsia="zh-CN"/>
              </w:rPr>
              <w:t>14750</w:t>
            </w:r>
          </w:p>
        </w:tc>
      </w:tr>
      <w:tr w14:paraId="66B145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1656" w:type="dxa"/>
            <w:vAlign w:val="center"/>
          </w:tcPr>
          <w:p w14:paraId="5D402073">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专项评价设置情况</w:t>
            </w:r>
          </w:p>
        </w:tc>
        <w:tc>
          <w:tcPr>
            <w:tcW w:w="7219" w:type="dxa"/>
            <w:gridSpan w:val="3"/>
            <w:vAlign w:val="center"/>
          </w:tcPr>
          <w:p w14:paraId="0E8CED71">
            <w:pPr>
              <w:autoSpaceDE w:val="0"/>
              <w:autoSpaceDN w:val="0"/>
              <w:adjustRightInd w:val="0"/>
              <w:snapToGrid w:val="0"/>
              <w:jc w:val="center"/>
              <w:rPr>
                <w:rFonts w:hint="default" w:ascii="Times New Roman" w:hAnsi="Times New Roman" w:eastAsia="宋体" w:cs="Times New Roman"/>
                <w:color w:val="auto"/>
                <w:kern w:val="0"/>
                <w:sz w:val="24"/>
                <w:lang w:val="en-US" w:eastAsia="zh-CN"/>
              </w:rPr>
            </w:pPr>
            <w:r>
              <w:rPr>
                <w:rFonts w:hint="default" w:ascii="Times New Roman" w:hAnsi="Times New Roman" w:cs="Times New Roman"/>
                <w:color w:val="auto"/>
                <w:kern w:val="0"/>
                <w:sz w:val="24"/>
                <w:lang w:val="en-US" w:eastAsia="zh-CN"/>
              </w:rPr>
              <w:t>无</w:t>
            </w:r>
          </w:p>
        </w:tc>
      </w:tr>
      <w:tr w14:paraId="21AFC6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1656" w:type="dxa"/>
            <w:vAlign w:val="center"/>
          </w:tcPr>
          <w:p w14:paraId="250EC594">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规划</w:t>
            </w:r>
          </w:p>
          <w:p w14:paraId="211188DA">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情况</w:t>
            </w:r>
          </w:p>
        </w:tc>
        <w:tc>
          <w:tcPr>
            <w:tcW w:w="7219" w:type="dxa"/>
            <w:gridSpan w:val="3"/>
            <w:vAlign w:val="center"/>
          </w:tcPr>
          <w:p w14:paraId="55A73F60">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规划名称：《安徽新芜经济开发区</w:t>
            </w:r>
            <w:r>
              <w:rPr>
                <w:rFonts w:hint="default" w:ascii="Times New Roman" w:hAnsi="Times New Roman" w:eastAsia="宋体" w:cs="Times New Roman"/>
                <w:color w:val="auto"/>
                <w:sz w:val="24"/>
                <w:szCs w:val="24"/>
                <w:lang w:eastAsia="zh-CN"/>
              </w:rPr>
              <w:t>扩区</w:t>
            </w:r>
            <w:r>
              <w:rPr>
                <w:rFonts w:hint="default" w:ascii="Times New Roman" w:hAnsi="Times New Roman" w:eastAsia="宋体" w:cs="Times New Roman"/>
                <w:color w:val="auto"/>
                <w:sz w:val="24"/>
                <w:szCs w:val="24"/>
              </w:rPr>
              <w:t>总体发展规划（20</w:t>
            </w:r>
            <w:r>
              <w:rPr>
                <w:rFonts w:hint="default" w:ascii="Times New Roman" w:hAnsi="Times New Roman" w:eastAsia="宋体" w:cs="Times New Roman"/>
                <w:color w:val="auto"/>
                <w:sz w:val="24"/>
                <w:szCs w:val="24"/>
                <w:lang w:val="en-US" w:eastAsia="zh-CN"/>
              </w:rPr>
              <w:t>23</w:t>
            </w:r>
            <w:r>
              <w:rPr>
                <w:rFonts w:hint="default" w:ascii="Times New Roman" w:hAnsi="Times New Roman" w:eastAsia="宋体" w:cs="Times New Roman"/>
                <w:color w:val="auto"/>
                <w:sz w:val="24"/>
                <w:szCs w:val="24"/>
              </w:rPr>
              <w:t>-203</w:t>
            </w: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w:t>
            </w:r>
          </w:p>
          <w:p w14:paraId="36DD70D4">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审批机关：安徽省人民政府</w:t>
            </w:r>
          </w:p>
          <w:p w14:paraId="596C01AD">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审查文件名称及文号：/</w:t>
            </w:r>
          </w:p>
        </w:tc>
      </w:tr>
      <w:tr w14:paraId="611B6C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1656" w:type="dxa"/>
            <w:vAlign w:val="center"/>
          </w:tcPr>
          <w:p w14:paraId="6FDDFB5E">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规划环境影响</w:t>
            </w:r>
          </w:p>
          <w:p w14:paraId="69C66592">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评价情况</w:t>
            </w:r>
          </w:p>
        </w:tc>
        <w:tc>
          <w:tcPr>
            <w:tcW w:w="7219" w:type="dxa"/>
            <w:gridSpan w:val="3"/>
            <w:vAlign w:val="center"/>
          </w:tcPr>
          <w:p w14:paraId="01360B8E">
            <w:pPr>
              <w:autoSpaceDE w:val="0"/>
              <w:autoSpaceDN w:val="0"/>
              <w:adjustRightInd w:val="0"/>
              <w:snapToGrid w:val="0"/>
              <w:spacing w:line="360" w:lineRule="auto"/>
              <w:jc w:val="left"/>
              <w:rPr>
                <w:rFonts w:hint="default" w:ascii="Times New Roman" w:hAnsi="Times New Roman" w:cs="Times New Roman"/>
                <w:color w:val="auto"/>
                <w:kern w:val="0"/>
                <w:sz w:val="24"/>
                <w:szCs w:val="21"/>
              </w:rPr>
            </w:pPr>
            <w:r>
              <w:rPr>
                <w:rFonts w:hint="default" w:ascii="Times New Roman" w:hAnsi="Times New Roman" w:cs="Times New Roman"/>
                <w:color w:val="auto"/>
                <w:kern w:val="0"/>
                <w:sz w:val="24"/>
                <w:szCs w:val="21"/>
              </w:rPr>
              <w:t>规划环境影响评价文件名称：《</w:t>
            </w:r>
            <w:r>
              <w:rPr>
                <w:rFonts w:hint="default" w:ascii="Times New Roman" w:hAnsi="Times New Roman" w:eastAsia="宋体" w:cs="Times New Roman"/>
                <w:color w:val="auto"/>
                <w:sz w:val="24"/>
                <w:szCs w:val="24"/>
              </w:rPr>
              <w:t>安徽新芜经济开发区</w:t>
            </w:r>
            <w:r>
              <w:rPr>
                <w:rFonts w:hint="default" w:ascii="Times New Roman" w:hAnsi="Times New Roman" w:eastAsia="宋体" w:cs="Times New Roman"/>
                <w:color w:val="auto"/>
                <w:sz w:val="24"/>
                <w:szCs w:val="24"/>
                <w:lang w:eastAsia="zh-CN"/>
              </w:rPr>
              <w:t>扩区</w:t>
            </w:r>
            <w:r>
              <w:rPr>
                <w:rFonts w:hint="default" w:ascii="Times New Roman" w:hAnsi="Times New Roman" w:eastAsia="宋体" w:cs="Times New Roman"/>
                <w:color w:val="auto"/>
                <w:sz w:val="24"/>
                <w:szCs w:val="24"/>
              </w:rPr>
              <w:t>总体发展规划（20</w:t>
            </w:r>
            <w:r>
              <w:rPr>
                <w:rFonts w:hint="default" w:ascii="Times New Roman" w:hAnsi="Times New Roman" w:eastAsia="宋体" w:cs="Times New Roman"/>
                <w:color w:val="auto"/>
                <w:sz w:val="24"/>
                <w:szCs w:val="24"/>
                <w:lang w:val="en-US" w:eastAsia="zh-CN"/>
              </w:rPr>
              <w:t>23</w:t>
            </w:r>
            <w:r>
              <w:rPr>
                <w:rFonts w:hint="default" w:ascii="Times New Roman" w:hAnsi="Times New Roman" w:eastAsia="宋体" w:cs="Times New Roman"/>
                <w:color w:val="auto"/>
                <w:sz w:val="24"/>
                <w:szCs w:val="24"/>
              </w:rPr>
              <w:t>-203</w:t>
            </w: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w:t>
            </w:r>
            <w:r>
              <w:rPr>
                <w:rFonts w:hint="default" w:ascii="Times New Roman" w:hAnsi="Times New Roman" w:cs="Times New Roman"/>
                <w:color w:val="auto"/>
                <w:kern w:val="0"/>
                <w:sz w:val="24"/>
                <w:szCs w:val="21"/>
              </w:rPr>
              <w:t>环境影响报告书》</w:t>
            </w:r>
          </w:p>
          <w:p w14:paraId="00D69A91">
            <w:pPr>
              <w:autoSpaceDE w:val="0"/>
              <w:autoSpaceDN w:val="0"/>
              <w:adjustRightInd w:val="0"/>
              <w:snapToGrid w:val="0"/>
              <w:spacing w:line="360" w:lineRule="auto"/>
              <w:jc w:val="left"/>
              <w:rPr>
                <w:rFonts w:hint="default" w:ascii="Times New Roman" w:hAnsi="Times New Roman" w:cs="Times New Roman"/>
                <w:color w:val="auto"/>
                <w:kern w:val="0"/>
                <w:sz w:val="24"/>
                <w:szCs w:val="21"/>
              </w:rPr>
            </w:pPr>
            <w:r>
              <w:rPr>
                <w:rFonts w:hint="default" w:ascii="Times New Roman" w:hAnsi="Times New Roman" w:cs="Times New Roman"/>
                <w:color w:val="auto"/>
                <w:kern w:val="0"/>
                <w:sz w:val="24"/>
                <w:szCs w:val="21"/>
              </w:rPr>
              <w:t>召集审查机关：安徽省</w:t>
            </w:r>
            <w:r>
              <w:rPr>
                <w:rFonts w:hint="default" w:ascii="Times New Roman" w:hAnsi="Times New Roman" w:cs="Times New Roman"/>
                <w:color w:val="auto"/>
                <w:kern w:val="0"/>
                <w:sz w:val="24"/>
                <w:szCs w:val="21"/>
                <w:lang w:eastAsia="zh-CN"/>
              </w:rPr>
              <w:t>生态环境</w:t>
            </w:r>
            <w:r>
              <w:rPr>
                <w:rFonts w:hint="default" w:ascii="Times New Roman" w:hAnsi="Times New Roman" w:cs="Times New Roman"/>
                <w:color w:val="auto"/>
                <w:kern w:val="0"/>
                <w:sz w:val="24"/>
                <w:szCs w:val="21"/>
              </w:rPr>
              <w:t>厅</w:t>
            </w:r>
          </w:p>
          <w:p w14:paraId="35857C04">
            <w:pPr>
              <w:autoSpaceDE w:val="0"/>
              <w:autoSpaceDN w:val="0"/>
              <w:adjustRightInd w:val="0"/>
              <w:snapToGrid w:val="0"/>
              <w:spacing w:line="360" w:lineRule="auto"/>
              <w:jc w:val="left"/>
              <w:rPr>
                <w:rFonts w:hint="default" w:ascii="Times New Roman" w:hAnsi="Times New Roman" w:cs="Times New Roman"/>
                <w:color w:val="auto"/>
                <w:lang w:eastAsia="zh-CN"/>
              </w:rPr>
            </w:pPr>
            <w:r>
              <w:rPr>
                <w:rFonts w:hint="default" w:ascii="Times New Roman" w:hAnsi="Times New Roman" w:cs="Times New Roman"/>
                <w:color w:val="auto"/>
                <w:kern w:val="0"/>
                <w:sz w:val="24"/>
                <w:szCs w:val="21"/>
              </w:rPr>
              <w:t>审批文件名称及文号</w:t>
            </w:r>
            <w:r>
              <w:rPr>
                <w:rFonts w:hint="default" w:ascii="Times New Roman" w:hAnsi="Times New Roman" w:eastAsia="宋体" w:cs="Times New Roman"/>
                <w:color w:val="auto"/>
                <w:kern w:val="0"/>
                <w:sz w:val="24"/>
                <w:szCs w:val="21"/>
              </w:rPr>
              <w:t>：</w:t>
            </w:r>
            <w:r>
              <w:rPr>
                <w:rFonts w:hint="default" w:ascii="Times New Roman" w:hAnsi="Times New Roman" w:eastAsia="宋体" w:cs="Times New Roman"/>
                <w:color w:val="auto"/>
                <w:kern w:val="0"/>
                <w:sz w:val="24"/>
                <w:szCs w:val="21"/>
                <w:lang w:val="en-US" w:eastAsia="zh-CN"/>
              </w:rPr>
              <w:t>安徽省生态环境厅关于印送《安徽新芜经济开发区扩区总体发展规划（2023-2035年）环境影响报告书宙查意见》的函（皖环函〔2024〕870号）</w:t>
            </w:r>
          </w:p>
        </w:tc>
      </w:tr>
      <w:tr w14:paraId="12E385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656" w:type="dxa"/>
            <w:vAlign w:val="center"/>
          </w:tcPr>
          <w:p w14:paraId="1AAED05E">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规划及规划环境影响评价符合性分析</w:t>
            </w:r>
          </w:p>
        </w:tc>
        <w:tc>
          <w:tcPr>
            <w:tcW w:w="7219" w:type="dxa"/>
            <w:gridSpan w:val="3"/>
            <w:vAlign w:val="center"/>
          </w:tcPr>
          <w:p w14:paraId="248B989D">
            <w:pPr>
              <w:spacing w:line="360" w:lineRule="auto"/>
              <w:ind w:firstLine="540" w:firstLineChars="224"/>
              <w:rPr>
                <w:rFonts w:hint="default" w:ascii="Times New Roman" w:hAnsi="Times New Roman" w:cs="Times New Roman" w:eastAsiaTheme="minorEastAsia"/>
                <w:b/>
                <w:color w:val="auto"/>
                <w:sz w:val="24"/>
              </w:rPr>
            </w:pPr>
            <w:r>
              <w:rPr>
                <w:rFonts w:hint="default" w:ascii="Times New Roman" w:hAnsi="Times New Roman" w:cs="Times New Roman" w:eastAsiaTheme="minorEastAsia"/>
                <w:b/>
                <w:color w:val="auto"/>
                <w:sz w:val="24"/>
              </w:rPr>
              <w:t>1、</w:t>
            </w:r>
            <w:r>
              <w:rPr>
                <w:rFonts w:hint="default" w:ascii="Times New Roman" w:hAnsi="Times New Roman" w:cs="Times New Roman" w:eastAsiaTheme="minorEastAsia"/>
                <w:b/>
                <w:bCs/>
                <w:color w:val="auto"/>
                <w:sz w:val="24"/>
              </w:rPr>
              <w:t>与规划</w:t>
            </w:r>
            <w:r>
              <w:rPr>
                <w:rFonts w:hint="default" w:ascii="Times New Roman" w:hAnsi="Times New Roman" w:cs="Times New Roman" w:eastAsiaTheme="minorEastAsia"/>
                <w:b/>
                <w:color w:val="auto"/>
                <w:sz w:val="24"/>
              </w:rPr>
              <w:t>相符性分析</w:t>
            </w:r>
          </w:p>
          <w:p w14:paraId="52F63AAA">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（1）用地性质符合性</w:t>
            </w:r>
          </w:p>
          <w:p w14:paraId="600F9776">
            <w:pPr>
              <w:spacing w:line="360" w:lineRule="auto"/>
              <w:ind w:firstLine="480" w:firstLineChars="200"/>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根据</w:t>
            </w:r>
            <w:r>
              <w:rPr>
                <w:rFonts w:hint="default" w:ascii="Times New Roman" w:hAnsi="Times New Roman" w:eastAsia="宋体" w:cs="Times New Roman"/>
                <w:color w:val="auto"/>
                <w:sz w:val="24"/>
                <w:szCs w:val="24"/>
              </w:rPr>
              <w:t>《安徽新芜经</w:t>
            </w:r>
            <w:r>
              <w:rPr>
                <w:rFonts w:hint="default" w:ascii="Times New Roman" w:hAnsi="Times New Roman" w:cs="Times New Roman"/>
                <w:color w:val="auto"/>
                <w:sz w:val="24"/>
                <w:szCs w:val="24"/>
              </w:rPr>
              <w:t>济开发区</w:t>
            </w:r>
            <w:r>
              <w:rPr>
                <w:rFonts w:hint="default" w:ascii="Times New Roman" w:hAnsi="Times New Roman" w:cs="Times New Roman"/>
                <w:color w:val="auto"/>
                <w:sz w:val="24"/>
                <w:szCs w:val="24"/>
                <w:lang w:eastAsia="zh-CN"/>
              </w:rPr>
              <w:t>扩区</w:t>
            </w:r>
            <w:r>
              <w:rPr>
                <w:rFonts w:hint="default" w:ascii="Times New Roman" w:hAnsi="Times New Roman" w:cs="Times New Roman"/>
                <w:color w:val="auto"/>
                <w:sz w:val="24"/>
                <w:szCs w:val="24"/>
              </w:rPr>
              <w:t>总体发展规划（20</w:t>
            </w:r>
            <w:r>
              <w:rPr>
                <w:rFonts w:hint="default" w:ascii="Times New Roman" w:hAnsi="Times New Roman" w:cs="Times New Roman"/>
                <w:color w:val="auto"/>
                <w:sz w:val="24"/>
                <w:szCs w:val="24"/>
                <w:lang w:val="en-US" w:eastAsia="zh-CN"/>
              </w:rPr>
              <w:t>23</w:t>
            </w:r>
            <w:r>
              <w:rPr>
                <w:rFonts w:hint="default" w:ascii="Times New Roman" w:hAnsi="Times New Roman" w:cs="Times New Roman"/>
                <w:color w:val="auto"/>
                <w:sz w:val="24"/>
                <w:szCs w:val="24"/>
              </w:rPr>
              <w:t>-203</w:t>
            </w:r>
            <w:r>
              <w:rPr>
                <w:rFonts w:hint="default"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rPr>
              <w:t>）环境影响报告书》</w:t>
            </w:r>
            <w:r>
              <w:rPr>
                <w:rFonts w:hint="default" w:ascii="Times New Roman" w:hAnsi="Times New Roman" w:cs="Times New Roman"/>
                <w:color w:val="auto"/>
                <w:sz w:val="24"/>
                <w:szCs w:val="24"/>
                <w:lang w:val="en-US" w:eastAsia="zh-CN"/>
              </w:rPr>
              <w:t>》：安徽新芜经济开发区扩区后开发区总体规划面积1835.46公顷，其中：区块一面积为857.85公顷，四至范围为东至凤栖路，南至朝阳路，西至芜屯快速通道，北至蟠龙路；区块二面积为292.28公顷，四至范围为东至双桥路，南至中兴四路，西至凤鸣路，北至阳光大道；区块三面积685.33公顷，四至范围为东至经五路，南至协鑫路，西至汪溪路，北至北二路。</w:t>
            </w:r>
            <w:r>
              <w:rPr>
                <w:rFonts w:hint="default" w:ascii="Times New Roman" w:hAnsi="Times New Roman" w:cs="Times New Roman"/>
                <w:b w:val="0"/>
                <w:bCs w:val="0"/>
                <w:color w:val="auto"/>
                <w:sz w:val="24"/>
                <w:szCs w:val="24"/>
                <w:lang w:val="en-US" w:eastAsia="zh-CN"/>
              </w:rPr>
              <w:t>拟建项目位于芜湖市湾沚区安徽新芜经济开发区西支六路222号</w:t>
            </w:r>
            <w:r>
              <w:rPr>
                <w:rFonts w:hint="default"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lang w:val="en-US" w:eastAsia="zh-CN"/>
              </w:rPr>
              <w:t>经与安徽新芜经济开发区扩区规划四至范围对照，未被列入规划范围内，详见</w:t>
            </w:r>
            <w:r>
              <w:rPr>
                <w:rFonts w:hint="default" w:ascii="Times New Roman" w:hAnsi="Times New Roman" w:cs="Times New Roman"/>
                <w:b w:val="0"/>
                <w:bCs w:val="0"/>
                <w:color w:val="auto"/>
                <w:sz w:val="24"/>
                <w:szCs w:val="24"/>
              </w:rPr>
              <w:t>附图</w:t>
            </w:r>
            <w:r>
              <w:rPr>
                <w:rFonts w:hint="eastAsia" w:cs="Times New Roman"/>
                <w:b w:val="0"/>
                <w:bCs w:val="0"/>
                <w:color w:val="auto"/>
                <w:sz w:val="24"/>
                <w:szCs w:val="24"/>
                <w:lang w:val="en-US" w:eastAsia="zh-CN"/>
              </w:rPr>
              <w:t>8</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根据《芜湖市湾沚区国土空间分区规划-中心城区土地使用规划图》，项目</w:t>
            </w:r>
            <w:r>
              <w:rPr>
                <w:rFonts w:hint="default" w:ascii="Times New Roman" w:hAnsi="Times New Roman" w:cs="Times New Roman"/>
                <w:color w:val="auto"/>
                <w:sz w:val="24"/>
                <w:szCs w:val="24"/>
                <w:lang w:eastAsia="zh-CN"/>
              </w:rPr>
              <w:t>属于工业用地，</w:t>
            </w:r>
            <w:r>
              <w:rPr>
                <w:rFonts w:hint="default" w:ascii="Times New Roman" w:hAnsi="Times New Roman" w:cs="Times New Roman"/>
                <w:b w:val="0"/>
                <w:bCs w:val="0"/>
                <w:color w:val="auto"/>
                <w:sz w:val="24"/>
                <w:szCs w:val="24"/>
                <w:lang w:val="en-US" w:eastAsia="zh-CN"/>
              </w:rPr>
              <w:t>详见附图</w:t>
            </w:r>
            <w:r>
              <w:rPr>
                <w:rFonts w:hint="eastAsia" w:cs="Times New Roman"/>
                <w:b w:val="0"/>
                <w:bCs w:val="0"/>
                <w:color w:val="auto"/>
                <w:sz w:val="24"/>
                <w:szCs w:val="24"/>
                <w:lang w:val="en-US" w:eastAsia="zh-CN"/>
              </w:rPr>
              <w:t>9</w:t>
            </w:r>
            <w:r>
              <w:rPr>
                <w:rFonts w:hint="default" w:ascii="Times New Roman" w:hAnsi="Times New Roman" w:cs="Times New Roman"/>
                <w:b w:val="0"/>
                <w:bCs w:val="0"/>
                <w:color w:val="auto"/>
                <w:sz w:val="24"/>
                <w:szCs w:val="24"/>
                <w:lang w:val="en-US" w:eastAsia="zh-CN"/>
              </w:rPr>
              <w:t>，</w:t>
            </w:r>
            <w:r>
              <w:rPr>
                <w:rFonts w:hint="default" w:ascii="Times New Roman" w:hAnsi="Times New Roman" w:cs="Times New Roman"/>
                <w:color w:val="auto"/>
                <w:sz w:val="24"/>
                <w:szCs w:val="24"/>
                <w:lang w:eastAsia="zh-CN"/>
              </w:rPr>
              <w:t>故本项目用地性</w:t>
            </w:r>
            <w:r>
              <w:rPr>
                <w:rFonts w:hint="default" w:ascii="Times New Roman" w:hAnsi="Times New Roman" w:eastAsia="宋体" w:cs="Times New Roman"/>
                <w:color w:val="auto"/>
                <w:sz w:val="24"/>
                <w:szCs w:val="24"/>
                <w:lang w:eastAsia="zh-CN"/>
              </w:rPr>
              <w:t>质符合区域规划要求。</w:t>
            </w:r>
          </w:p>
          <w:p w14:paraId="5B1882F0">
            <w:pPr>
              <w:numPr>
                <w:ilvl w:val="0"/>
                <w:numId w:val="4"/>
              </w:num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产业定位符合性</w:t>
            </w:r>
          </w:p>
          <w:p w14:paraId="551BD123">
            <w:pPr>
              <w:numPr>
                <w:ilvl w:val="0"/>
                <w:numId w:val="0"/>
              </w:numPr>
              <w:spacing w:line="360" w:lineRule="auto"/>
              <w:ind w:firstLine="480" w:firstLineChars="200"/>
              <w:rPr>
                <w:rFonts w:hint="default" w:ascii="Times New Roman" w:hAnsi="Times New Roman" w:cs="Times New Roman"/>
                <w:b/>
                <w:bCs/>
                <w:color w:val="auto"/>
                <w:kern w:val="0"/>
                <w:sz w:val="24"/>
              </w:rPr>
            </w:pPr>
            <w:r>
              <w:rPr>
                <w:rFonts w:hint="default" w:ascii="Times New Roman" w:hAnsi="Times New Roman" w:eastAsia="宋体" w:cs="Times New Roman"/>
                <w:bCs/>
                <w:color w:val="auto"/>
                <w:sz w:val="24"/>
                <w:szCs w:val="24"/>
                <w:highlight w:val="none"/>
                <w:lang w:val="en-US" w:eastAsia="zh-CN"/>
              </w:rPr>
              <w:t>新芜经济开发区主</w:t>
            </w:r>
            <w:r>
              <w:rPr>
                <w:rFonts w:hint="default" w:ascii="Times New Roman" w:hAnsi="Times New Roman" w:eastAsia="宋体" w:cs="Times New Roman"/>
                <w:color w:val="auto"/>
                <w:sz w:val="24"/>
                <w:szCs w:val="24"/>
                <w:lang w:val="en-US" w:eastAsia="zh-CN"/>
              </w:rPr>
              <w:t>导产业为汽车零部件及高端装备制造、新能源新材料、电子电器。根据《安徽新芜经济开发区总体发展规划（2023-2035 年）环境影响报告书》，在总体规划划定的产业分区布局的基础上，后续入驻企业需严格按照规划分区入驻，其中区块一西部入驻以汽车零部件及配件制造、汽车车身、挂车制造、电车制造为主的汽车零部件企业，区块一东部、区块二及区块三南部布置以烘炉、风机、包装等设备制造、泵、阀门、压缩机及类似机械制造、通用零部件制造业为主的装备制造企业，区块三北部布置以输配电及控制设备制、家用电力器具制、电机制造产业为主的电子电器企业。促进产业集群发展，充分发挥不同行业的组团效应，对现有不符合功能分区的项目，要严格控制现有企业规模，未来逐步进行产业升级调整。由于本项目距离安徽新芜经济开发区扩区总体发展规划区块二边界较近，本次与安徽新芜经济开发区入区行业的控制建议表对照，本项目属于367汽车零部件及配件制造，属于安徽新芜经济开发区入区行业所列出的“鼓励类”项目。</w:t>
            </w:r>
          </w:p>
          <w:p w14:paraId="4ADA5AD8">
            <w:pPr>
              <w:keepNext w:val="0"/>
              <w:keepLines w:val="0"/>
              <w:pageBreakBefore w:val="0"/>
              <w:widowControl/>
              <w:kinsoku/>
              <w:wordWrap/>
              <w:overflowPunct/>
              <w:topLinePunct w:val="0"/>
              <w:autoSpaceDE/>
              <w:autoSpaceDN/>
              <w:bidi w:val="0"/>
              <w:adjustRightInd w:val="0"/>
              <w:snapToGrid/>
              <w:spacing w:beforeAutospacing="0" w:line="240" w:lineRule="auto"/>
              <w:jc w:val="center"/>
              <w:textAlignment w:val="auto"/>
              <w:rPr>
                <w:rFonts w:hint="default" w:ascii="Times New Roman" w:hAnsi="Times New Roman" w:cs="Times New Roman"/>
                <w:b/>
                <w:color w:val="auto"/>
                <w:kern w:val="0"/>
                <w:sz w:val="24"/>
                <w:szCs w:val="20"/>
                <w:lang w:val="zh-CN"/>
              </w:rPr>
            </w:pPr>
            <w:r>
              <w:rPr>
                <w:rFonts w:hint="default" w:ascii="Times New Roman" w:hAnsi="Times New Roman" w:cs="Times New Roman"/>
                <w:b/>
                <w:color w:val="auto"/>
                <w:kern w:val="0"/>
                <w:sz w:val="24"/>
                <w:szCs w:val="20"/>
                <w:lang w:val="zh-CN"/>
              </w:rPr>
              <w:t>表1-</w:t>
            </w:r>
            <w:r>
              <w:rPr>
                <w:rFonts w:hint="eastAsia" w:ascii="Times New Roman" w:hAnsi="Times New Roman" w:cs="Times New Roman"/>
                <w:b/>
                <w:color w:val="auto"/>
                <w:kern w:val="0"/>
                <w:sz w:val="24"/>
                <w:szCs w:val="20"/>
                <w:lang w:val="en-US" w:eastAsia="zh-CN"/>
              </w:rPr>
              <w:t>1</w:t>
            </w:r>
            <w:r>
              <w:rPr>
                <w:rFonts w:hint="default" w:ascii="Times New Roman" w:hAnsi="Times New Roman" w:cs="Times New Roman"/>
                <w:b/>
                <w:color w:val="auto"/>
                <w:kern w:val="0"/>
                <w:sz w:val="24"/>
                <w:szCs w:val="20"/>
                <w:lang w:val="zh-CN"/>
              </w:rPr>
              <w:t xml:space="preserve">  </w:t>
            </w:r>
            <w:r>
              <w:rPr>
                <w:rFonts w:hint="default" w:ascii="Times New Roman" w:hAnsi="Times New Roman" w:cs="Times New Roman"/>
                <w:b/>
                <w:color w:val="auto"/>
                <w:kern w:val="0"/>
                <w:sz w:val="24"/>
                <w:szCs w:val="20"/>
              </w:rPr>
              <w:t>安徽新芜经济开发区入区行业的控制建议表</w:t>
            </w:r>
          </w:p>
          <w:tbl>
            <w:tblPr>
              <w:tblStyle w:val="6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1900"/>
              <w:gridCol w:w="3747"/>
              <w:gridCol w:w="431"/>
            </w:tblGrid>
            <w:tr w14:paraId="617CF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654" w:type="pct"/>
                  <w:vAlign w:val="center"/>
                </w:tcPr>
                <w:p w14:paraId="4A766E69">
                  <w:pPr>
                    <w:widowControl/>
                    <w:tabs>
                      <w:tab w:val="left" w:pos="4305"/>
                    </w:tabs>
                    <w:jc w:val="center"/>
                    <w:rPr>
                      <w:rFonts w:hint="default" w:ascii="Times New Roman" w:hAnsi="Times New Roman" w:eastAsia="宋体" w:cs="Times New Roman"/>
                      <w:b/>
                      <w:color w:val="auto"/>
                      <w:kern w:val="0"/>
                      <w:szCs w:val="21"/>
                      <w:lang w:eastAsia="zh-CN"/>
                    </w:rPr>
                  </w:pPr>
                  <w:r>
                    <w:rPr>
                      <w:rFonts w:hint="default" w:ascii="Times New Roman" w:hAnsi="Times New Roman" w:cs="Times New Roman"/>
                      <w:b/>
                      <w:color w:val="auto"/>
                      <w:kern w:val="0"/>
                      <w:szCs w:val="21"/>
                      <w:lang w:eastAsia="zh-CN"/>
                    </w:rPr>
                    <w:t>类别</w:t>
                  </w:r>
                </w:p>
              </w:tc>
              <w:tc>
                <w:tcPr>
                  <w:tcW w:w="1358" w:type="pct"/>
                  <w:vAlign w:val="center"/>
                </w:tcPr>
                <w:p w14:paraId="21B1DC43">
                  <w:pPr>
                    <w:widowControl/>
                    <w:tabs>
                      <w:tab w:val="left" w:pos="4305"/>
                    </w:tabs>
                    <w:jc w:val="center"/>
                    <w:rPr>
                      <w:rFonts w:hint="default" w:ascii="Times New Roman" w:hAnsi="Times New Roman" w:eastAsia="宋体" w:cs="Times New Roman"/>
                      <w:b/>
                      <w:color w:val="auto"/>
                      <w:kern w:val="0"/>
                      <w:szCs w:val="21"/>
                      <w:lang w:eastAsia="zh-CN"/>
                    </w:rPr>
                  </w:pPr>
                  <w:r>
                    <w:rPr>
                      <w:rFonts w:hint="default" w:ascii="Times New Roman" w:hAnsi="Times New Roman" w:cs="Times New Roman"/>
                      <w:b/>
                      <w:color w:val="auto"/>
                      <w:kern w:val="0"/>
                      <w:szCs w:val="21"/>
                      <w:lang w:eastAsia="zh-CN"/>
                    </w:rPr>
                    <w:t>主导产业</w:t>
                  </w:r>
                </w:p>
              </w:tc>
              <w:tc>
                <w:tcPr>
                  <w:tcW w:w="2679" w:type="pct"/>
                  <w:vAlign w:val="center"/>
                </w:tcPr>
                <w:p w14:paraId="6C9FDC2A">
                  <w:pPr>
                    <w:widowControl/>
                    <w:tabs>
                      <w:tab w:val="left" w:pos="4305"/>
                    </w:tabs>
                    <w:jc w:val="center"/>
                    <w:rPr>
                      <w:rFonts w:hint="default" w:ascii="Times New Roman" w:hAnsi="Times New Roman" w:eastAsia="宋体" w:cs="Times New Roman"/>
                      <w:b/>
                      <w:color w:val="auto"/>
                      <w:kern w:val="0"/>
                      <w:szCs w:val="21"/>
                      <w:lang w:eastAsia="zh-CN"/>
                    </w:rPr>
                  </w:pPr>
                  <w:r>
                    <w:rPr>
                      <w:rFonts w:hint="default" w:ascii="Times New Roman" w:hAnsi="Times New Roman" w:cs="Times New Roman"/>
                      <w:b/>
                      <w:color w:val="auto"/>
                      <w:kern w:val="0"/>
                      <w:szCs w:val="21"/>
                      <w:lang w:eastAsia="zh-CN"/>
                    </w:rPr>
                    <w:t>行业类别</w:t>
                  </w:r>
                </w:p>
              </w:tc>
              <w:tc>
                <w:tcPr>
                  <w:tcW w:w="308" w:type="pct"/>
                  <w:vAlign w:val="center"/>
                </w:tcPr>
                <w:p w14:paraId="41FF75FA">
                  <w:pPr>
                    <w:widowControl/>
                    <w:tabs>
                      <w:tab w:val="left" w:pos="4305"/>
                    </w:tabs>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备注</w:t>
                  </w:r>
                </w:p>
              </w:tc>
            </w:tr>
            <w:tr w14:paraId="6FF14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54" w:type="pct"/>
                  <w:vMerge w:val="restart"/>
                  <w:vAlign w:val="center"/>
                </w:tcPr>
                <w:p w14:paraId="598BADA9">
                  <w:pPr>
                    <w:widowControl/>
                    <w:tabs>
                      <w:tab w:val="left" w:pos="4305"/>
                    </w:tabs>
                    <w:jc w:val="center"/>
                    <w:rPr>
                      <w:rFonts w:hint="default" w:ascii="Times New Roman" w:hAnsi="Times New Roman" w:eastAsia="宋体" w:cs="Times New Roman"/>
                      <w:color w:val="auto"/>
                      <w:kern w:val="0"/>
                      <w:szCs w:val="21"/>
                      <w:lang w:eastAsia="zh-CN"/>
                    </w:rPr>
                  </w:pPr>
                  <w:r>
                    <w:rPr>
                      <w:rFonts w:hint="default" w:ascii="Times New Roman" w:hAnsi="Times New Roman" w:cs="Times New Roman"/>
                      <w:color w:val="auto"/>
                      <w:kern w:val="0"/>
                      <w:szCs w:val="21"/>
                      <w:lang w:eastAsia="zh-CN"/>
                    </w:rPr>
                    <w:t>鼓励类</w:t>
                  </w:r>
                </w:p>
              </w:tc>
              <w:tc>
                <w:tcPr>
                  <w:tcW w:w="1358" w:type="pct"/>
                  <w:vMerge w:val="restart"/>
                  <w:vAlign w:val="center"/>
                </w:tcPr>
                <w:p w14:paraId="0215C8E0">
                  <w:pPr>
                    <w:widowControl/>
                    <w:tabs>
                      <w:tab w:val="left" w:pos="4305"/>
                    </w:tabs>
                    <w:jc w:val="left"/>
                    <w:rPr>
                      <w:rFonts w:hint="default" w:ascii="Times New Roman" w:hAnsi="Times New Roman" w:eastAsia="宋体" w:cs="Times New Roman"/>
                      <w:color w:val="auto"/>
                      <w:kern w:val="0"/>
                      <w:szCs w:val="21"/>
                      <w:lang w:eastAsia="zh-CN"/>
                    </w:rPr>
                  </w:pPr>
                  <w:r>
                    <w:rPr>
                      <w:rFonts w:hint="default" w:ascii="Times New Roman" w:hAnsi="Times New Roman" w:eastAsia="宋体" w:cs="Times New Roman"/>
                      <w:color w:val="auto"/>
                      <w:kern w:val="0"/>
                      <w:szCs w:val="21"/>
                      <w:lang w:val="en-US" w:eastAsia="zh-CN"/>
                    </w:rPr>
                    <w:t>34 通用设备制造业</w:t>
                  </w:r>
                </w:p>
              </w:tc>
              <w:tc>
                <w:tcPr>
                  <w:tcW w:w="2679" w:type="pct"/>
                  <w:vAlign w:val="center"/>
                </w:tcPr>
                <w:p w14:paraId="4DD5A33A">
                  <w:pPr>
                    <w:widowControl/>
                    <w:tabs>
                      <w:tab w:val="left" w:pos="4305"/>
                    </w:tabs>
                    <w:jc w:val="left"/>
                    <w:rPr>
                      <w:rFonts w:hint="default" w:ascii="Times New Roman" w:hAnsi="Times New Roman" w:eastAsia="宋体" w:cs="Times New Roman"/>
                      <w:color w:val="auto"/>
                      <w:kern w:val="0"/>
                      <w:szCs w:val="21"/>
                      <w:lang w:eastAsia="zh-CN"/>
                    </w:rPr>
                  </w:pPr>
                  <w:r>
                    <w:rPr>
                      <w:rFonts w:hint="default" w:ascii="Times New Roman" w:hAnsi="Times New Roman" w:eastAsia="宋体" w:cs="Times New Roman"/>
                      <w:color w:val="auto"/>
                      <w:kern w:val="0"/>
                      <w:szCs w:val="21"/>
                      <w:lang w:val="en-US" w:eastAsia="zh-CN"/>
                    </w:rPr>
                    <w:t>344泵、阀门、压缩机及类似机械制造</w:t>
                  </w:r>
                </w:p>
              </w:tc>
              <w:tc>
                <w:tcPr>
                  <w:tcW w:w="308" w:type="pct"/>
                  <w:vMerge w:val="restart"/>
                  <w:vAlign w:val="center"/>
                </w:tcPr>
                <w:p w14:paraId="218BD0EA">
                  <w:pPr>
                    <w:widowControl/>
                    <w:tabs>
                      <w:tab w:val="left" w:pos="4305"/>
                    </w:tabs>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安徽新芜经济开发区</w:t>
                  </w:r>
                  <w:r>
                    <w:rPr>
                      <w:rFonts w:hint="default" w:ascii="Times New Roman" w:hAnsi="Times New Roman" w:cs="Times New Roman"/>
                      <w:color w:val="auto"/>
                      <w:kern w:val="0"/>
                      <w:szCs w:val="21"/>
                      <w:lang w:eastAsia="zh-CN"/>
                    </w:rPr>
                    <w:t>扩区</w:t>
                  </w:r>
                  <w:r>
                    <w:rPr>
                      <w:rFonts w:hint="default" w:ascii="Times New Roman" w:hAnsi="Times New Roman" w:cs="Times New Roman"/>
                      <w:color w:val="auto"/>
                      <w:kern w:val="0"/>
                      <w:szCs w:val="21"/>
                    </w:rPr>
                    <w:t>规划环评要求</w:t>
                  </w:r>
                </w:p>
              </w:tc>
            </w:tr>
            <w:tr w14:paraId="2DF6B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654" w:type="pct"/>
                  <w:vMerge w:val="continue"/>
                  <w:vAlign w:val="center"/>
                </w:tcPr>
                <w:p w14:paraId="20F331DE">
                  <w:pPr>
                    <w:widowControl/>
                    <w:tabs>
                      <w:tab w:val="left" w:pos="4305"/>
                    </w:tabs>
                    <w:jc w:val="center"/>
                    <w:rPr>
                      <w:rFonts w:hint="default" w:ascii="Times New Roman" w:hAnsi="Times New Roman" w:cs="Times New Roman"/>
                      <w:color w:val="auto"/>
                      <w:kern w:val="0"/>
                      <w:szCs w:val="21"/>
                    </w:rPr>
                  </w:pPr>
                </w:p>
              </w:tc>
              <w:tc>
                <w:tcPr>
                  <w:tcW w:w="1358" w:type="pct"/>
                  <w:vMerge w:val="continue"/>
                  <w:vAlign w:val="center"/>
                </w:tcPr>
                <w:p w14:paraId="44AA4151">
                  <w:pPr>
                    <w:widowControl/>
                    <w:tabs>
                      <w:tab w:val="left" w:pos="4305"/>
                    </w:tabs>
                    <w:jc w:val="left"/>
                    <w:rPr>
                      <w:rFonts w:hint="default" w:ascii="Times New Roman" w:hAnsi="Times New Roman" w:eastAsia="宋体" w:cs="Times New Roman"/>
                      <w:color w:val="auto"/>
                      <w:kern w:val="0"/>
                      <w:szCs w:val="21"/>
                      <w:lang w:eastAsia="zh-CN"/>
                    </w:rPr>
                  </w:pPr>
                </w:p>
              </w:tc>
              <w:tc>
                <w:tcPr>
                  <w:tcW w:w="2679" w:type="pct"/>
                  <w:vAlign w:val="center"/>
                </w:tcPr>
                <w:p w14:paraId="4D88F7FF">
                  <w:pPr>
                    <w:widowControl/>
                    <w:tabs>
                      <w:tab w:val="left" w:pos="4305"/>
                    </w:tabs>
                    <w:jc w:val="left"/>
                    <w:rPr>
                      <w:rFonts w:hint="default" w:ascii="Times New Roman" w:hAnsi="Times New Roman" w:eastAsia="宋体" w:cs="Times New Roman"/>
                      <w:color w:val="auto"/>
                      <w:kern w:val="0"/>
                      <w:szCs w:val="21"/>
                      <w:lang w:eastAsia="zh-CN"/>
                    </w:rPr>
                  </w:pPr>
                  <w:r>
                    <w:rPr>
                      <w:rFonts w:hint="default" w:ascii="Times New Roman" w:hAnsi="Times New Roman" w:eastAsia="宋体" w:cs="Times New Roman"/>
                      <w:color w:val="auto"/>
                      <w:kern w:val="0"/>
                      <w:szCs w:val="21"/>
                      <w:lang w:val="en-US" w:eastAsia="zh-CN"/>
                    </w:rPr>
                    <w:t>346烘炉、风机、包装等设备制造</w:t>
                  </w:r>
                </w:p>
              </w:tc>
              <w:tc>
                <w:tcPr>
                  <w:tcW w:w="308" w:type="pct"/>
                  <w:vMerge w:val="continue"/>
                  <w:vAlign w:val="center"/>
                </w:tcPr>
                <w:p w14:paraId="349D6D7B">
                  <w:pPr>
                    <w:widowControl/>
                    <w:tabs>
                      <w:tab w:val="left" w:pos="4305"/>
                    </w:tabs>
                    <w:jc w:val="center"/>
                    <w:rPr>
                      <w:rFonts w:hint="default" w:ascii="Times New Roman" w:hAnsi="Times New Roman" w:cs="Times New Roman"/>
                      <w:color w:val="auto"/>
                      <w:kern w:val="0"/>
                      <w:szCs w:val="21"/>
                    </w:rPr>
                  </w:pPr>
                </w:p>
              </w:tc>
            </w:tr>
            <w:tr w14:paraId="03BCF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54" w:type="pct"/>
                  <w:vMerge w:val="continue"/>
                  <w:vAlign w:val="center"/>
                </w:tcPr>
                <w:p w14:paraId="2F9F2033">
                  <w:pPr>
                    <w:widowControl/>
                    <w:tabs>
                      <w:tab w:val="left" w:pos="4305"/>
                    </w:tabs>
                    <w:jc w:val="center"/>
                    <w:rPr>
                      <w:rFonts w:hint="default" w:ascii="Times New Roman" w:hAnsi="Times New Roman" w:cs="Times New Roman"/>
                      <w:color w:val="auto"/>
                      <w:kern w:val="0"/>
                      <w:szCs w:val="21"/>
                    </w:rPr>
                  </w:pPr>
                </w:p>
              </w:tc>
              <w:tc>
                <w:tcPr>
                  <w:tcW w:w="1358" w:type="pct"/>
                  <w:vMerge w:val="continue"/>
                  <w:vAlign w:val="center"/>
                </w:tcPr>
                <w:p w14:paraId="60EDA0FF">
                  <w:pPr>
                    <w:widowControl/>
                    <w:tabs>
                      <w:tab w:val="left" w:pos="4305"/>
                    </w:tabs>
                    <w:jc w:val="left"/>
                    <w:rPr>
                      <w:rFonts w:hint="default" w:ascii="Times New Roman" w:hAnsi="Times New Roman" w:eastAsia="宋体" w:cs="Times New Roman"/>
                      <w:color w:val="auto"/>
                      <w:kern w:val="0"/>
                      <w:szCs w:val="21"/>
                      <w:lang w:eastAsia="zh-CN"/>
                    </w:rPr>
                  </w:pPr>
                </w:p>
              </w:tc>
              <w:tc>
                <w:tcPr>
                  <w:tcW w:w="2679" w:type="pct"/>
                  <w:vAlign w:val="center"/>
                </w:tcPr>
                <w:p w14:paraId="1FB192B8">
                  <w:pPr>
                    <w:widowControl/>
                    <w:tabs>
                      <w:tab w:val="left" w:pos="4305"/>
                    </w:tabs>
                    <w:jc w:val="left"/>
                    <w:rPr>
                      <w:rFonts w:hint="default" w:ascii="Times New Roman" w:hAnsi="Times New Roman" w:eastAsia="宋体" w:cs="Times New Roman"/>
                      <w:color w:val="auto"/>
                      <w:kern w:val="0"/>
                      <w:szCs w:val="21"/>
                      <w:lang w:eastAsia="zh-CN"/>
                    </w:rPr>
                  </w:pPr>
                  <w:r>
                    <w:rPr>
                      <w:rFonts w:hint="default" w:ascii="Times New Roman" w:hAnsi="Times New Roman" w:eastAsia="宋体" w:cs="Times New Roman"/>
                      <w:color w:val="auto"/>
                      <w:kern w:val="0"/>
                      <w:szCs w:val="21"/>
                      <w:lang w:val="en-US" w:eastAsia="zh-CN"/>
                    </w:rPr>
                    <w:t>348通用零部件制造</w:t>
                  </w:r>
                </w:p>
              </w:tc>
              <w:tc>
                <w:tcPr>
                  <w:tcW w:w="308" w:type="pct"/>
                  <w:vMerge w:val="continue"/>
                  <w:vAlign w:val="center"/>
                </w:tcPr>
                <w:p w14:paraId="0C630317">
                  <w:pPr>
                    <w:widowControl/>
                    <w:tabs>
                      <w:tab w:val="left" w:pos="4305"/>
                    </w:tabs>
                    <w:jc w:val="center"/>
                    <w:rPr>
                      <w:rFonts w:hint="default" w:ascii="Times New Roman" w:hAnsi="Times New Roman" w:cs="Times New Roman"/>
                      <w:color w:val="auto"/>
                      <w:kern w:val="0"/>
                      <w:szCs w:val="21"/>
                    </w:rPr>
                  </w:pPr>
                </w:p>
              </w:tc>
            </w:tr>
            <w:tr w14:paraId="56B04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54" w:type="pct"/>
                  <w:vMerge w:val="continue"/>
                  <w:vAlign w:val="center"/>
                </w:tcPr>
                <w:p w14:paraId="69EF2B97">
                  <w:pPr>
                    <w:widowControl/>
                    <w:tabs>
                      <w:tab w:val="left" w:pos="4305"/>
                    </w:tabs>
                    <w:jc w:val="center"/>
                    <w:rPr>
                      <w:rFonts w:hint="default" w:ascii="Times New Roman" w:hAnsi="Times New Roman" w:cs="Times New Roman"/>
                      <w:color w:val="auto"/>
                      <w:kern w:val="0"/>
                      <w:szCs w:val="21"/>
                    </w:rPr>
                  </w:pPr>
                </w:p>
              </w:tc>
              <w:tc>
                <w:tcPr>
                  <w:tcW w:w="1358" w:type="pct"/>
                  <w:vMerge w:val="restart"/>
                  <w:vAlign w:val="center"/>
                </w:tcPr>
                <w:p w14:paraId="2EFCED37">
                  <w:pPr>
                    <w:widowControl/>
                    <w:tabs>
                      <w:tab w:val="left" w:pos="4305"/>
                    </w:tabs>
                    <w:jc w:val="left"/>
                    <w:rPr>
                      <w:rFonts w:hint="default" w:ascii="Times New Roman" w:hAnsi="Times New Roman" w:eastAsia="宋体" w:cs="Times New Roman"/>
                      <w:color w:val="auto"/>
                      <w:kern w:val="0"/>
                      <w:szCs w:val="21"/>
                      <w:lang w:eastAsia="zh-CN"/>
                    </w:rPr>
                  </w:pPr>
                  <w:r>
                    <w:rPr>
                      <w:rFonts w:hint="default" w:ascii="Times New Roman" w:hAnsi="Times New Roman" w:eastAsia="宋体" w:cs="Times New Roman"/>
                      <w:b/>
                      <w:bCs/>
                      <w:color w:val="auto"/>
                      <w:kern w:val="0"/>
                      <w:szCs w:val="21"/>
                      <w:lang w:val="en-US" w:eastAsia="zh-CN"/>
                    </w:rPr>
                    <w:t>36 汽车制造业</w:t>
                  </w:r>
                </w:p>
              </w:tc>
              <w:tc>
                <w:tcPr>
                  <w:tcW w:w="2679" w:type="pct"/>
                  <w:vAlign w:val="center"/>
                </w:tcPr>
                <w:p w14:paraId="42028225">
                  <w:pPr>
                    <w:widowControl/>
                    <w:tabs>
                      <w:tab w:val="left" w:pos="4305"/>
                    </w:tabs>
                    <w:jc w:val="left"/>
                    <w:rPr>
                      <w:rFonts w:hint="default" w:ascii="Times New Roman" w:hAnsi="Times New Roman" w:eastAsia="宋体" w:cs="Times New Roman"/>
                      <w:color w:val="auto"/>
                      <w:kern w:val="0"/>
                      <w:szCs w:val="21"/>
                      <w:lang w:eastAsia="zh-CN"/>
                    </w:rPr>
                  </w:pPr>
                  <w:r>
                    <w:rPr>
                      <w:rFonts w:hint="default" w:ascii="Times New Roman" w:hAnsi="Times New Roman" w:eastAsia="宋体" w:cs="Times New Roman"/>
                      <w:color w:val="auto"/>
                      <w:kern w:val="0"/>
                      <w:szCs w:val="21"/>
                      <w:lang w:val="en-US" w:eastAsia="zh-CN"/>
                    </w:rPr>
                    <w:t>365电车制造</w:t>
                  </w:r>
                </w:p>
              </w:tc>
              <w:tc>
                <w:tcPr>
                  <w:tcW w:w="308" w:type="pct"/>
                  <w:vMerge w:val="continue"/>
                  <w:vAlign w:val="center"/>
                </w:tcPr>
                <w:p w14:paraId="61D76D76">
                  <w:pPr>
                    <w:widowControl/>
                    <w:tabs>
                      <w:tab w:val="left" w:pos="4305"/>
                    </w:tabs>
                    <w:jc w:val="center"/>
                    <w:rPr>
                      <w:rFonts w:hint="default" w:ascii="Times New Roman" w:hAnsi="Times New Roman" w:cs="Times New Roman"/>
                      <w:color w:val="auto"/>
                      <w:kern w:val="0"/>
                      <w:szCs w:val="21"/>
                    </w:rPr>
                  </w:pPr>
                </w:p>
              </w:tc>
            </w:tr>
            <w:tr w14:paraId="7A120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54" w:type="pct"/>
                  <w:vMerge w:val="continue"/>
                  <w:vAlign w:val="center"/>
                </w:tcPr>
                <w:p w14:paraId="29CEB733">
                  <w:pPr>
                    <w:widowControl/>
                    <w:tabs>
                      <w:tab w:val="left" w:pos="4305"/>
                    </w:tabs>
                    <w:jc w:val="center"/>
                    <w:rPr>
                      <w:rFonts w:hint="default" w:ascii="Times New Roman" w:hAnsi="Times New Roman" w:cs="Times New Roman"/>
                      <w:color w:val="auto"/>
                      <w:kern w:val="0"/>
                      <w:szCs w:val="21"/>
                    </w:rPr>
                  </w:pPr>
                </w:p>
              </w:tc>
              <w:tc>
                <w:tcPr>
                  <w:tcW w:w="1358" w:type="pct"/>
                  <w:vMerge w:val="continue"/>
                  <w:vAlign w:val="center"/>
                </w:tcPr>
                <w:p w14:paraId="6B44A73F">
                  <w:pPr>
                    <w:widowControl/>
                    <w:tabs>
                      <w:tab w:val="left" w:pos="4305"/>
                    </w:tabs>
                    <w:jc w:val="left"/>
                    <w:rPr>
                      <w:rFonts w:hint="default" w:ascii="Times New Roman" w:hAnsi="Times New Roman" w:eastAsia="宋体" w:cs="Times New Roman"/>
                      <w:color w:val="auto"/>
                      <w:kern w:val="0"/>
                      <w:szCs w:val="21"/>
                      <w:lang w:eastAsia="zh-CN"/>
                    </w:rPr>
                  </w:pPr>
                </w:p>
              </w:tc>
              <w:tc>
                <w:tcPr>
                  <w:tcW w:w="2679" w:type="pct"/>
                  <w:vAlign w:val="center"/>
                </w:tcPr>
                <w:p w14:paraId="071AE65B">
                  <w:pPr>
                    <w:widowControl/>
                    <w:tabs>
                      <w:tab w:val="left" w:pos="4305"/>
                    </w:tabs>
                    <w:jc w:val="left"/>
                    <w:rPr>
                      <w:rFonts w:hint="default" w:ascii="Times New Roman" w:hAnsi="Times New Roman" w:eastAsia="宋体" w:cs="Times New Roman"/>
                      <w:color w:val="auto"/>
                      <w:kern w:val="0"/>
                      <w:szCs w:val="21"/>
                      <w:lang w:eastAsia="zh-CN"/>
                    </w:rPr>
                  </w:pPr>
                  <w:r>
                    <w:rPr>
                      <w:rFonts w:hint="default" w:ascii="Times New Roman" w:hAnsi="Times New Roman" w:eastAsia="宋体" w:cs="Times New Roman"/>
                      <w:color w:val="auto"/>
                      <w:kern w:val="0"/>
                      <w:szCs w:val="21"/>
                      <w:lang w:val="en-US" w:eastAsia="zh-CN"/>
                    </w:rPr>
                    <w:t>366汽车车身、挂车制造</w:t>
                  </w:r>
                </w:p>
              </w:tc>
              <w:tc>
                <w:tcPr>
                  <w:tcW w:w="308" w:type="pct"/>
                  <w:vMerge w:val="continue"/>
                  <w:vAlign w:val="center"/>
                </w:tcPr>
                <w:p w14:paraId="36CCF6F9">
                  <w:pPr>
                    <w:widowControl/>
                    <w:tabs>
                      <w:tab w:val="left" w:pos="4305"/>
                    </w:tabs>
                    <w:jc w:val="center"/>
                    <w:rPr>
                      <w:rFonts w:hint="default" w:ascii="Times New Roman" w:hAnsi="Times New Roman" w:cs="Times New Roman"/>
                      <w:color w:val="auto"/>
                      <w:kern w:val="0"/>
                      <w:szCs w:val="21"/>
                    </w:rPr>
                  </w:pPr>
                </w:p>
              </w:tc>
            </w:tr>
            <w:tr w14:paraId="69104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54" w:type="pct"/>
                  <w:vMerge w:val="continue"/>
                  <w:vAlign w:val="center"/>
                </w:tcPr>
                <w:p w14:paraId="2C1D0C19">
                  <w:pPr>
                    <w:widowControl/>
                    <w:tabs>
                      <w:tab w:val="left" w:pos="4305"/>
                    </w:tabs>
                    <w:jc w:val="center"/>
                    <w:rPr>
                      <w:rFonts w:hint="default" w:ascii="Times New Roman" w:hAnsi="Times New Roman" w:cs="Times New Roman"/>
                      <w:color w:val="auto"/>
                      <w:kern w:val="0"/>
                      <w:szCs w:val="21"/>
                    </w:rPr>
                  </w:pPr>
                </w:p>
              </w:tc>
              <w:tc>
                <w:tcPr>
                  <w:tcW w:w="1358" w:type="pct"/>
                  <w:vMerge w:val="continue"/>
                  <w:vAlign w:val="center"/>
                </w:tcPr>
                <w:p w14:paraId="511CEC39">
                  <w:pPr>
                    <w:widowControl/>
                    <w:tabs>
                      <w:tab w:val="left" w:pos="4305"/>
                    </w:tabs>
                    <w:jc w:val="left"/>
                    <w:rPr>
                      <w:rFonts w:hint="default" w:ascii="Times New Roman" w:hAnsi="Times New Roman" w:eastAsia="宋体" w:cs="Times New Roman"/>
                      <w:color w:val="auto"/>
                      <w:kern w:val="0"/>
                      <w:szCs w:val="21"/>
                      <w:lang w:eastAsia="zh-CN"/>
                    </w:rPr>
                  </w:pPr>
                </w:p>
              </w:tc>
              <w:tc>
                <w:tcPr>
                  <w:tcW w:w="2679" w:type="pct"/>
                  <w:vAlign w:val="center"/>
                </w:tcPr>
                <w:p w14:paraId="63A0361C">
                  <w:pPr>
                    <w:widowControl/>
                    <w:tabs>
                      <w:tab w:val="left" w:pos="4305"/>
                    </w:tabs>
                    <w:jc w:val="left"/>
                    <w:rPr>
                      <w:rFonts w:hint="default" w:ascii="Times New Roman" w:hAnsi="Times New Roman" w:eastAsia="宋体" w:cs="Times New Roman"/>
                      <w:color w:val="auto"/>
                      <w:kern w:val="0"/>
                      <w:szCs w:val="21"/>
                      <w:lang w:eastAsia="zh-CN"/>
                    </w:rPr>
                  </w:pPr>
                  <w:r>
                    <w:rPr>
                      <w:rFonts w:hint="default" w:ascii="Times New Roman" w:hAnsi="Times New Roman" w:eastAsia="宋体" w:cs="Times New Roman"/>
                      <w:b/>
                      <w:bCs/>
                      <w:color w:val="auto"/>
                      <w:kern w:val="0"/>
                      <w:szCs w:val="21"/>
                      <w:lang w:val="en-US" w:eastAsia="zh-CN"/>
                    </w:rPr>
                    <w:t>367汽车零部件及配件制造</w:t>
                  </w:r>
                </w:p>
              </w:tc>
              <w:tc>
                <w:tcPr>
                  <w:tcW w:w="308" w:type="pct"/>
                  <w:vMerge w:val="continue"/>
                  <w:vAlign w:val="center"/>
                </w:tcPr>
                <w:p w14:paraId="0BF6FB6A">
                  <w:pPr>
                    <w:widowControl/>
                    <w:tabs>
                      <w:tab w:val="left" w:pos="4305"/>
                    </w:tabs>
                    <w:jc w:val="center"/>
                    <w:rPr>
                      <w:rFonts w:hint="default" w:ascii="Times New Roman" w:hAnsi="Times New Roman" w:cs="Times New Roman"/>
                      <w:color w:val="auto"/>
                      <w:kern w:val="0"/>
                      <w:szCs w:val="21"/>
                    </w:rPr>
                  </w:pPr>
                </w:p>
              </w:tc>
            </w:tr>
            <w:tr w14:paraId="2072F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54" w:type="pct"/>
                  <w:vMerge w:val="continue"/>
                  <w:vAlign w:val="center"/>
                </w:tcPr>
                <w:p w14:paraId="10E327D4">
                  <w:pPr>
                    <w:widowControl/>
                    <w:tabs>
                      <w:tab w:val="left" w:pos="4305"/>
                    </w:tabs>
                    <w:jc w:val="center"/>
                    <w:rPr>
                      <w:rFonts w:hint="default" w:ascii="Times New Roman" w:hAnsi="Times New Roman" w:cs="Times New Roman"/>
                      <w:color w:val="auto"/>
                      <w:kern w:val="0"/>
                      <w:szCs w:val="21"/>
                    </w:rPr>
                  </w:pPr>
                </w:p>
              </w:tc>
              <w:tc>
                <w:tcPr>
                  <w:tcW w:w="1358" w:type="pct"/>
                  <w:vMerge w:val="restart"/>
                  <w:vAlign w:val="center"/>
                </w:tcPr>
                <w:p w14:paraId="15D329EF">
                  <w:pPr>
                    <w:widowControl/>
                    <w:tabs>
                      <w:tab w:val="left" w:pos="4305"/>
                    </w:tabs>
                    <w:jc w:val="left"/>
                    <w:rPr>
                      <w:rFonts w:hint="default" w:ascii="Times New Roman" w:hAnsi="Times New Roman" w:eastAsia="宋体" w:cs="Times New Roman"/>
                      <w:color w:val="auto"/>
                      <w:kern w:val="0"/>
                      <w:szCs w:val="21"/>
                      <w:lang w:eastAsia="zh-CN"/>
                    </w:rPr>
                  </w:pPr>
                  <w:r>
                    <w:rPr>
                      <w:rFonts w:hint="default" w:ascii="Times New Roman" w:hAnsi="Times New Roman" w:eastAsia="宋体" w:cs="Times New Roman"/>
                      <w:color w:val="auto"/>
                      <w:kern w:val="0"/>
                      <w:szCs w:val="21"/>
                      <w:lang w:val="en-US" w:eastAsia="zh-CN"/>
                    </w:rPr>
                    <w:t>38 电气机械和器材制造业</w:t>
                  </w:r>
                </w:p>
              </w:tc>
              <w:tc>
                <w:tcPr>
                  <w:tcW w:w="2679" w:type="pct"/>
                  <w:vAlign w:val="center"/>
                </w:tcPr>
                <w:p w14:paraId="3BEC2BBE">
                  <w:pPr>
                    <w:widowControl/>
                    <w:tabs>
                      <w:tab w:val="left" w:pos="4305"/>
                    </w:tabs>
                    <w:jc w:val="left"/>
                    <w:rPr>
                      <w:rFonts w:hint="default" w:ascii="Times New Roman" w:hAnsi="Times New Roman" w:eastAsia="宋体" w:cs="Times New Roman"/>
                      <w:color w:val="auto"/>
                      <w:kern w:val="0"/>
                      <w:szCs w:val="21"/>
                      <w:lang w:eastAsia="zh-CN"/>
                    </w:rPr>
                  </w:pPr>
                  <w:r>
                    <w:rPr>
                      <w:rFonts w:hint="default" w:ascii="Times New Roman" w:hAnsi="Times New Roman" w:eastAsia="宋体" w:cs="Times New Roman"/>
                      <w:color w:val="auto"/>
                      <w:kern w:val="0"/>
                      <w:szCs w:val="21"/>
                      <w:lang w:val="en-US" w:eastAsia="zh-CN"/>
                    </w:rPr>
                    <w:t>381电机制造</w:t>
                  </w:r>
                </w:p>
              </w:tc>
              <w:tc>
                <w:tcPr>
                  <w:tcW w:w="308" w:type="pct"/>
                  <w:vMerge w:val="continue"/>
                  <w:vAlign w:val="center"/>
                </w:tcPr>
                <w:p w14:paraId="5FD4D954">
                  <w:pPr>
                    <w:widowControl/>
                    <w:tabs>
                      <w:tab w:val="left" w:pos="4305"/>
                    </w:tabs>
                    <w:jc w:val="center"/>
                    <w:rPr>
                      <w:rFonts w:hint="default" w:ascii="Times New Roman" w:hAnsi="Times New Roman" w:cs="Times New Roman"/>
                      <w:color w:val="auto"/>
                      <w:kern w:val="0"/>
                      <w:szCs w:val="21"/>
                    </w:rPr>
                  </w:pPr>
                </w:p>
              </w:tc>
            </w:tr>
            <w:tr w14:paraId="62B17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654" w:type="pct"/>
                  <w:vMerge w:val="continue"/>
                  <w:vAlign w:val="center"/>
                </w:tcPr>
                <w:p w14:paraId="01D12AE8">
                  <w:pPr>
                    <w:widowControl/>
                    <w:tabs>
                      <w:tab w:val="left" w:pos="4305"/>
                    </w:tabs>
                    <w:jc w:val="center"/>
                    <w:rPr>
                      <w:rFonts w:hint="default" w:ascii="Times New Roman" w:hAnsi="Times New Roman" w:cs="Times New Roman"/>
                      <w:color w:val="auto"/>
                      <w:kern w:val="0"/>
                      <w:szCs w:val="21"/>
                    </w:rPr>
                  </w:pPr>
                </w:p>
              </w:tc>
              <w:tc>
                <w:tcPr>
                  <w:tcW w:w="1358" w:type="pct"/>
                  <w:vMerge w:val="continue"/>
                  <w:vAlign w:val="center"/>
                </w:tcPr>
                <w:p w14:paraId="57A20287">
                  <w:pPr>
                    <w:widowControl/>
                    <w:tabs>
                      <w:tab w:val="left" w:pos="4305"/>
                    </w:tabs>
                    <w:jc w:val="left"/>
                    <w:rPr>
                      <w:rFonts w:hint="default" w:ascii="Times New Roman" w:hAnsi="Times New Roman" w:eastAsia="宋体" w:cs="Times New Roman"/>
                      <w:color w:val="auto"/>
                      <w:kern w:val="0"/>
                      <w:szCs w:val="21"/>
                      <w:lang w:eastAsia="zh-CN"/>
                    </w:rPr>
                  </w:pPr>
                </w:p>
              </w:tc>
              <w:tc>
                <w:tcPr>
                  <w:tcW w:w="2679" w:type="pct"/>
                  <w:vAlign w:val="center"/>
                </w:tcPr>
                <w:p w14:paraId="6BBCF2E0">
                  <w:pPr>
                    <w:widowControl/>
                    <w:tabs>
                      <w:tab w:val="left" w:pos="4305"/>
                    </w:tabs>
                    <w:jc w:val="left"/>
                    <w:rPr>
                      <w:rFonts w:hint="default" w:ascii="Times New Roman" w:hAnsi="Times New Roman" w:eastAsia="宋体" w:cs="Times New Roman"/>
                      <w:color w:val="auto"/>
                      <w:kern w:val="0"/>
                      <w:szCs w:val="21"/>
                      <w:lang w:eastAsia="zh-CN"/>
                    </w:rPr>
                  </w:pPr>
                  <w:r>
                    <w:rPr>
                      <w:rFonts w:hint="default" w:ascii="Times New Roman" w:hAnsi="Times New Roman" w:eastAsia="宋体" w:cs="Times New Roman"/>
                      <w:color w:val="auto"/>
                      <w:kern w:val="0"/>
                      <w:szCs w:val="21"/>
                      <w:lang w:val="en-US" w:eastAsia="zh-CN"/>
                    </w:rPr>
                    <w:t>382输配电及控制设备制造</w:t>
                  </w:r>
                </w:p>
              </w:tc>
              <w:tc>
                <w:tcPr>
                  <w:tcW w:w="308" w:type="pct"/>
                  <w:vMerge w:val="continue"/>
                  <w:vAlign w:val="center"/>
                </w:tcPr>
                <w:p w14:paraId="5C46E4C1">
                  <w:pPr>
                    <w:widowControl/>
                    <w:tabs>
                      <w:tab w:val="left" w:pos="4305"/>
                    </w:tabs>
                    <w:jc w:val="center"/>
                    <w:rPr>
                      <w:rFonts w:hint="default" w:ascii="Times New Roman" w:hAnsi="Times New Roman" w:cs="Times New Roman"/>
                      <w:color w:val="auto"/>
                      <w:kern w:val="0"/>
                      <w:szCs w:val="21"/>
                    </w:rPr>
                  </w:pPr>
                </w:p>
              </w:tc>
            </w:tr>
            <w:tr w14:paraId="2CC48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4" w:type="pct"/>
                  <w:vMerge w:val="continue"/>
                  <w:vAlign w:val="center"/>
                </w:tcPr>
                <w:p w14:paraId="7333FEC8">
                  <w:pPr>
                    <w:widowControl/>
                    <w:tabs>
                      <w:tab w:val="left" w:pos="4305"/>
                    </w:tabs>
                    <w:jc w:val="center"/>
                    <w:rPr>
                      <w:rFonts w:hint="default" w:ascii="Times New Roman" w:hAnsi="Times New Roman" w:cs="Times New Roman"/>
                      <w:color w:val="auto"/>
                      <w:kern w:val="0"/>
                      <w:szCs w:val="21"/>
                    </w:rPr>
                  </w:pPr>
                </w:p>
              </w:tc>
              <w:tc>
                <w:tcPr>
                  <w:tcW w:w="1358" w:type="pct"/>
                  <w:vMerge w:val="continue"/>
                  <w:vAlign w:val="center"/>
                </w:tcPr>
                <w:p w14:paraId="265F1138">
                  <w:pPr>
                    <w:widowControl/>
                    <w:tabs>
                      <w:tab w:val="left" w:pos="4305"/>
                    </w:tabs>
                    <w:jc w:val="left"/>
                    <w:rPr>
                      <w:rFonts w:hint="default" w:ascii="Times New Roman" w:hAnsi="Times New Roman" w:eastAsia="宋体" w:cs="Times New Roman"/>
                      <w:color w:val="auto"/>
                      <w:kern w:val="0"/>
                      <w:szCs w:val="21"/>
                      <w:lang w:eastAsia="zh-CN"/>
                    </w:rPr>
                  </w:pPr>
                </w:p>
              </w:tc>
              <w:tc>
                <w:tcPr>
                  <w:tcW w:w="2679" w:type="pct"/>
                  <w:vAlign w:val="center"/>
                </w:tcPr>
                <w:p w14:paraId="57F42A62">
                  <w:pPr>
                    <w:widowControl/>
                    <w:tabs>
                      <w:tab w:val="left" w:pos="4305"/>
                    </w:tabs>
                    <w:jc w:val="left"/>
                    <w:rPr>
                      <w:rFonts w:hint="default" w:ascii="Times New Roman" w:hAnsi="Times New Roman" w:eastAsia="宋体" w:cs="Times New Roman"/>
                      <w:color w:val="auto"/>
                      <w:kern w:val="0"/>
                      <w:szCs w:val="21"/>
                      <w:lang w:eastAsia="zh-CN"/>
                    </w:rPr>
                  </w:pPr>
                  <w:r>
                    <w:rPr>
                      <w:rFonts w:hint="default" w:ascii="Times New Roman" w:hAnsi="Times New Roman" w:eastAsia="宋体" w:cs="Times New Roman"/>
                      <w:color w:val="auto"/>
                      <w:kern w:val="0"/>
                      <w:szCs w:val="21"/>
                      <w:lang w:val="en-US" w:eastAsia="zh-CN"/>
                    </w:rPr>
                    <w:t>385家用电力器具制造</w:t>
                  </w:r>
                </w:p>
              </w:tc>
              <w:tc>
                <w:tcPr>
                  <w:tcW w:w="308" w:type="pct"/>
                  <w:vMerge w:val="continue"/>
                  <w:vAlign w:val="center"/>
                </w:tcPr>
                <w:p w14:paraId="293D47CA">
                  <w:pPr>
                    <w:widowControl/>
                    <w:tabs>
                      <w:tab w:val="left" w:pos="4305"/>
                    </w:tabs>
                    <w:jc w:val="center"/>
                    <w:rPr>
                      <w:rFonts w:hint="default" w:ascii="Times New Roman" w:hAnsi="Times New Roman" w:cs="Times New Roman"/>
                      <w:color w:val="auto"/>
                      <w:kern w:val="0"/>
                      <w:szCs w:val="21"/>
                    </w:rPr>
                  </w:pPr>
                </w:p>
              </w:tc>
            </w:tr>
            <w:tr w14:paraId="4D867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4" w:type="pct"/>
                  <w:vAlign w:val="center"/>
                </w:tcPr>
                <w:p w14:paraId="506349C4">
                  <w:pPr>
                    <w:widowControl/>
                    <w:tabs>
                      <w:tab w:val="left" w:pos="4305"/>
                    </w:tabs>
                    <w:jc w:val="center"/>
                    <w:rPr>
                      <w:rFonts w:hint="default" w:ascii="Times New Roman" w:hAnsi="Times New Roman" w:eastAsia="宋体" w:cs="Times New Roman"/>
                      <w:color w:val="auto"/>
                      <w:kern w:val="0"/>
                      <w:szCs w:val="21"/>
                      <w:lang w:eastAsia="zh-CN"/>
                    </w:rPr>
                  </w:pPr>
                  <w:r>
                    <w:rPr>
                      <w:rFonts w:hint="default" w:ascii="Times New Roman" w:hAnsi="Times New Roman" w:cs="Times New Roman"/>
                      <w:color w:val="auto"/>
                      <w:kern w:val="0"/>
                      <w:szCs w:val="21"/>
                      <w:lang w:eastAsia="zh-CN"/>
                    </w:rPr>
                    <w:t>限值类</w:t>
                  </w:r>
                </w:p>
              </w:tc>
              <w:tc>
                <w:tcPr>
                  <w:tcW w:w="4037" w:type="pct"/>
                  <w:gridSpan w:val="2"/>
                  <w:vAlign w:val="center"/>
                </w:tcPr>
                <w:p w14:paraId="01B1F28C">
                  <w:pPr>
                    <w:keepNext w:val="0"/>
                    <w:keepLines w:val="0"/>
                    <w:widowControl/>
                    <w:suppressLineNumbers w:val="0"/>
                    <w:jc w:val="left"/>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 xml:space="preserve">（1）限制新建、扩建《产业结构调整指导目录（2024 年本）》） </w:t>
                  </w:r>
                </w:p>
                <w:p w14:paraId="104299E6">
                  <w:pPr>
                    <w:keepNext w:val="0"/>
                    <w:keepLines w:val="0"/>
                    <w:widowControl/>
                    <w:suppressLineNumbers w:val="0"/>
                    <w:jc w:val="left"/>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 xml:space="preserve">中限制类项目； </w:t>
                  </w:r>
                </w:p>
                <w:p w14:paraId="545EEF3E">
                  <w:pPr>
                    <w:keepNext w:val="0"/>
                    <w:keepLines w:val="0"/>
                    <w:widowControl/>
                    <w:suppressLineNumbers w:val="0"/>
                    <w:jc w:val="left"/>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 xml:space="preserve">（2）限制新增与主导产业无关的产业项目入驻； </w:t>
                  </w:r>
                </w:p>
                <w:p w14:paraId="787BF0A9">
                  <w:pPr>
                    <w:keepNext w:val="0"/>
                    <w:keepLines w:val="0"/>
                    <w:widowControl/>
                    <w:suppressLineNumbers w:val="0"/>
                    <w:jc w:val="left"/>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 xml:space="preserve">（3）限制现有与主导产业不符企业扩大产能； </w:t>
                  </w:r>
                </w:p>
                <w:p w14:paraId="32AF7612">
                  <w:pPr>
                    <w:keepNext w:val="0"/>
                    <w:keepLines w:val="0"/>
                    <w:widowControl/>
                    <w:suppressLineNumbers w:val="0"/>
                    <w:jc w:val="left"/>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 xml:space="preserve">（4）安徽新芜经济开发区涉及电镀工序项目必须在开发区内表面处理中心内建设； </w:t>
                  </w:r>
                </w:p>
                <w:p w14:paraId="399C33BD">
                  <w:pPr>
                    <w:keepNext w:val="0"/>
                    <w:keepLines w:val="0"/>
                    <w:widowControl/>
                    <w:suppressLineNumbers w:val="0"/>
                    <w:jc w:val="left"/>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5）对开发区内现有化工企业按照《关于进一步规范化工项目建设管理的通知》等文件要求妥善安置，不得扩大产能。新建危险化学品生产（含中间产品）项目，以爆炸性化学品、剧（高）毒化学品、液化烃类易燃易爆化学品为主要原料的化工生产项目，以及其他构成危险化学品重大危险源或依法应取得安全使用许可证的化工生产项目不得进入开发区。</w:t>
                  </w:r>
                </w:p>
              </w:tc>
              <w:tc>
                <w:tcPr>
                  <w:tcW w:w="308" w:type="pct"/>
                  <w:vMerge w:val="continue"/>
                  <w:vAlign w:val="center"/>
                </w:tcPr>
                <w:p w14:paraId="21C06C01">
                  <w:pPr>
                    <w:widowControl/>
                    <w:tabs>
                      <w:tab w:val="left" w:pos="4305"/>
                    </w:tabs>
                    <w:jc w:val="center"/>
                    <w:rPr>
                      <w:rFonts w:hint="default" w:ascii="Times New Roman" w:hAnsi="Times New Roman" w:cs="Times New Roman"/>
                      <w:color w:val="auto"/>
                      <w:kern w:val="0"/>
                      <w:szCs w:val="21"/>
                    </w:rPr>
                  </w:pPr>
                </w:p>
              </w:tc>
            </w:tr>
            <w:tr w14:paraId="7F017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4" w:type="pct"/>
                  <w:vAlign w:val="center"/>
                </w:tcPr>
                <w:p w14:paraId="62167992">
                  <w:pPr>
                    <w:widowControl/>
                    <w:tabs>
                      <w:tab w:val="left" w:pos="4305"/>
                    </w:tabs>
                    <w:jc w:val="center"/>
                    <w:rPr>
                      <w:rFonts w:hint="default" w:ascii="Times New Roman" w:hAnsi="Times New Roman" w:eastAsia="宋体" w:cs="Times New Roman"/>
                      <w:color w:val="auto"/>
                      <w:kern w:val="0"/>
                      <w:szCs w:val="21"/>
                      <w:lang w:eastAsia="zh-CN"/>
                    </w:rPr>
                  </w:pPr>
                  <w:r>
                    <w:rPr>
                      <w:rFonts w:hint="default" w:ascii="Times New Roman" w:hAnsi="Times New Roman" w:cs="Times New Roman"/>
                      <w:color w:val="auto"/>
                      <w:kern w:val="0"/>
                      <w:szCs w:val="21"/>
                      <w:lang w:eastAsia="zh-CN"/>
                    </w:rPr>
                    <w:t>禁止类</w:t>
                  </w:r>
                </w:p>
              </w:tc>
              <w:tc>
                <w:tcPr>
                  <w:tcW w:w="4037" w:type="pct"/>
                  <w:gridSpan w:val="2"/>
                  <w:vAlign w:val="center"/>
                </w:tcPr>
                <w:p w14:paraId="6B7CD37F">
                  <w:pPr>
                    <w:keepNext w:val="0"/>
                    <w:keepLines w:val="0"/>
                    <w:widowControl/>
                    <w:suppressLineNumbers w:val="0"/>
                    <w:jc w:val="left"/>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 xml:space="preserve">（1）禁止引入列入《产业结构调整指导目录（2024年本）》、 </w:t>
                  </w:r>
                </w:p>
                <w:p w14:paraId="4DB4B0BD">
                  <w:pPr>
                    <w:keepNext w:val="0"/>
                    <w:keepLines w:val="0"/>
                    <w:widowControl/>
                    <w:suppressLineNumbers w:val="0"/>
                    <w:jc w:val="left"/>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 xml:space="preserve">《外商投资准入特别管理措施（负面清单）》（2021年版）、 </w:t>
                  </w:r>
                </w:p>
                <w:p w14:paraId="5F1603EC">
                  <w:pPr>
                    <w:keepNext w:val="0"/>
                    <w:keepLines w:val="0"/>
                    <w:widowControl/>
                    <w:suppressLineNumbers w:val="0"/>
                    <w:jc w:val="left"/>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《市场准入负面清单（202</w:t>
                  </w:r>
                  <w:r>
                    <w:rPr>
                      <w:rFonts w:hint="eastAsia" w:cs="Times New Roman"/>
                      <w:color w:val="auto"/>
                      <w:kern w:val="0"/>
                      <w:sz w:val="21"/>
                      <w:szCs w:val="21"/>
                      <w:lang w:val="en-US" w:eastAsia="zh-CN" w:bidi="ar"/>
                    </w:rPr>
                    <w:t>5</w:t>
                  </w:r>
                  <w:r>
                    <w:rPr>
                      <w:rFonts w:hint="default" w:ascii="Times New Roman" w:hAnsi="Times New Roman" w:eastAsia="宋体" w:cs="Times New Roman"/>
                      <w:color w:val="auto"/>
                      <w:kern w:val="0"/>
                      <w:sz w:val="21"/>
                      <w:szCs w:val="21"/>
                      <w:lang w:val="en-US" w:eastAsia="zh-CN" w:bidi="ar"/>
                    </w:rPr>
                    <w:t xml:space="preserve">年版）》、《安徽省长江经济带发展负面清单实施细则（试行）》等相关产业政策中禁止或淘汰类项目。 </w:t>
                  </w:r>
                </w:p>
                <w:p w14:paraId="24A02AD8">
                  <w:pPr>
                    <w:keepNext w:val="0"/>
                    <w:keepLines w:val="0"/>
                    <w:widowControl/>
                    <w:suppressLineNumbers w:val="0"/>
                    <w:jc w:val="left"/>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 xml:space="preserve">（2）禁止新建、扩建法律法规和相关政策明令禁止的落后产能项目； </w:t>
                  </w:r>
                </w:p>
                <w:p w14:paraId="6E2A23CE">
                  <w:pPr>
                    <w:keepNext w:val="0"/>
                    <w:keepLines w:val="0"/>
                    <w:widowControl/>
                    <w:suppressLineNumbers w:val="0"/>
                    <w:jc w:val="left"/>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 xml:space="preserve">（3）禁止新建、扩建不符合国家产能置换要求的严重过剩产能行业的项目； </w:t>
                  </w:r>
                </w:p>
                <w:p w14:paraId="744532E0">
                  <w:pPr>
                    <w:keepNext w:val="0"/>
                    <w:keepLines w:val="0"/>
                    <w:widowControl/>
                    <w:suppressLineNumbers w:val="0"/>
                    <w:jc w:val="left"/>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 xml:space="preserve">（4）禁止引入《安徽省“两高”项目管理目录》内项目； </w:t>
                  </w:r>
                </w:p>
                <w:p w14:paraId="0DC07651">
                  <w:pPr>
                    <w:keepNext w:val="0"/>
                    <w:keepLines w:val="0"/>
                    <w:widowControl/>
                    <w:suppressLineNumbers w:val="0"/>
                    <w:jc w:val="left"/>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（5）禁止引入印染项目（不含涂布油墨印花及其前处理工艺）。</w:t>
                  </w:r>
                </w:p>
              </w:tc>
              <w:tc>
                <w:tcPr>
                  <w:tcW w:w="308" w:type="pct"/>
                  <w:vMerge w:val="continue"/>
                  <w:vAlign w:val="center"/>
                </w:tcPr>
                <w:p w14:paraId="77AC8813">
                  <w:pPr>
                    <w:widowControl/>
                    <w:tabs>
                      <w:tab w:val="left" w:pos="4305"/>
                    </w:tabs>
                    <w:jc w:val="center"/>
                    <w:rPr>
                      <w:rFonts w:hint="default" w:ascii="Times New Roman" w:hAnsi="Times New Roman" w:cs="Times New Roman"/>
                      <w:color w:val="auto"/>
                      <w:kern w:val="0"/>
                      <w:szCs w:val="21"/>
                    </w:rPr>
                  </w:pPr>
                </w:p>
              </w:tc>
            </w:tr>
          </w:tbl>
          <w:p w14:paraId="444A2A44">
            <w:pPr>
              <w:spacing w:line="360" w:lineRule="auto"/>
              <w:ind w:firstLine="480" w:firstLineChars="200"/>
              <w:rPr>
                <w:rFonts w:hint="default" w:ascii="Times New Roman" w:hAnsi="Times New Roman" w:cs="Times New Roman"/>
                <w:color w:val="auto"/>
                <w:sz w:val="24"/>
              </w:rPr>
            </w:pPr>
          </w:p>
        </w:tc>
      </w:tr>
      <w:tr w14:paraId="41D5BB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199" w:hRule="atLeast"/>
          <w:jc w:val="center"/>
        </w:trPr>
        <w:tc>
          <w:tcPr>
            <w:tcW w:w="1656" w:type="dxa"/>
            <w:vAlign w:val="center"/>
          </w:tcPr>
          <w:p w14:paraId="3ABF2D90">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其他符合性分析</w:t>
            </w:r>
          </w:p>
        </w:tc>
        <w:tc>
          <w:tcPr>
            <w:tcW w:w="7219" w:type="dxa"/>
            <w:gridSpan w:val="3"/>
            <w:vAlign w:val="center"/>
          </w:tcPr>
          <w:p w14:paraId="4FDE1D26">
            <w:pPr>
              <w:spacing w:line="360" w:lineRule="auto"/>
              <w:ind w:firstLine="482" w:firstLineChars="200"/>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1、建设项目产业政策符合性</w:t>
            </w:r>
          </w:p>
          <w:p w14:paraId="04CA3A14">
            <w:pPr>
              <w:spacing w:line="360" w:lineRule="auto"/>
              <w:ind w:firstLine="480" w:firstLineChars="200"/>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color w:val="auto"/>
                <w:sz w:val="24"/>
                <w:szCs w:val="24"/>
              </w:rPr>
              <w:t>依据《国民经济行业分类》（GB/T4754-2017）（2019修改版），本项目属于</w:t>
            </w:r>
            <w:r>
              <w:rPr>
                <w:rFonts w:hint="default" w:ascii="Times New Roman" w:hAnsi="Times New Roman" w:cs="Times New Roman"/>
                <w:color w:val="auto"/>
                <w:sz w:val="24"/>
              </w:rPr>
              <w:t>C3670汽车零部件及配件制造</w:t>
            </w:r>
            <w:r>
              <w:rPr>
                <w:rFonts w:hint="default" w:ascii="Times New Roman" w:hAnsi="Times New Roman" w:eastAsia="宋体" w:cs="Times New Roman"/>
                <w:bCs/>
                <w:color w:val="auto"/>
                <w:sz w:val="24"/>
                <w:szCs w:val="24"/>
                <w:highlight w:val="none"/>
                <w:lang w:val="en-US" w:eastAsia="zh-CN"/>
              </w:rPr>
              <w:t>。</w:t>
            </w:r>
          </w:p>
          <w:p w14:paraId="06C663B9">
            <w:pPr>
              <w:spacing w:line="360" w:lineRule="auto"/>
              <w:ind w:firstLine="480" w:firstLineChars="200"/>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根据国家发展和改革委员会《产业结构调整指导目录（2</w:t>
            </w:r>
            <w:r>
              <w:rPr>
                <w:rFonts w:hint="default" w:ascii="Times New Roman" w:hAnsi="Times New Roman" w:eastAsia="宋体" w:cs="Times New Roman"/>
                <w:color w:val="auto"/>
                <w:sz w:val="24"/>
                <w:szCs w:val="24"/>
                <w:lang w:val="en-US" w:eastAsia="zh-CN"/>
              </w:rPr>
              <w:t>024</w:t>
            </w:r>
            <w:r>
              <w:rPr>
                <w:rFonts w:hint="default" w:ascii="Times New Roman" w:hAnsi="Times New Roman" w:eastAsia="宋体" w:cs="Times New Roman"/>
                <w:color w:val="auto"/>
                <w:sz w:val="24"/>
                <w:szCs w:val="24"/>
              </w:rPr>
              <w:t>年本）》，</w:t>
            </w:r>
            <w:r>
              <w:rPr>
                <w:rFonts w:hint="default" w:ascii="Times New Roman" w:hAnsi="Times New Roman" w:cs="Times New Roman"/>
                <w:color w:val="auto"/>
                <w:sz w:val="24"/>
              </w:rPr>
              <w:t>C3670汽车零部件及配件制造</w:t>
            </w:r>
            <w:r>
              <w:rPr>
                <w:rFonts w:hint="default" w:ascii="Times New Roman" w:hAnsi="Times New Roman" w:eastAsia="宋体" w:cs="Times New Roman"/>
                <w:color w:val="auto"/>
                <w:sz w:val="24"/>
                <w:szCs w:val="24"/>
                <w:lang w:val="en-US" w:eastAsia="zh-CN"/>
              </w:rPr>
              <w:t>不属于其中“</w:t>
            </w:r>
            <w:r>
              <w:rPr>
                <w:rFonts w:hint="default" w:ascii="Times New Roman" w:hAnsi="Times New Roman" w:eastAsia="宋体" w:cs="Times New Roman"/>
                <w:color w:val="auto"/>
                <w:sz w:val="24"/>
                <w:szCs w:val="24"/>
              </w:rPr>
              <w:t>鼓励类</w:t>
            </w:r>
            <w:r>
              <w:rPr>
                <w:rFonts w:hint="default" w:ascii="Times New Roman" w:hAnsi="Times New Roman" w:eastAsia="宋体" w:cs="Times New Roman"/>
                <w:color w:val="auto"/>
                <w:sz w:val="24"/>
                <w:szCs w:val="24"/>
                <w:lang w:val="en-US" w:eastAsia="zh-CN"/>
              </w:rPr>
              <w:t>”、“限制类”、“淘汰类”</w:t>
            </w:r>
            <w:r>
              <w:rPr>
                <w:rFonts w:hint="default" w:ascii="Times New Roman" w:hAnsi="Times New Roman" w:eastAsia="宋体" w:cs="Times New Roman"/>
                <w:color w:val="auto"/>
                <w:sz w:val="24"/>
                <w:szCs w:val="24"/>
              </w:rPr>
              <w:t>项目</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属于“允许类”</w:t>
            </w:r>
            <w:r>
              <w:rPr>
                <w:rFonts w:hint="default" w:ascii="Times New Roman" w:hAnsi="Times New Roman" w:eastAsia="宋体" w:cs="Times New Roman"/>
                <w:color w:val="auto"/>
                <w:sz w:val="24"/>
                <w:szCs w:val="24"/>
                <w:lang w:eastAsia="zh-CN"/>
              </w:rPr>
              <w:t>，符合国家产业政策。</w:t>
            </w:r>
          </w:p>
          <w:p w14:paraId="025D871B">
            <w:pPr>
              <w:spacing w:line="360" w:lineRule="auto"/>
              <w:ind w:firstLine="480" w:firstLineChars="200"/>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项目生产过程中不含有《部分工业行业淘汰落后生产工艺装备和产品指导目录（2010年本）》中列出的淘汰设备。</w:t>
            </w:r>
          </w:p>
          <w:p w14:paraId="21140A83">
            <w:pPr>
              <w:spacing w:line="360" w:lineRule="auto"/>
              <w:ind w:firstLine="480" w:firstLineChars="200"/>
              <w:rPr>
                <w:rFonts w:hint="eastAsia" w:ascii="Times New Roman" w:hAnsi="Times New Roman" w:eastAsia="宋体" w:cs="Times New Roman"/>
                <w:color w:val="auto"/>
                <w:kern w:val="0"/>
                <w:sz w:val="24"/>
                <w:szCs w:val="24"/>
                <w:highlight w:val="none"/>
                <w:lang w:eastAsia="zh-CN"/>
              </w:rPr>
            </w:pPr>
            <w:r>
              <w:rPr>
                <w:rFonts w:hint="default" w:ascii="Times New Roman" w:hAnsi="Times New Roman" w:cs="Times New Roman"/>
                <w:color w:val="auto"/>
                <w:sz w:val="24"/>
              </w:rPr>
              <w:t>本项目不属于《市场准入负面清单（202</w:t>
            </w:r>
            <w:r>
              <w:rPr>
                <w:rFonts w:hint="eastAsia" w:cs="Times New Roman"/>
                <w:color w:val="auto"/>
                <w:sz w:val="24"/>
                <w:lang w:val="en-US" w:eastAsia="zh-CN"/>
              </w:rPr>
              <w:t>5</w:t>
            </w:r>
            <w:r>
              <w:rPr>
                <w:rFonts w:hint="default" w:ascii="Times New Roman" w:hAnsi="Times New Roman" w:cs="Times New Roman"/>
                <w:color w:val="auto"/>
                <w:sz w:val="24"/>
              </w:rPr>
              <w:t>年版）》中的负面清单</w:t>
            </w:r>
            <w:r>
              <w:rPr>
                <w:rFonts w:hint="eastAsia" w:ascii="Times New Roman" w:hAnsi="Times New Roman" w:cs="Times New Roman"/>
                <w:color w:val="auto"/>
                <w:sz w:val="24"/>
                <w:lang w:eastAsia="zh-CN"/>
              </w:rPr>
              <w:t>。</w:t>
            </w:r>
          </w:p>
          <w:p w14:paraId="3384F026">
            <w:pPr>
              <w:spacing w:line="360" w:lineRule="auto"/>
              <w:ind w:firstLine="480" w:firstLineChars="200"/>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本项目不属于《安徽省节能减排及应对气候变化工作领导小组关于印发安徽省“两高”项目管理名录（试行）的通知》（皖节能﹝2022）2号）中的“两高”项目。</w:t>
            </w:r>
          </w:p>
          <w:p w14:paraId="65CE23B0">
            <w:pPr>
              <w:spacing w:line="360" w:lineRule="auto"/>
              <w:ind w:firstLine="480" w:firstLineChars="200"/>
              <w:rPr>
                <w:rFonts w:hint="default" w:ascii="Times New Roman" w:hAnsi="Times New Roman" w:cs="Times New Roman"/>
                <w:color w:val="auto"/>
                <w:kern w:val="0"/>
                <w:sz w:val="24"/>
                <w:szCs w:val="24"/>
                <w:highlight w:val="none"/>
              </w:rPr>
            </w:pPr>
            <w:r>
              <w:rPr>
                <w:rFonts w:hint="default" w:ascii="Times New Roman" w:hAnsi="Times New Roman" w:eastAsia="宋体" w:cs="Times New Roman"/>
                <w:caps w:val="0"/>
                <w:color w:val="auto"/>
                <w:kern w:val="2"/>
                <w:sz w:val="24"/>
                <w:szCs w:val="24"/>
                <w:lang w:val="en-US" w:eastAsia="zh-CN" w:bidi="ar-SA"/>
              </w:rPr>
              <w:t>对照《自然资源要素支撑产业高质量发展指导目录（2024年本）》，本项目不属于其中的鼓励类、限制类和禁止类，符合国家产业政策法律法规，属于允许类。</w:t>
            </w:r>
          </w:p>
          <w:p w14:paraId="419BDDE3">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且</w:t>
            </w:r>
            <w:r>
              <w:rPr>
                <w:rFonts w:hint="default" w:ascii="Times New Roman" w:hAnsi="Times New Roman" w:eastAsia="宋体" w:cs="Times New Roman"/>
                <w:color w:val="auto"/>
                <w:sz w:val="24"/>
                <w:szCs w:val="24"/>
              </w:rPr>
              <w:t>项目已</w:t>
            </w:r>
            <w:r>
              <w:rPr>
                <w:rFonts w:hint="default" w:ascii="Times New Roman" w:hAnsi="Times New Roman" w:cs="Times New Roman"/>
                <w:color w:val="auto"/>
                <w:sz w:val="24"/>
                <w:szCs w:val="24"/>
                <w:lang w:val="en-US" w:eastAsia="zh-CN"/>
              </w:rPr>
              <w:t>2025年5月13日获得</w:t>
            </w:r>
            <w:r>
              <w:rPr>
                <w:rFonts w:hint="default" w:ascii="Times New Roman" w:hAnsi="Times New Roman" w:cs="Times New Roman"/>
                <w:color w:val="auto"/>
                <w:sz w:val="24"/>
                <w:szCs w:val="24"/>
                <w:lang w:eastAsia="zh-CN"/>
              </w:rPr>
              <w:t>芜湖市湾沚区发展和改革委员会</w:t>
            </w:r>
            <w:r>
              <w:rPr>
                <w:rFonts w:hint="default" w:ascii="Times New Roman" w:hAnsi="Times New Roman" w:eastAsia="宋体" w:cs="Times New Roman"/>
                <w:color w:val="auto"/>
                <w:sz w:val="24"/>
                <w:szCs w:val="24"/>
              </w:rPr>
              <w:t>的备案许可，项目编</w:t>
            </w:r>
            <w:r>
              <w:rPr>
                <w:rFonts w:hint="eastAsia" w:cs="Times New Roman"/>
                <w:color w:val="auto"/>
                <w:sz w:val="24"/>
                <w:szCs w:val="24"/>
                <w:lang w:val="en-US" w:eastAsia="zh-CN"/>
              </w:rPr>
              <w:t>号</w:t>
            </w:r>
            <w:r>
              <w:rPr>
                <w:rFonts w:hint="default" w:ascii="Times New Roman" w:hAnsi="Times New Roman" w:eastAsia="宋体" w:cs="Times New Roman"/>
                <w:color w:val="auto"/>
                <w:sz w:val="24"/>
                <w:szCs w:val="24"/>
              </w:rPr>
              <w:t>为</w:t>
            </w:r>
            <w:r>
              <w:rPr>
                <w:rFonts w:hint="eastAsia" w:ascii="Times New Roman" w:hAnsi="Times New Roman" w:eastAsia="宋体" w:cs="Times New Roman"/>
                <w:color w:val="auto"/>
                <w:sz w:val="24"/>
                <w:szCs w:val="24"/>
                <w:lang w:val="en-US" w:eastAsia="zh-CN"/>
              </w:rPr>
              <w:t>湾发改备【2025】</w:t>
            </w:r>
            <w:r>
              <w:rPr>
                <w:rFonts w:hint="eastAsia" w:cs="Times New Roman"/>
                <w:color w:val="auto"/>
                <w:sz w:val="24"/>
                <w:szCs w:val="24"/>
                <w:lang w:val="en-US" w:eastAsia="zh-CN"/>
              </w:rPr>
              <w:t>216号</w:t>
            </w:r>
            <w:r>
              <w:rPr>
                <w:rFonts w:hint="default" w:ascii="Times New Roman" w:hAnsi="Times New Roman" w:eastAsia="宋体" w:cs="Times New Roman"/>
                <w:color w:val="auto"/>
                <w:sz w:val="24"/>
                <w:szCs w:val="24"/>
              </w:rPr>
              <w:t>。</w:t>
            </w:r>
          </w:p>
          <w:p w14:paraId="0CDA9987">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综上</w:t>
            </w:r>
            <w:r>
              <w:rPr>
                <w:rFonts w:hint="default" w:ascii="Times New Roman" w:hAnsi="Times New Roman" w:eastAsia="宋体" w:cs="Times New Roman"/>
                <w:color w:val="auto"/>
                <w:sz w:val="24"/>
                <w:szCs w:val="24"/>
              </w:rPr>
              <w:t>，本项目的建设符合国家和地方产业政策要求。</w:t>
            </w:r>
          </w:p>
          <w:p w14:paraId="363B34C2">
            <w:pPr>
              <w:spacing w:line="360" w:lineRule="auto"/>
              <w:ind w:firstLine="482" w:firstLineChars="200"/>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2、项目选址合理性分析</w:t>
            </w:r>
          </w:p>
          <w:p w14:paraId="42676F09">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（1）选址可行性</w:t>
            </w:r>
          </w:p>
          <w:p w14:paraId="062E6BBF">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eastAsia="宋体" w:cs="Times New Roman"/>
                <w:color w:val="auto"/>
                <w:sz w:val="24"/>
                <w:szCs w:val="24"/>
              </w:rPr>
              <w:t>项目</w:t>
            </w:r>
            <w:r>
              <w:rPr>
                <w:rFonts w:hint="default" w:ascii="Times New Roman" w:hAnsi="Times New Roman" w:eastAsia="宋体" w:cs="Times New Roman"/>
                <w:color w:val="auto"/>
                <w:sz w:val="24"/>
                <w:szCs w:val="24"/>
                <w:lang w:eastAsia="zh-CN"/>
              </w:rPr>
              <w:t>位</w:t>
            </w:r>
            <w:r>
              <w:rPr>
                <w:rFonts w:hint="default" w:ascii="Times New Roman" w:hAnsi="Times New Roman" w:eastAsia="宋体" w:cs="Times New Roman"/>
                <w:color w:val="auto"/>
                <w:sz w:val="24"/>
                <w:szCs w:val="24"/>
              </w:rPr>
              <w:t>于</w:t>
            </w:r>
            <w:r>
              <w:rPr>
                <w:rFonts w:hint="default" w:ascii="Times New Roman" w:hAnsi="Times New Roman" w:cs="Times New Roman"/>
                <w:color w:val="auto"/>
                <w:sz w:val="24"/>
                <w:szCs w:val="24"/>
                <w:lang w:val="en-US" w:eastAsia="zh-CN"/>
              </w:rPr>
              <w:t>芜湖市湾沚区安徽新芜经济开发区西支六路222号，根据</w:t>
            </w:r>
            <w:r>
              <w:rPr>
                <w:rFonts w:hint="default" w:ascii="Times New Roman" w:hAnsi="Times New Roman" w:eastAsia="宋体" w:cs="Times New Roman"/>
                <w:color w:val="auto"/>
                <w:sz w:val="24"/>
                <w:szCs w:val="24"/>
                <w:lang w:val="en-US" w:eastAsia="zh-CN"/>
              </w:rPr>
              <w:t>建设单位提供的</w:t>
            </w:r>
            <w:r>
              <w:rPr>
                <w:rFonts w:hint="default" w:ascii="Times New Roman" w:hAnsi="Times New Roman" w:cs="Times New Roman"/>
                <w:bCs/>
                <w:color w:val="auto"/>
                <w:kern w:val="0"/>
                <w:sz w:val="24"/>
              </w:rPr>
              <w:t>《不动产权证》（皖（20</w:t>
            </w:r>
            <w:r>
              <w:rPr>
                <w:rFonts w:hint="default" w:ascii="Times New Roman" w:hAnsi="Times New Roman" w:cs="Times New Roman"/>
                <w:bCs/>
                <w:color w:val="auto"/>
                <w:kern w:val="0"/>
                <w:sz w:val="24"/>
                <w:lang w:val="en-US" w:eastAsia="zh-CN"/>
              </w:rPr>
              <w:t>25</w:t>
            </w:r>
            <w:r>
              <w:rPr>
                <w:rFonts w:hint="default" w:ascii="Times New Roman" w:hAnsi="Times New Roman" w:cs="Times New Roman"/>
                <w:bCs/>
                <w:color w:val="auto"/>
                <w:kern w:val="0"/>
                <w:sz w:val="24"/>
              </w:rPr>
              <w:t>）湾沚区不动产权第</w:t>
            </w:r>
            <w:r>
              <w:rPr>
                <w:rFonts w:hint="default" w:ascii="Times New Roman" w:hAnsi="Times New Roman" w:cs="Times New Roman"/>
                <w:bCs/>
                <w:color w:val="auto"/>
                <w:kern w:val="0"/>
                <w:sz w:val="24"/>
                <w:lang w:val="en-US" w:eastAsia="zh-CN"/>
              </w:rPr>
              <w:t>5001585</w:t>
            </w:r>
            <w:r>
              <w:rPr>
                <w:rFonts w:hint="default" w:ascii="Times New Roman" w:hAnsi="Times New Roman" w:cs="Times New Roman"/>
                <w:bCs/>
                <w:color w:val="auto"/>
                <w:kern w:val="0"/>
                <w:sz w:val="24"/>
              </w:rPr>
              <w:t>号）</w:t>
            </w:r>
            <w:r>
              <w:rPr>
                <w:rFonts w:hint="default" w:ascii="Times New Roman" w:hAnsi="Times New Roman" w:cs="Times New Roman"/>
                <w:color w:val="auto"/>
                <w:kern w:val="0"/>
                <w:sz w:val="24"/>
                <w:szCs w:val="24"/>
              </w:rPr>
              <w:t>，项目选址所在</w:t>
            </w:r>
            <w:r>
              <w:rPr>
                <w:rFonts w:hint="default" w:ascii="Times New Roman" w:hAnsi="Times New Roman" w:cs="Times New Roman"/>
                <w:color w:val="auto"/>
                <w:kern w:val="0"/>
                <w:sz w:val="24"/>
                <w:szCs w:val="24"/>
                <w:lang w:val="en-US" w:eastAsia="zh-CN"/>
              </w:rPr>
              <w:t>地</w:t>
            </w:r>
            <w:r>
              <w:rPr>
                <w:rFonts w:hint="default" w:ascii="Times New Roman" w:hAnsi="Times New Roman" w:cs="Times New Roman"/>
                <w:color w:val="auto"/>
                <w:kern w:val="0"/>
                <w:sz w:val="24"/>
                <w:szCs w:val="24"/>
              </w:rPr>
              <w:t>用地性质为工业用地，</w:t>
            </w:r>
            <w:r>
              <w:rPr>
                <w:rFonts w:hint="eastAsia" w:ascii="Times New Roman" w:hAnsi="Times New Roman" w:eastAsia="宋体" w:cs="Times New Roman"/>
                <w:color w:val="auto"/>
                <w:kern w:val="0"/>
                <w:sz w:val="24"/>
                <w:szCs w:val="24"/>
                <w:lang w:val="en-US" w:eastAsia="zh-CN"/>
              </w:rPr>
              <w:t>详见附件7，</w:t>
            </w:r>
            <w:r>
              <w:rPr>
                <w:rFonts w:hint="default" w:ascii="Times New Roman" w:hAnsi="Times New Roman" w:cs="Times New Roman"/>
                <w:color w:val="auto"/>
                <w:kern w:val="0"/>
                <w:sz w:val="24"/>
                <w:szCs w:val="24"/>
                <w:lang w:eastAsia="zh-CN"/>
              </w:rPr>
              <w:t>符合土地利用要求</w:t>
            </w:r>
            <w:r>
              <w:rPr>
                <w:rFonts w:hint="default" w:ascii="Times New Roman" w:hAnsi="Times New Roman" w:cs="Times New Roman"/>
                <w:color w:val="auto"/>
                <w:sz w:val="24"/>
                <w:szCs w:val="24"/>
              </w:rPr>
              <w:t>。</w:t>
            </w:r>
            <w:r>
              <w:rPr>
                <w:rFonts w:hint="default" w:ascii="Times New Roman" w:hAnsi="Times New Roman" w:cs="Times New Roman"/>
                <w:bCs/>
                <w:color w:val="auto"/>
                <w:kern w:val="0"/>
                <w:sz w:val="24"/>
              </w:rPr>
              <w:t>拟建项目所在区域地势平坦，地质条件良好，其周围水、气、声环境质量现状较好，地理位置优越，交通便利，供水、供电等配套设施完善；项目污染物产生较少，各类污染物经相应处理后对环境影响较小。</w:t>
            </w:r>
          </w:p>
          <w:p w14:paraId="694DF992">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（2）周边环境相容性</w:t>
            </w:r>
          </w:p>
          <w:p w14:paraId="088CDA71">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选址于芜湖市湾沚区安徽新芜经济开发区西支六路222号，根据现场勘查可知，东侧为芜湖科捷铝业科技有限公司和芜湖韩保光学新材料有限公司，西侧隔乐业路为安徽利市精密机械科技有限公司，南侧为芜湖县昌松机械有限公司，北侧芜湖佳岩超硬材料有限公司、芜湖锡海铝业压铸有限公司和芜湖龙曼钛白科技有限公司。本项目各废气污染物均采取有效措施，可以实现达标排放，</w:t>
            </w:r>
            <w:r>
              <w:rPr>
                <w:rFonts w:hint="default" w:ascii="Times New Roman" w:hAnsi="Times New Roman" w:eastAsia="宋体" w:cs="Times New Roman"/>
                <w:color w:val="auto"/>
                <w:sz w:val="24"/>
                <w:szCs w:val="24"/>
                <w:lang w:val="zh-CN" w:eastAsia="zh-CN"/>
              </w:rPr>
              <w:t>同时，根据调查，</w:t>
            </w:r>
            <w:r>
              <w:rPr>
                <w:rFonts w:hint="default" w:ascii="Times New Roman" w:hAnsi="Times New Roman" w:cs="Times New Roman"/>
                <w:color w:val="auto"/>
                <w:sz w:val="24"/>
                <w:szCs w:val="24"/>
                <w:lang w:val="en-US" w:eastAsia="zh-CN"/>
              </w:rPr>
              <w:t>项目厂界500m范围内无环境</w:t>
            </w:r>
            <w:r>
              <w:rPr>
                <w:rFonts w:hint="default" w:ascii="Times New Roman" w:hAnsi="Times New Roman" w:eastAsia="宋体" w:cs="Times New Roman"/>
                <w:color w:val="auto"/>
                <w:sz w:val="24"/>
                <w:szCs w:val="24"/>
                <w:lang w:val="en-US" w:eastAsia="zh-CN"/>
              </w:rPr>
              <w:t>敏感保护目标。项目在落实环评提出的各项污染治理措施后，污染物实现达标排放。</w:t>
            </w:r>
          </w:p>
          <w:p w14:paraId="7EACD9F7">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项目周边无自然保护区、风景名胜区、文物古迹等需要特殊保护的环境敏感对象，外环境关系</w:t>
            </w:r>
            <w:r>
              <w:rPr>
                <w:rFonts w:hint="default" w:ascii="Times New Roman" w:hAnsi="Times New Roman" w:eastAsia="宋体" w:cs="Times New Roman"/>
                <w:color w:val="auto"/>
                <w:sz w:val="24"/>
                <w:szCs w:val="24"/>
              </w:rPr>
              <w:t>相对较为单纯，本项目</w:t>
            </w:r>
            <w:r>
              <w:rPr>
                <w:rFonts w:hint="default" w:ascii="Times New Roman" w:hAnsi="Times New Roman" w:eastAsia="宋体" w:cs="Times New Roman"/>
                <w:color w:val="auto"/>
                <w:sz w:val="24"/>
                <w:szCs w:val="24"/>
                <w:lang w:eastAsia="zh-CN"/>
              </w:rPr>
              <w:t>为</w:t>
            </w:r>
            <w:r>
              <w:rPr>
                <w:rFonts w:hint="default" w:ascii="Times New Roman" w:hAnsi="Times New Roman" w:eastAsia="宋体" w:cs="Times New Roman"/>
                <w:color w:val="auto"/>
                <w:kern w:val="0"/>
                <w:sz w:val="24"/>
                <w:szCs w:val="24"/>
                <w:lang w:val="en-US" w:eastAsia="zh-CN"/>
              </w:rPr>
              <w:t>工业类项目</w:t>
            </w:r>
            <w:r>
              <w:rPr>
                <w:rFonts w:hint="default" w:ascii="Times New Roman" w:hAnsi="Times New Roman" w:eastAsia="宋体" w:cs="Times New Roman"/>
                <w:color w:val="auto"/>
                <w:sz w:val="24"/>
                <w:szCs w:val="24"/>
              </w:rPr>
              <w:t>，周边环境对本项目无制约，同时本项目也非周边企业的防护目标。综上所述，本项目与周边环境是相容的。</w:t>
            </w:r>
          </w:p>
          <w:p w14:paraId="4421FBAE">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cs="Times New Roman"/>
                <w:b/>
                <w:bCs/>
                <w:color w:val="auto"/>
                <w:spacing w:val="0"/>
                <w:sz w:val="24"/>
              </w:rPr>
            </w:pPr>
            <w:r>
              <w:rPr>
                <w:rFonts w:hint="default" w:ascii="Times New Roman" w:hAnsi="Times New Roman" w:cs="Times New Roman"/>
                <w:b/>
                <w:color w:val="auto"/>
                <w:sz w:val="24"/>
                <w:lang w:val="en-US" w:eastAsia="zh-CN"/>
              </w:rPr>
              <w:t>3</w:t>
            </w:r>
            <w:r>
              <w:rPr>
                <w:rFonts w:hint="default" w:ascii="Times New Roman" w:hAnsi="Times New Roman" w:cs="Times New Roman"/>
                <w:b/>
                <w:color w:val="auto"/>
                <w:sz w:val="24"/>
              </w:rPr>
              <w:t>、</w:t>
            </w:r>
            <w:r>
              <w:rPr>
                <w:rFonts w:hint="default" w:ascii="Times New Roman" w:hAnsi="Times New Roman" w:cs="Times New Roman"/>
                <w:b/>
                <w:bCs/>
                <w:color w:val="auto"/>
                <w:spacing w:val="0"/>
                <w:sz w:val="24"/>
              </w:rPr>
              <w:t>与《关于以改善环境质量为核心加强环境影响评价管理的通知》（环环评[2016]150号）符合性分析</w:t>
            </w:r>
          </w:p>
          <w:p w14:paraId="0544C533">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pacing w:val="0"/>
                <w:kern w:val="24"/>
                <w:sz w:val="24"/>
              </w:rPr>
            </w:pPr>
            <w:r>
              <w:rPr>
                <w:rFonts w:hint="default" w:ascii="Times New Roman" w:hAnsi="Times New Roman" w:cs="Times New Roman"/>
                <w:color w:val="auto"/>
                <w:spacing w:val="0"/>
                <w:kern w:val="24"/>
                <w:sz w:val="24"/>
              </w:rPr>
              <w:t>根据《关于以改善环境质量为核心加强环境影响评价管理的通知》（环环评[2016]150号）</w:t>
            </w:r>
            <w:r>
              <w:rPr>
                <w:rFonts w:hint="default" w:ascii="Times New Roman" w:hAnsi="Times New Roman" w:cs="Times New Roman"/>
                <w:color w:val="auto"/>
                <w:spacing w:val="0"/>
                <w:kern w:val="24"/>
                <w:sz w:val="24"/>
                <w:lang w:eastAsia="zh-CN"/>
              </w:rPr>
              <w:t>“</w:t>
            </w:r>
            <w:r>
              <w:rPr>
                <w:rFonts w:hint="default" w:ascii="Times New Roman" w:hAnsi="Times New Roman" w:cs="Times New Roman"/>
                <w:color w:val="auto"/>
                <w:spacing w:val="0"/>
                <w:kern w:val="24"/>
                <w:sz w:val="24"/>
              </w:rPr>
              <w:t>为适应以改善环境质量为核心的环境管理要求，切实加强环境影响评价（以下简称环评）管理，落实</w:t>
            </w:r>
            <w:r>
              <w:rPr>
                <w:rFonts w:hint="default" w:ascii="Times New Roman" w:hAnsi="Times New Roman" w:cs="Times New Roman"/>
                <w:color w:val="auto"/>
                <w:spacing w:val="0"/>
                <w:kern w:val="24"/>
                <w:sz w:val="24"/>
                <w:lang w:eastAsia="zh-CN"/>
              </w:rPr>
              <w:t>“</w:t>
            </w:r>
            <w:r>
              <w:rPr>
                <w:rFonts w:hint="default" w:ascii="Times New Roman" w:hAnsi="Times New Roman" w:cs="Times New Roman"/>
                <w:color w:val="auto"/>
                <w:spacing w:val="0"/>
                <w:kern w:val="24"/>
                <w:sz w:val="24"/>
              </w:rPr>
              <w:t>生态保护红线、环境质量底线、资源利用上线和环境准入负面清单</w:t>
            </w:r>
            <w:r>
              <w:rPr>
                <w:rFonts w:hint="default" w:ascii="Times New Roman" w:hAnsi="Times New Roman" w:cs="Times New Roman"/>
                <w:color w:val="auto"/>
                <w:spacing w:val="0"/>
                <w:kern w:val="24"/>
                <w:sz w:val="24"/>
                <w:lang w:eastAsia="zh-CN"/>
              </w:rPr>
              <w:t>”</w:t>
            </w:r>
            <w:r>
              <w:rPr>
                <w:rFonts w:hint="default" w:ascii="Times New Roman" w:hAnsi="Times New Roman" w:cs="Times New Roman"/>
                <w:color w:val="auto"/>
                <w:spacing w:val="0"/>
                <w:kern w:val="24"/>
                <w:sz w:val="24"/>
              </w:rPr>
              <w:t>约束</w:t>
            </w:r>
            <w:r>
              <w:rPr>
                <w:rFonts w:hint="default" w:ascii="Times New Roman" w:hAnsi="Times New Roman" w:cs="Times New Roman"/>
                <w:color w:val="auto"/>
                <w:spacing w:val="0"/>
                <w:kern w:val="24"/>
                <w:sz w:val="24"/>
                <w:lang w:eastAsia="zh-CN"/>
              </w:rPr>
              <w:t>”</w:t>
            </w:r>
            <w:r>
              <w:rPr>
                <w:rFonts w:hint="default" w:ascii="Times New Roman" w:hAnsi="Times New Roman" w:cs="Times New Roman"/>
                <w:color w:val="auto"/>
                <w:spacing w:val="0"/>
                <w:kern w:val="24"/>
                <w:sz w:val="24"/>
              </w:rPr>
              <w:t>。</w:t>
            </w:r>
          </w:p>
          <w:p w14:paraId="417F99CB">
            <w:pPr>
              <w:keepNext w:val="0"/>
              <w:keepLines w:val="0"/>
              <w:pageBreakBefore w:val="0"/>
              <w:widowControl/>
              <w:kinsoku/>
              <w:wordWrap/>
              <w:overflowPunct/>
              <w:topLinePunct w:val="0"/>
              <w:autoSpaceDE/>
              <w:autoSpaceDN/>
              <w:bidi w:val="0"/>
              <w:adjustRightInd w:val="0"/>
              <w:snapToGrid/>
              <w:spacing w:beforeAutospacing="0" w:line="240" w:lineRule="auto"/>
              <w:jc w:val="center"/>
              <w:textAlignment w:val="auto"/>
              <w:rPr>
                <w:rFonts w:hint="default" w:ascii="Times New Roman" w:hAnsi="Times New Roman" w:eastAsia="宋体" w:cs="Times New Roman"/>
                <w:b/>
                <w:color w:val="auto"/>
                <w:kern w:val="0"/>
                <w:sz w:val="24"/>
                <w:szCs w:val="20"/>
                <w:lang w:val="zh-CN"/>
              </w:rPr>
            </w:pPr>
            <w:r>
              <w:rPr>
                <w:rFonts w:hint="default" w:ascii="Times New Roman" w:hAnsi="Times New Roman" w:eastAsia="宋体" w:cs="Times New Roman"/>
                <w:b/>
                <w:color w:val="auto"/>
                <w:kern w:val="0"/>
                <w:sz w:val="24"/>
                <w:szCs w:val="20"/>
                <w:lang w:val="zh-CN"/>
              </w:rPr>
              <w:t>表1-</w:t>
            </w:r>
            <w:r>
              <w:rPr>
                <w:rFonts w:hint="eastAsia" w:ascii="Times New Roman" w:hAnsi="Times New Roman" w:eastAsia="宋体" w:cs="Times New Roman"/>
                <w:b/>
                <w:color w:val="auto"/>
                <w:kern w:val="0"/>
                <w:sz w:val="24"/>
                <w:szCs w:val="20"/>
                <w:lang w:val="en-US" w:eastAsia="zh-CN"/>
              </w:rPr>
              <w:t>2</w:t>
            </w:r>
            <w:r>
              <w:rPr>
                <w:rFonts w:hint="default" w:ascii="Times New Roman" w:hAnsi="Times New Roman" w:eastAsia="宋体" w:cs="Times New Roman"/>
                <w:b/>
                <w:color w:val="auto"/>
                <w:kern w:val="0"/>
                <w:sz w:val="24"/>
                <w:szCs w:val="20"/>
                <w:lang w:val="zh-CN"/>
              </w:rPr>
              <w:t xml:space="preserve">  本项目与《关于以改善环境质量为核心加强环境影响评价管理的通知》（环环评[2016]150号）相符性</w:t>
            </w:r>
          </w:p>
          <w:tbl>
            <w:tblPr>
              <w:tblStyle w:val="63"/>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383"/>
              <w:gridCol w:w="721"/>
              <w:gridCol w:w="2920"/>
              <w:gridCol w:w="2234"/>
              <w:gridCol w:w="725"/>
            </w:tblGrid>
            <w:tr w14:paraId="20F37F6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74" w:type="pct"/>
                  <w:tcBorders>
                    <w:tl2br w:val="nil"/>
                    <w:tr2bl w:val="nil"/>
                  </w:tcBorders>
                  <w:noWrap w:val="0"/>
                  <w:vAlign w:val="center"/>
                </w:tcPr>
                <w:p w14:paraId="4AF20EB9">
                  <w:pPr>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b/>
                      <w:color w:val="auto"/>
                      <w:spacing w:val="0"/>
                      <w:kern w:val="0"/>
                      <w:sz w:val="21"/>
                      <w:szCs w:val="21"/>
                    </w:rPr>
                  </w:pPr>
                  <w:r>
                    <w:rPr>
                      <w:rFonts w:hint="default" w:ascii="Times New Roman" w:hAnsi="Times New Roman" w:cs="Times New Roman"/>
                      <w:b/>
                      <w:color w:val="auto"/>
                      <w:spacing w:val="0"/>
                      <w:kern w:val="0"/>
                      <w:sz w:val="21"/>
                      <w:szCs w:val="21"/>
                    </w:rPr>
                    <w:t>序号</w:t>
                  </w:r>
                </w:p>
              </w:tc>
              <w:tc>
                <w:tcPr>
                  <w:tcW w:w="516" w:type="pct"/>
                  <w:tcBorders>
                    <w:tl2br w:val="nil"/>
                    <w:tr2bl w:val="nil"/>
                  </w:tcBorders>
                  <w:noWrap w:val="0"/>
                  <w:vAlign w:val="center"/>
                </w:tcPr>
                <w:p w14:paraId="3E78CC5E">
                  <w:pPr>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b/>
                      <w:color w:val="auto"/>
                      <w:spacing w:val="0"/>
                      <w:kern w:val="0"/>
                      <w:sz w:val="21"/>
                      <w:szCs w:val="21"/>
                    </w:rPr>
                  </w:pPr>
                  <w:r>
                    <w:rPr>
                      <w:rFonts w:hint="default" w:ascii="Times New Roman" w:hAnsi="Times New Roman" w:cs="Times New Roman"/>
                      <w:b/>
                      <w:color w:val="auto"/>
                      <w:spacing w:val="0"/>
                      <w:kern w:val="0"/>
                      <w:sz w:val="21"/>
                      <w:szCs w:val="21"/>
                    </w:rPr>
                    <w:t>内容</w:t>
                  </w:r>
                </w:p>
              </w:tc>
              <w:tc>
                <w:tcPr>
                  <w:tcW w:w="2090" w:type="pct"/>
                  <w:tcBorders>
                    <w:tl2br w:val="nil"/>
                    <w:tr2bl w:val="nil"/>
                  </w:tcBorders>
                  <w:noWrap w:val="0"/>
                  <w:vAlign w:val="center"/>
                </w:tcPr>
                <w:p w14:paraId="66827A70">
                  <w:pPr>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b/>
                      <w:color w:val="auto"/>
                      <w:spacing w:val="0"/>
                      <w:kern w:val="0"/>
                      <w:sz w:val="21"/>
                      <w:szCs w:val="21"/>
                    </w:rPr>
                  </w:pPr>
                  <w:r>
                    <w:rPr>
                      <w:rFonts w:hint="default" w:ascii="Times New Roman" w:hAnsi="Times New Roman" w:cs="Times New Roman"/>
                      <w:b/>
                      <w:color w:val="auto"/>
                      <w:spacing w:val="0"/>
                      <w:kern w:val="0"/>
                      <w:sz w:val="21"/>
                      <w:szCs w:val="21"/>
                    </w:rPr>
                    <w:t>要求</w:t>
                  </w:r>
                </w:p>
              </w:tc>
              <w:tc>
                <w:tcPr>
                  <w:tcW w:w="1599" w:type="pct"/>
                  <w:tcBorders>
                    <w:tl2br w:val="nil"/>
                    <w:tr2bl w:val="nil"/>
                  </w:tcBorders>
                  <w:noWrap w:val="0"/>
                  <w:vAlign w:val="center"/>
                </w:tcPr>
                <w:p w14:paraId="0BB95F13">
                  <w:pPr>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b/>
                      <w:color w:val="auto"/>
                      <w:spacing w:val="0"/>
                      <w:kern w:val="0"/>
                      <w:sz w:val="21"/>
                      <w:szCs w:val="21"/>
                    </w:rPr>
                  </w:pPr>
                  <w:r>
                    <w:rPr>
                      <w:rFonts w:hint="default" w:ascii="Times New Roman" w:hAnsi="Times New Roman" w:cs="Times New Roman"/>
                      <w:b/>
                      <w:color w:val="auto"/>
                      <w:spacing w:val="0"/>
                      <w:kern w:val="0"/>
                      <w:sz w:val="21"/>
                      <w:szCs w:val="21"/>
                    </w:rPr>
                    <w:t>本项目情况</w:t>
                  </w:r>
                </w:p>
              </w:tc>
              <w:tc>
                <w:tcPr>
                  <w:tcW w:w="519" w:type="pct"/>
                  <w:tcBorders>
                    <w:tl2br w:val="nil"/>
                    <w:tr2bl w:val="nil"/>
                  </w:tcBorders>
                  <w:noWrap w:val="0"/>
                  <w:vAlign w:val="center"/>
                </w:tcPr>
                <w:p w14:paraId="02DDEBCB">
                  <w:pPr>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b/>
                      <w:color w:val="auto"/>
                      <w:spacing w:val="0"/>
                      <w:kern w:val="0"/>
                      <w:sz w:val="21"/>
                      <w:szCs w:val="21"/>
                    </w:rPr>
                  </w:pPr>
                  <w:r>
                    <w:rPr>
                      <w:rFonts w:hint="default" w:ascii="Times New Roman" w:hAnsi="Times New Roman" w:cs="Times New Roman"/>
                      <w:b/>
                      <w:color w:val="auto"/>
                      <w:spacing w:val="0"/>
                      <w:kern w:val="0"/>
                      <w:sz w:val="21"/>
                      <w:szCs w:val="21"/>
                    </w:rPr>
                    <w:t>相符性</w:t>
                  </w:r>
                </w:p>
              </w:tc>
            </w:tr>
            <w:tr w14:paraId="152B586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74" w:type="pct"/>
                  <w:tcBorders>
                    <w:tl2br w:val="nil"/>
                    <w:tr2bl w:val="nil"/>
                  </w:tcBorders>
                  <w:noWrap w:val="0"/>
                  <w:vAlign w:val="center"/>
                </w:tcPr>
                <w:p w14:paraId="77092E35">
                  <w:pPr>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kern w:val="0"/>
                      <w:sz w:val="21"/>
                      <w:szCs w:val="21"/>
                    </w:rPr>
                  </w:pPr>
                  <w:r>
                    <w:rPr>
                      <w:rFonts w:hint="default" w:ascii="Times New Roman" w:hAnsi="Times New Roman" w:cs="Times New Roman"/>
                      <w:color w:val="auto"/>
                      <w:spacing w:val="0"/>
                      <w:kern w:val="0"/>
                      <w:sz w:val="21"/>
                      <w:szCs w:val="21"/>
                    </w:rPr>
                    <w:t>1</w:t>
                  </w:r>
                </w:p>
              </w:tc>
              <w:tc>
                <w:tcPr>
                  <w:tcW w:w="516" w:type="pct"/>
                  <w:tcBorders>
                    <w:tl2br w:val="nil"/>
                    <w:tr2bl w:val="nil"/>
                  </w:tcBorders>
                  <w:noWrap w:val="0"/>
                  <w:vAlign w:val="center"/>
                </w:tcPr>
                <w:p w14:paraId="6CF317E9">
                  <w:pPr>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kern w:val="0"/>
                      <w:sz w:val="21"/>
                      <w:szCs w:val="21"/>
                    </w:rPr>
                  </w:pPr>
                  <w:r>
                    <w:rPr>
                      <w:rFonts w:hint="default" w:ascii="Times New Roman" w:hAnsi="Times New Roman" w:cs="Times New Roman"/>
                      <w:color w:val="auto"/>
                      <w:spacing w:val="0"/>
                      <w:kern w:val="0"/>
                      <w:sz w:val="21"/>
                      <w:szCs w:val="21"/>
                    </w:rPr>
                    <w:t>生态保护红线</w:t>
                  </w:r>
                </w:p>
              </w:tc>
              <w:tc>
                <w:tcPr>
                  <w:tcW w:w="2090" w:type="pct"/>
                  <w:tcBorders>
                    <w:tl2br w:val="nil"/>
                    <w:tr2bl w:val="nil"/>
                  </w:tcBorders>
                  <w:noWrap w:val="0"/>
                  <w:vAlign w:val="center"/>
                </w:tcPr>
                <w:p w14:paraId="7FF0BD76">
                  <w:pPr>
                    <w:keepNext w:val="0"/>
                    <w:keepLines w:val="0"/>
                    <w:widowControl/>
                    <w:suppressLineNumbers w:val="0"/>
                    <w:jc w:val="center"/>
                    <w:rPr>
                      <w:rFonts w:hint="default" w:ascii="Times New Roman" w:hAnsi="Times New Roman" w:eastAsia="宋体" w:cs="Times New Roman"/>
                      <w:color w:val="auto"/>
                      <w:spacing w:val="0"/>
                      <w:kern w:val="0"/>
                      <w:sz w:val="21"/>
                      <w:szCs w:val="21"/>
                      <w:lang w:eastAsia="zh-CN"/>
                    </w:rPr>
                  </w:pPr>
                  <w:r>
                    <w:rPr>
                      <w:rFonts w:hint="default" w:ascii="Times New Roman" w:hAnsi="Times New Roman" w:eastAsia="宋体" w:cs="Times New Roman"/>
                      <w:color w:val="auto"/>
                      <w:kern w:val="0"/>
                      <w:sz w:val="21"/>
                      <w:szCs w:val="21"/>
                      <w:lang w:val="en-US" w:eastAsia="zh-CN" w:bidi="ar"/>
                    </w:rPr>
                    <w:t>相关规划环评应将生态空间管控作为重要内容，规划区域涉及生态保护红线的，在规划环评结论和审查意见中应落实生态保护红线的管理要求，提出相应对策措施。除受自然条件限制、确实无法避让的铁路、公路、航道、防洪、管道、干渠、通讯、输变电等重要基础设施项目外，在生态保护红线范围内严控各类开发建设活动，依法不予审批新建工业项目和矿产开发项目的环评文件</w:t>
                  </w:r>
                </w:p>
              </w:tc>
              <w:tc>
                <w:tcPr>
                  <w:tcW w:w="1599" w:type="pct"/>
                  <w:tcBorders>
                    <w:tl2br w:val="nil"/>
                    <w:tr2bl w:val="nil"/>
                  </w:tcBorders>
                  <w:noWrap w:val="0"/>
                  <w:vAlign w:val="center"/>
                </w:tcPr>
                <w:p w14:paraId="4166B236">
                  <w:pPr>
                    <w:keepNext w:val="0"/>
                    <w:keepLines w:val="0"/>
                    <w:widowControl/>
                    <w:suppressLineNumbers w:val="0"/>
                    <w:jc w:val="center"/>
                    <w:rPr>
                      <w:rFonts w:hint="default" w:ascii="Times New Roman" w:hAnsi="Times New Roman" w:cs="Times New Roman"/>
                      <w:color w:val="auto"/>
                      <w:spacing w:val="0"/>
                      <w:kern w:val="0"/>
                      <w:sz w:val="21"/>
                      <w:szCs w:val="21"/>
                    </w:rPr>
                  </w:pPr>
                  <w:r>
                    <w:rPr>
                      <w:rFonts w:hint="default" w:ascii="Times New Roman" w:hAnsi="Times New Roman" w:eastAsia="宋体" w:cs="Times New Roman"/>
                      <w:color w:val="auto"/>
                      <w:kern w:val="0"/>
                      <w:sz w:val="21"/>
                      <w:szCs w:val="21"/>
                      <w:lang w:val="en-US" w:eastAsia="zh-CN" w:bidi="ar"/>
                    </w:rPr>
                    <w:t>本项目选址位于芜湖市湾沚区安徽新芜经济开发区西支六路222号，项目不在生态红线范围内，周边无自然保护区、饮用水源保护区、森林公园等生态保护区，项目建设符合生态保护红线要求</w:t>
                  </w:r>
                </w:p>
              </w:tc>
              <w:tc>
                <w:tcPr>
                  <w:tcW w:w="519" w:type="pct"/>
                  <w:tcBorders>
                    <w:tl2br w:val="nil"/>
                    <w:tr2bl w:val="nil"/>
                  </w:tcBorders>
                  <w:noWrap w:val="0"/>
                  <w:vAlign w:val="center"/>
                </w:tcPr>
                <w:p w14:paraId="4187EBA7">
                  <w:pPr>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kern w:val="0"/>
                      <w:sz w:val="21"/>
                      <w:szCs w:val="21"/>
                    </w:rPr>
                  </w:pPr>
                  <w:r>
                    <w:rPr>
                      <w:rFonts w:hint="default" w:ascii="Times New Roman" w:hAnsi="Times New Roman" w:cs="Times New Roman"/>
                      <w:color w:val="auto"/>
                      <w:spacing w:val="0"/>
                      <w:kern w:val="0"/>
                      <w:sz w:val="21"/>
                      <w:szCs w:val="21"/>
                    </w:rPr>
                    <w:t>相符</w:t>
                  </w:r>
                </w:p>
              </w:tc>
            </w:tr>
            <w:tr w14:paraId="423955F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74" w:type="pct"/>
                  <w:tcBorders>
                    <w:tl2br w:val="nil"/>
                    <w:tr2bl w:val="nil"/>
                  </w:tcBorders>
                  <w:noWrap w:val="0"/>
                  <w:vAlign w:val="center"/>
                </w:tcPr>
                <w:p w14:paraId="2DC8E205">
                  <w:pPr>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kern w:val="0"/>
                      <w:sz w:val="21"/>
                      <w:szCs w:val="21"/>
                    </w:rPr>
                  </w:pPr>
                  <w:r>
                    <w:rPr>
                      <w:rFonts w:hint="default" w:ascii="Times New Roman" w:hAnsi="Times New Roman" w:cs="Times New Roman"/>
                      <w:color w:val="auto"/>
                      <w:spacing w:val="0"/>
                      <w:kern w:val="0"/>
                      <w:sz w:val="21"/>
                      <w:szCs w:val="21"/>
                    </w:rPr>
                    <w:t>2</w:t>
                  </w:r>
                </w:p>
              </w:tc>
              <w:tc>
                <w:tcPr>
                  <w:tcW w:w="516" w:type="pct"/>
                  <w:tcBorders>
                    <w:tl2br w:val="nil"/>
                    <w:tr2bl w:val="nil"/>
                  </w:tcBorders>
                  <w:noWrap w:val="0"/>
                  <w:vAlign w:val="center"/>
                </w:tcPr>
                <w:p w14:paraId="4B794719">
                  <w:pPr>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kern w:val="0"/>
                      <w:sz w:val="21"/>
                      <w:szCs w:val="21"/>
                    </w:rPr>
                  </w:pPr>
                  <w:r>
                    <w:rPr>
                      <w:rFonts w:hint="default" w:ascii="Times New Roman" w:hAnsi="Times New Roman" w:cs="Times New Roman"/>
                      <w:color w:val="auto"/>
                      <w:spacing w:val="0"/>
                      <w:kern w:val="0"/>
                      <w:sz w:val="21"/>
                      <w:szCs w:val="21"/>
                    </w:rPr>
                    <w:t>环境质量底线</w:t>
                  </w:r>
                </w:p>
              </w:tc>
              <w:tc>
                <w:tcPr>
                  <w:tcW w:w="2090" w:type="pct"/>
                  <w:tcBorders>
                    <w:tl2br w:val="nil"/>
                    <w:tr2bl w:val="nil"/>
                  </w:tcBorders>
                  <w:noWrap w:val="0"/>
                  <w:vAlign w:val="center"/>
                </w:tcPr>
                <w:p w14:paraId="0F4560BE">
                  <w:pPr>
                    <w:keepNext w:val="0"/>
                    <w:keepLines w:val="0"/>
                    <w:widowControl/>
                    <w:suppressLineNumbers w:val="0"/>
                    <w:jc w:val="center"/>
                    <w:rPr>
                      <w:rFonts w:hint="default" w:ascii="Times New Roman" w:hAnsi="Times New Roman" w:eastAsia="宋体" w:cs="Times New Roman"/>
                      <w:color w:val="auto"/>
                      <w:spacing w:val="0"/>
                      <w:kern w:val="0"/>
                      <w:sz w:val="21"/>
                      <w:szCs w:val="21"/>
                      <w:lang w:eastAsia="zh-CN"/>
                    </w:rPr>
                  </w:pPr>
                  <w:r>
                    <w:rPr>
                      <w:rFonts w:hint="default" w:ascii="Times New Roman" w:hAnsi="Times New Roman" w:eastAsia="宋体" w:cs="Times New Roman"/>
                      <w:color w:val="auto"/>
                      <w:kern w:val="0"/>
                      <w:sz w:val="21"/>
                      <w:szCs w:val="21"/>
                      <w:lang w:val="en-US" w:eastAsia="zh-CN" w:bidi="ar"/>
                    </w:rPr>
                    <w:t>有关规划环评应落实区域环境质量目标管理要求，提出区域或者行业污染物排放总量管控建议以及优化区域或行业发展布局、结构和规模的对策措施， 项目环评应对照区域环境质量目标，深入分析预测项目建设对环境质量的影响，强化污染防治措施和污染物排放控制要求</w:t>
                  </w:r>
                </w:p>
              </w:tc>
              <w:tc>
                <w:tcPr>
                  <w:tcW w:w="2067" w:type="dxa"/>
                  <w:tcBorders>
                    <w:tl2br w:val="nil"/>
                    <w:tr2bl w:val="nil"/>
                  </w:tcBorders>
                  <w:noWrap w:val="0"/>
                  <w:vAlign w:val="center"/>
                </w:tcPr>
                <w:p w14:paraId="4EC2B926">
                  <w:pPr>
                    <w:keepNext w:val="0"/>
                    <w:keepLines w:val="0"/>
                    <w:widowControl/>
                    <w:suppressLineNumbers w:val="0"/>
                    <w:jc w:val="center"/>
                    <w:rPr>
                      <w:rFonts w:hint="default" w:ascii="Times New Roman" w:hAnsi="Times New Roman" w:cs="Times New Roman"/>
                      <w:color w:val="auto"/>
                      <w:spacing w:val="0"/>
                      <w:sz w:val="21"/>
                      <w:szCs w:val="21"/>
                    </w:rPr>
                  </w:pPr>
                  <w:r>
                    <w:rPr>
                      <w:rFonts w:hint="default" w:ascii="Times New Roman" w:hAnsi="Times New Roman" w:eastAsia="宋体" w:cs="Times New Roman"/>
                      <w:color w:val="auto"/>
                      <w:kern w:val="0"/>
                      <w:sz w:val="21"/>
                      <w:szCs w:val="21"/>
                      <w:lang w:val="en-US" w:eastAsia="zh-CN" w:bidi="ar"/>
                    </w:rPr>
                    <w:t>根据</w:t>
                  </w:r>
                  <w:r>
                    <w:rPr>
                      <w:rFonts w:hint="default" w:ascii="Times New Roman" w:hAnsi="Times New Roman" w:cs="Times New Roman"/>
                      <w:color w:val="auto"/>
                      <w:kern w:val="0"/>
                      <w:sz w:val="21"/>
                      <w:szCs w:val="21"/>
                      <w:lang w:val="en-US" w:eastAsia="zh-CN" w:bidi="ar"/>
                    </w:rPr>
                    <w:t>《2024年芜湖市生态环境状况公报</w:t>
                  </w:r>
                  <w:r>
                    <w:rPr>
                      <w:rFonts w:hint="default" w:ascii="Times New Roman" w:hAnsi="Times New Roman" w:eastAsia="宋体" w:cs="Times New Roman"/>
                      <w:color w:val="auto"/>
                      <w:kern w:val="0"/>
                      <w:sz w:val="21"/>
                      <w:szCs w:val="21"/>
                      <w:lang w:val="en-US" w:eastAsia="zh-CN" w:bidi="ar"/>
                    </w:rPr>
                    <w:t>》项目所在区域为环境空气质量</w:t>
                  </w:r>
                  <w:r>
                    <w:rPr>
                      <w:rFonts w:hint="eastAsia" w:cs="Times New Roman"/>
                      <w:color w:val="auto"/>
                      <w:kern w:val="0"/>
                      <w:sz w:val="21"/>
                      <w:szCs w:val="21"/>
                      <w:lang w:val="en-US" w:eastAsia="zh-CN" w:bidi="ar"/>
                    </w:rPr>
                    <w:t>不</w:t>
                  </w:r>
                  <w:r>
                    <w:rPr>
                      <w:rFonts w:hint="default" w:ascii="Times New Roman" w:hAnsi="Times New Roman" w:eastAsia="宋体" w:cs="Times New Roman"/>
                      <w:color w:val="auto"/>
                      <w:kern w:val="0"/>
                      <w:sz w:val="21"/>
                      <w:szCs w:val="21"/>
                      <w:lang w:val="en-US" w:eastAsia="zh-CN" w:bidi="ar"/>
                    </w:rPr>
                    <w:t>达标区域。根据工程分析及污染防治分析及主要环境影响和保护措施，本项目废气、废水、噪声、固废污染物经处理后全部达标排放或者合理处置，且排放处置量较少，对环境影响较小，不会改变区域环境功能级别</w:t>
                  </w:r>
                </w:p>
              </w:tc>
              <w:tc>
                <w:tcPr>
                  <w:tcW w:w="519" w:type="pct"/>
                  <w:tcBorders>
                    <w:tl2br w:val="nil"/>
                    <w:tr2bl w:val="nil"/>
                  </w:tcBorders>
                  <w:noWrap w:val="0"/>
                  <w:vAlign w:val="center"/>
                </w:tcPr>
                <w:p w14:paraId="2643FE0F">
                  <w:pPr>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kern w:val="0"/>
                      <w:sz w:val="21"/>
                      <w:szCs w:val="21"/>
                    </w:rPr>
                  </w:pPr>
                  <w:r>
                    <w:rPr>
                      <w:rFonts w:hint="default" w:ascii="Times New Roman" w:hAnsi="Times New Roman" w:cs="Times New Roman"/>
                      <w:color w:val="auto"/>
                      <w:spacing w:val="0"/>
                      <w:kern w:val="0"/>
                      <w:sz w:val="21"/>
                      <w:szCs w:val="21"/>
                    </w:rPr>
                    <w:t>相符</w:t>
                  </w:r>
                </w:p>
              </w:tc>
            </w:tr>
            <w:tr w14:paraId="60D6BAD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74" w:type="pct"/>
                  <w:tcBorders>
                    <w:tl2br w:val="nil"/>
                    <w:tr2bl w:val="nil"/>
                  </w:tcBorders>
                  <w:noWrap w:val="0"/>
                  <w:vAlign w:val="center"/>
                </w:tcPr>
                <w:p w14:paraId="10B079F3">
                  <w:pPr>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kern w:val="0"/>
                      <w:sz w:val="21"/>
                      <w:szCs w:val="21"/>
                    </w:rPr>
                  </w:pPr>
                  <w:r>
                    <w:rPr>
                      <w:rFonts w:hint="default" w:ascii="Times New Roman" w:hAnsi="Times New Roman" w:cs="Times New Roman"/>
                      <w:color w:val="auto"/>
                      <w:spacing w:val="0"/>
                      <w:kern w:val="0"/>
                      <w:sz w:val="21"/>
                      <w:szCs w:val="21"/>
                    </w:rPr>
                    <w:t>3</w:t>
                  </w:r>
                </w:p>
              </w:tc>
              <w:tc>
                <w:tcPr>
                  <w:tcW w:w="516" w:type="pct"/>
                  <w:tcBorders>
                    <w:tl2br w:val="nil"/>
                    <w:tr2bl w:val="nil"/>
                  </w:tcBorders>
                  <w:noWrap w:val="0"/>
                  <w:vAlign w:val="center"/>
                </w:tcPr>
                <w:p w14:paraId="353E04AD">
                  <w:pPr>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kern w:val="0"/>
                      <w:sz w:val="21"/>
                      <w:szCs w:val="21"/>
                    </w:rPr>
                  </w:pPr>
                  <w:r>
                    <w:rPr>
                      <w:rFonts w:hint="default" w:ascii="Times New Roman" w:hAnsi="Times New Roman" w:cs="Times New Roman"/>
                      <w:color w:val="auto"/>
                      <w:spacing w:val="0"/>
                      <w:kern w:val="0"/>
                      <w:sz w:val="21"/>
                      <w:szCs w:val="21"/>
                    </w:rPr>
                    <w:t>资源利用上线</w:t>
                  </w:r>
                </w:p>
              </w:tc>
              <w:tc>
                <w:tcPr>
                  <w:tcW w:w="2090" w:type="pct"/>
                  <w:tcBorders>
                    <w:tl2br w:val="nil"/>
                    <w:tr2bl w:val="nil"/>
                  </w:tcBorders>
                  <w:noWrap w:val="0"/>
                  <w:vAlign w:val="center"/>
                </w:tcPr>
                <w:p w14:paraId="6405C4C9">
                  <w:pPr>
                    <w:keepNext w:val="0"/>
                    <w:keepLines w:val="0"/>
                    <w:widowControl/>
                    <w:suppressLineNumbers w:val="0"/>
                    <w:jc w:val="center"/>
                    <w:rPr>
                      <w:rFonts w:hint="default" w:ascii="Times New Roman" w:hAnsi="Times New Roman" w:cs="Times New Roman"/>
                      <w:color w:val="auto"/>
                      <w:spacing w:val="0"/>
                      <w:kern w:val="0"/>
                      <w:sz w:val="21"/>
                      <w:szCs w:val="21"/>
                    </w:rPr>
                  </w:pPr>
                  <w:r>
                    <w:rPr>
                      <w:rFonts w:hint="default" w:ascii="Times New Roman" w:hAnsi="Times New Roman" w:eastAsia="宋体" w:cs="Times New Roman"/>
                      <w:color w:val="auto"/>
                      <w:kern w:val="0"/>
                      <w:sz w:val="21"/>
                      <w:szCs w:val="21"/>
                      <w:lang w:val="en-US" w:eastAsia="zh-CN" w:bidi="ar"/>
                    </w:rPr>
                    <w:t>相关规划环评应依据有关资源利用上线，对规划实施以及规划内项目的资源开发利用，区分不同行业，从能源资源开发等量或减量替代、开采方式和规划控制、利用效率和保护措施等方面提出建议，为规划编制和审批决策提供重要依据</w:t>
                  </w:r>
                </w:p>
              </w:tc>
              <w:tc>
                <w:tcPr>
                  <w:tcW w:w="1599" w:type="pct"/>
                  <w:tcBorders>
                    <w:tl2br w:val="nil"/>
                    <w:tr2bl w:val="nil"/>
                  </w:tcBorders>
                  <w:noWrap w:val="0"/>
                  <w:vAlign w:val="center"/>
                </w:tcPr>
                <w:p w14:paraId="62B7EF2E">
                  <w:pPr>
                    <w:keepNext w:val="0"/>
                    <w:keepLines w:val="0"/>
                    <w:widowControl/>
                    <w:suppressLineNumbers w:val="0"/>
                    <w:jc w:val="center"/>
                    <w:rPr>
                      <w:rFonts w:hint="default" w:ascii="Times New Roman" w:hAnsi="Times New Roman" w:cs="Times New Roman"/>
                      <w:color w:val="auto"/>
                      <w:spacing w:val="0"/>
                      <w:kern w:val="0"/>
                      <w:sz w:val="21"/>
                      <w:szCs w:val="21"/>
                    </w:rPr>
                  </w:pPr>
                  <w:r>
                    <w:rPr>
                      <w:rFonts w:hint="default" w:ascii="Times New Roman" w:hAnsi="Times New Roman" w:eastAsia="宋体" w:cs="Times New Roman"/>
                      <w:color w:val="auto"/>
                      <w:kern w:val="0"/>
                      <w:sz w:val="21"/>
                      <w:szCs w:val="21"/>
                      <w:lang w:val="en-US" w:eastAsia="zh-CN" w:bidi="ar"/>
                    </w:rPr>
                    <w:t>本项目用水取自自来水管网，用电由市政供电网提供，余量充足，项目使用的原材料均为外购，对当地资源利用影响较小。项目用地为工业用地，符合当地土地规划要求。因此，项目建设符合资源利用上线要求</w:t>
                  </w:r>
                </w:p>
              </w:tc>
              <w:tc>
                <w:tcPr>
                  <w:tcW w:w="519" w:type="pct"/>
                  <w:tcBorders>
                    <w:tl2br w:val="nil"/>
                    <w:tr2bl w:val="nil"/>
                  </w:tcBorders>
                  <w:noWrap w:val="0"/>
                  <w:vAlign w:val="center"/>
                </w:tcPr>
                <w:p w14:paraId="7DFC717C">
                  <w:pPr>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kern w:val="0"/>
                      <w:sz w:val="21"/>
                      <w:szCs w:val="21"/>
                    </w:rPr>
                  </w:pPr>
                  <w:r>
                    <w:rPr>
                      <w:rFonts w:hint="default" w:ascii="Times New Roman" w:hAnsi="Times New Roman" w:cs="Times New Roman"/>
                      <w:color w:val="auto"/>
                      <w:spacing w:val="0"/>
                      <w:kern w:val="0"/>
                      <w:sz w:val="21"/>
                      <w:szCs w:val="21"/>
                    </w:rPr>
                    <w:t>相符</w:t>
                  </w:r>
                </w:p>
              </w:tc>
            </w:tr>
            <w:tr w14:paraId="3DDCAB6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74" w:type="pct"/>
                  <w:tcBorders>
                    <w:tl2br w:val="nil"/>
                    <w:tr2bl w:val="nil"/>
                  </w:tcBorders>
                  <w:noWrap w:val="0"/>
                  <w:vAlign w:val="center"/>
                </w:tcPr>
                <w:p w14:paraId="56DEAE4E">
                  <w:pPr>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kern w:val="0"/>
                      <w:sz w:val="21"/>
                      <w:szCs w:val="21"/>
                    </w:rPr>
                  </w:pPr>
                  <w:r>
                    <w:rPr>
                      <w:rFonts w:hint="default" w:ascii="Times New Roman" w:hAnsi="Times New Roman" w:cs="Times New Roman"/>
                      <w:color w:val="auto"/>
                      <w:spacing w:val="0"/>
                      <w:kern w:val="0"/>
                      <w:sz w:val="21"/>
                      <w:szCs w:val="21"/>
                    </w:rPr>
                    <w:t>4</w:t>
                  </w:r>
                </w:p>
              </w:tc>
              <w:tc>
                <w:tcPr>
                  <w:tcW w:w="516" w:type="pct"/>
                  <w:tcBorders>
                    <w:tl2br w:val="nil"/>
                    <w:tr2bl w:val="nil"/>
                  </w:tcBorders>
                  <w:noWrap w:val="0"/>
                  <w:vAlign w:val="center"/>
                </w:tcPr>
                <w:p w14:paraId="342CD793">
                  <w:pPr>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kern w:val="0"/>
                      <w:sz w:val="21"/>
                      <w:szCs w:val="21"/>
                    </w:rPr>
                  </w:pPr>
                  <w:r>
                    <w:rPr>
                      <w:rFonts w:hint="default" w:ascii="Times New Roman" w:hAnsi="Times New Roman" w:cs="Times New Roman"/>
                      <w:color w:val="auto"/>
                      <w:spacing w:val="0"/>
                      <w:kern w:val="0"/>
                      <w:sz w:val="21"/>
                      <w:szCs w:val="21"/>
                    </w:rPr>
                    <w:t>环境准入负面清单</w:t>
                  </w:r>
                </w:p>
              </w:tc>
              <w:tc>
                <w:tcPr>
                  <w:tcW w:w="2090" w:type="pct"/>
                  <w:tcBorders>
                    <w:tl2br w:val="nil"/>
                    <w:tr2bl w:val="nil"/>
                  </w:tcBorders>
                  <w:noWrap w:val="0"/>
                  <w:vAlign w:val="center"/>
                </w:tcPr>
                <w:p w14:paraId="09E81CD2">
                  <w:pPr>
                    <w:keepNext w:val="0"/>
                    <w:keepLines w:val="0"/>
                    <w:widowControl/>
                    <w:suppressLineNumbers w:val="0"/>
                    <w:jc w:val="center"/>
                    <w:rPr>
                      <w:rFonts w:hint="default" w:ascii="Times New Roman" w:hAnsi="Times New Roman" w:eastAsia="宋体" w:cs="Times New Roman"/>
                      <w:color w:val="auto"/>
                      <w:spacing w:val="0"/>
                      <w:kern w:val="0"/>
                      <w:sz w:val="21"/>
                      <w:szCs w:val="21"/>
                      <w:lang w:eastAsia="zh-CN"/>
                    </w:rPr>
                  </w:pPr>
                  <w:r>
                    <w:rPr>
                      <w:rFonts w:hint="default" w:ascii="Times New Roman" w:hAnsi="Times New Roman" w:eastAsia="宋体" w:cs="Times New Roman"/>
                      <w:color w:val="auto"/>
                      <w:kern w:val="0"/>
                      <w:sz w:val="21"/>
                      <w:szCs w:val="21"/>
                      <w:lang w:val="en-US" w:eastAsia="zh-CN" w:bidi="ar"/>
                    </w:rPr>
                    <w:t>要在规划环评清单式管理试点的基础上，从布局选址、资源利用效率、资源配置方式等方面入手，制定环境准入负面清单，充分发挥负面清单对产业发展和项目准入的指导和约束作用。</w:t>
                  </w:r>
                </w:p>
              </w:tc>
              <w:tc>
                <w:tcPr>
                  <w:tcW w:w="1599" w:type="pct"/>
                  <w:tcBorders>
                    <w:tl2br w:val="nil"/>
                    <w:tr2bl w:val="nil"/>
                  </w:tcBorders>
                  <w:noWrap w:val="0"/>
                  <w:vAlign w:val="center"/>
                </w:tcPr>
                <w:p w14:paraId="6AB3066E">
                  <w:pPr>
                    <w:keepNext w:val="0"/>
                    <w:keepLines w:val="0"/>
                    <w:widowControl/>
                    <w:suppressLineNumbers w:val="0"/>
                    <w:jc w:val="center"/>
                    <w:rPr>
                      <w:rFonts w:hint="default" w:ascii="Times New Roman" w:hAnsi="Times New Roman" w:cs="Times New Roman"/>
                      <w:color w:val="auto"/>
                      <w:spacing w:val="0"/>
                      <w:kern w:val="0"/>
                      <w:sz w:val="21"/>
                      <w:szCs w:val="21"/>
                    </w:rPr>
                  </w:pPr>
                  <w:r>
                    <w:rPr>
                      <w:rFonts w:hint="default" w:ascii="Times New Roman" w:hAnsi="Times New Roman" w:eastAsia="宋体" w:cs="Times New Roman"/>
                      <w:color w:val="auto"/>
                      <w:kern w:val="0"/>
                      <w:sz w:val="21"/>
                      <w:szCs w:val="21"/>
                      <w:lang w:val="en-US" w:eastAsia="zh-CN" w:bidi="ar"/>
                    </w:rPr>
                    <w:t>本项目为C3670 汽车零部件及配件制造，项目为新建项目，对照产业结构调整指导目录（2024年本），属于允许类，不属于淘汰类和限制类；不属于园区负面清单、《芜湖市“三线一单”生态环境准入清单》中限制类和淘汰类建设项目</w:t>
                  </w:r>
                </w:p>
              </w:tc>
              <w:tc>
                <w:tcPr>
                  <w:tcW w:w="519" w:type="pct"/>
                  <w:tcBorders>
                    <w:tl2br w:val="nil"/>
                    <w:tr2bl w:val="nil"/>
                  </w:tcBorders>
                  <w:noWrap w:val="0"/>
                  <w:vAlign w:val="center"/>
                </w:tcPr>
                <w:p w14:paraId="07188282">
                  <w:pPr>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kern w:val="0"/>
                      <w:sz w:val="21"/>
                      <w:szCs w:val="21"/>
                    </w:rPr>
                  </w:pPr>
                  <w:r>
                    <w:rPr>
                      <w:rFonts w:hint="default" w:ascii="Times New Roman" w:hAnsi="Times New Roman" w:cs="Times New Roman"/>
                      <w:color w:val="auto"/>
                      <w:spacing w:val="0"/>
                      <w:kern w:val="0"/>
                      <w:sz w:val="21"/>
                      <w:szCs w:val="21"/>
                    </w:rPr>
                    <w:t>相符</w:t>
                  </w:r>
                </w:p>
              </w:tc>
            </w:tr>
          </w:tbl>
          <w:p w14:paraId="27F8E51A">
            <w:pPr>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spacing w:val="0"/>
                <w:sz w:val="24"/>
              </w:rPr>
            </w:pPr>
            <w:r>
              <w:rPr>
                <w:rFonts w:hint="default" w:ascii="Times New Roman" w:hAnsi="Times New Roman" w:cs="Times New Roman"/>
                <w:color w:val="auto"/>
                <w:spacing w:val="0"/>
                <w:sz w:val="24"/>
              </w:rPr>
              <w:t>综上所述，本项目</w:t>
            </w:r>
            <w:r>
              <w:rPr>
                <w:rFonts w:hint="default" w:ascii="Times New Roman" w:hAnsi="Times New Roman" w:eastAsia="宋体" w:cs="Times New Roman"/>
                <w:color w:val="auto"/>
                <w:sz w:val="24"/>
                <w:highlight w:val="none"/>
              </w:rPr>
              <w:t>建设满足生态保护红线、环境质量底线、资源利用上线，且不在生态环境准入</w:t>
            </w:r>
            <w:r>
              <w:rPr>
                <w:rFonts w:hint="default" w:ascii="Times New Roman" w:hAnsi="Times New Roman" w:eastAsia="宋体" w:cs="Times New Roman"/>
                <w:color w:val="auto"/>
                <w:sz w:val="24"/>
                <w:highlight w:val="none"/>
                <w:lang w:val="en-US" w:eastAsia="zh-CN"/>
              </w:rPr>
              <w:t>负面</w:t>
            </w:r>
            <w:r>
              <w:rPr>
                <w:rFonts w:hint="default" w:ascii="Times New Roman" w:hAnsi="Times New Roman" w:eastAsia="宋体" w:cs="Times New Roman"/>
                <w:color w:val="auto"/>
                <w:sz w:val="24"/>
                <w:highlight w:val="none"/>
              </w:rPr>
              <w:t>清单中，</w:t>
            </w:r>
            <w:r>
              <w:rPr>
                <w:rFonts w:hint="default" w:ascii="Times New Roman" w:hAnsi="Times New Roman" w:cs="Times New Roman"/>
                <w:color w:val="auto"/>
                <w:spacing w:val="0"/>
                <w:sz w:val="24"/>
              </w:rPr>
              <w:t>符合《关于以改善环境质量为核心加强环境影响评价管理的通知》（环环评[2016]150号）中相关要求。</w:t>
            </w:r>
          </w:p>
          <w:p w14:paraId="1FE8DB69">
            <w:pPr>
              <w:pageBreakBefore w:val="0"/>
              <w:kinsoku/>
              <w:wordWrap/>
              <w:overflowPunct/>
              <w:topLinePunct w:val="0"/>
              <w:autoSpaceDE/>
              <w:autoSpaceDN/>
              <w:bidi w:val="0"/>
              <w:spacing w:line="360" w:lineRule="auto"/>
              <w:ind w:firstLine="482" w:firstLineChars="200"/>
              <w:textAlignment w:val="auto"/>
              <w:rPr>
                <w:rFonts w:hint="default" w:ascii="Times New Roman" w:hAnsi="Times New Roman" w:cs="Times New Roman"/>
                <w:b/>
                <w:bCs/>
                <w:color w:val="auto"/>
                <w:spacing w:val="0"/>
                <w:kern w:val="24"/>
                <w:sz w:val="21"/>
                <w:szCs w:val="21"/>
              </w:rPr>
            </w:pPr>
            <w:r>
              <w:rPr>
                <w:rFonts w:hint="default" w:ascii="Times New Roman" w:hAnsi="Times New Roman" w:cs="Times New Roman"/>
                <w:b/>
                <w:bCs/>
                <w:color w:val="auto"/>
                <w:spacing w:val="0"/>
                <w:sz w:val="24"/>
              </w:rPr>
              <w:t>4、与《芜湖市生态环境分区管控文本（成果）》符合性分</w:t>
            </w:r>
            <w:r>
              <w:rPr>
                <w:rFonts w:hint="default" w:ascii="Times New Roman" w:hAnsi="Times New Roman" w:cs="Times New Roman"/>
                <w:b/>
                <w:bCs/>
                <w:color w:val="auto"/>
                <w:spacing w:val="0"/>
                <w:sz w:val="24"/>
                <w:lang w:val="en-US" w:eastAsia="zh-CN"/>
              </w:rPr>
              <w:t>析</w:t>
            </w:r>
          </w:p>
          <w:p w14:paraId="626CB4CE">
            <w:pPr>
              <w:keepNext w:val="0"/>
              <w:keepLines w:val="0"/>
              <w:pageBreakBefore w:val="0"/>
              <w:widowControl/>
              <w:kinsoku/>
              <w:wordWrap/>
              <w:overflowPunct/>
              <w:topLinePunct w:val="0"/>
              <w:autoSpaceDE/>
              <w:autoSpaceDN/>
              <w:bidi w:val="0"/>
              <w:adjustRightInd w:val="0"/>
              <w:snapToGrid/>
              <w:spacing w:beforeAutospacing="0" w:line="240" w:lineRule="auto"/>
              <w:jc w:val="center"/>
              <w:textAlignment w:val="auto"/>
              <w:rPr>
                <w:rFonts w:hint="default" w:ascii="Times New Roman" w:hAnsi="Times New Roman" w:eastAsia="宋体" w:cs="Times New Roman"/>
                <w:b/>
                <w:color w:val="auto"/>
                <w:kern w:val="0"/>
                <w:sz w:val="24"/>
                <w:szCs w:val="20"/>
                <w:lang w:val="zh-CN"/>
              </w:rPr>
            </w:pPr>
            <w:r>
              <w:rPr>
                <w:rFonts w:hint="default" w:ascii="Times New Roman" w:hAnsi="Times New Roman" w:eastAsia="宋体" w:cs="Times New Roman"/>
                <w:b/>
                <w:color w:val="auto"/>
                <w:kern w:val="0"/>
                <w:sz w:val="24"/>
                <w:szCs w:val="20"/>
                <w:lang w:val="zh-CN"/>
              </w:rPr>
              <w:t>表1-</w:t>
            </w:r>
            <w:r>
              <w:rPr>
                <w:rFonts w:hint="eastAsia" w:ascii="Times New Roman" w:hAnsi="Times New Roman" w:eastAsia="宋体" w:cs="Times New Roman"/>
                <w:b/>
                <w:color w:val="auto"/>
                <w:kern w:val="0"/>
                <w:sz w:val="24"/>
                <w:szCs w:val="20"/>
                <w:lang w:val="en-US" w:eastAsia="zh-CN"/>
              </w:rPr>
              <w:t>3</w:t>
            </w:r>
            <w:r>
              <w:rPr>
                <w:rFonts w:hint="default" w:ascii="Times New Roman" w:hAnsi="Times New Roman" w:eastAsia="宋体" w:cs="Times New Roman"/>
                <w:b/>
                <w:color w:val="auto"/>
                <w:kern w:val="0"/>
                <w:sz w:val="24"/>
                <w:szCs w:val="20"/>
                <w:lang w:val="zh-CN"/>
              </w:rPr>
              <w:t xml:space="preserve">  本项目与芜湖市生态环境分区管控文本相符性分析一览表</w:t>
            </w:r>
          </w:p>
          <w:tbl>
            <w:tblPr>
              <w:tblStyle w:val="63"/>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30"/>
              <w:gridCol w:w="3198"/>
              <w:gridCol w:w="2032"/>
              <w:gridCol w:w="822"/>
            </w:tblGrid>
            <w:tr w14:paraId="111FC01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tcBorders>
                    <w:tl2br w:val="nil"/>
                    <w:tr2bl w:val="nil"/>
                  </w:tcBorders>
                  <w:noWrap w:val="0"/>
                  <w:vAlign w:val="center"/>
                </w:tcPr>
                <w:p w14:paraId="28BAF8B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color w:val="auto"/>
                      <w:spacing w:val="0"/>
                      <w:kern w:val="24"/>
                      <w:szCs w:val="21"/>
                    </w:rPr>
                  </w:pPr>
                  <w:r>
                    <w:rPr>
                      <w:rFonts w:hint="default" w:ascii="Times New Roman" w:hAnsi="Times New Roman" w:cs="Times New Roman"/>
                      <w:b/>
                      <w:bCs/>
                      <w:color w:val="auto"/>
                      <w:spacing w:val="0"/>
                      <w:kern w:val="24"/>
                      <w:szCs w:val="21"/>
                    </w:rPr>
                    <w:t>管控领域</w:t>
                  </w:r>
                </w:p>
              </w:tc>
              <w:tc>
                <w:tcPr>
                  <w:tcW w:w="2290" w:type="pct"/>
                  <w:tcBorders>
                    <w:tl2br w:val="nil"/>
                    <w:tr2bl w:val="nil"/>
                  </w:tcBorders>
                  <w:noWrap w:val="0"/>
                  <w:vAlign w:val="center"/>
                </w:tcPr>
                <w:p w14:paraId="1149531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color w:val="auto"/>
                      <w:spacing w:val="0"/>
                      <w:kern w:val="24"/>
                      <w:szCs w:val="21"/>
                    </w:rPr>
                  </w:pPr>
                  <w:r>
                    <w:rPr>
                      <w:rFonts w:hint="default" w:ascii="Times New Roman" w:hAnsi="Times New Roman" w:cs="Times New Roman"/>
                      <w:b/>
                      <w:bCs/>
                      <w:color w:val="auto"/>
                      <w:spacing w:val="0"/>
                      <w:kern w:val="24"/>
                      <w:szCs w:val="21"/>
                    </w:rPr>
                    <w:t>管控单元及管控要求</w:t>
                  </w:r>
                </w:p>
              </w:tc>
              <w:tc>
                <w:tcPr>
                  <w:tcW w:w="1455" w:type="pct"/>
                  <w:tcBorders>
                    <w:tl2br w:val="nil"/>
                    <w:tr2bl w:val="nil"/>
                  </w:tcBorders>
                  <w:noWrap w:val="0"/>
                  <w:vAlign w:val="center"/>
                </w:tcPr>
                <w:p w14:paraId="2F6BE91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color w:val="auto"/>
                      <w:spacing w:val="0"/>
                      <w:kern w:val="24"/>
                      <w:szCs w:val="21"/>
                    </w:rPr>
                  </w:pPr>
                  <w:r>
                    <w:rPr>
                      <w:rFonts w:hint="default" w:ascii="Times New Roman" w:hAnsi="Times New Roman" w:cs="Times New Roman"/>
                      <w:b/>
                      <w:bCs/>
                      <w:color w:val="auto"/>
                      <w:spacing w:val="0"/>
                      <w:kern w:val="24"/>
                      <w:szCs w:val="21"/>
                    </w:rPr>
                    <w:t>本项目情况</w:t>
                  </w:r>
                </w:p>
              </w:tc>
              <w:tc>
                <w:tcPr>
                  <w:tcW w:w="587" w:type="pct"/>
                  <w:tcBorders>
                    <w:tl2br w:val="nil"/>
                    <w:tr2bl w:val="nil"/>
                  </w:tcBorders>
                  <w:noWrap w:val="0"/>
                  <w:vAlign w:val="center"/>
                </w:tcPr>
                <w:p w14:paraId="213109FD">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color w:val="auto"/>
                      <w:spacing w:val="0"/>
                      <w:kern w:val="24"/>
                      <w:szCs w:val="21"/>
                    </w:rPr>
                  </w:pPr>
                  <w:r>
                    <w:rPr>
                      <w:rFonts w:hint="default" w:ascii="Times New Roman" w:hAnsi="Times New Roman" w:cs="Times New Roman"/>
                      <w:b/>
                      <w:bCs/>
                      <w:color w:val="auto"/>
                      <w:spacing w:val="0"/>
                      <w:kern w:val="24"/>
                      <w:szCs w:val="21"/>
                    </w:rPr>
                    <w:t>相符性</w:t>
                  </w:r>
                </w:p>
              </w:tc>
            </w:tr>
            <w:tr w14:paraId="398275B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5000" w:type="pct"/>
                  <w:gridSpan w:val="4"/>
                  <w:tcBorders>
                    <w:tl2br w:val="nil"/>
                    <w:tr2bl w:val="nil"/>
                  </w:tcBorders>
                  <w:noWrap w:val="0"/>
                  <w:vAlign w:val="center"/>
                </w:tcPr>
                <w:p w14:paraId="5EB6C66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color w:val="auto"/>
                      <w:spacing w:val="0"/>
                      <w:kern w:val="24"/>
                      <w:szCs w:val="21"/>
                    </w:rPr>
                  </w:pPr>
                  <w:r>
                    <w:rPr>
                      <w:rFonts w:hint="default" w:ascii="Times New Roman" w:hAnsi="Times New Roman" w:cs="Times New Roman"/>
                      <w:b/>
                      <w:bCs/>
                      <w:color w:val="auto"/>
                      <w:spacing w:val="0"/>
                      <w:kern w:val="24"/>
                      <w:szCs w:val="21"/>
                    </w:rPr>
                    <w:t>生态保护红线及生态分区管控</w:t>
                  </w:r>
                </w:p>
              </w:tc>
            </w:tr>
            <w:tr w14:paraId="537E353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tcBorders>
                    <w:tl2br w:val="nil"/>
                    <w:tr2bl w:val="nil"/>
                  </w:tcBorders>
                  <w:noWrap w:val="0"/>
                  <w:vAlign w:val="center"/>
                </w:tcPr>
                <w:p w14:paraId="679EABD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生态分区管控要求</w:t>
                  </w:r>
                </w:p>
              </w:tc>
              <w:tc>
                <w:tcPr>
                  <w:tcW w:w="2290" w:type="pct"/>
                  <w:tcBorders>
                    <w:tl2br w:val="nil"/>
                    <w:tr2bl w:val="nil"/>
                  </w:tcBorders>
                  <w:noWrap w:val="0"/>
                  <w:vAlign w:val="center"/>
                </w:tcPr>
                <w:p w14:paraId="39D2CA9F">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生态保护红线管控要求：依据中办、国办印发的《关于划定并严守生态保护红线的若干意见》，生态保护红线原则上按禁止开发区域的要求进行管理。严禁不符合主体功能定位的各类开发活动，严禁任意改变用途，确保生态保护红线的生态功能不降低、面积不减少、性质不改变。依据中办、国办印发的《关于在国土空间规划中统筹划定落实三条控制线的指导意见》，生态保护红线内，自然保护地核心保护区原则上禁止人为活动，其他区域严格禁止开发性、生产性建设活动，在符合现行法律法规前提下，除国家重大战略项目外，仅允许对生态功能不造成破坏的有限人为活动。依据《自然资源部生态环境部国家林业和草原局关于加强生态保护红线管理的通知(试行)》，生态保护红线内自然保护区、风景名胜区、饮用水水源保护区等区域，依照法律法规执行。</w:t>
                  </w:r>
                </w:p>
              </w:tc>
              <w:tc>
                <w:tcPr>
                  <w:tcW w:w="1455" w:type="pct"/>
                  <w:tcBorders>
                    <w:tl2br w:val="nil"/>
                    <w:tr2bl w:val="nil"/>
                  </w:tcBorders>
                  <w:noWrap w:val="0"/>
                  <w:vAlign w:val="center"/>
                </w:tcPr>
                <w:p w14:paraId="1CF023E2">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本项目位于</w:t>
                  </w:r>
                  <w:r>
                    <w:rPr>
                      <w:rFonts w:hint="default" w:ascii="Times New Roman" w:hAnsi="Times New Roman" w:cs="Times New Roman"/>
                      <w:color w:val="auto"/>
                      <w:spacing w:val="0"/>
                      <w:kern w:val="24"/>
                      <w:szCs w:val="21"/>
                      <w:lang w:eastAsia="zh-CN"/>
                    </w:rPr>
                    <w:t>芜湖市湾沚区安徽新芜经济开发区西支六路222号</w:t>
                  </w:r>
                  <w:r>
                    <w:rPr>
                      <w:rFonts w:hint="default" w:ascii="Times New Roman" w:hAnsi="Times New Roman" w:cs="Times New Roman"/>
                      <w:color w:val="auto"/>
                      <w:spacing w:val="0"/>
                      <w:kern w:val="24"/>
                      <w:szCs w:val="21"/>
                    </w:rPr>
                    <w:t>，不在生态保护红线范围内。</w:t>
                  </w:r>
                  <w:r>
                    <w:rPr>
                      <w:rFonts w:hint="default" w:ascii="Times New Roman" w:hAnsi="Times New Roman" w:eastAsia="宋体" w:cs="Times New Roman"/>
                      <w:color w:val="auto"/>
                      <w:spacing w:val="0"/>
                      <w:kern w:val="24"/>
                      <w:szCs w:val="21"/>
                      <w:lang w:val="en-US" w:eastAsia="zh-CN"/>
                    </w:rPr>
                    <w:t>距离长江干流岸线约</w:t>
                  </w:r>
                  <w:r>
                    <w:rPr>
                      <w:rFonts w:hint="default" w:ascii="Times New Roman" w:hAnsi="Times New Roman" w:cs="Times New Roman"/>
                      <w:color w:val="auto"/>
                      <w:spacing w:val="0"/>
                      <w:kern w:val="24"/>
                      <w:szCs w:val="21"/>
                      <w:lang w:val="en-US" w:eastAsia="zh-CN"/>
                    </w:rPr>
                    <w:t>30.9km，距离青弋江4.7km。</w:t>
                  </w:r>
                  <w:r>
                    <w:rPr>
                      <w:rFonts w:hint="default" w:ascii="Times New Roman" w:hAnsi="Times New Roman" w:eastAsia="宋体" w:cs="Times New Roman"/>
                      <w:color w:val="auto"/>
                      <w:spacing w:val="0"/>
                      <w:kern w:val="24"/>
                      <w:szCs w:val="21"/>
                      <w:lang w:val="en-US" w:eastAsia="zh-CN"/>
                    </w:rPr>
                    <w:t>根据芜湖市“三线一单”，本项目区域亦不涉及一般生态空间区域。</w:t>
                  </w:r>
                </w:p>
              </w:tc>
              <w:tc>
                <w:tcPr>
                  <w:tcW w:w="587" w:type="pct"/>
                  <w:tcBorders>
                    <w:tl2br w:val="nil"/>
                    <w:tr2bl w:val="nil"/>
                  </w:tcBorders>
                  <w:noWrap w:val="0"/>
                  <w:vAlign w:val="center"/>
                </w:tcPr>
                <w:p w14:paraId="6C01782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符合</w:t>
                  </w:r>
                </w:p>
              </w:tc>
            </w:tr>
            <w:tr w14:paraId="41F487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5000" w:type="pct"/>
                  <w:gridSpan w:val="4"/>
                  <w:tcBorders>
                    <w:tl2br w:val="nil"/>
                    <w:tr2bl w:val="nil"/>
                  </w:tcBorders>
                  <w:noWrap w:val="0"/>
                  <w:vAlign w:val="center"/>
                </w:tcPr>
                <w:p w14:paraId="1A5BF56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color w:val="auto"/>
                      <w:spacing w:val="0"/>
                      <w:kern w:val="24"/>
                      <w:szCs w:val="21"/>
                    </w:rPr>
                  </w:pPr>
                  <w:r>
                    <w:rPr>
                      <w:rFonts w:hint="default" w:ascii="Times New Roman" w:hAnsi="Times New Roman" w:cs="Times New Roman"/>
                      <w:b/>
                      <w:bCs/>
                      <w:color w:val="auto"/>
                      <w:spacing w:val="0"/>
                      <w:kern w:val="24"/>
                      <w:szCs w:val="21"/>
                    </w:rPr>
                    <w:t>环境质量底线及环境分区管控</w:t>
                  </w:r>
                </w:p>
              </w:tc>
            </w:tr>
            <w:tr w14:paraId="3D7FC7E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vMerge w:val="restart"/>
                  <w:tcBorders>
                    <w:tl2br w:val="nil"/>
                    <w:tr2bl w:val="nil"/>
                  </w:tcBorders>
                  <w:noWrap w:val="0"/>
                  <w:vAlign w:val="center"/>
                </w:tcPr>
                <w:p w14:paraId="6C21950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水环境质量底线及分区管控</w:t>
                  </w:r>
                </w:p>
              </w:tc>
              <w:tc>
                <w:tcPr>
                  <w:tcW w:w="2290" w:type="pct"/>
                  <w:tcBorders>
                    <w:tl2br w:val="nil"/>
                    <w:tr2bl w:val="nil"/>
                  </w:tcBorders>
                  <w:noWrap w:val="0"/>
                  <w:vAlign w:val="center"/>
                </w:tcPr>
                <w:p w14:paraId="4D576DE6">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芜湖市水环境管控分区包括优先保护区、重点管控区和一般管控区。</w:t>
                  </w:r>
                </w:p>
              </w:tc>
              <w:tc>
                <w:tcPr>
                  <w:tcW w:w="1455" w:type="pct"/>
                  <w:vMerge w:val="restart"/>
                  <w:tcBorders>
                    <w:tl2br w:val="nil"/>
                    <w:tr2bl w:val="nil"/>
                  </w:tcBorders>
                  <w:noWrap w:val="0"/>
                  <w:vAlign w:val="center"/>
                </w:tcPr>
                <w:p w14:paraId="71D88A8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本项目位于</w:t>
                  </w:r>
                  <w:r>
                    <w:rPr>
                      <w:rFonts w:hint="default" w:ascii="Times New Roman" w:hAnsi="Times New Roman" w:cs="Times New Roman"/>
                      <w:color w:val="auto"/>
                      <w:spacing w:val="0"/>
                      <w:kern w:val="24"/>
                      <w:szCs w:val="21"/>
                      <w:lang w:eastAsia="zh-CN"/>
                    </w:rPr>
                    <w:t>芜湖市湾沚区安徽新芜经济开发区西支六路222号，属于</w:t>
                  </w:r>
                  <w:r>
                    <w:rPr>
                      <w:rFonts w:hint="default" w:ascii="Times New Roman" w:hAnsi="Times New Roman" w:cs="Times New Roman"/>
                      <w:color w:val="auto"/>
                      <w:spacing w:val="0"/>
                      <w:kern w:val="24"/>
                      <w:szCs w:val="21"/>
                      <w:lang w:val="en-US" w:eastAsia="zh-CN"/>
                    </w:rPr>
                    <w:t>城镇生活污染</w:t>
                  </w:r>
                  <w:r>
                    <w:rPr>
                      <w:rFonts w:hint="default" w:ascii="Times New Roman" w:hAnsi="Times New Roman" w:cs="Times New Roman"/>
                      <w:color w:val="auto"/>
                      <w:spacing w:val="0"/>
                      <w:kern w:val="24"/>
                      <w:szCs w:val="21"/>
                      <w:lang w:eastAsia="zh-CN"/>
                    </w:rPr>
                    <w:t>重点管控区。</w:t>
                  </w:r>
                  <w:r>
                    <w:rPr>
                      <w:rFonts w:hint="default" w:ascii="Times New Roman" w:hAnsi="Times New Roman" w:cs="Times New Roman"/>
                      <w:color w:val="auto"/>
                      <w:spacing w:val="0"/>
                      <w:kern w:val="24"/>
                      <w:szCs w:val="21"/>
                    </w:rPr>
                    <w:t>本项目废水主要为生活污水，通过市政管网排入</w:t>
                  </w:r>
                  <w:r>
                    <w:rPr>
                      <w:rFonts w:hint="default" w:ascii="Times New Roman" w:hAnsi="Times New Roman" w:cs="Times New Roman"/>
                      <w:color w:val="auto"/>
                      <w:spacing w:val="0"/>
                      <w:szCs w:val="21"/>
                      <w:lang w:eastAsia="zh-CN"/>
                    </w:rPr>
                    <w:t>安徽芜湖县新芜开发区城东污水处理厂</w:t>
                  </w:r>
                  <w:r>
                    <w:rPr>
                      <w:rFonts w:hint="default" w:ascii="Times New Roman" w:hAnsi="Times New Roman" w:cs="Times New Roman"/>
                      <w:color w:val="auto"/>
                      <w:spacing w:val="0"/>
                      <w:kern w:val="24"/>
                      <w:szCs w:val="21"/>
                    </w:rPr>
                    <w:t>集中处理。水污染物总量已纳入</w:t>
                  </w:r>
                  <w:r>
                    <w:rPr>
                      <w:rFonts w:hint="default" w:ascii="Times New Roman" w:hAnsi="Times New Roman" w:cs="Times New Roman"/>
                      <w:color w:val="auto"/>
                      <w:spacing w:val="0"/>
                      <w:szCs w:val="21"/>
                      <w:lang w:eastAsia="zh-CN"/>
                    </w:rPr>
                    <w:t>安徽芜湖县新芜开发区城东污水处理厂</w:t>
                  </w:r>
                  <w:r>
                    <w:rPr>
                      <w:rFonts w:hint="default" w:ascii="Times New Roman" w:hAnsi="Times New Roman" w:cs="Times New Roman"/>
                      <w:color w:val="auto"/>
                      <w:spacing w:val="0"/>
                      <w:kern w:val="24"/>
                      <w:szCs w:val="21"/>
                    </w:rPr>
                    <w:t>总量控制范围内。</w:t>
                  </w:r>
                </w:p>
              </w:tc>
              <w:tc>
                <w:tcPr>
                  <w:tcW w:w="587" w:type="pct"/>
                  <w:vMerge w:val="restart"/>
                  <w:tcBorders>
                    <w:tl2br w:val="nil"/>
                    <w:tr2bl w:val="nil"/>
                  </w:tcBorders>
                  <w:noWrap w:val="0"/>
                  <w:vAlign w:val="center"/>
                </w:tcPr>
                <w:p w14:paraId="562B1B1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符合</w:t>
                  </w:r>
                </w:p>
              </w:tc>
            </w:tr>
            <w:tr w14:paraId="60DF981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vMerge w:val="continue"/>
                  <w:tcBorders>
                    <w:tl2br w:val="nil"/>
                    <w:tr2bl w:val="nil"/>
                  </w:tcBorders>
                  <w:noWrap w:val="0"/>
                  <w:vAlign w:val="center"/>
                </w:tcPr>
                <w:p w14:paraId="7259687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pacing w:val="0"/>
                      <w:kern w:val="24"/>
                      <w:szCs w:val="21"/>
                    </w:rPr>
                  </w:pPr>
                </w:p>
              </w:tc>
              <w:tc>
                <w:tcPr>
                  <w:tcW w:w="2290" w:type="pct"/>
                  <w:tcBorders>
                    <w:tl2br w:val="nil"/>
                    <w:tr2bl w:val="nil"/>
                  </w:tcBorders>
                  <w:noWrap w:val="0"/>
                  <w:vAlign w:val="center"/>
                </w:tcPr>
                <w:p w14:paraId="4D145559">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重点管控区：依据《中华人民共和国水污染防治法》、《水污染防治行动计划》、《安徽省水污染防治工作方案》、《芜湖市水污染防治工作方案》等对重点管控区实施管控；依据《巢湖流域水污染防治条例》对巢湖流域实施管控；依据开发区规划、规划环评及审查意见相关要求对开发区实施管控；落实《“十四五”生态环境保护规划》、《安徽省“十四五”环境保护规划》、《安徽省“十四五”节能减排实施方案》、《芜湖市“十四五”节能减排实施方案》等要求，新建、改建和扩建项目水污染物实施“等量替代”。</w:t>
                  </w:r>
                </w:p>
              </w:tc>
              <w:tc>
                <w:tcPr>
                  <w:tcW w:w="1455" w:type="pct"/>
                  <w:vMerge w:val="continue"/>
                  <w:tcBorders>
                    <w:tl2br w:val="nil"/>
                    <w:tr2bl w:val="nil"/>
                  </w:tcBorders>
                  <w:noWrap w:val="0"/>
                  <w:vAlign w:val="center"/>
                </w:tcPr>
                <w:p w14:paraId="7897ED6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pacing w:val="0"/>
                      <w:kern w:val="24"/>
                      <w:szCs w:val="21"/>
                    </w:rPr>
                  </w:pPr>
                </w:p>
              </w:tc>
              <w:tc>
                <w:tcPr>
                  <w:tcW w:w="587" w:type="pct"/>
                  <w:vMerge w:val="continue"/>
                  <w:tcBorders>
                    <w:tl2br w:val="nil"/>
                    <w:tr2bl w:val="nil"/>
                  </w:tcBorders>
                  <w:noWrap w:val="0"/>
                  <w:vAlign w:val="center"/>
                </w:tcPr>
                <w:p w14:paraId="56550E3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pacing w:val="0"/>
                      <w:kern w:val="24"/>
                      <w:szCs w:val="21"/>
                    </w:rPr>
                  </w:pPr>
                </w:p>
              </w:tc>
            </w:tr>
            <w:tr w14:paraId="600E0A8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vMerge w:val="restart"/>
                  <w:tcBorders>
                    <w:tl2br w:val="nil"/>
                    <w:tr2bl w:val="nil"/>
                  </w:tcBorders>
                  <w:noWrap w:val="0"/>
                  <w:vAlign w:val="center"/>
                </w:tcPr>
                <w:p w14:paraId="3F0553A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大气环境质量底线及分区管控</w:t>
                  </w:r>
                </w:p>
              </w:tc>
              <w:tc>
                <w:tcPr>
                  <w:tcW w:w="2290" w:type="pct"/>
                  <w:tcBorders>
                    <w:tl2br w:val="nil"/>
                    <w:tr2bl w:val="nil"/>
                  </w:tcBorders>
                  <w:noWrap w:val="0"/>
                  <w:vAlign w:val="center"/>
                </w:tcPr>
                <w:p w14:paraId="4BA65979">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芜湖市大气环境管控分区包括优先保护区、重点管控区和一般管控区。</w:t>
                  </w:r>
                </w:p>
              </w:tc>
              <w:tc>
                <w:tcPr>
                  <w:tcW w:w="1455" w:type="pct"/>
                  <w:vMerge w:val="restart"/>
                  <w:tcBorders>
                    <w:tl2br w:val="nil"/>
                    <w:tr2bl w:val="nil"/>
                  </w:tcBorders>
                  <w:noWrap w:val="0"/>
                  <w:vAlign w:val="center"/>
                </w:tcPr>
                <w:p w14:paraId="143E0FCA">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本项目位于</w:t>
                  </w:r>
                  <w:r>
                    <w:rPr>
                      <w:rFonts w:hint="default" w:ascii="Times New Roman" w:hAnsi="Times New Roman" w:cs="Times New Roman"/>
                      <w:color w:val="auto"/>
                      <w:spacing w:val="0"/>
                      <w:kern w:val="24"/>
                      <w:szCs w:val="21"/>
                      <w:lang w:eastAsia="zh-CN"/>
                    </w:rPr>
                    <w:t>芜湖市湾沚区安徽新芜经济开发区西支六路222号</w:t>
                  </w:r>
                  <w:r>
                    <w:rPr>
                      <w:rFonts w:hint="default" w:ascii="Times New Roman" w:hAnsi="Times New Roman" w:eastAsia="宋体" w:cs="Times New Roman"/>
                      <w:color w:val="auto"/>
                      <w:spacing w:val="0"/>
                      <w:kern w:val="24"/>
                      <w:szCs w:val="21"/>
                      <w:lang w:eastAsia="zh-CN"/>
                    </w:rPr>
                    <w:t>，属于</w:t>
                  </w:r>
                  <w:r>
                    <w:rPr>
                      <w:rFonts w:hint="default" w:ascii="Times New Roman" w:hAnsi="Times New Roman" w:eastAsia="宋体" w:cs="Times New Roman"/>
                      <w:color w:val="auto"/>
                      <w:spacing w:val="0"/>
                      <w:kern w:val="24"/>
                      <w:szCs w:val="21"/>
                      <w:lang w:val="en-US" w:eastAsia="zh-CN"/>
                    </w:rPr>
                    <w:t>受体敏感重点管控区</w:t>
                  </w:r>
                  <w:r>
                    <w:rPr>
                      <w:rFonts w:hint="default" w:ascii="Times New Roman" w:hAnsi="Times New Roman" w:eastAsia="宋体" w:cs="Times New Roman"/>
                      <w:color w:val="auto"/>
                      <w:spacing w:val="0"/>
                      <w:kern w:val="24"/>
                      <w:szCs w:val="21"/>
                      <w:lang w:eastAsia="zh-CN"/>
                    </w:rPr>
                    <w:t>。</w:t>
                  </w:r>
                  <w:r>
                    <w:rPr>
                      <w:rFonts w:hint="default" w:ascii="Times New Roman" w:hAnsi="Times New Roman" w:cs="Times New Roman"/>
                      <w:color w:val="auto"/>
                      <w:spacing w:val="0"/>
                      <w:kern w:val="24"/>
                      <w:szCs w:val="21"/>
                    </w:rPr>
                    <w:t>根据《</w:t>
                  </w:r>
                  <w:r>
                    <w:rPr>
                      <w:rFonts w:hint="default" w:ascii="Times New Roman" w:hAnsi="Times New Roman" w:cs="Times New Roman"/>
                      <w:color w:val="auto"/>
                      <w:spacing w:val="0"/>
                      <w:kern w:val="24"/>
                      <w:szCs w:val="21"/>
                      <w:lang w:eastAsia="zh-CN"/>
                    </w:rPr>
                    <w:t>2024年芜湖市生态环境状况公报</w:t>
                  </w:r>
                  <w:r>
                    <w:rPr>
                      <w:rFonts w:hint="default" w:ascii="Times New Roman" w:hAnsi="Times New Roman" w:cs="Times New Roman"/>
                      <w:color w:val="auto"/>
                      <w:spacing w:val="0"/>
                      <w:kern w:val="24"/>
                      <w:szCs w:val="21"/>
                    </w:rPr>
                    <w:t>》可知，项目区域202</w:t>
                  </w:r>
                  <w:r>
                    <w:rPr>
                      <w:rFonts w:hint="default" w:ascii="Times New Roman" w:hAnsi="Times New Roman" w:cs="Times New Roman"/>
                      <w:color w:val="auto"/>
                      <w:spacing w:val="0"/>
                      <w:kern w:val="24"/>
                      <w:szCs w:val="21"/>
                      <w:lang w:val="en-US" w:eastAsia="zh-CN"/>
                    </w:rPr>
                    <w:t>4</w:t>
                  </w:r>
                  <w:r>
                    <w:rPr>
                      <w:rFonts w:hint="default" w:ascii="Times New Roman" w:hAnsi="Times New Roman" w:cs="Times New Roman"/>
                      <w:color w:val="auto"/>
                      <w:spacing w:val="0"/>
                      <w:kern w:val="24"/>
                      <w:szCs w:val="21"/>
                    </w:rPr>
                    <w:t>年度PM</w:t>
                  </w:r>
                  <w:r>
                    <w:rPr>
                      <w:rFonts w:hint="default" w:ascii="Times New Roman" w:hAnsi="Times New Roman" w:cs="Times New Roman"/>
                      <w:color w:val="auto"/>
                      <w:spacing w:val="0"/>
                      <w:kern w:val="24"/>
                      <w:szCs w:val="21"/>
                      <w:vertAlign w:val="subscript"/>
                    </w:rPr>
                    <w:t>2.5</w:t>
                  </w:r>
                  <w:r>
                    <w:rPr>
                      <w:rFonts w:hint="default" w:ascii="Times New Roman" w:hAnsi="Times New Roman" w:cs="Times New Roman"/>
                      <w:color w:val="auto"/>
                      <w:spacing w:val="0"/>
                      <w:kern w:val="24"/>
                      <w:szCs w:val="21"/>
                    </w:rPr>
                    <w:t>达标，大气主要污染物总量指标实行区域内等量削减替代，建设项目需向生态环境主管部门申请大气污染物总量指标，不会降低区域现有环境功能。</w:t>
                  </w:r>
                </w:p>
              </w:tc>
              <w:tc>
                <w:tcPr>
                  <w:tcW w:w="587" w:type="pct"/>
                  <w:vMerge w:val="restart"/>
                  <w:tcBorders>
                    <w:tl2br w:val="nil"/>
                    <w:tr2bl w:val="nil"/>
                  </w:tcBorders>
                  <w:noWrap w:val="0"/>
                  <w:vAlign w:val="center"/>
                </w:tcPr>
                <w:p w14:paraId="0A22FC1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符合</w:t>
                  </w:r>
                </w:p>
              </w:tc>
            </w:tr>
            <w:tr w14:paraId="2857A49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vMerge w:val="continue"/>
                  <w:tcBorders>
                    <w:tl2br w:val="nil"/>
                    <w:tr2bl w:val="nil"/>
                  </w:tcBorders>
                  <w:noWrap w:val="0"/>
                  <w:vAlign w:val="center"/>
                </w:tcPr>
                <w:p w14:paraId="406911C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pacing w:val="0"/>
                      <w:kern w:val="24"/>
                      <w:szCs w:val="21"/>
                    </w:rPr>
                  </w:pPr>
                </w:p>
              </w:tc>
              <w:tc>
                <w:tcPr>
                  <w:tcW w:w="2290" w:type="pct"/>
                  <w:tcBorders>
                    <w:tl2br w:val="nil"/>
                    <w:tr2bl w:val="nil"/>
                  </w:tcBorders>
                  <w:noWrap w:val="0"/>
                  <w:vAlign w:val="center"/>
                </w:tcPr>
                <w:p w14:paraId="6C3F80AB">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重点管控区：落实《安徽省大气污染防治条例》、《“十四五”生态环境保护规划》、《安徽省“十四五”环境保护规划》、《芜湖市“十四五”环境保护规划》、《重点行业挥发性有机物综合治理方案》等要求，严格目标实施计划，加强环境监管，促进生态环境质量好转。若上年度PM</w:t>
                  </w:r>
                  <w:r>
                    <w:rPr>
                      <w:rFonts w:hint="default" w:ascii="Times New Roman" w:hAnsi="Times New Roman" w:cs="Times New Roman"/>
                      <w:color w:val="auto"/>
                      <w:spacing w:val="0"/>
                      <w:kern w:val="24"/>
                      <w:szCs w:val="21"/>
                      <w:vertAlign w:val="subscript"/>
                    </w:rPr>
                    <w:t>2.5</w:t>
                  </w:r>
                  <w:r>
                    <w:rPr>
                      <w:rFonts w:hint="default" w:ascii="Times New Roman" w:hAnsi="Times New Roman" w:cs="Times New Roman"/>
                      <w:color w:val="auto"/>
                      <w:spacing w:val="0"/>
                      <w:kern w:val="24"/>
                      <w:szCs w:val="21"/>
                    </w:rPr>
                    <w:t>不达标，新建、改建和扩建项目大气污染物实施“倍量替代”，执行特别排放标准的行业实施提标升级改造。</w:t>
                  </w:r>
                </w:p>
              </w:tc>
              <w:tc>
                <w:tcPr>
                  <w:tcW w:w="1455" w:type="pct"/>
                  <w:vMerge w:val="continue"/>
                  <w:tcBorders>
                    <w:tl2br w:val="nil"/>
                    <w:tr2bl w:val="nil"/>
                  </w:tcBorders>
                  <w:noWrap w:val="0"/>
                  <w:vAlign w:val="center"/>
                </w:tcPr>
                <w:p w14:paraId="5439775C">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color w:val="auto"/>
                      <w:spacing w:val="0"/>
                      <w:kern w:val="24"/>
                      <w:szCs w:val="21"/>
                    </w:rPr>
                  </w:pPr>
                </w:p>
              </w:tc>
              <w:tc>
                <w:tcPr>
                  <w:tcW w:w="587" w:type="pct"/>
                  <w:vMerge w:val="continue"/>
                  <w:tcBorders>
                    <w:tl2br w:val="nil"/>
                    <w:tr2bl w:val="nil"/>
                  </w:tcBorders>
                  <w:noWrap w:val="0"/>
                  <w:vAlign w:val="center"/>
                </w:tcPr>
                <w:p w14:paraId="52977B6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pacing w:val="0"/>
                      <w:kern w:val="24"/>
                      <w:szCs w:val="21"/>
                    </w:rPr>
                  </w:pPr>
                </w:p>
              </w:tc>
            </w:tr>
            <w:tr w14:paraId="78EEBCC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vMerge w:val="restart"/>
                  <w:tcBorders>
                    <w:tl2br w:val="nil"/>
                    <w:tr2bl w:val="nil"/>
                  </w:tcBorders>
                  <w:noWrap w:val="0"/>
                  <w:vAlign w:val="center"/>
                </w:tcPr>
                <w:p w14:paraId="59FCE81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土壤环境风险防控底线及分区管控</w:t>
                  </w:r>
                </w:p>
              </w:tc>
              <w:tc>
                <w:tcPr>
                  <w:tcW w:w="2290" w:type="pct"/>
                  <w:tcBorders>
                    <w:tl2br w:val="nil"/>
                    <w:tr2bl w:val="nil"/>
                  </w:tcBorders>
                  <w:noWrap w:val="0"/>
                  <w:vAlign w:val="center"/>
                </w:tcPr>
                <w:p w14:paraId="78128440">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芜湖市土壤风险防控分区包括优先保护区、重点管控区和一般管控区。</w:t>
                  </w:r>
                </w:p>
              </w:tc>
              <w:tc>
                <w:tcPr>
                  <w:tcW w:w="1455" w:type="pct"/>
                  <w:vMerge w:val="restart"/>
                  <w:tcBorders>
                    <w:tl2br w:val="nil"/>
                    <w:tr2bl w:val="nil"/>
                  </w:tcBorders>
                  <w:noWrap w:val="0"/>
                  <w:vAlign w:val="center"/>
                </w:tcPr>
                <w:p w14:paraId="1D163825">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本项目位于</w:t>
                  </w:r>
                  <w:r>
                    <w:rPr>
                      <w:rFonts w:hint="default" w:ascii="Times New Roman" w:hAnsi="Times New Roman" w:cs="Times New Roman"/>
                      <w:color w:val="auto"/>
                      <w:spacing w:val="0"/>
                      <w:kern w:val="24"/>
                      <w:szCs w:val="21"/>
                      <w:lang w:eastAsia="zh-CN"/>
                    </w:rPr>
                    <w:t>芜湖市湾沚区安徽新芜经济开发区西支六路222号</w:t>
                  </w:r>
                  <w:r>
                    <w:rPr>
                      <w:rFonts w:hint="default" w:ascii="Times New Roman" w:hAnsi="Times New Roman" w:eastAsia="宋体" w:cs="Times New Roman"/>
                      <w:color w:val="auto"/>
                      <w:spacing w:val="0"/>
                      <w:kern w:val="24"/>
                      <w:szCs w:val="21"/>
                      <w:lang w:eastAsia="zh-CN"/>
                    </w:rPr>
                    <w:t>，属于土壤环境一般管控区。</w:t>
                  </w:r>
                  <w:r>
                    <w:rPr>
                      <w:rFonts w:hint="default" w:ascii="Times New Roman" w:hAnsi="Times New Roman" w:cs="Times New Roman"/>
                      <w:color w:val="auto"/>
                      <w:spacing w:val="0"/>
                      <w:kern w:val="24"/>
                      <w:szCs w:val="21"/>
                    </w:rPr>
                    <w:t>本项目不涉及有色金属冶炼、石油加工、化工、焦化、电镀、制革等行业生产经营活动，且项目采取分区防渗，因此不会对区域土壤环境造成影响。</w:t>
                  </w:r>
                </w:p>
              </w:tc>
              <w:tc>
                <w:tcPr>
                  <w:tcW w:w="587" w:type="pct"/>
                  <w:vMerge w:val="restart"/>
                  <w:tcBorders>
                    <w:tl2br w:val="nil"/>
                    <w:tr2bl w:val="nil"/>
                  </w:tcBorders>
                  <w:noWrap w:val="0"/>
                  <w:vAlign w:val="center"/>
                </w:tcPr>
                <w:p w14:paraId="48A9562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符合</w:t>
                  </w:r>
                </w:p>
              </w:tc>
            </w:tr>
            <w:tr w14:paraId="2448648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vMerge w:val="continue"/>
                  <w:tcBorders>
                    <w:tl2br w:val="nil"/>
                    <w:tr2bl w:val="nil"/>
                  </w:tcBorders>
                  <w:noWrap w:val="0"/>
                  <w:vAlign w:val="center"/>
                </w:tcPr>
                <w:p w14:paraId="766A520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pacing w:val="0"/>
                      <w:kern w:val="24"/>
                      <w:szCs w:val="21"/>
                    </w:rPr>
                  </w:pPr>
                </w:p>
              </w:tc>
              <w:tc>
                <w:tcPr>
                  <w:tcW w:w="2290" w:type="pct"/>
                  <w:tcBorders>
                    <w:tl2br w:val="nil"/>
                    <w:tr2bl w:val="nil"/>
                  </w:tcBorders>
                  <w:noWrap w:val="0"/>
                  <w:vAlign w:val="center"/>
                </w:tcPr>
                <w:p w14:paraId="1C52753E">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一般管控区：依据《中华人民共和国土壤污染防治法》、《土壤污染防治行动计划》、《安徽省土壤污染防治工作方案》、《安徽省“十四五”环境保护规划》、《芜湖市土壤污染防治工作方案》等要求及各市土壤污染防治工作方案对一般管控区实施管控。</w:t>
                  </w:r>
                </w:p>
              </w:tc>
              <w:tc>
                <w:tcPr>
                  <w:tcW w:w="1455" w:type="pct"/>
                  <w:vMerge w:val="continue"/>
                  <w:tcBorders>
                    <w:tl2br w:val="nil"/>
                    <w:tr2bl w:val="nil"/>
                  </w:tcBorders>
                  <w:noWrap w:val="0"/>
                  <w:vAlign w:val="center"/>
                </w:tcPr>
                <w:p w14:paraId="0BC0989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pacing w:val="0"/>
                      <w:kern w:val="24"/>
                      <w:szCs w:val="21"/>
                    </w:rPr>
                  </w:pPr>
                </w:p>
              </w:tc>
              <w:tc>
                <w:tcPr>
                  <w:tcW w:w="587" w:type="pct"/>
                  <w:vMerge w:val="continue"/>
                  <w:tcBorders>
                    <w:tl2br w:val="nil"/>
                    <w:tr2bl w:val="nil"/>
                  </w:tcBorders>
                  <w:noWrap w:val="0"/>
                  <w:vAlign w:val="center"/>
                </w:tcPr>
                <w:p w14:paraId="7FCC12C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pacing w:val="0"/>
                      <w:kern w:val="24"/>
                      <w:szCs w:val="21"/>
                    </w:rPr>
                  </w:pPr>
                </w:p>
              </w:tc>
            </w:tr>
            <w:tr w14:paraId="61EF8BA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5000" w:type="pct"/>
                  <w:gridSpan w:val="4"/>
                  <w:tcBorders>
                    <w:tl2br w:val="nil"/>
                    <w:tr2bl w:val="nil"/>
                  </w:tcBorders>
                  <w:noWrap w:val="0"/>
                  <w:vAlign w:val="center"/>
                </w:tcPr>
                <w:p w14:paraId="50754F3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color w:val="auto"/>
                      <w:spacing w:val="0"/>
                      <w:kern w:val="24"/>
                      <w:szCs w:val="21"/>
                    </w:rPr>
                  </w:pPr>
                  <w:r>
                    <w:rPr>
                      <w:rFonts w:hint="default" w:ascii="Times New Roman" w:hAnsi="Times New Roman" w:cs="Times New Roman"/>
                      <w:b/>
                      <w:bCs/>
                      <w:color w:val="auto"/>
                      <w:spacing w:val="0"/>
                      <w:kern w:val="24"/>
                      <w:szCs w:val="21"/>
                    </w:rPr>
                    <w:t>资源利用上线及自然资源开发分区管控</w:t>
                  </w:r>
                </w:p>
              </w:tc>
            </w:tr>
            <w:tr w14:paraId="104B1DA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tcBorders>
                    <w:tl2br w:val="nil"/>
                    <w:tr2bl w:val="nil"/>
                  </w:tcBorders>
                  <w:noWrap w:val="0"/>
                  <w:vAlign w:val="center"/>
                </w:tcPr>
                <w:p w14:paraId="0433229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水资源利用上线及分区管控</w:t>
                  </w:r>
                </w:p>
              </w:tc>
              <w:tc>
                <w:tcPr>
                  <w:tcW w:w="2290" w:type="pct"/>
                  <w:tcBorders>
                    <w:tl2br w:val="nil"/>
                    <w:tr2bl w:val="nil"/>
                  </w:tcBorders>
                  <w:noWrap w:val="0"/>
                  <w:vAlign w:val="center"/>
                </w:tcPr>
                <w:p w14:paraId="59DAB940">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芜湖市水资源管控分区全部为一般管控区。管控要求：落实《国务院办公厅关于印发实行最严格水资源管理制度考核办法的通知》、《“十四五”水资源消耗总量和强度双控行动方案》、《安徽省“十四五”水资源消耗总量和强度双控工作方案》和《芜湖市“十四五”水资源消耗总量和强度双控工作方案》等要求。</w:t>
                  </w:r>
                </w:p>
              </w:tc>
              <w:tc>
                <w:tcPr>
                  <w:tcW w:w="1455" w:type="pct"/>
                  <w:tcBorders>
                    <w:tl2br w:val="nil"/>
                    <w:tr2bl w:val="nil"/>
                  </w:tcBorders>
                  <w:noWrap w:val="0"/>
                  <w:vAlign w:val="center"/>
                </w:tcPr>
                <w:p w14:paraId="3A9D98CF">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本项目用水来自区域市政供水管网，新增用</w:t>
                  </w:r>
                  <w:r>
                    <w:rPr>
                      <w:rFonts w:hint="default" w:ascii="Times New Roman" w:hAnsi="Times New Roman" w:cs="Times New Roman"/>
                      <w:color w:val="auto"/>
                      <w:spacing w:val="0"/>
                      <w:kern w:val="24"/>
                      <w:szCs w:val="21"/>
                      <w:lang w:eastAsia="zh-CN"/>
                    </w:rPr>
                    <w:t>水量</w:t>
                  </w:r>
                  <w:r>
                    <w:rPr>
                      <w:rFonts w:hint="eastAsia" w:ascii="Times New Roman" w:hAnsi="Times New Roman" w:cs="Times New Roman"/>
                      <w:color w:val="auto"/>
                      <w:spacing w:val="0"/>
                      <w:kern w:val="24"/>
                      <w:szCs w:val="21"/>
                      <w:lang w:val="en-US" w:eastAsia="zh-CN"/>
                    </w:rPr>
                    <w:t>2572.8</w:t>
                  </w:r>
                  <w:r>
                    <w:rPr>
                      <w:rFonts w:hint="default" w:ascii="Times New Roman" w:hAnsi="Times New Roman" w:cs="Times New Roman"/>
                      <w:color w:val="auto"/>
                      <w:spacing w:val="0"/>
                      <w:kern w:val="24"/>
                      <w:szCs w:val="21"/>
                      <w:lang w:val="en-US" w:eastAsia="zh-CN"/>
                    </w:rPr>
                    <w:t>t/a</w:t>
                  </w:r>
                  <w:r>
                    <w:rPr>
                      <w:rFonts w:hint="default" w:ascii="Times New Roman" w:hAnsi="Times New Roman" w:cs="Times New Roman"/>
                      <w:color w:val="auto"/>
                      <w:spacing w:val="0"/>
                      <w:kern w:val="24"/>
                      <w:szCs w:val="21"/>
                    </w:rPr>
                    <w:t>；满足水资源利用上线要求。</w:t>
                  </w:r>
                </w:p>
              </w:tc>
              <w:tc>
                <w:tcPr>
                  <w:tcW w:w="587" w:type="pct"/>
                  <w:tcBorders>
                    <w:tl2br w:val="nil"/>
                    <w:tr2bl w:val="nil"/>
                  </w:tcBorders>
                  <w:noWrap w:val="0"/>
                  <w:vAlign w:val="center"/>
                </w:tcPr>
                <w:p w14:paraId="45B9ED2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符合</w:t>
                  </w:r>
                </w:p>
              </w:tc>
            </w:tr>
            <w:tr w14:paraId="0974CBC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vMerge w:val="restart"/>
                  <w:tcBorders>
                    <w:tl2br w:val="nil"/>
                    <w:tr2bl w:val="nil"/>
                  </w:tcBorders>
                  <w:noWrap w:val="0"/>
                  <w:vAlign w:val="center"/>
                </w:tcPr>
                <w:p w14:paraId="4EEF618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土地资源利用上线及分区管控</w:t>
                  </w:r>
                </w:p>
              </w:tc>
              <w:tc>
                <w:tcPr>
                  <w:tcW w:w="2290" w:type="pct"/>
                  <w:tcBorders>
                    <w:tl2br w:val="nil"/>
                    <w:tr2bl w:val="nil"/>
                  </w:tcBorders>
                  <w:noWrap w:val="0"/>
                  <w:vAlign w:val="center"/>
                </w:tcPr>
                <w:p w14:paraId="3A875E10">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芜湖市土地资源管控区划分为两类，分别为重点管控区和一般管控区。</w:t>
                  </w:r>
                </w:p>
              </w:tc>
              <w:tc>
                <w:tcPr>
                  <w:tcW w:w="1455" w:type="pct"/>
                  <w:vMerge w:val="restart"/>
                  <w:tcBorders>
                    <w:tl2br w:val="nil"/>
                    <w:tr2bl w:val="nil"/>
                  </w:tcBorders>
                  <w:noWrap w:val="0"/>
                  <w:vAlign w:val="center"/>
                </w:tcPr>
                <w:p w14:paraId="38889AAA">
                  <w:pPr>
                    <w:keepNext w:val="0"/>
                    <w:keepLines w:val="0"/>
                    <w:widowControl/>
                    <w:suppressLineNumbers w:val="0"/>
                    <w:jc w:val="left"/>
                    <w:rPr>
                      <w:rFonts w:hint="default" w:ascii="Times New Roman" w:hAnsi="Times New Roman" w:eastAsia="宋体" w:cs="Times New Roman"/>
                      <w:color w:val="auto"/>
                      <w:spacing w:val="0"/>
                      <w:kern w:val="24"/>
                      <w:szCs w:val="21"/>
                      <w:lang w:eastAsia="zh-CN"/>
                    </w:rPr>
                  </w:pPr>
                  <w:r>
                    <w:rPr>
                      <w:rFonts w:hint="default" w:ascii="Times New Roman" w:hAnsi="Times New Roman" w:cs="Times New Roman"/>
                      <w:color w:val="auto"/>
                      <w:spacing w:val="0"/>
                      <w:kern w:val="24"/>
                      <w:szCs w:val="21"/>
                    </w:rPr>
                    <w:t>本项目位于</w:t>
                  </w:r>
                  <w:r>
                    <w:rPr>
                      <w:rFonts w:hint="default" w:ascii="Times New Roman" w:hAnsi="Times New Roman" w:cs="Times New Roman"/>
                      <w:color w:val="auto"/>
                      <w:spacing w:val="0"/>
                      <w:kern w:val="24"/>
                      <w:szCs w:val="21"/>
                      <w:lang w:eastAsia="zh-CN"/>
                    </w:rPr>
                    <w:t>芜湖市湾沚区安徽新芜经济开发区西支六路222号</w:t>
                  </w:r>
                  <w:r>
                    <w:rPr>
                      <w:rFonts w:hint="default" w:ascii="Times New Roman" w:hAnsi="Times New Roman" w:cs="Times New Roman"/>
                      <w:color w:val="auto"/>
                      <w:spacing w:val="0"/>
                      <w:kern w:val="24"/>
                      <w:szCs w:val="21"/>
                    </w:rPr>
                    <w:t>，</w:t>
                  </w:r>
                  <w:r>
                    <w:rPr>
                      <w:rFonts w:hint="default" w:ascii="Times New Roman" w:hAnsi="Times New Roman" w:eastAsia="宋体" w:cs="Times New Roman"/>
                      <w:color w:val="auto"/>
                      <w:spacing w:val="0"/>
                      <w:kern w:val="24"/>
                      <w:szCs w:val="21"/>
                      <w:lang w:eastAsia="zh-CN"/>
                    </w:rPr>
                    <w:t>属于土地资源重点管控区</w:t>
                  </w:r>
                  <w:r>
                    <w:rPr>
                      <w:rFonts w:hint="default" w:ascii="Times New Roman" w:hAnsi="Times New Roman" w:cs="Times New Roman"/>
                      <w:color w:val="auto"/>
                      <w:spacing w:val="0"/>
                      <w:kern w:val="24"/>
                      <w:szCs w:val="21"/>
                    </w:rPr>
                    <w:t>。</w:t>
                  </w:r>
                  <w:r>
                    <w:rPr>
                      <w:rFonts w:hint="default" w:ascii="Times New Roman" w:hAnsi="Times New Roman" w:eastAsia="宋体" w:cs="Times New Roman"/>
                      <w:color w:val="auto"/>
                      <w:spacing w:val="0"/>
                      <w:kern w:val="24"/>
                      <w:szCs w:val="21"/>
                      <w:lang w:val="en-US" w:eastAsia="zh-CN"/>
                    </w:rPr>
                    <w:t xml:space="preserve">根据《芜湖市湾沚区国土空间分区规划（2021-2035年）》， </w:t>
                  </w:r>
                </w:p>
                <w:p w14:paraId="7E7775A9">
                  <w:pPr>
                    <w:keepNext w:val="0"/>
                    <w:keepLines w:val="0"/>
                    <w:widowControl/>
                    <w:suppressLineNumbers w:val="0"/>
                    <w:jc w:val="left"/>
                    <w:rPr>
                      <w:rFonts w:hint="default" w:ascii="Times New Roman" w:hAnsi="Times New Roman" w:cs="Times New Roman"/>
                      <w:color w:val="auto"/>
                      <w:spacing w:val="0"/>
                      <w:kern w:val="24"/>
                      <w:szCs w:val="21"/>
                    </w:rPr>
                  </w:pPr>
                  <w:r>
                    <w:rPr>
                      <w:rFonts w:hint="default" w:ascii="Times New Roman" w:hAnsi="Times New Roman" w:eastAsia="宋体" w:cs="Times New Roman"/>
                      <w:color w:val="auto"/>
                      <w:spacing w:val="0"/>
                      <w:kern w:val="24"/>
                      <w:szCs w:val="21"/>
                      <w:lang w:val="en-US" w:eastAsia="zh-CN"/>
                    </w:rPr>
                    <w:t>本项目用地为工业用地，符合规划要求。本项目占地14750平方米，土地节约集约利用水平较高，不会突破土地资源利用上线。</w:t>
                  </w:r>
                </w:p>
              </w:tc>
              <w:tc>
                <w:tcPr>
                  <w:tcW w:w="587" w:type="pct"/>
                  <w:vMerge w:val="restart"/>
                  <w:tcBorders>
                    <w:tl2br w:val="nil"/>
                    <w:tr2bl w:val="nil"/>
                  </w:tcBorders>
                  <w:noWrap w:val="0"/>
                  <w:vAlign w:val="center"/>
                </w:tcPr>
                <w:p w14:paraId="1FC1E9B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符合</w:t>
                  </w:r>
                </w:p>
              </w:tc>
            </w:tr>
            <w:tr w14:paraId="27CC1B0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vMerge w:val="continue"/>
                  <w:tcBorders>
                    <w:tl2br w:val="nil"/>
                    <w:tr2bl w:val="nil"/>
                  </w:tcBorders>
                  <w:noWrap w:val="0"/>
                  <w:vAlign w:val="center"/>
                </w:tcPr>
                <w:p w14:paraId="257611E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pacing w:val="0"/>
                      <w:kern w:val="24"/>
                      <w:szCs w:val="21"/>
                    </w:rPr>
                  </w:pPr>
                </w:p>
              </w:tc>
              <w:tc>
                <w:tcPr>
                  <w:tcW w:w="2290" w:type="pct"/>
                  <w:tcBorders>
                    <w:tl2br w:val="nil"/>
                    <w:tr2bl w:val="nil"/>
                  </w:tcBorders>
                  <w:noWrap w:val="0"/>
                  <w:vAlign w:val="center"/>
                </w:tcPr>
                <w:p w14:paraId="79FC498A">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落实《全国国土空间规划纲要（2021-2035年）》、《安徽省国土空间规划（2021-2035年）》、《芜湖市国土空间规划（2021-2035年）》、《自然资源“十四五”规划编制工作方案》、《安徽省“十四五”自然资源保护和利用规划》等要求。</w:t>
                  </w:r>
                </w:p>
              </w:tc>
              <w:tc>
                <w:tcPr>
                  <w:tcW w:w="1455" w:type="pct"/>
                  <w:vMerge w:val="continue"/>
                  <w:tcBorders>
                    <w:tl2br w:val="nil"/>
                    <w:tr2bl w:val="nil"/>
                  </w:tcBorders>
                  <w:noWrap w:val="0"/>
                  <w:vAlign w:val="center"/>
                </w:tcPr>
                <w:p w14:paraId="0641FBA1">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color w:val="auto"/>
                      <w:spacing w:val="0"/>
                      <w:kern w:val="24"/>
                      <w:szCs w:val="21"/>
                    </w:rPr>
                  </w:pPr>
                </w:p>
              </w:tc>
              <w:tc>
                <w:tcPr>
                  <w:tcW w:w="587" w:type="pct"/>
                  <w:vMerge w:val="continue"/>
                  <w:tcBorders>
                    <w:tl2br w:val="nil"/>
                    <w:tr2bl w:val="nil"/>
                  </w:tcBorders>
                  <w:noWrap w:val="0"/>
                  <w:vAlign w:val="center"/>
                </w:tcPr>
                <w:p w14:paraId="55732C8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pacing w:val="0"/>
                      <w:kern w:val="24"/>
                      <w:szCs w:val="21"/>
                    </w:rPr>
                  </w:pPr>
                </w:p>
              </w:tc>
            </w:tr>
            <w:tr w14:paraId="7D6FE87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tcBorders>
                    <w:tl2br w:val="nil"/>
                    <w:tr2bl w:val="nil"/>
                  </w:tcBorders>
                  <w:noWrap w:val="0"/>
                  <w:vAlign w:val="center"/>
                </w:tcPr>
                <w:p w14:paraId="580D4E6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岸线资源利用上线及分区管控</w:t>
                  </w:r>
                </w:p>
              </w:tc>
              <w:tc>
                <w:tcPr>
                  <w:tcW w:w="2290" w:type="pct"/>
                  <w:tcBorders>
                    <w:tl2br w:val="nil"/>
                    <w:tr2bl w:val="nil"/>
                  </w:tcBorders>
                  <w:noWrap w:val="0"/>
                  <w:vAlign w:val="center"/>
                </w:tcPr>
                <w:p w14:paraId="624412C3">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按照生态环境部“三线一单”岸线生态环境分类管控技术说明，长江岸线分为优先保护岸线、重点管控岸线、一般管控岸线。</w:t>
                  </w:r>
                </w:p>
              </w:tc>
              <w:tc>
                <w:tcPr>
                  <w:tcW w:w="1455" w:type="pct"/>
                  <w:tcBorders>
                    <w:tl2br w:val="nil"/>
                    <w:tr2bl w:val="nil"/>
                  </w:tcBorders>
                  <w:noWrap w:val="0"/>
                  <w:vAlign w:val="center"/>
                </w:tcPr>
                <w:p w14:paraId="44088CA4">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本项目不涉及长江岸线。</w:t>
                  </w:r>
                </w:p>
              </w:tc>
              <w:tc>
                <w:tcPr>
                  <w:tcW w:w="587" w:type="pct"/>
                  <w:tcBorders>
                    <w:tl2br w:val="nil"/>
                    <w:tr2bl w:val="nil"/>
                  </w:tcBorders>
                  <w:noWrap w:val="0"/>
                  <w:vAlign w:val="center"/>
                </w:tcPr>
                <w:p w14:paraId="32E6BCA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符合</w:t>
                  </w:r>
                </w:p>
              </w:tc>
            </w:tr>
            <w:tr w14:paraId="5401302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5000" w:type="pct"/>
                  <w:gridSpan w:val="4"/>
                  <w:tcBorders>
                    <w:tl2br w:val="nil"/>
                    <w:tr2bl w:val="nil"/>
                  </w:tcBorders>
                  <w:noWrap w:val="0"/>
                  <w:vAlign w:val="center"/>
                </w:tcPr>
                <w:p w14:paraId="4EE30D1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color w:val="auto"/>
                      <w:spacing w:val="0"/>
                      <w:kern w:val="24"/>
                      <w:szCs w:val="21"/>
                    </w:rPr>
                  </w:pPr>
                  <w:r>
                    <w:rPr>
                      <w:rFonts w:hint="default" w:ascii="Times New Roman" w:hAnsi="Times New Roman" w:cs="Times New Roman"/>
                      <w:b/>
                      <w:bCs/>
                      <w:color w:val="auto"/>
                      <w:spacing w:val="0"/>
                      <w:kern w:val="24"/>
                      <w:szCs w:val="21"/>
                    </w:rPr>
                    <w:t>生态环境准入清单</w:t>
                  </w:r>
                </w:p>
              </w:tc>
            </w:tr>
            <w:tr w14:paraId="2515FD0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666" w:type="pct"/>
                  <w:tcBorders>
                    <w:tl2br w:val="nil"/>
                    <w:tr2bl w:val="nil"/>
                  </w:tcBorders>
                  <w:noWrap w:val="0"/>
                  <w:vAlign w:val="center"/>
                </w:tcPr>
                <w:p w14:paraId="2A2550B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开发区清单</w:t>
                  </w:r>
                </w:p>
              </w:tc>
              <w:tc>
                <w:tcPr>
                  <w:tcW w:w="2290" w:type="pct"/>
                  <w:tcBorders>
                    <w:tl2br w:val="nil"/>
                    <w:tr2bl w:val="nil"/>
                  </w:tcBorders>
                  <w:noWrap w:val="0"/>
                  <w:vAlign w:val="center"/>
                </w:tcPr>
                <w:p w14:paraId="085876C6">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根据芜湖市各开发区基础特征、产业发展特点，考虑开发区主要环境问题，结合已批复的规划环评（或跟踪环评）报告要求，确定各开发区差异化清单。</w:t>
                  </w:r>
                </w:p>
              </w:tc>
              <w:tc>
                <w:tcPr>
                  <w:tcW w:w="1455" w:type="pct"/>
                  <w:tcBorders>
                    <w:tl2br w:val="nil"/>
                    <w:tr2bl w:val="nil"/>
                  </w:tcBorders>
                  <w:noWrap w:val="0"/>
                  <w:vAlign w:val="center"/>
                </w:tcPr>
                <w:p w14:paraId="27D854C4">
                  <w:pPr>
                    <w:keepNext w:val="0"/>
                    <w:keepLines w:val="0"/>
                    <w:widowControl/>
                    <w:suppressLineNumbers w:val="0"/>
                    <w:jc w:val="left"/>
                    <w:rPr>
                      <w:rFonts w:hint="default" w:ascii="Times New Roman" w:hAnsi="Times New Roman" w:eastAsia="宋体" w:cs="Times New Roman"/>
                      <w:color w:val="auto"/>
                      <w:spacing w:val="0"/>
                      <w:szCs w:val="21"/>
                    </w:rPr>
                  </w:pPr>
                  <w:r>
                    <w:rPr>
                      <w:rFonts w:hint="default" w:ascii="Times New Roman" w:hAnsi="Times New Roman" w:cs="Times New Roman"/>
                      <w:color w:val="auto"/>
                      <w:spacing w:val="0"/>
                      <w:kern w:val="24"/>
                      <w:szCs w:val="21"/>
                    </w:rPr>
                    <w:t>项目</w:t>
                  </w:r>
                  <w:r>
                    <w:rPr>
                      <w:rFonts w:hint="default" w:ascii="Times New Roman" w:hAnsi="Times New Roman" w:cs="Times New Roman"/>
                      <w:color w:val="auto"/>
                      <w:spacing w:val="0"/>
                      <w:szCs w:val="21"/>
                    </w:rPr>
                    <w:t>不属于《产业结构调整指导目录（2024年本）》中的鼓</w:t>
                  </w:r>
                  <w:r>
                    <w:rPr>
                      <w:rFonts w:hint="default" w:ascii="Times New Roman" w:hAnsi="Times New Roman" w:eastAsia="宋体" w:cs="Times New Roman"/>
                      <w:color w:val="auto"/>
                      <w:spacing w:val="0"/>
                      <w:szCs w:val="21"/>
                    </w:rPr>
                    <w:t>励类及限制类项目，视为允许类项目；</w:t>
                  </w:r>
                  <w:r>
                    <w:rPr>
                      <w:rFonts w:hint="default" w:ascii="Times New Roman" w:hAnsi="Times New Roman" w:eastAsia="宋体" w:cs="Times New Roman"/>
                      <w:color w:val="auto"/>
                      <w:spacing w:val="0"/>
                      <w:szCs w:val="21"/>
                      <w:lang w:val="en-US" w:eastAsia="zh-CN"/>
                    </w:rPr>
                    <w:t>不属于《安徽省工业产业结构调整指导目录（2007年本）》中的鼓励类、淘汰类和限制类，视为允许类；</w:t>
                  </w:r>
                </w:p>
                <w:p w14:paraId="539B9959">
                  <w:pPr>
                    <w:keepNext w:val="0"/>
                    <w:keepLines w:val="0"/>
                    <w:widowControl/>
                    <w:suppressLineNumbers w:val="0"/>
                    <w:jc w:val="left"/>
                    <w:rPr>
                      <w:rFonts w:hint="default" w:ascii="Times New Roman" w:hAnsi="Times New Roman" w:cs="Times New Roman"/>
                      <w:color w:val="auto"/>
                      <w:spacing w:val="0"/>
                      <w:kern w:val="24"/>
                      <w:szCs w:val="21"/>
                    </w:rPr>
                  </w:pPr>
                  <w:r>
                    <w:rPr>
                      <w:rFonts w:hint="default" w:ascii="Times New Roman" w:hAnsi="Times New Roman" w:eastAsia="宋体" w:cs="Times New Roman"/>
                      <w:color w:val="auto"/>
                      <w:spacing w:val="0"/>
                      <w:szCs w:val="21"/>
                    </w:rPr>
                    <w:t>不属于《市场准入负面清单</w:t>
                  </w:r>
                  <w:r>
                    <w:rPr>
                      <w:rFonts w:hint="default" w:ascii="Times New Roman" w:hAnsi="Times New Roman" w:cs="Times New Roman"/>
                      <w:color w:val="auto"/>
                      <w:spacing w:val="0"/>
                      <w:szCs w:val="21"/>
                    </w:rPr>
                    <w:t>（202</w:t>
                  </w:r>
                  <w:r>
                    <w:rPr>
                      <w:rFonts w:hint="eastAsia" w:cs="Times New Roman"/>
                      <w:color w:val="auto"/>
                      <w:spacing w:val="0"/>
                      <w:szCs w:val="21"/>
                      <w:lang w:val="en-US" w:eastAsia="zh-CN"/>
                    </w:rPr>
                    <w:t>5</w:t>
                  </w:r>
                  <w:r>
                    <w:rPr>
                      <w:rFonts w:hint="default" w:ascii="Times New Roman" w:hAnsi="Times New Roman" w:cs="Times New Roman"/>
                      <w:color w:val="auto"/>
                      <w:spacing w:val="0"/>
                      <w:szCs w:val="21"/>
                    </w:rPr>
                    <w:t>年版，试行）》和《长江经济带发展负面清单指南》（试行）中的项目</w:t>
                  </w:r>
                  <w:r>
                    <w:rPr>
                      <w:rFonts w:hint="default" w:ascii="Times New Roman" w:hAnsi="Times New Roman" w:cs="Times New Roman"/>
                      <w:color w:val="auto"/>
                      <w:spacing w:val="0"/>
                      <w:kern w:val="24"/>
                      <w:szCs w:val="21"/>
                    </w:rPr>
                    <w:t>，项目建设符合国家及地方产业政策，满足负面清单管理要求。</w:t>
                  </w:r>
                </w:p>
              </w:tc>
              <w:tc>
                <w:tcPr>
                  <w:tcW w:w="587" w:type="pct"/>
                  <w:tcBorders>
                    <w:tl2br w:val="nil"/>
                    <w:tr2bl w:val="nil"/>
                  </w:tcBorders>
                  <w:noWrap w:val="0"/>
                  <w:vAlign w:val="center"/>
                </w:tcPr>
                <w:p w14:paraId="3AFA3FED">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pacing w:val="0"/>
                      <w:kern w:val="24"/>
                      <w:szCs w:val="21"/>
                    </w:rPr>
                  </w:pPr>
                  <w:r>
                    <w:rPr>
                      <w:rFonts w:hint="default" w:ascii="Times New Roman" w:hAnsi="Times New Roman" w:cs="Times New Roman"/>
                      <w:color w:val="auto"/>
                      <w:spacing w:val="0"/>
                      <w:kern w:val="24"/>
                      <w:szCs w:val="21"/>
                    </w:rPr>
                    <w:t>符合</w:t>
                  </w:r>
                </w:p>
              </w:tc>
            </w:tr>
          </w:tbl>
          <w:p w14:paraId="48191803">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color w:val="auto"/>
                <w:spacing w:val="0"/>
                <w:sz w:val="24"/>
              </w:rPr>
            </w:pPr>
            <w:r>
              <w:rPr>
                <w:rFonts w:hint="default" w:ascii="Times New Roman" w:hAnsi="Times New Roman" w:cs="Times New Roman"/>
                <w:b/>
                <w:color w:val="auto"/>
                <w:spacing w:val="0"/>
                <w:sz w:val="24"/>
              </w:rPr>
              <w:t>5、芜湖市生态环境分区管控生态环境准入清单相符性分析</w:t>
            </w:r>
          </w:p>
          <w:p w14:paraId="7E8EFDC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对照安徽省生态环境厅发布的安徽省“三线一单" 公众服务平台(</w:t>
            </w:r>
            <w:r>
              <w:rPr>
                <w:rFonts w:hint="default" w:ascii="Times New Roman" w:hAnsi="Times New Roman" w:eastAsia="宋体" w:cs="Times New Roman"/>
                <w:color w:val="auto"/>
                <w:sz w:val="24"/>
                <w:szCs w:val="24"/>
                <w:lang w:val="en-US" w:eastAsia="zh-CN"/>
              </w:rPr>
              <w:t xml:space="preserve"> http://39.145.8.156:1509/ah/public/#/home</w:t>
            </w:r>
            <w:r>
              <w:rPr>
                <w:rFonts w:hint="default" w:ascii="Times New Roman" w:hAnsi="Times New Roman" w:eastAsia="宋体" w:cs="Times New Roman"/>
                <w:color w:val="auto"/>
                <w:sz w:val="24"/>
                <w:szCs w:val="24"/>
                <w:lang w:eastAsia="zh-CN"/>
              </w:rPr>
              <w:t>)，经与“三线一单"成果数据分析，拟建项目与1个环境管控单元存在交叠，其中优先保护类0个，重点管控类1个，一般管控类0个(环境管控单元编码ZH3</w:t>
            </w:r>
            <w:r>
              <w:rPr>
                <w:rFonts w:hint="default" w:ascii="Times New Roman" w:hAnsi="Times New Roman" w:eastAsia="宋体" w:cs="Times New Roman"/>
                <w:color w:val="auto"/>
                <w:sz w:val="24"/>
                <w:szCs w:val="24"/>
                <w:lang w:val="en-US" w:eastAsia="zh-CN"/>
              </w:rPr>
              <w:t>4021020036</w:t>
            </w:r>
            <w:r>
              <w:rPr>
                <w:rFonts w:hint="default" w:ascii="Times New Roman" w:hAnsi="Times New Roman" w:eastAsia="宋体" w:cs="Times New Roman"/>
                <w:color w:val="auto"/>
                <w:sz w:val="24"/>
                <w:szCs w:val="24"/>
                <w:lang w:eastAsia="zh-CN"/>
              </w:rPr>
              <w:t>)，属于水重点/大气重点。</w:t>
            </w:r>
          </w:p>
          <w:p w14:paraId="43BF8389">
            <w:pPr>
              <w:keepNext w:val="0"/>
              <w:keepLines w:val="0"/>
              <w:pageBreakBefore w:val="0"/>
              <w:widowControl/>
              <w:kinsoku/>
              <w:wordWrap/>
              <w:overflowPunct/>
              <w:topLinePunct w:val="0"/>
              <w:autoSpaceDE/>
              <w:autoSpaceDN/>
              <w:bidi w:val="0"/>
              <w:adjustRightInd w:val="0"/>
              <w:snapToGrid/>
              <w:spacing w:beforeAutospacing="0" w:line="240" w:lineRule="auto"/>
              <w:jc w:val="center"/>
              <w:textAlignment w:val="auto"/>
              <w:rPr>
                <w:rFonts w:hint="default" w:ascii="Times New Roman" w:hAnsi="Times New Roman" w:eastAsia="宋体" w:cs="Times New Roman"/>
                <w:b/>
                <w:color w:val="auto"/>
                <w:kern w:val="0"/>
                <w:sz w:val="24"/>
                <w:szCs w:val="20"/>
                <w:lang w:val="en-US" w:eastAsia="zh-CN"/>
              </w:rPr>
            </w:pPr>
            <w:r>
              <w:rPr>
                <w:rFonts w:hint="default" w:ascii="Times New Roman" w:hAnsi="Times New Roman" w:eastAsia="宋体" w:cs="Times New Roman"/>
                <w:b/>
                <w:color w:val="auto"/>
                <w:kern w:val="0"/>
                <w:sz w:val="24"/>
                <w:szCs w:val="20"/>
                <w:lang w:val="en-US" w:eastAsia="zh-CN"/>
              </w:rPr>
              <w:t>表1-</w:t>
            </w:r>
            <w:r>
              <w:rPr>
                <w:rFonts w:hint="eastAsia" w:ascii="Times New Roman" w:hAnsi="Times New Roman" w:eastAsia="宋体" w:cs="Times New Roman"/>
                <w:b/>
                <w:color w:val="auto"/>
                <w:kern w:val="0"/>
                <w:sz w:val="24"/>
                <w:szCs w:val="20"/>
                <w:lang w:val="en-US" w:eastAsia="zh-CN"/>
              </w:rPr>
              <w:t>4</w:t>
            </w:r>
            <w:r>
              <w:rPr>
                <w:rFonts w:hint="default" w:ascii="Times New Roman" w:hAnsi="Times New Roman" w:eastAsia="宋体" w:cs="Times New Roman"/>
                <w:b/>
                <w:color w:val="auto"/>
                <w:kern w:val="0"/>
                <w:sz w:val="24"/>
                <w:szCs w:val="20"/>
                <w:lang w:val="en-US" w:eastAsia="zh-CN"/>
              </w:rPr>
              <w:t xml:space="preserve"> 项目与分区管控要求相符性一览表</w:t>
            </w:r>
          </w:p>
          <w:tbl>
            <w:tblPr>
              <w:tblStyle w:val="63"/>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77"/>
              <w:gridCol w:w="3402"/>
              <w:gridCol w:w="2579"/>
              <w:gridCol w:w="530"/>
            </w:tblGrid>
            <w:tr w14:paraId="3A9E4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1" w:hRule="atLeast"/>
              </w:trPr>
              <w:tc>
                <w:tcPr>
                  <w:tcW w:w="341" w:type="pct"/>
                  <w:noWrap w:val="0"/>
                  <w:vAlign w:val="center"/>
                </w:tcPr>
                <w:p w14:paraId="60C68625">
                  <w:pPr>
                    <w:pStyle w:val="188"/>
                    <w:spacing w:line="320" w:lineRule="exact"/>
                    <w:ind w:firstLine="0"/>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2433" w:type="pct"/>
                  <w:noWrap w:val="0"/>
                  <w:vAlign w:val="center"/>
                </w:tcPr>
                <w:p w14:paraId="7B19F98C">
                  <w:pPr>
                    <w:pStyle w:val="188"/>
                    <w:spacing w:line="320" w:lineRule="exact"/>
                    <w:ind w:firstLine="0"/>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snapToGrid/>
                      <w:color w:val="auto"/>
                      <w:sz w:val="21"/>
                      <w:szCs w:val="21"/>
                      <w:highlight w:val="none"/>
                    </w:rPr>
                    <w:t>管控要求</w:t>
                  </w:r>
                  <w:r>
                    <w:rPr>
                      <w:rFonts w:hint="default" w:ascii="Times New Roman" w:hAnsi="Times New Roman" w:eastAsia="宋体" w:cs="Times New Roman"/>
                      <w:b/>
                      <w:snapToGrid/>
                      <w:color w:val="auto"/>
                      <w:sz w:val="21"/>
                      <w:szCs w:val="21"/>
                      <w:highlight w:val="none"/>
                      <w:lang w:eastAsia="zh-CN"/>
                    </w:rPr>
                    <w:t>（摘录）</w:t>
                  </w:r>
                </w:p>
              </w:tc>
              <w:tc>
                <w:tcPr>
                  <w:tcW w:w="1844" w:type="pct"/>
                  <w:noWrap w:val="0"/>
                  <w:vAlign w:val="center"/>
                </w:tcPr>
                <w:p w14:paraId="0F5AECB0">
                  <w:pPr>
                    <w:pStyle w:val="188"/>
                    <w:spacing w:line="320" w:lineRule="exact"/>
                    <w:ind w:firstLine="0"/>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本项目情况</w:t>
                  </w:r>
                </w:p>
              </w:tc>
              <w:tc>
                <w:tcPr>
                  <w:tcW w:w="379" w:type="pct"/>
                  <w:noWrap w:val="0"/>
                  <w:vAlign w:val="center"/>
                </w:tcPr>
                <w:p w14:paraId="595BE352">
                  <w:pPr>
                    <w:pStyle w:val="188"/>
                    <w:spacing w:line="320" w:lineRule="exact"/>
                    <w:ind w:firstLine="0"/>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符合性</w:t>
                  </w:r>
                </w:p>
              </w:tc>
            </w:tr>
            <w:tr w14:paraId="59B11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341" w:type="pct"/>
                  <w:noWrap w:val="0"/>
                  <w:vAlign w:val="center"/>
                </w:tcPr>
                <w:p w14:paraId="21B99CE1">
                  <w:pPr>
                    <w:pStyle w:val="188"/>
                    <w:spacing w:line="320" w:lineRule="exact"/>
                    <w:ind w:firstLine="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napToGrid/>
                      <w:color w:val="auto"/>
                      <w:sz w:val="21"/>
                      <w:szCs w:val="21"/>
                      <w:highlight w:val="none"/>
                    </w:rPr>
                    <w:t>空间布局约束</w:t>
                  </w:r>
                </w:p>
              </w:tc>
              <w:tc>
                <w:tcPr>
                  <w:tcW w:w="2433" w:type="pct"/>
                  <w:noWrap w:val="0"/>
                  <w:vAlign w:val="center"/>
                </w:tcPr>
                <w:p w14:paraId="2A523BE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1"/>
                      <w:sz w:val="21"/>
                      <w:szCs w:val="21"/>
                      <w:highlight w:val="none"/>
                      <w:lang w:val="en-US" w:eastAsia="zh-CN" w:bidi="ar"/>
                    </w:rPr>
                  </w:pPr>
                  <w:r>
                    <w:rPr>
                      <w:rFonts w:hint="default" w:ascii="Times New Roman" w:hAnsi="Times New Roman" w:eastAsia="宋体" w:cs="Times New Roman"/>
                      <w:color w:val="auto"/>
                      <w:sz w:val="21"/>
                      <w:szCs w:val="21"/>
                      <w:highlight w:val="none"/>
                    </w:rPr>
                    <w:t>1在城市城区及其近郊禁止新建、扩建钢铁、有色、石化、水泥、化工等重污染企业。3严禁新增钢铁、焦化、电解铝、铸造、水泥和平板玻璃等产能；严格执行钢铁、水泥、平板玻璃等行业产能置换实施办法。4严格执行国家关于“两高”产业准入目录和产能总量控制政策措施。严禁新增钢铁、焦化、电解铝、铸造、水泥和平板玻璃等产能；新、改、扩建涉及大宗物料运输的建设项目，原则上不得采用公路运输。9严格控制新增“两高”项目审批，认真分析评估拟建项目必要性、可行性和对产业高质量发展、能耗双控、碳排放和环境质量的影响，严格审查项目是否符合产业政策、产业规划、“三线一单”、规划环评要求，是否依法依规落实产能置换、能耗置换、煤炭消费减量替代、污染物排放区域削减等要求。对已建成投产的存量“两高”项目，有节能减排潜力的加快改造升级，属于落后产能的加快淘汰。21禁止淘汰落后类的产业进入开发区。</w:t>
                  </w:r>
                </w:p>
              </w:tc>
              <w:tc>
                <w:tcPr>
                  <w:tcW w:w="1844" w:type="pct"/>
                  <w:noWrap w:val="0"/>
                  <w:vAlign w:val="center"/>
                </w:tcPr>
                <w:p w14:paraId="12C201E0">
                  <w:pPr>
                    <w:keepNext w:val="0"/>
                    <w:keepLines w:val="0"/>
                    <w:widowControl/>
                    <w:suppressLineNumbers w:val="0"/>
                    <w:jc w:val="left"/>
                    <w:rPr>
                      <w:rFonts w:hint="default" w:ascii="Times New Roman" w:hAnsi="Times New Roman" w:eastAsia="宋体" w:cs="Times New Roman"/>
                      <w:color w:val="auto"/>
                      <w:kern w:val="1"/>
                      <w:sz w:val="21"/>
                      <w:szCs w:val="21"/>
                      <w:highlight w:val="none"/>
                      <w:lang w:val="en-US" w:eastAsia="zh-CN" w:bidi="ar"/>
                    </w:rPr>
                  </w:pPr>
                  <w:r>
                    <w:rPr>
                      <w:rFonts w:hint="default" w:ascii="Times New Roman" w:hAnsi="Times New Roman" w:eastAsia="宋体" w:cs="Times New Roman"/>
                      <w:color w:val="auto"/>
                      <w:sz w:val="21"/>
                      <w:szCs w:val="21"/>
                      <w:highlight w:val="none"/>
                    </w:rPr>
                    <w:t>本项目</w:t>
                  </w:r>
                  <w:r>
                    <w:rPr>
                      <w:rFonts w:hint="default" w:ascii="Times New Roman" w:hAnsi="Times New Roman" w:cs="Times New Roman"/>
                      <w:color w:val="auto"/>
                      <w:sz w:val="21"/>
                      <w:szCs w:val="21"/>
                      <w:highlight w:val="none"/>
                      <w:lang w:eastAsia="zh-CN"/>
                    </w:rPr>
                    <w:t>属</w:t>
                  </w:r>
                  <w:r>
                    <w:rPr>
                      <w:rFonts w:hint="default" w:ascii="Times New Roman" w:hAnsi="Times New Roman" w:eastAsia="宋体" w:cs="Times New Roman"/>
                      <w:color w:val="auto"/>
                      <w:sz w:val="21"/>
                      <w:szCs w:val="21"/>
                      <w:highlight w:val="none"/>
                      <w:lang w:eastAsia="zh-CN"/>
                    </w:rPr>
                    <w:t>于</w:t>
                  </w:r>
                  <w:r>
                    <w:rPr>
                      <w:rFonts w:hint="default" w:ascii="Times New Roman" w:hAnsi="Times New Roman" w:eastAsia="宋体" w:cs="Times New Roman"/>
                      <w:color w:val="auto"/>
                      <w:sz w:val="21"/>
                      <w:szCs w:val="21"/>
                      <w:highlight w:val="none"/>
                    </w:rPr>
                    <w:t>C3670汽车零部件及配件制造</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属于《产业结构调整指导目录（2024年本）》中</w:t>
                  </w:r>
                  <w:r>
                    <w:rPr>
                      <w:rFonts w:hint="default" w:ascii="Times New Roman" w:hAnsi="Times New Roman" w:eastAsia="宋体" w:cs="Times New Roman"/>
                      <w:color w:val="auto"/>
                      <w:sz w:val="21"/>
                      <w:szCs w:val="21"/>
                      <w:highlight w:val="none"/>
                      <w:lang w:eastAsia="zh-CN"/>
                    </w:rPr>
                    <w:t>允许</w:t>
                  </w:r>
                  <w:r>
                    <w:rPr>
                      <w:rFonts w:hint="default" w:ascii="Times New Roman" w:hAnsi="Times New Roman" w:eastAsia="宋体" w:cs="Times New Roman"/>
                      <w:color w:val="auto"/>
                      <w:sz w:val="21"/>
                      <w:szCs w:val="21"/>
                      <w:highlight w:val="none"/>
                    </w:rPr>
                    <w:t>类项目</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不属于</w:t>
                  </w:r>
                  <w:r>
                    <w:rPr>
                      <w:rFonts w:hint="default" w:ascii="Times New Roman" w:hAnsi="Times New Roman" w:eastAsia="宋体" w:cs="Times New Roman"/>
                      <w:color w:val="auto"/>
                      <w:sz w:val="21"/>
                      <w:szCs w:val="21"/>
                      <w:highlight w:val="none"/>
                      <w:lang w:eastAsia="zh-CN"/>
                    </w:rPr>
                    <w:t>“两高”行业。</w:t>
                  </w:r>
                </w:p>
              </w:tc>
              <w:tc>
                <w:tcPr>
                  <w:tcW w:w="379" w:type="pct"/>
                  <w:noWrap w:val="0"/>
                  <w:vAlign w:val="center"/>
                </w:tcPr>
                <w:p w14:paraId="5601FF0F">
                  <w:pPr>
                    <w:pStyle w:val="188"/>
                    <w:spacing w:line="320" w:lineRule="exact"/>
                    <w:ind w:firstLine="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48E06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trPr>
              <w:tc>
                <w:tcPr>
                  <w:tcW w:w="341" w:type="pct"/>
                  <w:noWrap w:val="0"/>
                  <w:vAlign w:val="center"/>
                </w:tcPr>
                <w:p w14:paraId="3BF9EDC1">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napToGrid/>
                      <w:color w:val="auto"/>
                      <w:sz w:val="21"/>
                      <w:szCs w:val="21"/>
                      <w:highlight w:val="none"/>
                    </w:rPr>
                    <w:t>污染物排放管控</w:t>
                  </w:r>
                </w:p>
              </w:tc>
              <w:tc>
                <w:tcPr>
                  <w:tcW w:w="2433" w:type="pct"/>
                  <w:noWrap w:val="0"/>
                  <w:vAlign w:val="center"/>
                </w:tcPr>
                <w:p w14:paraId="33517E1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全面推动挥发性有机物纳入排污许可管理。禁止建设生产和使用高挥发性有机物含量涂料、油墨、胶粘剂、清洗剂等项目。加快推进石化、化工、涂装、医药、包装印刷和油品储运销等重点行业挥发性有机物深度治理，全面提升废气收集率、治理设施同步运行率和去除率，提高水性、高固体分、无溶剂、粉末、辐射固化等低挥发性有机物含量产品的比重。加大工业涂装、包装印刷等行业低挥发性有机物含量原辅材料替代力度，严格执行涂料、油墨、胶粘剂、清洗剂挥发性有机物含量限值标准，确保生产、销售、进口、使用符合标准的产品。到2025年，溶剂型工业涂料、油墨使用比例分别降低20个、10个百分点。溶剂型胶粘剂使用量降低20%。</w:t>
                  </w:r>
                </w:p>
                <w:p w14:paraId="32B9E42B">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实行重点排放源排放浓度与去除效率双重控制。车间或生产设施收集排放的废气，VOCs初始排放速率大于等于2千克/小时的，应加大控制力度，除确保排放浓度稳定达标外，还应实行去除效率控制，去除效率不低80%；采用的原辅材料符合国家有关低VOCs含量产品规定的除外，有行业排放标准的按其相关规定执行。12污染物排放标准中有特别排放限值的标准的行业，二氧化硫、氮氧化物、颗粒物、挥发性有机物（VOCs）全面执行大气污染物特别排放限值。14按《挥发性有机物无组织排放控制标准》（GB 37822-2019）要求，做好VOCs物料储存、物料转移和输送、工艺过程、设备与管线组件、敞开液面VOCs排放，以及VOCs无组织排放废气收集处理系统要求。</w:t>
                  </w:r>
                </w:p>
              </w:tc>
              <w:tc>
                <w:tcPr>
                  <w:tcW w:w="1844" w:type="pct"/>
                  <w:noWrap w:val="0"/>
                  <w:vAlign w:val="center"/>
                </w:tcPr>
                <w:p w14:paraId="6F34215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项目产生的废气主要为</w:t>
                  </w:r>
                  <w:r>
                    <w:rPr>
                      <w:rFonts w:hint="default" w:ascii="Times New Roman" w:hAnsi="Times New Roman" w:eastAsia="宋体" w:cs="Times New Roman"/>
                      <w:color w:val="auto"/>
                      <w:sz w:val="21"/>
                      <w:szCs w:val="21"/>
                      <w:highlight w:val="none"/>
                      <w:lang w:eastAsia="zh-CN"/>
                    </w:rPr>
                    <w:t>颗粒物</w:t>
                  </w:r>
                  <w:r>
                    <w:rPr>
                      <w:rFonts w:hint="default" w:ascii="Times New Roman" w:hAnsi="Times New Roman" w:eastAsia="宋体" w:cs="Times New Roman"/>
                      <w:color w:val="auto"/>
                      <w:sz w:val="21"/>
                      <w:szCs w:val="21"/>
                      <w:highlight w:val="none"/>
                    </w:rPr>
                    <w:t>、有机废气，分别经处理达标后排放，废气排放可满足相应标准限值要求。</w:t>
                  </w:r>
                  <w:r>
                    <w:rPr>
                      <w:rFonts w:hint="default" w:ascii="Times New Roman" w:hAnsi="Times New Roman" w:eastAsia="宋体" w:cs="Times New Roman"/>
                      <w:color w:val="auto"/>
                      <w:sz w:val="21"/>
                      <w:szCs w:val="21"/>
                      <w:highlight w:val="none"/>
                      <w:lang w:eastAsia="zh-CN"/>
                    </w:rPr>
                    <w:t>本项目</w:t>
                  </w:r>
                  <w:r>
                    <w:rPr>
                      <w:rFonts w:hint="default" w:ascii="Times New Roman" w:hAnsi="Times New Roman" w:cs="Times New Roman"/>
                      <w:bCs/>
                      <w:color w:val="auto"/>
                      <w:sz w:val="21"/>
                      <w:szCs w:val="21"/>
                      <w:lang w:val="en-US" w:eastAsia="zh-CN"/>
                    </w:rPr>
                    <w:t>不使用</w:t>
                  </w:r>
                  <w:r>
                    <w:rPr>
                      <w:rFonts w:hint="default" w:ascii="Times New Roman" w:hAnsi="Times New Roman" w:eastAsia="宋体" w:cs="Times New Roman"/>
                      <w:color w:val="auto"/>
                      <w:sz w:val="21"/>
                      <w:szCs w:val="21"/>
                      <w:highlight w:val="none"/>
                    </w:rPr>
                    <w:t>涂料、油墨、胶粘剂、清洗剂挥发性有机物</w:t>
                  </w:r>
                  <w:r>
                    <w:rPr>
                      <w:rFonts w:hint="default" w:ascii="Times New Roman" w:hAnsi="Times New Roman" w:eastAsia="宋体" w:cs="Times New Roman"/>
                      <w:bCs/>
                      <w:color w:val="auto"/>
                      <w:sz w:val="21"/>
                      <w:szCs w:val="21"/>
                      <w:lang w:val="en-US" w:eastAsia="zh-CN"/>
                    </w:rPr>
                    <w:t>。</w:t>
                  </w:r>
                </w:p>
              </w:tc>
              <w:tc>
                <w:tcPr>
                  <w:tcW w:w="379" w:type="pct"/>
                  <w:noWrap w:val="0"/>
                  <w:vAlign w:val="center"/>
                </w:tcPr>
                <w:p w14:paraId="49B299B2">
                  <w:pPr>
                    <w:pStyle w:val="188"/>
                    <w:spacing w:line="320" w:lineRule="exact"/>
                    <w:ind w:firstLine="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r w14:paraId="24BB8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trPr>
              <w:tc>
                <w:tcPr>
                  <w:tcW w:w="341" w:type="pct"/>
                  <w:shd w:val="clear" w:color="auto" w:fill="auto"/>
                  <w:noWrap w:val="0"/>
                  <w:vAlign w:val="center"/>
                </w:tcPr>
                <w:p w14:paraId="73F71B79">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snapToGrid/>
                      <w:color w:val="auto"/>
                      <w:kern w:val="2"/>
                      <w:sz w:val="21"/>
                      <w:szCs w:val="21"/>
                      <w:highlight w:val="none"/>
                      <w:lang w:val="en-US" w:eastAsia="zh-CN" w:bidi="ar-SA"/>
                    </w:rPr>
                  </w:pPr>
                  <w:r>
                    <w:rPr>
                      <w:rFonts w:hint="default" w:ascii="Times New Roman" w:hAnsi="Times New Roman" w:eastAsia="宋体" w:cs="Times New Roman"/>
                      <w:snapToGrid/>
                      <w:color w:val="auto"/>
                      <w:sz w:val="21"/>
                      <w:szCs w:val="21"/>
                      <w:highlight w:val="none"/>
                    </w:rPr>
                    <w:t>资源开发效率要求</w:t>
                  </w:r>
                </w:p>
              </w:tc>
              <w:tc>
                <w:tcPr>
                  <w:tcW w:w="2433" w:type="pct"/>
                  <w:shd w:val="clear" w:color="auto" w:fill="auto"/>
                  <w:noWrap w:val="0"/>
                  <w:vAlign w:val="center"/>
                </w:tcPr>
                <w:p w14:paraId="7D6350A2">
                  <w:pPr>
                    <w:keepNext w:val="0"/>
                    <w:keepLines w:val="0"/>
                    <w:pageBreakBefore w:val="0"/>
                    <w:widowControl w:val="0"/>
                    <w:numPr>
                      <w:ilvl w:val="0"/>
                      <w:numId w:val="0"/>
                    </w:numPr>
                    <w:kinsoku/>
                    <w:wordWrap/>
                    <w:overflowPunct/>
                    <w:topLinePunct w:val="0"/>
                    <w:autoSpaceDE/>
                    <w:autoSpaceDN/>
                    <w:bidi w:val="0"/>
                    <w:spacing w:line="240" w:lineRule="auto"/>
                    <w:ind w:left="0" w:leftChars="0" w:firstLine="0" w:firstLineChars="0"/>
                    <w:jc w:val="center"/>
                    <w:textAlignment w:val="auto"/>
                    <w:outlineLvl w:val="9"/>
                    <w:rPr>
                      <w:rFonts w:hint="default" w:ascii="Times New Roman" w:hAnsi="Times New Roman" w:eastAsia="宋体" w:cs="Times New Roman"/>
                      <w:b w:val="0"/>
                      <w:bCs w:val="0"/>
                      <w:snapToGrid/>
                      <w:color w:val="auto"/>
                      <w:kern w:val="2"/>
                      <w:sz w:val="21"/>
                      <w:szCs w:val="21"/>
                      <w:highlight w:val="none"/>
                      <w:lang w:val="en-US" w:eastAsia="zh-CN" w:bidi="ar-SA"/>
                    </w:rPr>
                  </w:pPr>
                  <w:r>
                    <w:rPr>
                      <w:rFonts w:hint="default" w:ascii="Times New Roman" w:hAnsi="Times New Roman" w:eastAsia="宋体" w:cs="Times New Roman"/>
                      <w:b w:val="0"/>
                      <w:bCs w:val="0"/>
                      <w:snapToGrid/>
                      <w:color w:val="auto"/>
                      <w:kern w:val="2"/>
                      <w:sz w:val="21"/>
                      <w:szCs w:val="21"/>
                      <w:highlight w:val="none"/>
                    </w:rPr>
                    <w:t>2.产生、收集、贮存、运输、利用、处置固体废物的单位和个人，应当采取措施，防止或者减少固体废物对环境的污染，对所造成的环境污染依法承担责任。</w:t>
                  </w:r>
                </w:p>
              </w:tc>
              <w:tc>
                <w:tcPr>
                  <w:tcW w:w="1844" w:type="pct"/>
                  <w:shd w:val="clear" w:color="auto" w:fill="auto"/>
                  <w:noWrap w:val="0"/>
                  <w:vAlign w:val="center"/>
                </w:tcPr>
                <w:p w14:paraId="180FBC15">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snapToGrid/>
                      <w:color w:val="auto"/>
                      <w:kern w:val="2"/>
                      <w:sz w:val="21"/>
                      <w:szCs w:val="21"/>
                      <w:highlight w:val="none"/>
                      <w:lang w:val="en-US" w:eastAsia="zh-CN" w:bidi="ar-SA"/>
                    </w:rPr>
                  </w:pPr>
                  <w:r>
                    <w:rPr>
                      <w:rFonts w:hint="default" w:ascii="Times New Roman" w:hAnsi="Times New Roman" w:eastAsia="宋体" w:cs="Times New Roman"/>
                      <w:snapToGrid/>
                      <w:color w:val="auto"/>
                      <w:sz w:val="21"/>
                      <w:szCs w:val="21"/>
                      <w:highlight w:val="none"/>
                    </w:rPr>
                    <w:t>企业固废按照国家有关规定进行安全处置</w:t>
                  </w:r>
                  <w:r>
                    <w:rPr>
                      <w:rFonts w:hint="default" w:ascii="Times New Roman" w:hAnsi="Times New Roman" w:eastAsia="宋体" w:cs="Times New Roman"/>
                      <w:snapToGrid/>
                      <w:color w:val="auto"/>
                      <w:sz w:val="21"/>
                      <w:szCs w:val="21"/>
                      <w:highlight w:val="none"/>
                      <w:lang w:eastAsia="zh-CN"/>
                    </w:rPr>
                    <w:t>，危险废物委托有资质单位处理</w:t>
                  </w:r>
                  <w:r>
                    <w:rPr>
                      <w:rFonts w:hint="default" w:ascii="Times New Roman" w:hAnsi="Times New Roman" w:eastAsia="宋体" w:cs="Times New Roman"/>
                      <w:snapToGrid/>
                      <w:color w:val="auto"/>
                      <w:sz w:val="21"/>
                      <w:szCs w:val="21"/>
                      <w:highlight w:val="none"/>
                    </w:rPr>
                    <w:t>，</w:t>
                  </w:r>
                  <w:r>
                    <w:rPr>
                      <w:rFonts w:hint="default" w:ascii="Times New Roman" w:hAnsi="Times New Roman" w:eastAsia="宋体" w:cs="Times New Roman"/>
                      <w:snapToGrid/>
                      <w:color w:val="auto"/>
                      <w:sz w:val="21"/>
                      <w:szCs w:val="21"/>
                      <w:highlight w:val="none"/>
                      <w:lang w:eastAsia="zh-CN"/>
                    </w:rPr>
                    <w:t>项目各项固体废物防治措施有效，采取了事故池、分区防渗等风险防范措施，能够避免环境风险事件的发生。</w:t>
                  </w:r>
                </w:p>
              </w:tc>
              <w:tc>
                <w:tcPr>
                  <w:tcW w:w="379" w:type="pct"/>
                  <w:noWrap w:val="0"/>
                  <w:vAlign w:val="center"/>
                </w:tcPr>
                <w:p w14:paraId="5E32C33B">
                  <w:pPr>
                    <w:pStyle w:val="188"/>
                    <w:spacing w:line="320" w:lineRule="exact"/>
                    <w:ind w:firstLine="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w:t>
                  </w:r>
                </w:p>
              </w:tc>
            </w:tr>
          </w:tbl>
          <w:p w14:paraId="1B23BC4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pacing w:val="0"/>
                <w:kern w:val="0"/>
                <w:sz w:val="24"/>
              </w:rPr>
            </w:pPr>
            <w:r>
              <w:rPr>
                <w:rFonts w:hint="default" w:ascii="Times New Roman" w:hAnsi="Times New Roman" w:cs="Times New Roman"/>
                <w:color w:val="auto"/>
                <w:spacing w:val="0"/>
                <w:kern w:val="0"/>
                <w:sz w:val="24"/>
              </w:rPr>
              <w:t>根据《芜湖市生态环境分区管控生态环境准入清单》（芜湖市生态环境局，2023年8月）表4中开发区生态环境准入清单</w:t>
            </w:r>
            <w:r>
              <w:rPr>
                <w:rFonts w:hint="default" w:ascii="Times New Roman" w:hAnsi="Times New Roman" w:cs="Times New Roman"/>
                <w:color w:val="auto"/>
                <w:spacing w:val="0"/>
                <w:kern w:val="0"/>
                <w:sz w:val="24"/>
                <w:lang w:val="en-US" w:eastAsia="zh-CN"/>
              </w:rPr>
              <w:t>-湾沚区-开发区-</w:t>
            </w:r>
            <w:r>
              <w:rPr>
                <w:rFonts w:hint="default" w:ascii="Times New Roman" w:hAnsi="Times New Roman" w:cs="Times New Roman"/>
                <w:color w:val="auto"/>
                <w:spacing w:val="0"/>
                <w:kern w:val="0"/>
                <w:sz w:val="24"/>
              </w:rPr>
              <w:t>安徽新芜经济开发区的生态环境准入条件，本项目与其相符性分析详见下表。</w:t>
            </w:r>
          </w:p>
          <w:p w14:paraId="32794475">
            <w:pPr>
              <w:keepNext w:val="0"/>
              <w:keepLines w:val="0"/>
              <w:pageBreakBefore w:val="0"/>
              <w:widowControl/>
              <w:kinsoku/>
              <w:wordWrap/>
              <w:overflowPunct/>
              <w:topLinePunct w:val="0"/>
              <w:autoSpaceDE/>
              <w:autoSpaceDN/>
              <w:bidi w:val="0"/>
              <w:adjustRightInd w:val="0"/>
              <w:snapToGrid/>
              <w:spacing w:beforeAutospacing="0" w:line="240" w:lineRule="auto"/>
              <w:jc w:val="center"/>
              <w:textAlignment w:val="auto"/>
              <w:rPr>
                <w:rFonts w:hint="default" w:ascii="Times New Roman" w:hAnsi="Times New Roman" w:eastAsia="宋体" w:cs="Times New Roman"/>
                <w:b/>
                <w:color w:val="auto"/>
                <w:kern w:val="0"/>
                <w:sz w:val="24"/>
                <w:szCs w:val="20"/>
                <w:lang w:val="zh-CN"/>
              </w:rPr>
            </w:pPr>
            <w:r>
              <w:rPr>
                <w:rFonts w:hint="default" w:ascii="Times New Roman" w:hAnsi="Times New Roman" w:eastAsia="宋体" w:cs="Times New Roman"/>
                <w:b/>
                <w:color w:val="auto"/>
                <w:kern w:val="0"/>
                <w:sz w:val="24"/>
                <w:szCs w:val="20"/>
                <w:lang w:val="zh-CN"/>
              </w:rPr>
              <w:t>表1-</w:t>
            </w:r>
            <w:r>
              <w:rPr>
                <w:rFonts w:hint="eastAsia" w:ascii="Times New Roman" w:hAnsi="Times New Roman" w:eastAsia="宋体" w:cs="Times New Roman"/>
                <w:b/>
                <w:color w:val="auto"/>
                <w:kern w:val="0"/>
                <w:sz w:val="24"/>
                <w:szCs w:val="20"/>
                <w:lang w:val="en-US" w:eastAsia="zh-CN"/>
              </w:rPr>
              <w:t>5</w:t>
            </w:r>
            <w:r>
              <w:rPr>
                <w:rFonts w:hint="default" w:ascii="Times New Roman" w:hAnsi="Times New Roman" w:eastAsia="宋体" w:cs="Times New Roman"/>
                <w:b/>
                <w:color w:val="auto"/>
                <w:kern w:val="0"/>
                <w:sz w:val="24"/>
                <w:szCs w:val="20"/>
                <w:lang w:val="zh-CN"/>
              </w:rPr>
              <w:t xml:space="preserve">  项目与《芜湖市生态环境分区管控生态环境准入清单》相符性分析</w:t>
            </w:r>
          </w:p>
          <w:tbl>
            <w:tblPr>
              <w:tblStyle w:val="6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355"/>
              <w:gridCol w:w="615"/>
              <w:gridCol w:w="3636"/>
              <w:gridCol w:w="1819"/>
              <w:gridCol w:w="568"/>
            </w:tblGrid>
            <w:tr w14:paraId="740CF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 w:hRule="atLeast"/>
                <w:jc w:val="center"/>
              </w:trPr>
              <w:tc>
                <w:tcPr>
                  <w:tcW w:w="254" w:type="pct"/>
                  <w:shd w:val="clear" w:color="auto" w:fill="auto"/>
                  <w:vAlign w:val="center"/>
                </w:tcPr>
                <w:p w14:paraId="08FC5455">
                  <w:pPr>
                    <w:adjustRightInd w:val="0"/>
                    <w:jc w:val="center"/>
                    <w:textAlignment w:val="baseline"/>
                    <w:rPr>
                      <w:rFonts w:hint="default" w:ascii="Times New Roman" w:hAnsi="Times New Roman" w:cs="Times New Roman"/>
                      <w:b/>
                      <w:color w:val="auto"/>
                      <w:kern w:val="21"/>
                      <w:szCs w:val="21"/>
                    </w:rPr>
                  </w:pPr>
                  <w:r>
                    <w:rPr>
                      <w:rFonts w:hint="default" w:ascii="Times New Roman" w:hAnsi="Times New Roman" w:cs="Times New Roman"/>
                      <w:b/>
                      <w:color w:val="auto"/>
                      <w:kern w:val="21"/>
                      <w:szCs w:val="21"/>
                    </w:rPr>
                    <w:t>编号</w:t>
                  </w:r>
                </w:p>
              </w:tc>
              <w:tc>
                <w:tcPr>
                  <w:tcW w:w="440" w:type="pct"/>
                  <w:shd w:val="clear" w:color="auto" w:fill="auto"/>
                  <w:vAlign w:val="center"/>
                </w:tcPr>
                <w:p w14:paraId="1A8453C5">
                  <w:pPr>
                    <w:autoSpaceDE w:val="0"/>
                    <w:autoSpaceDN w:val="0"/>
                    <w:adjustRightInd w:val="0"/>
                    <w:jc w:val="center"/>
                    <w:textAlignment w:val="baseline"/>
                    <w:rPr>
                      <w:rFonts w:hint="default" w:ascii="Times New Roman" w:hAnsi="Times New Roman" w:cs="Times New Roman"/>
                      <w:b/>
                      <w:color w:val="auto"/>
                      <w:kern w:val="21"/>
                      <w:szCs w:val="21"/>
                    </w:rPr>
                  </w:pPr>
                  <w:r>
                    <w:rPr>
                      <w:rFonts w:hint="default" w:ascii="Times New Roman" w:hAnsi="Times New Roman" w:cs="Times New Roman"/>
                      <w:b/>
                      <w:color w:val="auto"/>
                      <w:kern w:val="21"/>
                      <w:szCs w:val="21"/>
                    </w:rPr>
                    <w:t>内容</w:t>
                  </w:r>
                </w:p>
              </w:tc>
              <w:tc>
                <w:tcPr>
                  <w:tcW w:w="2599" w:type="pct"/>
                  <w:shd w:val="clear" w:color="auto" w:fill="auto"/>
                  <w:vAlign w:val="center"/>
                </w:tcPr>
                <w:p w14:paraId="2D757661">
                  <w:pPr>
                    <w:autoSpaceDE w:val="0"/>
                    <w:autoSpaceDN w:val="0"/>
                    <w:adjustRightInd w:val="0"/>
                    <w:jc w:val="center"/>
                    <w:textAlignment w:val="baseline"/>
                    <w:rPr>
                      <w:rFonts w:hint="default" w:ascii="Times New Roman" w:hAnsi="Times New Roman" w:cs="Times New Roman"/>
                      <w:b/>
                      <w:color w:val="auto"/>
                      <w:kern w:val="21"/>
                      <w:szCs w:val="21"/>
                    </w:rPr>
                  </w:pPr>
                  <w:r>
                    <w:rPr>
                      <w:rFonts w:hint="default" w:ascii="Times New Roman" w:hAnsi="Times New Roman" w:cs="Times New Roman"/>
                      <w:b/>
                      <w:color w:val="auto"/>
                      <w:szCs w:val="21"/>
                    </w:rPr>
                    <w:t>要求</w:t>
                  </w:r>
                </w:p>
              </w:tc>
              <w:tc>
                <w:tcPr>
                  <w:tcW w:w="1300" w:type="pct"/>
                  <w:shd w:val="clear" w:color="auto" w:fill="auto"/>
                  <w:vAlign w:val="center"/>
                </w:tcPr>
                <w:p w14:paraId="7AD4D234">
                  <w:pPr>
                    <w:autoSpaceDE w:val="0"/>
                    <w:autoSpaceDN w:val="0"/>
                    <w:adjustRightInd w:val="0"/>
                    <w:jc w:val="center"/>
                    <w:textAlignment w:val="baseline"/>
                    <w:rPr>
                      <w:rFonts w:hint="default" w:ascii="Times New Roman" w:hAnsi="Times New Roman" w:cs="Times New Roman"/>
                      <w:b/>
                      <w:color w:val="auto"/>
                      <w:kern w:val="21"/>
                      <w:szCs w:val="21"/>
                    </w:rPr>
                  </w:pPr>
                  <w:r>
                    <w:rPr>
                      <w:rFonts w:hint="default" w:ascii="Times New Roman" w:hAnsi="Times New Roman" w:cs="Times New Roman"/>
                      <w:b/>
                      <w:color w:val="auto"/>
                      <w:kern w:val="21"/>
                      <w:szCs w:val="21"/>
                    </w:rPr>
                    <w:t>本项目</w:t>
                  </w:r>
                </w:p>
                <w:p w14:paraId="33E43FE6">
                  <w:pPr>
                    <w:autoSpaceDE w:val="0"/>
                    <w:autoSpaceDN w:val="0"/>
                    <w:adjustRightInd w:val="0"/>
                    <w:jc w:val="center"/>
                    <w:textAlignment w:val="baseline"/>
                    <w:rPr>
                      <w:rFonts w:hint="default" w:ascii="Times New Roman" w:hAnsi="Times New Roman" w:cs="Times New Roman"/>
                      <w:b/>
                      <w:color w:val="auto"/>
                      <w:kern w:val="21"/>
                      <w:szCs w:val="21"/>
                    </w:rPr>
                  </w:pPr>
                  <w:r>
                    <w:rPr>
                      <w:rFonts w:hint="default" w:ascii="Times New Roman" w:hAnsi="Times New Roman" w:cs="Times New Roman"/>
                      <w:b/>
                      <w:color w:val="auto"/>
                      <w:kern w:val="21"/>
                      <w:szCs w:val="21"/>
                    </w:rPr>
                    <w:t>情况</w:t>
                  </w:r>
                </w:p>
              </w:tc>
              <w:tc>
                <w:tcPr>
                  <w:tcW w:w="406" w:type="pct"/>
                  <w:shd w:val="clear" w:color="auto" w:fill="auto"/>
                  <w:vAlign w:val="center"/>
                </w:tcPr>
                <w:p w14:paraId="738F0AD3">
                  <w:pPr>
                    <w:autoSpaceDE w:val="0"/>
                    <w:autoSpaceDN w:val="0"/>
                    <w:adjustRightInd w:val="0"/>
                    <w:jc w:val="center"/>
                    <w:textAlignment w:val="baseline"/>
                    <w:rPr>
                      <w:rFonts w:hint="default" w:ascii="Times New Roman" w:hAnsi="Times New Roman" w:cs="Times New Roman"/>
                      <w:b/>
                      <w:color w:val="auto"/>
                      <w:kern w:val="21"/>
                      <w:szCs w:val="21"/>
                    </w:rPr>
                  </w:pPr>
                  <w:r>
                    <w:rPr>
                      <w:rFonts w:hint="default" w:ascii="Times New Roman" w:hAnsi="Times New Roman" w:cs="Times New Roman"/>
                      <w:b/>
                      <w:color w:val="auto"/>
                      <w:kern w:val="21"/>
                      <w:szCs w:val="21"/>
                    </w:rPr>
                    <w:t>分析结果</w:t>
                  </w:r>
                </w:p>
              </w:tc>
            </w:tr>
            <w:tr w14:paraId="031BD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 w:hRule="atLeast"/>
                <w:jc w:val="center"/>
              </w:trPr>
              <w:tc>
                <w:tcPr>
                  <w:tcW w:w="254" w:type="pct"/>
                  <w:shd w:val="clear" w:color="auto" w:fill="auto"/>
                  <w:vAlign w:val="center"/>
                </w:tcPr>
                <w:p w14:paraId="25469E59">
                  <w:pPr>
                    <w:adjustRightInd w:val="0"/>
                    <w:jc w:val="center"/>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1</w:t>
                  </w:r>
                </w:p>
              </w:tc>
              <w:tc>
                <w:tcPr>
                  <w:tcW w:w="440" w:type="pct"/>
                  <w:shd w:val="clear" w:color="auto" w:fill="auto"/>
                  <w:vAlign w:val="center"/>
                </w:tcPr>
                <w:p w14:paraId="11AD25D7">
                  <w:pPr>
                    <w:autoSpaceDE w:val="0"/>
                    <w:autoSpaceDN w:val="0"/>
                    <w:adjustRightInd w:val="0"/>
                    <w:jc w:val="center"/>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污染物排放管控</w:t>
                  </w:r>
                </w:p>
              </w:tc>
              <w:tc>
                <w:tcPr>
                  <w:tcW w:w="2599" w:type="pct"/>
                  <w:shd w:val="clear" w:color="auto" w:fill="auto"/>
                  <w:vAlign w:val="center"/>
                </w:tcPr>
                <w:p w14:paraId="5BE78683">
                  <w:pPr>
                    <w:autoSpaceDE w:val="0"/>
                    <w:autoSpaceDN w:val="0"/>
                    <w:adjustRightInd w:val="0"/>
                    <w:jc w:val="left"/>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1、单位工业增加值SO</w:t>
                  </w:r>
                  <w:r>
                    <w:rPr>
                      <w:rFonts w:hint="default" w:ascii="Times New Roman" w:hAnsi="Times New Roman" w:cs="Times New Roman"/>
                      <w:color w:val="auto"/>
                      <w:kern w:val="21"/>
                      <w:szCs w:val="21"/>
                      <w:vertAlign w:val="subscript"/>
                    </w:rPr>
                    <w:t>2</w:t>
                  </w:r>
                  <w:r>
                    <w:rPr>
                      <w:rFonts w:hint="default" w:ascii="Times New Roman" w:hAnsi="Times New Roman" w:cs="Times New Roman"/>
                      <w:color w:val="auto"/>
                      <w:kern w:val="21"/>
                      <w:szCs w:val="21"/>
                    </w:rPr>
                    <w:t>排放量≤1kg/万元；</w:t>
                  </w:r>
                </w:p>
                <w:p w14:paraId="6EBD0EEB">
                  <w:pPr>
                    <w:autoSpaceDE w:val="0"/>
                    <w:autoSpaceDN w:val="0"/>
                    <w:adjustRightInd w:val="0"/>
                    <w:jc w:val="left"/>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2、单位工业增加值COD排放量≤1kg/万元</w:t>
                  </w:r>
                </w:p>
              </w:tc>
              <w:tc>
                <w:tcPr>
                  <w:tcW w:w="1300" w:type="pct"/>
                  <w:shd w:val="clear" w:color="auto" w:fill="auto"/>
                  <w:vAlign w:val="center"/>
                </w:tcPr>
                <w:p w14:paraId="0C882D96">
                  <w:pPr>
                    <w:autoSpaceDE w:val="0"/>
                    <w:autoSpaceDN w:val="0"/>
                    <w:adjustRightInd w:val="0"/>
                    <w:jc w:val="left"/>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1、本项目不排放SO</w:t>
                  </w:r>
                  <w:r>
                    <w:rPr>
                      <w:rFonts w:hint="default" w:ascii="Times New Roman" w:hAnsi="Times New Roman" w:cs="Times New Roman"/>
                      <w:color w:val="auto"/>
                      <w:kern w:val="21"/>
                      <w:szCs w:val="21"/>
                      <w:vertAlign w:val="subscript"/>
                    </w:rPr>
                    <w:t>2</w:t>
                  </w:r>
                  <w:r>
                    <w:rPr>
                      <w:rFonts w:hint="default" w:ascii="Times New Roman" w:hAnsi="Times New Roman" w:cs="Times New Roman"/>
                      <w:color w:val="auto"/>
                      <w:kern w:val="21"/>
                      <w:szCs w:val="21"/>
                    </w:rPr>
                    <w:t>；</w:t>
                  </w:r>
                </w:p>
                <w:p w14:paraId="17F6E080">
                  <w:pPr>
                    <w:autoSpaceDE w:val="0"/>
                    <w:autoSpaceDN w:val="0"/>
                    <w:adjustRightInd w:val="0"/>
                    <w:jc w:val="center"/>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2、本项目年工业增加值</w:t>
                  </w:r>
                  <w:r>
                    <w:rPr>
                      <w:rFonts w:hint="default" w:ascii="Times New Roman" w:hAnsi="Times New Roman" w:cs="Times New Roman"/>
                      <w:color w:val="auto"/>
                      <w:kern w:val="21"/>
                      <w:szCs w:val="21"/>
                      <w:lang w:val="en-US" w:eastAsia="zh-CN"/>
                    </w:rPr>
                    <w:t>8</w:t>
                  </w:r>
                  <w:r>
                    <w:rPr>
                      <w:rFonts w:hint="default" w:ascii="Times New Roman" w:hAnsi="Times New Roman" w:cs="Times New Roman"/>
                      <w:color w:val="auto"/>
                      <w:kern w:val="21"/>
                      <w:szCs w:val="21"/>
                    </w:rPr>
                    <w:t>000万元，新增COD排放为</w:t>
                  </w:r>
                  <w:r>
                    <w:rPr>
                      <w:rFonts w:hint="eastAsia" w:ascii="Times New Roman" w:hAnsi="Times New Roman" w:cs="Times New Roman"/>
                      <w:color w:val="auto"/>
                      <w:kern w:val="21"/>
                      <w:szCs w:val="21"/>
                      <w:lang w:val="en-US" w:eastAsia="zh-CN"/>
                    </w:rPr>
                    <w:t>0.444</w:t>
                  </w:r>
                  <w:r>
                    <w:rPr>
                      <w:rFonts w:hint="default" w:ascii="Times New Roman" w:hAnsi="Times New Roman" w:cs="Times New Roman"/>
                      <w:color w:val="auto"/>
                      <w:kern w:val="21"/>
                      <w:szCs w:val="21"/>
                    </w:rPr>
                    <w:t>t/a，单位工业增加值COD排放量为0.</w:t>
                  </w:r>
                  <w:r>
                    <w:rPr>
                      <w:rFonts w:hint="eastAsia" w:ascii="Times New Roman" w:hAnsi="Times New Roman" w:cs="Times New Roman"/>
                      <w:color w:val="auto"/>
                      <w:kern w:val="21"/>
                      <w:szCs w:val="21"/>
                      <w:lang w:val="en-US" w:eastAsia="zh-CN"/>
                    </w:rPr>
                    <w:t>055</w:t>
                  </w:r>
                  <w:r>
                    <w:rPr>
                      <w:rFonts w:hint="default" w:ascii="Times New Roman" w:hAnsi="Times New Roman" w:cs="Times New Roman"/>
                      <w:color w:val="auto"/>
                      <w:kern w:val="21"/>
                      <w:szCs w:val="21"/>
                    </w:rPr>
                    <w:t>kg/万元≤1kg/万元</w:t>
                  </w:r>
                </w:p>
              </w:tc>
              <w:tc>
                <w:tcPr>
                  <w:tcW w:w="406" w:type="pct"/>
                  <w:shd w:val="clear" w:color="auto" w:fill="auto"/>
                  <w:vAlign w:val="center"/>
                </w:tcPr>
                <w:p w14:paraId="359158B5">
                  <w:pPr>
                    <w:autoSpaceDE w:val="0"/>
                    <w:autoSpaceDN w:val="0"/>
                    <w:adjustRightInd w:val="0"/>
                    <w:jc w:val="center"/>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符合</w:t>
                  </w:r>
                </w:p>
              </w:tc>
            </w:tr>
            <w:tr w14:paraId="50363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 w:hRule="atLeast"/>
                <w:jc w:val="center"/>
              </w:trPr>
              <w:tc>
                <w:tcPr>
                  <w:tcW w:w="254" w:type="pct"/>
                  <w:vAlign w:val="center"/>
                </w:tcPr>
                <w:p w14:paraId="6A875C9C">
                  <w:pPr>
                    <w:adjustRightInd w:val="0"/>
                    <w:jc w:val="center"/>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2</w:t>
                  </w:r>
                </w:p>
              </w:tc>
              <w:tc>
                <w:tcPr>
                  <w:tcW w:w="440" w:type="pct"/>
                  <w:vAlign w:val="center"/>
                </w:tcPr>
                <w:p w14:paraId="74A87DF3">
                  <w:pPr>
                    <w:autoSpaceDE w:val="0"/>
                    <w:autoSpaceDN w:val="0"/>
                    <w:adjustRightInd w:val="0"/>
                    <w:jc w:val="center"/>
                    <w:textAlignment w:val="baseline"/>
                    <w:rPr>
                      <w:rFonts w:hint="default" w:ascii="Times New Roman" w:hAnsi="Times New Roman" w:cs="Times New Roman"/>
                      <w:color w:val="auto"/>
                      <w:kern w:val="21"/>
                      <w:szCs w:val="21"/>
                    </w:rPr>
                  </w:pPr>
                  <w:r>
                    <w:rPr>
                      <w:rFonts w:hint="default" w:ascii="Times New Roman" w:hAnsi="Times New Roman" w:cs="Times New Roman"/>
                      <w:color w:val="auto"/>
                      <w:szCs w:val="21"/>
                    </w:rPr>
                    <w:t>环境风险防控</w:t>
                  </w:r>
                </w:p>
              </w:tc>
              <w:tc>
                <w:tcPr>
                  <w:tcW w:w="2599" w:type="pct"/>
                  <w:vAlign w:val="center"/>
                </w:tcPr>
                <w:p w14:paraId="793F5A13">
                  <w:pPr>
                    <w:autoSpaceDE w:val="0"/>
                    <w:autoSpaceDN w:val="0"/>
                    <w:adjustRightInd w:val="0"/>
                    <w:jc w:val="left"/>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1、建立健全开发区环境管理体系，提高环境风险管理水平。</w:t>
                  </w:r>
                </w:p>
                <w:p w14:paraId="3CA3623E">
                  <w:pPr>
                    <w:autoSpaceDE w:val="0"/>
                    <w:autoSpaceDN w:val="0"/>
                    <w:adjustRightInd w:val="0"/>
                    <w:jc w:val="left"/>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2、完善开发区环境管理机构、管理目标和环境监测、档案管理等，完善项目环境管理和重点污染源、环境风险源管理台账，加大环境风险源的监管力度。</w:t>
                  </w:r>
                </w:p>
                <w:p w14:paraId="4C0FD284">
                  <w:pPr>
                    <w:autoSpaceDE w:val="0"/>
                    <w:autoSpaceDN w:val="0"/>
                    <w:adjustRightInd w:val="0"/>
                    <w:jc w:val="left"/>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3、加强危险化学品管理，落实危险废物收集、储存、处置等全过程管理，严禁企业随意弃置固体废物。</w:t>
                  </w:r>
                </w:p>
                <w:p w14:paraId="52F1B0DC">
                  <w:pPr>
                    <w:autoSpaceDE w:val="0"/>
                    <w:autoSpaceDN w:val="0"/>
                    <w:adjustRightInd w:val="0"/>
                    <w:jc w:val="left"/>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4、提升环境应急应对能力，建立开发区与区域生态环境风险联控机制，完善开发区环境风险防范和应急响应硬件建设，提高突发环境事件应急应对能力。</w:t>
                  </w:r>
                </w:p>
              </w:tc>
              <w:tc>
                <w:tcPr>
                  <w:tcW w:w="1300" w:type="pct"/>
                  <w:vAlign w:val="center"/>
                </w:tcPr>
                <w:p w14:paraId="010038DD">
                  <w:pPr>
                    <w:jc w:val="left"/>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1、园区已制定并落实园区综合环境风险防范、预警和应急体系；</w:t>
                  </w:r>
                </w:p>
                <w:p w14:paraId="3A0EAA17">
                  <w:pPr>
                    <w:jc w:val="left"/>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2、本项目后期建设中将配备应急物资，并定期演练；项目将严格落实建设项目“三同时”制度。</w:t>
                  </w:r>
                </w:p>
              </w:tc>
              <w:tc>
                <w:tcPr>
                  <w:tcW w:w="406" w:type="pct"/>
                  <w:vAlign w:val="center"/>
                </w:tcPr>
                <w:p w14:paraId="63512911">
                  <w:pPr>
                    <w:autoSpaceDE w:val="0"/>
                    <w:autoSpaceDN w:val="0"/>
                    <w:adjustRightInd w:val="0"/>
                    <w:jc w:val="center"/>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符合</w:t>
                  </w:r>
                </w:p>
              </w:tc>
            </w:tr>
            <w:tr w14:paraId="46775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 w:hRule="atLeast"/>
                <w:jc w:val="center"/>
              </w:trPr>
              <w:tc>
                <w:tcPr>
                  <w:tcW w:w="254" w:type="pct"/>
                  <w:vAlign w:val="center"/>
                </w:tcPr>
                <w:p w14:paraId="0767FD39">
                  <w:pPr>
                    <w:adjustRightInd w:val="0"/>
                    <w:jc w:val="center"/>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3</w:t>
                  </w:r>
                </w:p>
              </w:tc>
              <w:tc>
                <w:tcPr>
                  <w:tcW w:w="440" w:type="pct"/>
                  <w:vAlign w:val="center"/>
                </w:tcPr>
                <w:p w14:paraId="227FD895">
                  <w:pPr>
                    <w:autoSpaceDE w:val="0"/>
                    <w:autoSpaceDN w:val="0"/>
                    <w:adjustRightInd w:val="0"/>
                    <w:jc w:val="center"/>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资源开发利用效率要求</w:t>
                  </w:r>
                </w:p>
              </w:tc>
              <w:tc>
                <w:tcPr>
                  <w:tcW w:w="2599" w:type="pct"/>
                  <w:vAlign w:val="center"/>
                </w:tcPr>
                <w:p w14:paraId="728C318C">
                  <w:pPr>
                    <w:autoSpaceDE w:val="0"/>
                    <w:autoSpaceDN w:val="0"/>
                    <w:adjustRightInd w:val="0"/>
                    <w:jc w:val="left"/>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单位工业增加值新鲜水耗≤9m³/万元</w:t>
                  </w:r>
                </w:p>
              </w:tc>
              <w:tc>
                <w:tcPr>
                  <w:tcW w:w="1300" w:type="pct"/>
                  <w:vAlign w:val="center"/>
                </w:tcPr>
                <w:p w14:paraId="661BC362">
                  <w:pPr>
                    <w:autoSpaceDE w:val="0"/>
                    <w:autoSpaceDN w:val="0"/>
                    <w:adjustRightIn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kern w:val="21"/>
                      <w:szCs w:val="21"/>
                    </w:rPr>
                    <w:t>本项目年工业增加值</w:t>
                  </w:r>
                  <w:r>
                    <w:rPr>
                      <w:rFonts w:hint="default" w:ascii="Times New Roman" w:hAnsi="Times New Roman" w:cs="Times New Roman"/>
                      <w:color w:val="auto"/>
                      <w:kern w:val="21"/>
                      <w:szCs w:val="21"/>
                      <w:lang w:val="en-US" w:eastAsia="zh-CN"/>
                    </w:rPr>
                    <w:t>8</w:t>
                  </w:r>
                  <w:r>
                    <w:rPr>
                      <w:rFonts w:hint="default" w:ascii="Times New Roman" w:hAnsi="Times New Roman" w:cs="Times New Roman"/>
                      <w:color w:val="auto"/>
                      <w:kern w:val="21"/>
                      <w:szCs w:val="21"/>
                    </w:rPr>
                    <w:t>000万元，新鲜用水量为</w:t>
                  </w:r>
                  <w:r>
                    <w:rPr>
                      <w:rFonts w:hint="eastAsia" w:ascii="Times New Roman" w:hAnsi="Times New Roman" w:cs="Times New Roman"/>
                      <w:color w:val="auto"/>
                      <w:kern w:val="21"/>
                      <w:szCs w:val="21"/>
                      <w:lang w:val="en-US" w:eastAsia="zh-CN"/>
                    </w:rPr>
                    <w:t>2572.8</w:t>
                  </w:r>
                  <w:r>
                    <w:rPr>
                      <w:rFonts w:hint="default" w:ascii="Times New Roman" w:hAnsi="Times New Roman" w:cs="Times New Roman"/>
                      <w:color w:val="auto"/>
                      <w:kern w:val="21"/>
                      <w:szCs w:val="21"/>
                    </w:rPr>
                    <w:t>m</w:t>
                  </w:r>
                  <w:r>
                    <w:rPr>
                      <w:rFonts w:hint="default" w:ascii="Times New Roman" w:hAnsi="Times New Roman" w:cs="Times New Roman"/>
                      <w:color w:val="auto"/>
                      <w:kern w:val="21"/>
                      <w:szCs w:val="21"/>
                      <w:vertAlign w:val="superscript"/>
                    </w:rPr>
                    <w:t>3</w:t>
                  </w:r>
                  <w:r>
                    <w:rPr>
                      <w:rFonts w:hint="default" w:ascii="Times New Roman" w:hAnsi="Times New Roman" w:cs="Times New Roman"/>
                      <w:color w:val="auto"/>
                      <w:kern w:val="21"/>
                      <w:szCs w:val="21"/>
                    </w:rPr>
                    <w:t>/a，则单位工业增加值新鲜水耗</w:t>
                  </w:r>
                  <w:r>
                    <w:rPr>
                      <w:rFonts w:hint="eastAsia" w:ascii="Times New Roman" w:hAnsi="Times New Roman" w:cs="Times New Roman"/>
                      <w:color w:val="auto"/>
                      <w:kern w:val="21"/>
                      <w:szCs w:val="21"/>
                      <w:lang w:val="en-US" w:eastAsia="zh-CN"/>
                    </w:rPr>
                    <w:t>0.3216</w:t>
                  </w:r>
                  <w:r>
                    <w:rPr>
                      <w:rFonts w:hint="default" w:ascii="Times New Roman" w:hAnsi="Times New Roman" w:cs="Times New Roman"/>
                      <w:color w:val="auto"/>
                      <w:kern w:val="21"/>
                      <w:szCs w:val="21"/>
                    </w:rPr>
                    <w:t>m</w:t>
                  </w:r>
                  <w:r>
                    <w:rPr>
                      <w:rFonts w:hint="default" w:ascii="Times New Roman" w:hAnsi="Times New Roman" w:cs="Times New Roman"/>
                      <w:color w:val="auto"/>
                      <w:kern w:val="21"/>
                      <w:szCs w:val="21"/>
                      <w:vertAlign w:val="superscript"/>
                    </w:rPr>
                    <w:t>3</w:t>
                  </w:r>
                  <w:r>
                    <w:rPr>
                      <w:rFonts w:hint="default" w:ascii="Times New Roman" w:hAnsi="Times New Roman" w:cs="Times New Roman"/>
                      <w:color w:val="auto"/>
                      <w:kern w:val="21"/>
                      <w:szCs w:val="21"/>
                    </w:rPr>
                    <w:t>/万元≤9m³/万元</w:t>
                  </w:r>
                </w:p>
              </w:tc>
              <w:tc>
                <w:tcPr>
                  <w:tcW w:w="406" w:type="pct"/>
                  <w:vAlign w:val="center"/>
                </w:tcPr>
                <w:p w14:paraId="0B8129EF">
                  <w:pPr>
                    <w:autoSpaceDE w:val="0"/>
                    <w:autoSpaceDN w:val="0"/>
                    <w:adjustRightInd w:val="0"/>
                    <w:jc w:val="center"/>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符合</w:t>
                  </w:r>
                </w:p>
              </w:tc>
            </w:tr>
            <w:tr w14:paraId="5283D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 w:hRule="atLeast"/>
                <w:jc w:val="center"/>
              </w:trPr>
              <w:tc>
                <w:tcPr>
                  <w:tcW w:w="254" w:type="pct"/>
                  <w:vAlign w:val="center"/>
                </w:tcPr>
                <w:p w14:paraId="4CC5216D">
                  <w:pPr>
                    <w:adjustRightInd w:val="0"/>
                    <w:jc w:val="center"/>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4</w:t>
                  </w:r>
                </w:p>
              </w:tc>
              <w:tc>
                <w:tcPr>
                  <w:tcW w:w="440" w:type="pct"/>
                  <w:vAlign w:val="center"/>
                </w:tcPr>
                <w:p w14:paraId="1D7CB786">
                  <w:pPr>
                    <w:autoSpaceDE w:val="0"/>
                    <w:autoSpaceDN w:val="0"/>
                    <w:adjustRightInd w:val="0"/>
                    <w:jc w:val="center"/>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产业准入要求</w:t>
                  </w:r>
                </w:p>
              </w:tc>
              <w:tc>
                <w:tcPr>
                  <w:tcW w:w="2599" w:type="pct"/>
                  <w:vAlign w:val="center"/>
                </w:tcPr>
                <w:p w14:paraId="05FBF586">
                  <w:pPr>
                    <w:autoSpaceDE w:val="0"/>
                    <w:autoSpaceDN w:val="0"/>
                    <w:adjustRightInd w:val="0"/>
                    <w:jc w:val="left"/>
                    <w:textAlignment w:val="baseline"/>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 xml:space="preserve">1、优先鼓励项目：以规划主导产业为核心，产业结构调整指导目录（2019年本）中鼓励类项目； </w:t>
                  </w:r>
                </w:p>
                <w:p w14:paraId="08B29293">
                  <w:pPr>
                    <w:autoSpaceDE w:val="0"/>
                    <w:autoSpaceDN w:val="0"/>
                    <w:adjustRightInd w:val="0"/>
                    <w:jc w:val="left"/>
                    <w:textAlignment w:val="baseline"/>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 xml:space="preserve">2、限制发展项目：限制现有化工企业、食品企业扩大生产规模，限制引进排放毒性大的特征大气污染物项目或高VOCs污染类的项目，限制引进废水排放量大的项目，产业结构调整指导目录（2019年本）中限制类项目， 芜湖市环境准入要求中限制类项目； </w:t>
                  </w:r>
                </w:p>
                <w:p w14:paraId="7C498C59">
                  <w:pPr>
                    <w:autoSpaceDE w:val="0"/>
                    <w:autoSpaceDN w:val="0"/>
                    <w:adjustRightInd w:val="0"/>
                    <w:jc w:val="left"/>
                    <w:textAlignment w:val="baseline"/>
                    <w:rPr>
                      <w:rFonts w:hint="default" w:ascii="Times New Roman" w:hAnsi="Times New Roman" w:cs="Times New Roman"/>
                      <w:color w:val="auto"/>
                      <w:szCs w:val="21"/>
                    </w:rPr>
                  </w:pPr>
                  <w:r>
                    <w:rPr>
                      <w:rFonts w:hint="default" w:ascii="Times New Roman" w:hAnsi="Times New Roman" w:eastAsia="宋体" w:cs="Times New Roman"/>
                      <w:color w:val="auto"/>
                      <w:szCs w:val="21"/>
                      <w:lang w:val="en-US" w:eastAsia="zh-CN"/>
                    </w:rPr>
                    <w:t>3、禁止发展项目：禁止引入国家禁止以及明令淘汰的项目，禁止引入与开发区主导产业定位不一致的高污染、高能耗、高水耗行业及环境安全风险隐患较大项目，产业结构调整指导目录（2019年本）中淘汰类项目，芜湖市环境准入要求中禁止类项目，新芜经济开</w:t>
                  </w:r>
                  <w:r>
                    <w:rPr>
                      <w:rFonts w:hint="default" w:ascii="Times New Roman" w:hAnsi="Times New Roman" w:eastAsia="宋体" w:cs="Times New Roman"/>
                      <w:color w:val="auto"/>
                      <w:szCs w:val="21"/>
                    </w:rPr>
                    <w:t>车零部件及高端装备制造类项目、新能源新材料类项目、电子电器类项目</w:t>
                  </w:r>
                  <w:r>
                    <w:rPr>
                      <w:rFonts w:hint="default" w:ascii="Times New Roman" w:hAnsi="Times New Roman" w:eastAsia="宋体" w:cs="Times New Roman"/>
                      <w:color w:val="auto"/>
                      <w:szCs w:val="21"/>
                      <w:lang w:val="en-US" w:eastAsia="zh-CN"/>
                    </w:rPr>
                    <w:t>发区负面清单项目。</w:t>
                  </w:r>
                </w:p>
              </w:tc>
              <w:tc>
                <w:tcPr>
                  <w:tcW w:w="1300" w:type="pct"/>
                  <w:vAlign w:val="center"/>
                </w:tcPr>
                <w:p w14:paraId="0A2B557C">
                  <w:pPr>
                    <w:keepNext w:val="0"/>
                    <w:keepLines w:val="0"/>
                    <w:widowControl/>
                    <w:suppressLineNumbers w:val="0"/>
                    <w:jc w:val="left"/>
                    <w:rPr>
                      <w:rFonts w:hint="default" w:ascii="Times New Roman" w:hAnsi="Times New Roman" w:cs="Times New Roman"/>
                      <w:color w:val="auto"/>
                      <w:sz w:val="21"/>
                      <w:szCs w:val="21"/>
                    </w:rPr>
                  </w:pPr>
                  <w:r>
                    <w:rPr>
                      <w:rFonts w:hint="default" w:ascii="Times New Roman" w:hAnsi="Times New Roman" w:eastAsia="宋体" w:cs="Times New Roman"/>
                      <w:color w:val="auto"/>
                      <w:kern w:val="0"/>
                      <w:sz w:val="21"/>
                      <w:szCs w:val="21"/>
                      <w:lang w:val="en-US" w:eastAsia="zh-CN" w:bidi="ar"/>
                    </w:rPr>
                    <w:t>本项目与开发区资源环境相适应，VOCs 排放量少，且不属于国家发展和改革委员会第 9 号令《产业结构调整指导目录（2024本）》 中淘汰类、限制类，也不属于鼓励类，可视为允许类，符合国家产业政策需求以及园区规划产业定位。</w:t>
                  </w:r>
                </w:p>
              </w:tc>
              <w:tc>
                <w:tcPr>
                  <w:tcW w:w="406" w:type="pct"/>
                  <w:vAlign w:val="center"/>
                </w:tcPr>
                <w:p w14:paraId="5DC622FD">
                  <w:pPr>
                    <w:autoSpaceDE w:val="0"/>
                    <w:autoSpaceDN w:val="0"/>
                    <w:adjustRightInd w:val="0"/>
                    <w:jc w:val="center"/>
                    <w:textAlignment w:val="baseline"/>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符合</w:t>
                  </w:r>
                </w:p>
              </w:tc>
            </w:tr>
          </w:tbl>
          <w:p w14:paraId="4D616BAB">
            <w:pPr>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color w:val="auto"/>
                <w:spacing w:val="0"/>
                <w:kern w:val="0"/>
                <w:sz w:val="24"/>
              </w:rPr>
            </w:pPr>
            <w:r>
              <w:rPr>
                <w:rFonts w:hint="default" w:ascii="Times New Roman" w:hAnsi="Times New Roman" w:cs="Times New Roman"/>
                <w:color w:val="auto"/>
                <w:spacing w:val="0"/>
                <w:kern w:val="0"/>
                <w:sz w:val="24"/>
              </w:rPr>
              <w:t>由上表可知，本项目建设符合《芜湖市生态环境分区管控生态环境准入清单》文件中的相关要求。</w:t>
            </w:r>
          </w:p>
          <w:p w14:paraId="60D6297A">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kern w:val="1"/>
                <w:sz w:val="24"/>
                <w:szCs w:val="24"/>
              </w:rPr>
            </w:pPr>
            <w:r>
              <w:rPr>
                <w:rFonts w:hint="default" w:ascii="Times New Roman" w:hAnsi="Times New Roman" w:cs="Times New Roman"/>
                <w:b/>
                <w:bCs/>
                <w:color w:val="auto"/>
                <w:kern w:val="1"/>
                <w:sz w:val="24"/>
                <w:szCs w:val="24"/>
                <w:lang w:val="en-US" w:eastAsia="zh-CN"/>
              </w:rPr>
              <w:t>6、与</w:t>
            </w:r>
            <w:r>
              <w:rPr>
                <w:rFonts w:hint="default" w:ascii="Times New Roman" w:hAnsi="Times New Roman" w:eastAsia="宋体" w:cs="Times New Roman"/>
                <w:b/>
                <w:bCs/>
                <w:color w:val="auto"/>
                <w:kern w:val="1"/>
                <w:sz w:val="24"/>
                <w:szCs w:val="24"/>
              </w:rPr>
              <w:t>“三</w:t>
            </w:r>
            <w:r>
              <w:rPr>
                <w:rFonts w:hint="default" w:ascii="Times New Roman" w:hAnsi="Times New Roman" w:eastAsia="宋体" w:cs="Times New Roman"/>
                <w:b/>
                <w:bCs/>
                <w:color w:val="auto"/>
                <w:kern w:val="1"/>
                <w:sz w:val="24"/>
                <w:szCs w:val="24"/>
                <w:lang w:val="en-US" w:eastAsia="zh-CN"/>
              </w:rPr>
              <w:t>区三线</w:t>
            </w:r>
            <w:r>
              <w:rPr>
                <w:rFonts w:hint="default" w:ascii="Times New Roman" w:hAnsi="Times New Roman" w:eastAsia="宋体" w:cs="Times New Roman"/>
                <w:b/>
                <w:bCs/>
                <w:color w:val="auto"/>
                <w:kern w:val="1"/>
                <w:sz w:val="24"/>
                <w:szCs w:val="24"/>
              </w:rPr>
              <w:t>”</w:t>
            </w:r>
            <w:r>
              <w:rPr>
                <w:rFonts w:hint="default" w:ascii="Times New Roman" w:hAnsi="Times New Roman" w:eastAsia="宋体" w:cs="Times New Roman"/>
                <w:b/>
                <w:bCs/>
                <w:color w:val="auto"/>
                <w:kern w:val="1"/>
                <w:sz w:val="24"/>
                <w:szCs w:val="24"/>
                <w:lang w:val="en-US" w:eastAsia="zh-CN"/>
              </w:rPr>
              <w:t>符合</w:t>
            </w:r>
            <w:r>
              <w:rPr>
                <w:rFonts w:hint="default" w:ascii="Times New Roman" w:hAnsi="Times New Roman" w:eastAsia="宋体" w:cs="Times New Roman"/>
                <w:b/>
                <w:bCs/>
                <w:color w:val="auto"/>
                <w:kern w:val="1"/>
                <w:sz w:val="24"/>
                <w:szCs w:val="24"/>
              </w:rPr>
              <w:t>性分析</w:t>
            </w:r>
          </w:p>
          <w:p w14:paraId="09B153E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szCs w:val="24"/>
              </w:rPr>
              <w:t>根据《中共中央国务院关于建立国土空间规划体系并监督实施的若干意见》（中发〔2019〕18号）、自然资源部关于在全国开展“三区三线”划定工作的函（自然资函〔2022〕47号），</w:t>
            </w:r>
            <w:r>
              <w:rPr>
                <w:rFonts w:hint="default" w:ascii="Times New Roman" w:hAnsi="Times New Roman" w:eastAsia="宋体" w:cs="Times New Roman"/>
                <w:color w:val="auto"/>
                <w:sz w:val="24"/>
                <w:highlight w:val="none"/>
              </w:rPr>
              <w:t>“三区三线”是根据农业空间、生态空间、城镇空间三个区域，分别对应划定的耕地和永久基本农田保护红线、城镇开发边界、生态保护红线三条控制线。农业空间是以农业生产、农村生活为主体的区域，生态空间是指具有自然属性、以提供生态服务或生态产品为主的区域，城镇区间是以承载城镇经济、社会、政治、文化、生态等要素为主的功能空间。生态保护红线是指在生态空间范围内具有特殊重要生态功能必须强制性严格保护的陆域、水域等区域，永久基本农田是指不能擅自占用或改变用途的长期稳定耕地，城镇开发边界是指在一定时期内因城镇发展需要，可以集中进行城镇开发建设，重点完善城镇功能的区域边界。</w:t>
            </w:r>
          </w:p>
          <w:p w14:paraId="4B5BAEEF">
            <w:pPr>
              <w:adjustRightInd w:val="0"/>
              <w:snapToGri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szCs w:val="24"/>
              </w:rPr>
              <w:t>本项目位于</w:t>
            </w:r>
            <w:r>
              <w:rPr>
                <w:rFonts w:hint="default" w:ascii="Times New Roman" w:hAnsi="Times New Roman" w:cs="Times New Roman"/>
                <w:color w:val="auto"/>
                <w:sz w:val="24"/>
                <w:szCs w:val="24"/>
                <w:lang w:val="en-US" w:eastAsia="zh-CN"/>
              </w:rPr>
              <w:t>芜湖市湾沚区安徽新芜经济开发区西支六路222号</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highlight w:val="none"/>
              </w:rPr>
              <w:t>根</w:t>
            </w:r>
            <w:r>
              <w:rPr>
                <w:rFonts w:hint="default" w:ascii="Times New Roman" w:hAnsi="Times New Roman" w:eastAsia="宋体" w:cs="Times New Roman"/>
                <w:color w:val="auto"/>
                <w:sz w:val="24"/>
                <w:highlight w:val="none"/>
              </w:rPr>
              <w:t>据芜湖市“三区三线”划定情况</w:t>
            </w:r>
            <w:r>
              <w:rPr>
                <w:rFonts w:hint="default" w:ascii="Times New Roman" w:hAnsi="Times New Roman" w:eastAsia="宋体" w:cs="Times New Roman"/>
                <w:color w:val="auto"/>
                <w:sz w:val="24"/>
                <w:highlight w:val="none"/>
                <w:lang w:eastAsia="zh-CN"/>
              </w:rPr>
              <w:t>，</w:t>
            </w:r>
            <w:r>
              <w:rPr>
                <w:rFonts w:hint="default" w:ascii="Times New Roman" w:hAnsi="Times New Roman" w:cs="Times New Roman"/>
                <w:color w:val="auto"/>
                <w:sz w:val="24"/>
                <w:szCs w:val="24"/>
                <w:lang w:eastAsia="zh-CN"/>
              </w:rPr>
              <w:t>本项目</w:t>
            </w:r>
            <w:r>
              <w:rPr>
                <w:rFonts w:hint="default" w:ascii="Times New Roman" w:hAnsi="Times New Roman" w:eastAsia="宋体" w:cs="Times New Roman"/>
                <w:color w:val="auto"/>
                <w:sz w:val="24"/>
                <w:szCs w:val="24"/>
              </w:rPr>
              <w:t>不在生态保护红线范围内，不属于永久基本农田保护红线，</w:t>
            </w:r>
            <w:r>
              <w:rPr>
                <w:rFonts w:hint="default" w:ascii="Times New Roman" w:hAnsi="Times New Roman" w:cs="Times New Roman"/>
                <w:color w:val="auto"/>
                <w:sz w:val="24"/>
                <w:szCs w:val="24"/>
                <w:lang w:eastAsia="zh-CN"/>
              </w:rPr>
              <w:t>在城镇开发边界内，</w:t>
            </w:r>
            <w:r>
              <w:rPr>
                <w:rFonts w:hint="default" w:ascii="Times New Roman" w:hAnsi="Times New Roman" w:eastAsia="宋体" w:cs="Times New Roman"/>
                <w:color w:val="auto"/>
                <w:sz w:val="24"/>
                <w:highlight w:val="none"/>
              </w:rPr>
              <w:t>本项目不占用农业空间、生态空间，占用城镇空间</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详见附图</w:t>
            </w:r>
            <w:r>
              <w:rPr>
                <w:rFonts w:hint="default" w:ascii="Times New Roman" w:hAnsi="Times New Roman" w:eastAsia="宋体" w:cs="Times New Roman"/>
                <w:color w:val="auto"/>
                <w:sz w:val="24"/>
                <w:highlight w:val="none"/>
              </w:rPr>
              <w:t>。</w:t>
            </w:r>
          </w:p>
          <w:p w14:paraId="49552E13">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textAlignment w:val="auto"/>
              <w:rPr>
                <w:rFonts w:hint="default" w:ascii="Times New Roman" w:hAnsi="Times New Roman" w:eastAsia="宋体" w:cs="Times New Roman"/>
                <w:b/>
                <w:color w:val="auto"/>
                <w:kern w:val="0"/>
                <w:sz w:val="24"/>
                <w:highlight w:val="none"/>
              </w:rPr>
            </w:pPr>
            <w:r>
              <w:rPr>
                <w:rFonts w:hint="default" w:ascii="Times New Roman" w:hAnsi="Times New Roman" w:eastAsia="宋体" w:cs="Times New Roman"/>
                <w:color w:val="auto"/>
                <w:sz w:val="24"/>
                <w:highlight w:val="none"/>
              </w:rPr>
              <w:t>因此，项目符合芜湖市“三区三线”要求。</w:t>
            </w:r>
          </w:p>
          <w:p w14:paraId="3368BE81">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color w:val="auto"/>
                <w:kern w:val="0"/>
                <w:sz w:val="24"/>
                <w:highlight w:val="none"/>
              </w:rPr>
            </w:pPr>
            <w:r>
              <w:rPr>
                <w:rFonts w:hint="default" w:ascii="Times New Roman" w:hAnsi="Times New Roman" w:cs="Times New Roman"/>
                <w:b/>
                <w:color w:val="auto"/>
                <w:kern w:val="0"/>
                <w:sz w:val="24"/>
                <w:highlight w:val="none"/>
                <w:lang w:val="en-US" w:eastAsia="zh-CN"/>
              </w:rPr>
              <w:t>7</w:t>
            </w:r>
            <w:r>
              <w:rPr>
                <w:rFonts w:hint="default" w:ascii="Times New Roman" w:hAnsi="Times New Roman" w:cs="Times New Roman"/>
                <w:b/>
                <w:color w:val="auto"/>
                <w:kern w:val="0"/>
                <w:sz w:val="24"/>
                <w:highlight w:val="none"/>
              </w:rPr>
              <w:t>、</w:t>
            </w:r>
            <w:r>
              <w:rPr>
                <w:rFonts w:hint="default" w:ascii="Times New Roman" w:hAnsi="Times New Roman" w:cs="Times New Roman"/>
                <w:b/>
                <w:color w:val="auto"/>
                <w:sz w:val="24"/>
                <w:highlight w:val="none"/>
              </w:rPr>
              <w:t>与《关于全面打造水清岸绿产业优美丽长江（安徽）经济带的实施意见（升级版）》</w:t>
            </w:r>
            <w:r>
              <w:rPr>
                <w:rFonts w:hint="default" w:ascii="Times New Roman" w:hAnsi="Times New Roman" w:cs="Times New Roman"/>
                <w:b/>
                <w:bCs/>
                <w:color w:val="auto"/>
                <w:sz w:val="24"/>
                <w:highlight w:val="none"/>
              </w:rPr>
              <w:t>（皖发[2021]19号）、《</w:t>
            </w:r>
            <w:r>
              <w:rPr>
                <w:rFonts w:hint="default" w:ascii="Times New Roman" w:hAnsi="Times New Roman" w:cs="Times New Roman"/>
                <w:b/>
                <w:color w:val="auto"/>
                <w:sz w:val="24"/>
                <w:highlight w:val="none"/>
              </w:rPr>
              <w:t>关于全面打造水清岸绿产业优美丽长江（芜湖）经济带的实施方案（升级版）</w:t>
            </w:r>
            <w:r>
              <w:rPr>
                <w:rFonts w:hint="default" w:ascii="Times New Roman" w:hAnsi="Times New Roman" w:cs="Times New Roman"/>
                <w:b/>
                <w:bCs/>
                <w:color w:val="auto"/>
                <w:sz w:val="24"/>
                <w:highlight w:val="none"/>
              </w:rPr>
              <w:t>》（芜市办[2021]28号）</w:t>
            </w:r>
            <w:r>
              <w:rPr>
                <w:rFonts w:hint="default" w:ascii="Times New Roman" w:hAnsi="Times New Roman" w:cs="Times New Roman"/>
                <w:b/>
                <w:color w:val="auto"/>
                <w:sz w:val="24"/>
                <w:highlight w:val="none"/>
              </w:rPr>
              <w:t>相符性</w:t>
            </w:r>
          </w:p>
          <w:p w14:paraId="6FEA4102">
            <w:pPr>
              <w:keepNext w:val="0"/>
              <w:keepLines w:val="0"/>
              <w:pageBreakBefore w:val="0"/>
              <w:widowControl/>
              <w:kinsoku/>
              <w:wordWrap/>
              <w:overflowPunct/>
              <w:topLinePunct w:val="0"/>
              <w:autoSpaceDE/>
              <w:autoSpaceDN/>
              <w:bidi w:val="0"/>
              <w:adjustRightInd w:val="0"/>
              <w:snapToGrid/>
              <w:spacing w:beforeAutospacing="0" w:line="240" w:lineRule="auto"/>
              <w:jc w:val="center"/>
              <w:textAlignment w:val="auto"/>
              <w:rPr>
                <w:rFonts w:hint="default" w:ascii="Times New Roman" w:hAnsi="Times New Roman" w:eastAsia="宋体" w:cs="Times New Roman"/>
                <w:b/>
                <w:color w:val="auto"/>
                <w:kern w:val="0"/>
                <w:sz w:val="24"/>
                <w:szCs w:val="20"/>
                <w:lang w:val="zh-CN"/>
              </w:rPr>
            </w:pPr>
            <w:r>
              <w:rPr>
                <w:rFonts w:hint="default" w:ascii="Times New Roman" w:hAnsi="Times New Roman" w:eastAsia="宋体" w:cs="Times New Roman"/>
                <w:b/>
                <w:color w:val="auto"/>
                <w:kern w:val="0"/>
                <w:sz w:val="24"/>
                <w:szCs w:val="20"/>
                <w:lang w:val="en-US" w:eastAsia="zh-CN"/>
              </w:rPr>
              <w:t>表1-</w:t>
            </w:r>
            <w:r>
              <w:rPr>
                <w:rFonts w:hint="eastAsia" w:ascii="Times New Roman" w:hAnsi="Times New Roman" w:eastAsia="宋体" w:cs="Times New Roman"/>
                <w:b/>
                <w:color w:val="auto"/>
                <w:kern w:val="0"/>
                <w:sz w:val="24"/>
                <w:szCs w:val="20"/>
                <w:lang w:val="en-US" w:eastAsia="zh-CN"/>
              </w:rPr>
              <w:t>6</w:t>
            </w:r>
            <w:r>
              <w:rPr>
                <w:rFonts w:hint="default" w:ascii="Times New Roman" w:hAnsi="Times New Roman" w:eastAsia="宋体" w:cs="Times New Roman"/>
                <w:b/>
                <w:color w:val="auto"/>
                <w:kern w:val="0"/>
                <w:sz w:val="24"/>
                <w:szCs w:val="20"/>
                <w:lang w:val="en-US" w:eastAsia="zh-CN"/>
              </w:rPr>
              <w:t xml:space="preserve">  </w:t>
            </w:r>
            <w:r>
              <w:rPr>
                <w:rFonts w:hint="default" w:ascii="Times New Roman" w:hAnsi="Times New Roman" w:eastAsia="宋体" w:cs="Times New Roman"/>
                <w:b/>
                <w:color w:val="auto"/>
                <w:kern w:val="0"/>
                <w:sz w:val="24"/>
                <w:szCs w:val="20"/>
                <w:lang w:val="zh-CN"/>
              </w:rPr>
              <w:t>项目与“皖发[2021]19号”、“芜市办[2021]28号”文件相符性</w:t>
            </w:r>
          </w:p>
          <w:tbl>
            <w:tblPr>
              <w:tblStyle w:val="6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8"/>
              <w:gridCol w:w="3673"/>
              <w:gridCol w:w="2032"/>
            </w:tblGrid>
            <w:tr w14:paraId="7F6B9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1" w:type="pct"/>
                  <w:tcBorders>
                    <w:tl2br w:val="nil"/>
                    <w:tr2bl w:val="nil"/>
                  </w:tcBorders>
                  <w:noWrap w:val="0"/>
                  <w:vAlign w:val="center"/>
                </w:tcPr>
                <w:p w14:paraId="507CC879">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文件内容</w:t>
                  </w:r>
                </w:p>
              </w:tc>
              <w:tc>
                <w:tcPr>
                  <w:tcW w:w="2626" w:type="pct"/>
                  <w:tcBorders>
                    <w:tl2br w:val="nil"/>
                    <w:tr2bl w:val="nil"/>
                  </w:tcBorders>
                  <w:noWrap w:val="0"/>
                  <w:vAlign w:val="center"/>
                </w:tcPr>
                <w:p w14:paraId="5F5037E3">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具体要求</w:t>
                  </w:r>
                </w:p>
              </w:tc>
              <w:tc>
                <w:tcPr>
                  <w:tcW w:w="1452" w:type="pct"/>
                  <w:tcBorders>
                    <w:tl2br w:val="nil"/>
                    <w:tr2bl w:val="nil"/>
                  </w:tcBorders>
                  <w:noWrap w:val="0"/>
                  <w:vAlign w:val="center"/>
                </w:tcPr>
                <w:p w14:paraId="5671C395">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相符性分析</w:t>
                  </w:r>
                </w:p>
              </w:tc>
            </w:tr>
            <w:tr w14:paraId="62067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1" w:type="pct"/>
                  <w:tcBorders>
                    <w:tl2br w:val="nil"/>
                    <w:tr2bl w:val="nil"/>
                  </w:tcBorders>
                  <w:noWrap w:val="0"/>
                  <w:vAlign w:val="center"/>
                </w:tcPr>
                <w:p w14:paraId="57E5D833">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严禁1公里范围内新建化工项目</w:t>
                  </w:r>
                </w:p>
              </w:tc>
              <w:tc>
                <w:tcPr>
                  <w:tcW w:w="2626" w:type="pct"/>
                  <w:tcBorders>
                    <w:tl2br w:val="nil"/>
                    <w:tr2bl w:val="nil"/>
                  </w:tcBorders>
                  <w:noWrap w:val="0"/>
                  <w:vAlign w:val="center"/>
                </w:tcPr>
                <w:p w14:paraId="2AACC482">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0"/>
                      <w:szCs w:val="21"/>
                      <w:highlight w:val="none"/>
                      <w:lang w:eastAsia="zh-CN"/>
                    </w:rPr>
                  </w:pPr>
                  <w:r>
                    <w:rPr>
                      <w:rFonts w:hint="default" w:ascii="Times New Roman" w:hAnsi="Times New Roman" w:cs="Times New Roman"/>
                      <w:color w:val="auto"/>
                      <w:kern w:val="0"/>
                      <w:szCs w:val="21"/>
                      <w:highlight w:val="none"/>
                    </w:rPr>
                    <w:t>长江干支流岸线1公里范围内，严禁新建、扩建化工园区和化工项目。已批未开工的项目，依法停止建设，支持重新选址。已经开工建设的项目，严格进行检查评估，不符合岸线规划和环保、安全要求的，全部依法依规停建搬迁</w:t>
                  </w:r>
                  <w:r>
                    <w:rPr>
                      <w:rFonts w:hint="default" w:ascii="Times New Roman" w:hAnsi="Times New Roman" w:cs="Times New Roman"/>
                      <w:color w:val="auto"/>
                      <w:kern w:val="0"/>
                      <w:szCs w:val="21"/>
                      <w:highlight w:val="none"/>
                      <w:lang w:eastAsia="zh-CN"/>
                    </w:rPr>
                    <w:t>。</w:t>
                  </w:r>
                </w:p>
              </w:tc>
              <w:tc>
                <w:tcPr>
                  <w:tcW w:w="1452" w:type="pct"/>
                  <w:tcBorders>
                    <w:tl2br w:val="nil"/>
                    <w:tr2bl w:val="nil"/>
                  </w:tcBorders>
                  <w:noWrap w:val="0"/>
                  <w:vAlign w:val="center"/>
                </w:tcPr>
                <w:p w14:paraId="75A36FB5">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kern w:val="0"/>
                      <w:szCs w:val="21"/>
                      <w:highlight w:val="none"/>
                    </w:rPr>
                  </w:pPr>
                  <w:r>
                    <w:rPr>
                      <w:rFonts w:hint="default" w:ascii="Times New Roman" w:hAnsi="Times New Roman" w:cs="Times New Roman"/>
                      <w:color w:val="auto"/>
                      <w:spacing w:val="0"/>
                      <w:szCs w:val="21"/>
                    </w:rPr>
                    <w:t>本项目不属于化工项目。本项目距离长江干流岸线约</w:t>
                  </w:r>
                  <w:r>
                    <w:rPr>
                      <w:rFonts w:hint="default" w:ascii="Times New Roman" w:hAnsi="Times New Roman" w:cs="Times New Roman"/>
                      <w:color w:val="auto"/>
                      <w:spacing w:val="0"/>
                      <w:szCs w:val="21"/>
                      <w:lang w:val="en-US" w:eastAsia="zh-CN"/>
                    </w:rPr>
                    <w:t>30.9</w:t>
                  </w:r>
                  <w:r>
                    <w:rPr>
                      <w:rFonts w:hint="default" w:ascii="Times New Roman" w:hAnsi="Times New Roman" w:cs="Times New Roman"/>
                      <w:color w:val="auto"/>
                      <w:spacing w:val="0"/>
                      <w:szCs w:val="21"/>
                    </w:rPr>
                    <w:t>km，距离青弋江最近距离为</w:t>
                  </w:r>
                  <w:r>
                    <w:rPr>
                      <w:rFonts w:hint="default" w:ascii="Times New Roman" w:hAnsi="Times New Roman" w:cs="Times New Roman"/>
                      <w:color w:val="auto"/>
                      <w:spacing w:val="0"/>
                      <w:szCs w:val="21"/>
                      <w:lang w:val="en-US" w:eastAsia="zh-CN"/>
                    </w:rPr>
                    <w:t>4.7</w:t>
                  </w:r>
                  <w:r>
                    <w:rPr>
                      <w:rFonts w:hint="default" w:ascii="Times New Roman" w:hAnsi="Times New Roman" w:cs="Times New Roman"/>
                      <w:color w:val="auto"/>
                      <w:spacing w:val="0"/>
                      <w:szCs w:val="21"/>
                    </w:rPr>
                    <w:t>km，项目选址不在长江干流及主要支流岸线1公里范围内。</w:t>
                  </w:r>
                </w:p>
              </w:tc>
            </w:tr>
            <w:tr w14:paraId="5EA8B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1" w:type="pct"/>
                  <w:tcBorders>
                    <w:tl2br w:val="nil"/>
                    <w:tr2bl w:val="nil"/>
                  </w:tcBorders>
                  <w:noWrap w:val="0"/>
                  <w:vAlign w:val="center"/>
                </w:tcPr>
                <w:p w14:paraId="7F8E5076">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严控5公里范围内新建重化工重污染项目</w:t>
                  </w:r>
                </w:p>
              </w:tc>
              <w:tc>
                <w:tcPr>
                  <w:tcW w:w="2626" w:type="pct"/>
                  <w:tcBorders>
                    <w:tl2br w:val="nil"/>
                    <w:tr2bl w:val="nil"/>
                  </w:tcBorders>
                  <w:noWrap w:val="0"/>
                  <w:vAlign w:val="center"/>
                </w:tcPr>
                <w:p w14:paraId="35586165">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0"/>
                      <w:szCs w:val="21"/>
                      <w:highlight w:val="none"/>
                      <w:lang w:eastAsia="zh-CN"/>
                    </w:rPr>
                  </w:pPr>
                  <w:r>
                    <w:rPr>
                      <w:rFonts w:hint="default" w:ascii="Times New Roman" w:hAnsi="Times New Roman" w:cs="Times New Roman"/>
                      <w:color w:val="auto"/>
                      <w:kern w:val="0"/>
                      <w:szCs w:val="21"/>
                      <w:highlight w:val="none"/>
                    </w:rPr>
                    <w:t>长江干流岸线5公里范围内，全面落实长江岸线功能定位要求，实施严格的化工项目市场准入制度，制定完善危险化学品</w:t>
                  </w:r>
                  <w:r>
                    <w:rPr>
                      <w:rFonts w:hint="default" w:ascii="Times New Roman" w:hAnsi="Times New Roman" w:cs="Times New Roman"/>
                      <w:color w:val="auto"/>
                      <w:kern w:val="0"/>
                      <w:szCs w:val="21"/>
                      <w:highlight w:val="none"/>
                      <w:lang w:eastAsia="zh-CN"/>
                    </w:rPr>
                    <w:t>“</w:t>
                  </w:r>
                  <w:r>
                    <w:rPr>
                      <w:rFonts w:hint="default" w:ascii="Times New Roman" w:hAnsi="Times New Roman" w:cs="Times New Roman"/>
                      <w:color w:val="auto"/>
                      <w:kern w:val="0"/>
                      <w:szCs w:val="21"/>
                      <w:highlight w:val="none"/>
                    </w:rPr>
                    <w:t>禁限控</w:t>
                  </w:r>
                  <w:r>
                    <w:rPr>
                      <w:rFonts w:hint="default" w:ascii="Times New Roman" w:hAnsi="Times New Roman" w:cs="Times New Roman"/>
                      <w:color w:val="auto"/>
                      <w:kern w:val="0"/>
                      <w:szCs w:val="21"/>
                      <w:highlight w:val="none"/>
                      <w:lang w:eastAsia="zh-CN"/>
                    </w:rPr>
                    <w:t>”</w:t>
                  </w:r>
                  <w:r>
                    <w:rPr>
                      <w:rFonts w:hint="default" w:ascii="Times New Roman" w:hAnsi="Times New Roman" w:cs="Times New Roman"/>
                      <w:color w:val="auto"/>
                      <w:kern w:val="0"/>
                      <w:szCs w:val="21"/>
                      <w:highlight w:val="none"/>
                    </w:rPr>
                    <w:t>目录，除提升安全、环保、节能水平，以及质量升级、结构调整的改扩建项目外，严控新建石油化工和煤化工等重化工、重污染项目。严禁新建布局重化工园区。合规化工园区内，严禁新批环境基础设施不完善或长期不能稳定运行的企业新建和扩建化工项目</w:t>
                  </w:r>
                  <w:r>
                    <w:rPr>
                      <w:rFonts w:hint="default" w:ascii="Times New Roman" w:hAnsi="Times New Roman" w:cs="Times New Roman"/>
                      <w:color w:val="auto"/>
                      <w:kern w:val="0"/>
                      <w:szCs w:val="21"/>
                      <w:highlight w:val="none"/>
                      <w:lang w:eastAsia="zh-CN"/>
                    </w:rPr>
                    <w:t>。</w:t>
                  </w:r>
                </w:p>
              </w:tc>
              <w:tc>
                <w:tcPr>
                  <w:tcW w:w="1452" w:type="pct"/>
                  <w:tcBorders>
                    <w:tl2br w:val="nil"/>
                    <w:tr2bl w:val="nil"/>
                  </w:tcBorders>
                  <w:noWrap w:val="0"/>
                  <w:vAlign w:val="center"/>
                </w:tcPr>
                <w:p w14:paraId="70894D8B">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kern w:val="0"/>
                      <w:szCs w:val="21"/>
                      <w:highlight w:val="none"/>
                    </w:rPr>
                  </w:pPr>
                  <w:r>
                    <w:rPr>
                      <w:rFonts w:hint="default" w:ascii="Times New Roman" w:hAnsi="Times New Roman" w:cs="Times New Roman"/>
                      <w:color w:val="auto"/>
                      <w:spacing w:val="0"/>
                      <w:szCs w:val="21"/>
                    </w:rPr>
                    <w:t>本项目距离长江干流岸线约</w:t>
                  </w:r>
                  <w:r>
                    <w:rPr>
                      <w:rFonts w:hint="default" w:ascii="Times New Roman" w:hAnsi="Times New Roman" w:cs="Times New Roman"/>
                      <w:color w:val="auto"/>
                      <w:spacing w:val="0"/>
                      <w:szCs w:val="21"/>
                      <w:lang w:val="en-US" w:eastAsia="zh-CN"/>
                    </w:rPr>
                    <w:t>30.9</w:t>
                  </w:r>
                  <w:r>
                    <w:rPr>
                      <w:rFonts w:hint="default" w:ascii="Times New Roman" w:hAnsi="Times New Roman" w:cs="Times New Roman"/>
                      <w:color w:val="auto"/>
                      <w:spacing w:val="0"/>
                      <w:szCs w:val="21"/>
                    </w:rPr>
                    <w:t>km，项目选址不在长江干流岸线</w:t>
                  </w:r>
                  <w:r>
                    <w:rPr>
                      <w:rFonts w:hint="default" w:ascii="Times New Roman" w:hAnsi="Times New Roman" w:cs="Times New Roman"/>
                      <w:color w:val="auto"/>
                      <w:spacing w:val="0"/>
                      <w:szCs w:val="21"/>
                      <w:lang w:val="en-US" w:eastAsia="zh-CN"/>
                    </w:rPr>
                    <w:t>5</w:t>
                  </w:r>
                  <w:r>
                    <w:rPr>
                      <w:rFonts w:hint="default" w:ascii="Times New Roman" w:hAnsi="Times New Roman" w:cs="Times New Roman"/>
                      <w:color w:val="auto"/>
                      <w:spacing w:val="0"/>
                      <w:szCs w:val="21"/>
                    </w:rPr>
                    <w:t>公里范围内，项目不属于石油化工和煤化工等重化工、重污染项目。</w:t>
                  </w:r>
                </w:p>
              </w:tc>
            </w:tr>
            <w:tr w14:paraId="5DD53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1" w:type="pct"/>
                  <w:tcBorders>
                    <w:tl2br w:val="nil"/>
                    <w:tr2bl w:val="nil"/>
                  </w:tcBorders>
                  <w:noWrap w:val="0"/>
                  <w:vAlign w:val="center"/>
                </w:tcPr>
                <w:p w14:paraId="68FA2C89">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严管15公里范围内新建项目</w:t>
                  </w:r>
                </w:p>
              </w:tc>
              <w:tc>
                <w:tcPr>
                  <w:tcW w:w="2626" w:type="pct"/>
                  <w:tcBorders>
                    <w:tl2br w:val="nil"/>
                    <w:tr2bl w:val="nil"/>
                  </w:tcBorders>
                  <w:noWrap w:val="0"/>
                  <w:vAlign w:val="center"/>
                </w:tcPr>
                <w:p w14:paraId="48021900">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0"/>
                      <w:szCs w:val="21"/>
                      <w:highlight w:val="none"/>
                      <w:lang w:eastAsia="zh-CN"/>
                    </w:rPr>
                  </w:pPr>
                  <w:r>
                    <w:rPr>
                      <w:rFonts w:hint="default" w:ascii="Times New Roman" w:hAnsi="Times New Roman" w:cs="Times New Roman"/>
                      <w:color w:val="auto"/>
                      <w:kern w:val="0"/>
                      <w:szCs w:val="21"/>
                      <w:highlight w:val="none"/>
                    </w:rPr>
                    <w:t>长江干流岸线15公里范围内，严把各类项目准入门槛，严格执行环境保护标准，把主要污染物和重点重金属排放总量控制目标作为新（改、扩）建项目环评审批的前置条件，禁止建设没有环境容量和减排总量项目</w:t>
                  </w:r>
                  <w:r>
                    <w:rPr>
                      <w:rFonts w:hint="default" w:ascii="Times New Roman" w:hAnsi="Times New Roman" w:cs="Times New Roman"/>
                      <w:color w:val="auto"/>
                      <w:kern w:val="0"/>
                      <w:szCs w:val="21"/>
                      <w:highlight w:val="none"/>
                      <w:lang w:eastAsia="zh-CN"/>
                    </w:rPr>
                    <w:t>。</w:t>
                  </w:r>
                </w:p>
              </w:tc>
              <w:tc>
                <w:tcPr>
                  <w:tcW w:w="1452" w:type="pct"/>
                  <w:tcBorders>
                    <w:tl2br w:val="nil"/>
                    <w:tr2bl w:val="nil"/>
                  </w:tcBorders>
                  <w:noWrap w:val="0"/>
                  <w:vAlign w:val="center"/>
                </w:tcPr>
                <w:p w14:paraId="385C06BB">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0"/>
                      <w:szCs w:val="21"/>
                      <w:highlight w:val="none"/>
                      <w:lang w:eastAsia="zh-CN"/>
                    </w:rPr>
                  </w:pPr>
                  <w:r>
                    <w:rPr>
                      <w:rFonts w:hint="default" w:ascii="Times New Roman" w:hAnsi="Times New Roman" w:cs="Times New Roman"/>
                      <w:color w:val="auto"/>
                      <w:spacing w:val="0"/>
                      <w:szCs w:val="21"/>
                    </w:rPr>
                    <w:t>本项目距离长江干流岸线约</w:t>
                  </w:r>
                  <w:r>
                    <w:rPr>
                      <w:rFonts w:hint="default" w:ascii="Times New Roman" w:hAnsi="Times New Roman" w:cs="Times New Roman"/>
                      <w:color w:val="auto"/>
                      <w:spacing w:val="0"/>
                      <w:szCs w:val="21"/>
                      <w:lang w:val="en-US" w:eastAsia="zh-CN"/>
                    </w:rPr>
                    <w:t>30.9</w:t>
                  </w:r>
                  <w:r>
                    <w:rPr>
                      <w:rFonts w:hint="default" w:ascii="Times New Roman" w:hAnsi="Times New Roman" w:cs="Times New Roman"/>
                      <w:color w:val="auto"/>
                      <w:spacing w:val="0"/>
                      <w:szCs w:val="21"/>
                    </w:rPr>
                    <w:t>km，</w:t>
                  </w:r>
                  <w:r>
                    <w:rPr>
                      <w:rFonts w:hint="default" w:ascii="Times New Roman" w:hAnsi="Times New Roman" w:cs="Times New Roman"/>
                      <w:color w:val="auto"/>
                      <w:spacing w:val="0"/>
                      <w:szCs w:val="21"/>
                      <w:lang w:val="en-US" w:eastAsia="zh-CN"/>
                    </w:rPr>
                    <w:t>不</w:t>
                  </w:r>
                  <w:r>
                    <w:rPr>
                      <w:rFonts w:hint="default" w:ascii="Times New Roman" w:hAnsi="Times New Roman" w:cs="Times New Roman"/>
                      <w:color w:val="auto"/>
                      <w:spacing w:val="0"/>
                      <w:szCs w:val="21"/>
                    </w:rPr>
                    <w:t>在长江干流岸线1</w:t>
                  </w:r>
                  <w:r>
                    <w:rPr>
                      <w:rFonts w:hint="default" w:ascii="Times New Roman" w:hAnsi="Times New Roman" w:cs="Times New Roman"/>
                      <w:color w:val="auto"/>
                      <w:kern w:val="0"/>
                      <w:szCs w:val="21"/>
                      <w:highlight w:val="none"/>
                    </w:rPr>
                    <w:t>5公里范围内，本项目各污染物全部合规达标，为准许建设类项目</w:t>
                  </w:r>
                  <w:r>
                    <w:rPr>
                      <w:rFonts w:hint="default" w:ascii="Times New Roman" w:hAnsi="Times New Roman" w:cs="Times New Roman"/>
                      <w:color w:val="auto"/>
                      <w:kern w:val="0"/>
                      <w:szCs w:val="21"/>
                      <w:highlight w:val="none"/>
                      <w:lang w:eastAsia="zh-CN"/>
                    </w:rPr>
                    <w:t>。</w:t>
                  </w:r>
                </w:p>
              </w:tc>
            </w:tr>
          </w:tbl>
          <w:p w14:paraId="1EA02A0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综上所述，本项目建设符合《关于全面打造水清岸绿产业优美丽长江（安徽）经济带的实施意见（升级版）》、《关于全面打造水清岸绿产业优美丽长江（芜湖）经济带的实施方案（升级版）》中相关要求。</w:t>
            </w:r>
          </w:p>
          <w:p w14:paraId="65D0C3D7">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lang w:val="en-US" w:eastAsia="zh-CN"/>
              </w:rPr>
              <w:t>8</w:t>
            </w:r>
            <w:r>
              <w:rPr>
                <w:rFonts w:hint="default" w:ascii="Times New Roman" w:hAnsi="Times New Roman" w:cs="Times New Roman"/>
                <w:b/>
                <w:bCs/>
                <w:color w:val="auto"/>
                <w:sz w:val="24"/>
                <w:highlight w:val="none"/>
              </w:rPr>
              <w:t>、与《长江经济带发展负面清单指南（试行，2022年版）》</w:t>
            </w:r>
            <w:r>
              <w:rPr>
                <w:rFonts w:hint="default" w:ascii="Times New Roman" w:hAnsi="Times New Roman" w:cs="Times New Roman"/>
                <w:b/>
                <w:bCs/>
                <w:color w:val="auto"/>
                <w:sz w:val="24"/>
              </w:rPr>
              <w:t>（长江办[2022]7号）</w:t>
            </w:r>
            <w:r>
              <w:rPr>
                <w:rFonts w:hint="default" w:ascii="Times New Roman" w:hAnsi="Times New Roman" w:cs="Times New Roman"/>
                <w:b/>
                <w:bCs/>
                <w:color w:val="auto"/>
                <w:sz w:val="24"/>
                <w:highlight w:val="none"/>
              </w:rPr>
              <w:t>、《关于印发安徽省长江经济带发展负面清单实施细则（试行，2022年版）的通知》（皖长江办</w:t>
            </w:r>
            <w:r>
              <w:rPr>
                <w:rFonts w:hint="default" w:ascii="Times New Roman" w:hAnsi="Times New Roman" w:cs="Times New Roman"/>
                <w:b/>
                <w:bCs/>
                <w:color w:val="auto"/>
                <w:sz w:val="24"/>
              </w:rPr>
              <w:t>[2022]</w:t>
            </w:r>
            <w:r>
              <w:rPr>
                <w:rFonts w:hint="default" w:ascii="Times New Roman" w:hAnsi="Times New Roman" w:cs="Times New Roman"/>
                <w:b/>
                <w:bCs/>
                <w:color w:val="auto"/>
                <w:sz w:val="24"/>
                <w:highlight w:val="none"/>
              </w:rPr>
              <w:t>10号）相符性分析</w:t>
            </w:r>
          </w:p>
          <w:p w14:paraId="3DDB26C4">
            <w:pPr>
              <w:keepNext w:val="0"/>
              <w:keepLines w:val="0"/>
              <w:pageBreakBefore w:val="0"/>
              <w:widowControl/>
              <w:kinsoku/>
              <w:wordWrap/>
              <w:overflowPunct/>
              <w:topLinePunct w:val="0"/>
              <w:autoSpaceDE/>
              <w:autoSpaceDN/>
              <w:bidi w:val="0"/>
              <w:adjustRightInd w:val="0"/>
              <w:snapToGrid/>
              <w:spacing w:beforeAutospacing="0" w:line="240" w:lineRule="auto"/>
              <w:jc w:val="center"/>
              <w:textAlignment w:val="auto"/>
              <w:rPr>
                <w:rFonts w:hint="default" w:ascii="Times New Roman" w:hAnsi="Times New Roman" w:eastAsia="宋体" w:cs="Times New Roman"/>
                <w:b/>
                <w:color w:val="auto"/>
                <w:kern w:val="0"/>
                <w:sz w:val="24"/>
                <w:szCs w:val="20"/>
                <w:lang w:val="zh-CN"/>
              </w:rPr>
            </w:pPr>
            <w:r>
              <w:rPr>
                <w:rFonts w:hint="default" w:ascii="Times New Roman" w:hAnsi="Times New Roman" w:eastAsia="宋体" w:cs="Times New Roman"/>
                <w:b/>
                <w:color w:val="auto"/>
                <w:kern w:val="0"/>
                <w:sz w:val="24"/>
                <w:szCs w:val="20"/>
                <w:lang w:val="en-US" w:eastAsia="zh-CN"/>
              </w:rPr>
              <w:t>表1-</w:t>
            </w:r>
            <w:r>
              <w:rPr>
                <w:rFonts w:hint="eastAsia" w:ascii="Times New Roman" w:hAnsi="Times New Roman" w:eastAsia="宋体" w:cs="Times New Roman"/>
                <w:b/>
                <w:color w:val="auto"/>
                <w:kern w:val="0"/>
                <w:sz w:val="24"/>
                <w:szCs w:val="20"/>
                <w:lang w:val="en-US" w:eastAsia="zh-CN"/>
              </w:rPr>
              <w:t>7</w:t>
            </w:r>
            <w:r>
              <w:rPr>
                <w:rFonts w:hint="default" w:ascii="Times New Roman" w:hAnsi="Times New Roman" w:eastAsia="宋体" w:cs="Times New Roman"/>
                <w:b/>
                <w:color w:val="auto"/>
                <w:kern w:val="0"/>
                <w:sz w:val="24"/>
                <w:szCs w:val="20"/>
                <w:lang w:val="en-US" w:eastAsia="zh-CN"/>
              </w:rPr>
              <w:t xml:space="preserve">  </w:t>
            </w:r>
            <w:r>
              <w:rPr>
                <w:rFonts w:hint="default" w:ascii="Times New Roman" w:hAnsi="Times New Roman" w:eastAsia="宋体" w:cs="Times New Roman"/>
                <w:b/>
                <w:color w:val="auto"/>
                <w:kern w:val="0"/>
                <w:sz w:val="24"/>
                <w:szCs w:val="20"/>
                <w:lang w:val="zh-CN"/>
              </w:rPr>
              <w:t>项目与</w:t>
            </w:r>
            <w:r>
              <w:rPr>
                <w:rFonts w:hint="default" w:ascii="Times New Roman" w:hAnsi="Times New Roman" w:eastAsia="宋体" w:cs="Times New Roman"/>
                <w:b/>
                <w:color w:val="auto"/>
                <w:kern w:val="0"/>
                <w:sz w:val="24"/>
                <w:szCs w:val="20"/>
                <w:lang w:val="zh-CN" w:eastAsia="zh-CN"/>
              </w:rPr>
              <w:t>“</w:t>
            </w:r>
            <w:r>
              <w:rPr>
                <w:rFonts w:hint="default" w:ascii="Times New Roman" w:hAnsi="Times New Roman" w:eastAsia="宋体" w:cs="Times New Roman"/>
                <w:b/>
                <w:color w:val="auto"/>
                <w:kern w:val="0"/>
                <w:sz w:val="24"/>
                <w:szCs w:val="20"/>
                <w:lang w:val="zh-CN"/>
              </w:rPr>
              <w:t>长江办[2022]7号</w:t>
            </w:r>
            <w:r>
              <w:rPr>
                <w:rFonts w:hint="default" w:ascii="Times New Roman" w:hAnsi="Times New Roman" w:eastAsia="宋体" w:cs="Times New Roman"/>
                <w:b/>
                <w:color w:val="auto"/>
                <w:kern w:val="0"/>
                <w:sz w:val="24"/>
                <w:szCs w:val="20"/>
                <w:lang w:val="zh-CN" w:eastAsia="zh-CN"/>
              </w:rPr>
              <w:t>”</w:t>
            </w:r>
            <w:r>
              <w:rPr>
                <w:rFonts w:hint="default" w:ascii="Times New Roman" w:hAnsi="Times New Roman" w:eastAsia="宋体" w:cs="Times New Roman"/>
                <w:b/>
                <w:color w:val="auto"/>
                <w:kern w:val="0"/>
                <w:sz w:val="24"/>
                <w:szCs w:val="20"/>
                <w:lang w:val="en-US" w:eastAsia="zh-CN"/>
              </w:rPr>
              <w:t>和“</w:t>
            </w:r>
            <w:r>
              <w:rPr>
                <w:rFonts w:hint="default" w:ascii="Times New Roman" w:hAnsi="Times New Roman" w:eastAsia="宋体" w:cs="Times New Roman"/>
                <w:b/>
                <w:color w:val="auto"/>
                <w:kern w:val="0"/>
                <w:sz w:val="24"/>
                <w:szCs w:val="20"/>
                <w:lang w:val="zh-CN"/>
              </w:rPr>
              <w:t>皖长江办[2022]10号</w:t>
            </w:r>
            <w:r>
              <w:rPr>
                <w:rFonts w:hint="default" w:ascii="Times New Roman" w:hAnsi="Times New Roman" w:eastAsia="宋体" w:cs="Times New Roman"/>
                <w:b/>
                <w:color w:val="auto"/>
                <w:kern w:val="0"/>
                <w:sz w:val="24"/>
                <w:szCs w:val="20"/>
                <w:lang w:val="en-US" w:eastAsia="zh-CN"/>
              </w:rPr>
              <w:t>”</w:t>
            </w:r>
            <w:r>
              <w:rPr>
                <w:rFonts w:hint="default" w:ascii="Times New Roman" w:hAnsi="Times New Roman" w:eastAsia="宋体" w:cs="Times New Roman"/>
                <w:b/>
                <w:color w:val="auto"/>
                <w:kern w:val="0"/>
                <w:sz w:val="24"/>
                <w:szCs w:val="20"/>
                <w:lang w:val="zh-CN"/>
              </w:rPr>
              <w:t>文件相符性分析</w:t>
            </w:r>
          </w:p>
          <w:tbl>
            <w:tblPr>
              <w:tblStyle w:val="6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3358"/>
              <w:gridCol w:w="2582"/>
              <w:gridCol w:w="576"/>
            </w:tblGrid>
            <w:tr w14:paraId="09FC9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tcBorders>
                    <w:tl2br w:val="nil"/>
                    <w:tr2bl w:val="nil"/>
                  </w:tcBorders>
                  <w:noWrap w:val="0"/>
                  <w:vAlign w:val="center"/>
                </w:tcPr>
                <w:p w14:paraId="6F81417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pacing w:val="0"/>
                      <w:kern w:val="0"/>
                      <w:sz w:val="21"/>
                      <w:szCs w:val="21"/>
                      <w:highlight w:val="none"/>
                    </w:rPr>
                  </w:pPr>
                  <w:r>
                    <w:rPr>
                      <w:rFonts w:hint="default" w:ascii="Times New Roman" w:hAnsi="Times New Roman" w:eastAsia="宋体" w:cs="Times New Roman"/>
                      <w:b/>
                      <w:bCs/>
                      <w:color w:val="auto"/>
                      <w:spacing w:val="0"/>
                      <w:kern w:val="0"/>
                      <w:sz w:val="21"/>
                      <w:szCs w:val="21"/>
                      <w:highlight w:val="none"/>
                    </w:rPr>
                    <w:t>序号</w:t>
                  </w:r>
                </w:p>
              </w:tc>
              <w:tc>
                <w:tcPr>
                  <w:tcW w:w="2402" w:type="pct"/>
                  <w:tcBorders>
                    <w:tl2br w:val="nil"/>
                    <w:tr2bl w:val="nil"/>
                  </w:tcBorders>
                  <w:noWrap w:val="0"/>
                  <w:vAlign w:val="center"/>
                </w:tcPr>
                <w:p w14:paraId="1C38B47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pacing w:val="0"/>
                      <w:kern w:val="0"/>
                      <w:sz w:val="21"/>
                      <w:szCs w:val="21"/>
                      <w:highlight w:val="none"/>
                    </w:rPr>
                  </w:pPr>
                  <w:r>
                    <w:rPr>
                      <w:rFonts w:hint="default" w:ascii="Times New Roman" w:hAnsi="Times New Roman" w:eastAsia="宋体" w:cs="Times New Roman"/>
                      <w:b/>
                      <w:bCs/>
                      <w:color w:val="auto"/>
                      <w:spacing w:val="0"/>
                      <w:kern w:val="0"/>
                      <w:sz w:val="21"/>
                      <w:szCs w:val="21"/>
                      <w:highlight w:val="none"/>
                    </w:rPr>
                    <w:t>文件要求</w:t>
                  </w:r>
                </w:p>
              </w:tc>
              <w:tc>
                <w:tcPr>
                  <w:tcW w:w="1847" w:type="pct"/>
                  <w:tcBorders>
                    <w:tl2br w:val="nil"/>
                    <w:tr2bl w:val="nil"/>
                  </w:tcBorders>
                  <w:noWrap w:val="0"/>
                  <w:vAlign w:val="center"/>
                </w:tcPr>
                <w:p w14:paraId="791B73E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pacing w:val="0"/>
                      <w:kern w:val="0"/>
                      <w:sz w:val="21"/>
                      <w:szCs w:val="21"/>
                      <w:highlight w:val="none"/>
                    </w:rPr>
                  </w:pPr>
                  <w:r>
                    <w:rPr>
                      <w:rFonts w:hint="default" w:ascii="Times New Roman" w:hAnsi="Times New Roman" w:eastAsia="宋体" w:cs="Times New Roman"/>
                      <w:b/>
                      <w:bCs/>
                      <w:color w:val="auto"/>
                      <w:spacing w:val="0"/>
                      <w:kern w:val="0"/>
                      <w:sz w:val="21"/>
                      <w:szCs w:val="21"/>
                      <w:highlight w:val="none"/>
                    </w:rPr>
                    <w:t>本项目情况</w:t>
                  </w:r>
                </w:p>
              </w:tc>
              <w:tc>
                <w:tcPr>
                  <w:tcW w:w="410" w:type="pct"/>
                  <w:tcBorders>
                    <w:tl2br w:val="nil"/>
                    <w:tr2bl w:val="nil"/>
                  </w:tcBorders>
                  <w:noWrap w:val="0"/>
                  <w:vAlign w:val="center"/>
                </w:tcPr>
                <w:p w14:paraId="1A11279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pacing w:val="0"/>
                      <w:kern w:val="0"/>
                      <w:sz w:val="21"/>
                      <w:szCs w:val="21"/>
                      <w:highlight w:val="none"/>
                    </w:rPr>
                  </w:pPr>
                  <w:r>
                    <w:rPr>
                      <w:rFonts w:hint="default" w:ascii="Times New Roman" w:hAnsi="Times New Roman" w:eastAsia="宋体" w:cs="Times New Roman"/>
                      <w:b/>
                      <w:bCs/>
                      <w:color w:val="auto"/>
                      <w:spacing w:val="0"/>
                      <w:kern w:val="0"/>
                      <w:sz w:val="21"/>
                      <w:szCs w:val="21"/>
                      <w:highlight w:val="none"/>
                    </w:rPr>
                    <w:t>相符性</w:t>
                  </w:r>
                </w:p>
              </w:tc>
            </w:tr>
            <w:tr w14:paraId="014B5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4"/>
                  <w:tcBorders>
                    <w:tl2br w:val="nil"/>
                    <w:tr2bl w:val="nil"/>
                  </w:tcBorders>
                  <w:noWrap w:val="0"/>
                  <w:vAlign w:val="center"/>
                </w:tcPr>
                <w:p w14:paraId="2717BF1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pacing w:val="0"/>
                      <w:kern w:val="0"/>
                      <w:sz w:val="21"/>
                      <w:szCs w:val="21"/>
                      <w:highlight w:val="none"/>
                    </w:rPr>
                  </w:pPr>
                  <w:r>
                    <w:rPr>
                      <w:rFonts w:hint="default" w:ascii="Times New Roman" w:hAnsi="Times New Roman" w:eastAsia="宋体" w:cs="Times New Roman"/>
                      <w:b/>
                      <w:bCs/>
                      <w:color w:val="auto"/>
                      <w:spacing w:val="0"/>
                      <w:kern w:val="0"/>
                      <w:sz w:val="21"/>
                      <w:szCs w:val="21"/>
                      <w:highlight w:val="none"/>
                    </w:rPr>
                    <w:t>一、《长江经济带发展负面清单指南（试行，2022年版）》</w:t>
                  </w:r>
                  <w:r>
                    <w:rPr>
                      <w:rFonts w:hint="default" w:ascii="Times New Roman" w:hAnsi="Times New Roman" w:cs="Times New Roman"/>
                      <w:b/>
                      <w:bCs/>
                      <w:color w:val="auto"/>
                      <w:spacing w:val="0"/>
                      <w:sz w:val="21"/>
                      <w:szCs w:val="21"/>
                    </w:rPr>
                    <w:t>（长江办[2022]7号）</w:t>
                  </w:r>
                </w:p>
              </w:tc>
            </w:tr>
            <w:tr w14:paraId="72EAE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tcBorders>
                    <w:tl2br w:val="nil"/>
                    <w:tr2bl w:val="nil"/>
                  </w:tcBorders>
                  <w:noWrap w:val="0"/>
                  <w:vAlign w:val="center"/>
                </w:tcPr>
                <w:p w14:paraId="6FD8DC9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eastAsia="宋体" w:cs="Times New Roman"/>
                      <w:color w:val="auto"/>
                      <w:spacing w:val="0"/>
                      <w:kern w:val="0"/>
                      <w:sz w:val="21"/>
                      <w:szCs w:val="21"/>
                      <w:highlight w:val="none"/>
                    </w:rPr>
                    <w:t>1</w:t>
                  </w:r>
                </w:p>
              </w:tc>
              <w:tc>
                <w:tcPr>
                  <w:tcW w:w="2402" w:type="pct"/>
                  <w:tcBorders>
                    <w:tl2br w:val="nil"/>
                    <w:tr2bl w:val="nil"/>
                  </w:tcBorders>
                  <w:noWrap w:val="0"/>
                  <w:vAlign w:val="center"/>
                </w:tcPr>
                <w:p w14:paraId="52F87820">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cs="Times New Roman"/>
                      <w:color w:val="auto"/>
                      <w:spacing w:val="0"/>
                      <w:sz w:val="21"/>
                      <w:szCs w:val="21"/>
                    </w:rPr>
                    <w:t>禁止在长江干支流、重要湖泊岸线一公里范围内新建、扩建化工园区和化工项目。禁止在长江岸线三公里范围内和重要支流岸线一公里范围内新建、改建、扩建尾矿库、冶炼渣库和磷石膏库，以提升安全、生态环境保护水平为目的的改建除外。</w:t>
                  </w:r>
                </w:p>
              </w:tc>
              <w:tc>
                <w:tcPr>
                  <w:tcW w:w="1847" w:type="pct"/>
                  <w:tcBorders>
                    <w:tl2br w:val="nil"/>
                    <w:tr2bl w:val="nil"/>
                  </w:tcBorders>
                  <w:noWrap w:val="0"/>
                  <w:vAlign w:val="center"/>
                </w:tcPr>
                <w:p w14:paraId="33BABD2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cs="Times New Roman"/>
                      <w:color w:val="auto"/>
                      <w:spacing w:val="0"/>
                      <w:sz w:val="21"/>
                      <w:szCs w:val="21"/>
                    </w:rPr>
                    <w:t>本项目距离长江干流岸线约</w:t>
                  </w:r>
                  <w:r>
                    <w:rPr>
                      <w:rFonts w:hint="default" w:ascii="Times New Roman" w:hAnsi="Times New Roman" w:cs="Times New Roman"/>
                      <w:color w:val="auto"/>
                      <w:spacing w:val="0"/>
                      <w:sz w:val="21"/>
                      <w:szCs w:val="21"/>
                      <w:lang w:val="en-US" w:eastAsia="zh-CN"/>
                    </w:rPr>
                    <w:t>30.9</w:t>
                  </w:r>
                  <w:r>
                    <w:rPr>
                      <w:rFonts w:hint="default" w:ascii="Times New Roman" w:hAnsi="Times New Roman" w:cs="Times New Roman"/>
                      <w:color w:val="auto"/>
                      <w:spacing w:val="0"/>
                      <w:sz w:val="21"/>
                      <w:szCs w:val="21"/>
                    </w:rPr>
                    <w:t>km，距离青弋江最近距离为</w:t>
                  </w:r>
                  <w:r>
                    <w:rPr>
                      <w:rFonts w:hint="default" w:ascii="Times New Roman" w:hAnsi="Times New Roman" w:cs="Times New Roman"/>
                      <w:color w:val="auto"/>
                      <w:spacing w:val="0"/>
                      <w:sz w:val="21"/>
                      <w:szCs w:val="21"/>
                      <w:lang w:val="en-US" w:eastAsia="zh-CN"/>
                    </w:rPr>
                    <w:t>4.7</w:t>
                  </w:r>
                  <w:r>
                    <w:rPr>
                      <w:rFonts w:hint="default" w:ascii="Times New Roman" w:hAnsi="Times New Roman" w:cs="Times New Roman"/>
                      <w:color w:val="auto"/>
                      <w:spacing w:val="0"/>
                      <w:sz w:val="21"/>
                      <w:szCs w:val="21"/>
                    </w:rPr>
                    <w:t>km，</w:t>
                  </w:r>
                  <w:r>
                    <w:rPr>
                      <w:rFonts w:hint="default" w:ascii="Times New Roman" w:hAnsi="Times New Roman" w:cs="Times New Roman"/>
                      <w:bCs/>
                      <w:color w:val="auto"/>
                      <w:spacing w:val="0"/>
                      <w:sz w:val="21"/>
                      <w:szCs w:val="21"/>
                      <w:lang w:val="en-US" w:eastAsia="zh-CN"/>
                    </w:rPr>
                    <w:t>不</w:t>
                  </w:r>
                  <w:r>
                    <w:rPr>
                      <w:rFonts w:hint="default" w:ascii="Times New Roman" w:hAnsi="Times New Roman" w:cs="Times New Roman"/>
                      <w:color w:val="auto"/>
                      <w:spacing w:val="0"/>
                      <w:sz w:val="21"/>
                      <w:szCs w:val="21"/>
                    </w:rPr>
                    <w:t>在长江干支流、重要湖泊岸线一公里范围内</w:t>
                  </w:r>
                  <w:r>
                    <w:rPr>
                      <w:rFonts w:hint="default" w:ascii="Times New Roman" w:hAnsi="Times New Roman" w:cs="Times New Roman"/>
                      <w:bCs/>
                      <w:color w:val="auto"/>
                      <w:spacing w:val="0"/>
                      <w:sz w:val="21"/>
                      <w:szCs w:val="21"/>
                      <w:lang w:eastAsia="zh-CN"/>
                    </w:rPr>
                    <w:t>。</w:t>
                  </w:r>
                </w:p>
              </w:tc>
              <w:tc>
                <w:tcPr>
                  <w:tcW w:w="410" w:type="pct"/>
                  <w:tcBorders>
                    <w:tl2br w:val="nil"/>
                    <w:tr2bl w:val="nil"/>
                  </w:tcBorders>
                  <w:noWrap w:val="0"/>
                  <w:vAlign w:val="center"/>
                </w:tcPr>
                <w:p w14:paraId="32A61EA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eastAsia="宋体" w:cs="Times New Roman"/>
                      <w:color w:val="auto"/>
                      <w:spacing w:val="0"/>
                      <w:sz w:val="21"/>
                      <w:szCs w:val="21"/>
                      <w:highlight w:val="none"/>
                    </w:rPr>
                    <w:t>相符</w:t>
                  </w:r>
                </w:p>
              </w:tc>
            </w:tr>
            <w:tr w14:paraId="6327B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tcBorders>
                    <w:tl2br w:val="nil"/>
                    <w:tr2bl w:val="nil"/>
                  </w:tcBorders>
                  <w:noWrap w:val="0"/>
                  <w:vAlign w:val="center"/>
                </w:tcPr>
                <w:p w14:paraId="624AB31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eastAsia="宋体" w:cs="Times New Roman"/>
                      <w:color w:val="auto"/>
                      <w:spacing w:val="0"/>
                      <w:kern w:val="0"/>
                      <w:sz w:val="21"/>
                      <w:szCs w:val="21"/>
                      <w:highlight w:val="none"/>
                    </w:rPr>
                    <w:t>2</w:t>
                  </w:r>
                </w:p>
              </w:tc>
              <w:tc>
                <w:tcPr>
                  <w:tcW w:w="2402" w:type="pct"/>
                  <w:tcBorders>
                    <w:tl2br w:val="nil"/>
                    <w:tr2bl w:val="nil"/>
                  </w:tcBorders>
                  <w:noWrap w:val="0"/>
                  <w:vAlign w:val="center"/>
                </w:tcPr>
                <w:p w14:paraId="13E35A3F">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cs="Times New Roman"/>
                      <w:color w:val="auto"/>
                      <w:spacing w:val="0"/>
                      <w:sz w:val="21"/>
                      <w:szCs w:val="21"/>
                    </w:rPr>
                    <w:t>禁止在合规园区外新建、扩建钢铁、石化、化工、焦化、建材、有色等高污染项目。</w:t>
                  </w:r>
                </w:p>
              </w:tc>
              <w:tc>
                <w:tcPr>
                  <w:tcW w:w="1847" w:type="pct"/>
                  <w:tcBorders>
                    <w:tl2br w:val="nil"/>
                    <w:tr2bl w:val="nil"/>
                  </w:tcBorders>
                  <w:noWrap w:val="0"/>
                  <w:vAlign w:val="center"/>
                </w:tcPr>
                <w:p w14:paraId="125D9CA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eastAsia="宋体" w:cs="Times New Roman"/>
                      <w:color w:val="auto"/>
                      <w:spacing w:val="0"/>
                      <w:kern w:val="0"/>
                      <w:sz w:val="21"/>
                      <w:szCs w:val="21"/>
                      <w:highlight w:val="none"/>
                    </w:rPr>
                    <w:t>本项目位于</w:t>
                  </w:r>
                  <w:r>
                    <w:rPr>
                      <w:rFonts w:hint="default" w:ascii="Times New Roman" w:hAnsi="Times New Roman" w:eastAsia="宋体" w:cs="Times New Roman"/>
                      <w:color w:val="auto"/>
                      <w:spacing w:val="0"/>
                      <w:kern w:val="0"/>
                      <w:sz w:val="21"/>
                      <w:szCs w:val="21"/>
                      <w:highlight w:val="none"/>
                      <w:lang w:val="en-US" w:eastAsia="zh-CN"/>
                    </w:rPr>
                    <w:t>安徽新芜经济开发区内</w:t>
                  </w:r>
                  <w:r>
                    <w:rPr>
                      <w:rFonts w:hint="default" w:ascii="Times New Roman" w:hAnsi="Times New Roman" w:eastAsia="宋体" w:cs="Times New Roman"/>
                      <w:color w:val="auto"/>
                      <w:spacing w:val="0"/>
                      <w:kern w:val="0"/>
                      <w:sz w:val="21"/>
                      <w:szCs w:val="21"/>
                      <w:highlight w:val="none"/>
                    </w:rPr>
                    <w:t>，属于合规的工业园区，且本项目不属于钢铁、石化、化工、焦化、建材、有色、制浆造纸等高污染项目。</w:t>
                  </w:r>
                </w:p>
              </w:tc>
              <w:tc>
                <w:tcPr>
                  <w:tcW w:w="410" w:type="pct"/>
                  <w:tcBorders>
                    <w:tl2br w:val="nil"/>
                    <w:tr2bl w:val="nil"/>
                  </w:tcBorders>
                  <w:noWrap w:val="0"/>
                  <w:vAlign w:val="center"/>
                </w:tcPr>
                <w:p w14:paraId="360291D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sz w:val="21"/>
                      <w:szCs w:val="21"/>
                      <w:highlight w:val="none"/>
                    </w:rPr>
                  </w:pPr>
                  <w:r>
                    <w:rPr>
                      <w:rFonts w:hint="default" w:ascii="Times New Roman" w:hAnsi="Times New Roman" w:eastAsia="宋体" w:cs="Times New Roman"/>
                      <w:color w:val="auto"/>
                      <w:spacing w:val="0"/>
                      <w:sz w:val="21"/>
                      <w:szCs w:val="21"/>
                      <w:highlight w:val="none"/>
                    </w:rPr>
                    <w:t>相符</w:t>
                  </w:r>
                </w:p>
              </w:tc>
            </w:tr>
            <w:tr w14:paraId="7FD72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tcBorders>
                    <w:tl2br w:val="nil"/>
                    <w:tr2bl w:val="nil"/>
                  </w:tcBorders>
                  <w:noWrap w:val="0"/>
                  <w:vAlign w:val="center"/>
                </w:tcPr>
                <w:p w14:paraId="4E4E23C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eastAsia="宋体" w:cs="Times New Roman"/>
                      <w:color w:val="auto"/>
                      <w:spacing w:val="0"/>
                      <w:kern w:val="0"/>
                      <w:sz w:val="21"/>
                      <w:szCs w:val="21"/>
                      <w:highlight w:val="none"/>
                    </w:rPr>
                    <w:t>3</w:t>
                  </w:r>
                </w:p>
              </w:tc>
              <w:tc>
                <w:tcPr>
                  <w:tcW w:w="2402" w:type="pct"/>
                  <w:tcBorders>
                    <w:tl2br w:val="nil"/>
                    <w:tr2bl w:val="nil"/>
                  </w:tcBorders>
                  <w:noWrap w:val="0"/>
                  <w:vAlign w:val="center"/>
                </w:tcPr>
                <w:p w14:paraId="7D66DA4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eastAsia="宋体" w:cs="Times New Roman"/>
                      <w:color w:val="auto"/>
                      <w:spacing w:val="0"/>
                      <w:kern w:val="0"/>
                      <w:sz w:val="21"/>
                      <w:szCs w:val="21"/>
                      <w:highlight w:val="none"/>
                    </w:rPr>
                    <w:t>禁止新建、扩建不符合国家石化、现代煤化工等产业布局规划的项目。</w:t>
                  </w:r>
                </w:p>
              </w:tc>
              <w:tc>
                <w:tcPr>
                  <w:tcW w:w="1847" w:type="pct"/>
                  <w:tcBorders>
                    <w:tl2br w:val="nil"/>
                    <w:tr2bl w:val="nil"/>
                  </w:tcBorders>
                  <w:noWrap w:val="0"/>
                  <w:vAlign w:val="center"/>
                </w:tcPr>
                <w:p w14:paraId="01F759D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eastAsia="宋体" w:cs="Times New Roman"/>
                      <w:color w:val="auto"/>
                      <w:spacing w:val="0"/>
                      <w:kern w:val="0"/>
                      <w:sz w:val="21"/>
                      <w:szCs w:val="21"/>
                      <w:highlight w:val="none"/>
                    </w:rPr>
                    <w:t>本项目不属于石化、现代煤化工等不符合国家产业布局规划的项目。</w:t>
                  </w:r>
                </w:p>
              </w:tc>
              <w:tc>
                <w:tcPr>
                  <w:tcW w:w="410" w:type="pct"/>
                  <w:tcBorders>
                    <w:tl2br w:val="nil"/>
                    <w:tr2bl w:val="nil"/>
                  </w:tcBorders>
                  <w:noWrap w:val="0"/>
                  <w:vAlign w:val="center"/>
                </w:tcPr>
                <w:p w14:paraId="14CAE38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eastAsia="宋体" w:cs="Times New Roman"/>
                      <w:color w:val="auto"/>
                      <w:spacing w:val="0"/>
                      <w:sz w:val="21"/>
                      <w:szCs w:val="21"/>
                      <w:highlight w:val="none"/>
                    </w:rPr>
                    <w:t>相符</w:t>
                  </w:r>
                </w:p>
              </w:tc>
            </w:tr>
            <w:tr w14:paraId="26C13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tcBorders>
                    <w:tl2br w:val="nil"/>
                    <w:tr2bl w:val="nil"/>
                  </w:tcBorders>
                  <w:noWrap w:val="0"/>
                  <w:vAlign w:val="center"/>
                </w:tcPr>
                <w:p w14:paraId="427C879D">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eastAsia="宋体" w:cs="Times New Roman"/>
                      <w:color w:val="auto"/>
                      <w:spacing w:val="0"/>
                      <w:kern w:val="0"/>
                      <w:sz w:val="21"/>
                      <w:szCs w:val="21"/>
                      <w:highlight w:val="none"/>
                    </w:rPr>
                    <w:t>4</w:t>
                  </w:r>
                </w:p>
              </w:tc>
              <w:tc>
                <w:tcPr>
                  <w:tcW w:w="2402" w:type="pct"/>
                  <w:tcBorders>
                    <w:tl2br w:val="nil"/>
                    <w:tr2bl w:val="nil"/>
                  </w:tcBorders>
                  <w:noWrap w:val="0"/>
                  <w:vAlign w:val="center"/>
                </w:tcPr>
                <w:p w14:paraId="01F1764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eastAsia="宋体" w:cs="Times New Roman"/>
                      <w:color w:val="auto"/>
                      <w:spacing w:val="0"/>
                      <w:kern w:val="0"/>
                      <w:sz w:val="21"/>
                      <w:szCs w:val="21"/>
                      <w:highlight w:val="none"/>
                    </w:rPr>
                    <w:t>禁止新建、扩建法律法规和相关政策明令禁止的落后产能项目。禁止新建、扩建不符合国家产能置换要求的严重过剩产能行业的项目。禁止新建、扩建不符合要求的高耗能高排放项目。</w:t>
                  </w:r>
                </w:p>
              </w:tc>
              <w:tc>
                <w:tcPr>
                  <w:tcW w:w="1847" w:type="pct"/>
                  <w:tcBorders>
                    <w:tl2br w:val="nil"/>
                    <w:tr2bl w:val="nil"/>
                  </w:tcBorders>
                  <w:noWrap w:val="0"/>
                  <w:vAlign w:val="center"/>
                </w:tcPr>
                <w:p w14:paraId="672F9F3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eastAsia="宋体" w:cs="Times New Roman"/>
                      <w:color w:val="auto"/>
                      <w:spacing w:val="0"/>
                      <w:sz w:val="21"/>
                      <w:szCs w:val="21"/>
                      <w:highlight w:val="none"/>
                    </w:rPr>
                    <w:t>本项目属于《产业结构调整指导目录（2024年本）》中允许类，项目符合国家产业政策。不属于落后产能项目，不属于过剩产能行业项目，不属于高耗能高排放项目。</w:t>
                  </w:r>
                </w:p>
              </w:tc>
              <w:tc>
                <w:tcPr>
                  <w:tcW w:w="410" w:type="pct"/>
                  <w:tcBorders>
                    <w:tl2br w:val="nil"/>
                    <w:tr2bl w:val="nil"/>
                  </w:tcBorders>
                  <w:noWrap w:val="0"/>
                  <w:vAlign w:val="center"/>
                </w:tcPr>
                <w:p w14:paraId="4DC0FA8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eastAsia="宋体" w:cs="Times New Roman"/>
                      <w:color w:val="auto"/>
                      <w:spacing w:val="0"/>
                      <w:sz w:val="21"/>
                      <w:szCs w:val="21"/>
                      <w:highlight w:val="none"/>
                    </w:rPr>
                    <w:t>相符</w:t>
                  </w:r>
                </w:p>
              </w:tc>
            </w:tr>
            <w:tr w14:paraId="216A7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4"/>
                  <w:tcBorders>
                    <w:tl2br w:val="nil"/>
                    <w:tr2bl w:val="nil"/>
                  </w:tcBorders>
                  <w:noWrap w:val="0"/>
                  <w:vAlign w:val="center"/>
                </w:tcPr>
                <w:p w14:paraId="0A96A24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sz w:val="21"/>
                      <w:szCs w:val="21"/>
                      <w:highlight w:val="none"/>
                    </w:rPr>
                  </w:pPr>
                  <w:r>
                    <w:rPr>
                      <w:rFonts w:hint="default" w:ascii="Times New Roman" w:hAnsi="Times New Roman" w:eastAsia="宋体" w:cs="Times New Roman"/>
                      <w:b/>
                      <w:bCs/>
                      <w:color w:val="auto"/>
                      <w:spacing w:val="0"/>
                      <w:sz w:val="21"/>
                      <w:szCs w:val="21"/>
                      <w:highlight w:val="none"/>
                    </w:rPr>
                    <w:t>二、《关于印发安徽省长江经济带发展负面清单实施细则（试行，2022年版）的通知》（皖长江办</w:t>
                  </w:r>
                  <w:r>
                    <w:rPr>
                      <w:rFonts w:hint="default" w:ascii="Times New Roman" w:hAnsi="Times New Roman" w:cs="Times New Roman"/>
                      <w:b/>
                      <w:bCs/>
                      <w:color w:val="auto"/>
                      <w:spacing w:val="0"/>
                      <w:sz w:val="21"/>
                      <w:szCs w:val="21"/>
                    </w:rPr>
                    <w:t>[2022]</w:t>
                  </w:r>
                  <w:r>
                    <w:rPr>
                      <w:rFonts w:hint="default" w:ascii="Times New Roman" w:hAnsi="Times New Roman" w:eastAsia="宋体" w:cs="Times New Roman"/>
                      <w:b/>
                      <w:bCs/>
                      <w:color w:val="auto"/>
                      <w:spacing w:val="0"/>
                      <w:sz w:val="21"/>
                      <w:szCs w:val="21"/>
                      <w:highlight w:val="none"/>
                    </w:rPr>
                    <w:t>10号）</w:t>
                  </w:r>
                </w:p>
              </w:tc>
            </w:tr>
            <w:tr w14:paraId="1AE67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tcBorders>
                    <w:tl2br w:val="nil"/>
                    <w:tr2bl w:val="nil"/>
                  </w:tcBorders>
                  <w:noWrap w:val="0"/>
                  <w:vAlign w:val="center"/>
                </w:tcPr>
                <w:p w14:paraId="09DB5ED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eastAsia="宋体" w:cs="Times New Roman"/>
                      <w:color w:val="auto"/>
                      <w:spacing w:val="0"/>
                      <w:kern w:val="0"/>
                      <w:sz w:val="21"/>
                      <w:szCs w:val="21"/>
                      <w:highlight w:val="none"/>
                    </w:rPr>
                    <w:t>1</w:t>
                  </w:r>
                </w:p>
              </w:tc>
              <w:tc>
                <w:tcPr>
                  <w:tcW w:w="2402" w:type="pct"/>
                  <w:tcBorders>
                    <w:tl2br w:val="nil"/>
                    <w:tr2bl w:val="nil"/>
                  </w:tcBorders>
                  <w:noWrap w:val="0"/>
                  <w:vAlign w:val="center"/>
                </w:tcPr>
                <w:p w14:paraId="11BA247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eastAsia="宋体" w:cs="Times New Roman"/>
                      <w:color w:val="auto"/>
                      <w:spacing w:val="0"/>
                      <w:kern w:val="0"/>
                      <w:sz w:val="21"/>
                      <w:szCs w:val="21"/>
                      <w:highlight w:val="none"/>
                    </w:rPr>
                    <w:t>禁止建设不符合全国和省级港口布局规划以及港口总体规划的码头项目，禁止建设不符合《长江干线过江通道布局规划》的过长江通道项目。</w:t>
                  </w:r>
                </w:p>
              </w:tc>
              <w:tc>
                <w:tcPr>
                  <w:tcW w:w="1847" w:type="pct"/>
                  <w:tcBorders>
                    <w:tl2br w:val="nil"/>
                    <w:tr2bl w:val="nil"/>
                  </w:tcBorders>
                  <w:noWrap w:val="0"/>
                  <w:vAlign w:val="center"/>
                </w:tcPr>
                <w:p w14:paraId="61DFF00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sz w:val="21"/>
                      <w:szCs w:val="21"/>
                      <w:highlight w:val="none"/>
                    </w:rPr>
                  </w:pPr>
                  <w:r>
                    <w:rPr>
                      <w:rFonts w:hint="default" w:ascii="Times New Roman" w:hAnsi="Times New Roman" w:eastAsia="宋体" w:cs="Times New Roman"/>
                      <w:color w:val="auto"/>
                      <w:spacing w:val="0"/>
                      <w:kern w:val="0"/>
                      <w:sz w:val="21"/>
                      <w:szCs w:val="21"/>
                      <w:highlight w:val="none"/>
                    </w:rPr>
                    <w:t>本项目为</w:t>
                  </w:r>
                  <w:r>
                    <w:rPr>
                      <w:rFonts w:hint="default" w:ascii="Times New Roman" w:hAnsi="Times New Roman" w:cs="Times New Roman"/>
                      <w:color w:val="auto"/>
                      <w:spacing w:val="0"/>
                      <w:kern w:val="0"/>
                      <w:sz w:val="21"/>
                      <w:szCs w:val="21"/>
                      <w:highlight w:val="none"/>
                      <w:lang w:eastAsia="zh-CN"/>
                    </w:rPr>
                    <w:t>C3670汽车零部件及配件制造</w:t>
                  </w:r>
                  <w:r>
                    <w:rPr>
                      <w:rFonts w:hint="default" w:ascii="Times New Roman" w:hAnsi="Times New Roman" w:eastAsia="宋体" w:cs="Times New Roman"/>
                      <w:color w:val="auto"/>
                      <w:spacing w:val="0"/>
                      <w:kern w:val="0"/>
                      <w:sz w:val="21"/>
                      <w:szCs w:val="21"/>
                      <w:highlight w:val="none"/>
                    </w:rPr>
                    <w:t>，不属于码头和过长江通道项目。</w:t>
                  </w:r>
                </w:p>
              </w:tc>
              <w:tc>
                <w:tcPr>
                  <w:tcW w:w="410" w:type="pct"/>
                  <w:tcBorders>
                    <w:tl2br w:val="nil"/>
                    <w:tr2bl w:val="nil"/>
                  </w:tcBorders>
                  <w:noWrap w:val="0"/>
                  <w:vAlign w:val="center"/>
                </w:tcPr>
                <w:p w14:paraId="2EED537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sz w:val="21"/>
                      <w:szCs w:val="21"/>
                      <w:highlight w:val="none"/>
                    </w:rPr>
                  </w:pPr>
                  <w:r>
                    <w:rPr>
                      <w:rFonts w:hint="default" w:ascii="Times New Roman" w:hAnsi="Times New Roman" w:eastAsia="宋体" w:cs="Times New Roman"/>
                      <w:color w:val="auto"/>
                      <w:spacing w:val="0"/>
                      <w:sz w:val="21"/>
                      <w:szCs w:val="21"/>
                      <w:highlight w:val="none"/>
                    </w:rPr>
                    <w:t>相符</w:t>
                  </w:r>
                </w:p>
              </w:tc>
            </w:tr>
            <w:tr w14:paraId="149A3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tcBorders>
                    <w:tl2br w:val="nil"/>
                    <w:tr2bl w:val="nil"/>
                  </w:tcBorders>
                  <w:noWrap w:val="0"/>
                  <w:vAlign w:val="center"/>
                </w:tcPr>
                <w:p w14:paraId="1B10936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eastAsia="宋体" w:cs="Times New Roman"/>
                      <w:color w:val="auto"/>
                      <w:spacing w:val="0"/>
                      <w:kern w:val="0"/>
                      <w:sz w:val="21"/>
                      <w:szCs w:val="21"/>
                      <w:highlight w:val="none"/>
                    </w:rPr>
                    <w:t>2</w:t>
                  </w:r>
                </w:p>
              </w:tc>
              <w:tc>
                <w:tcPr>
                  <w:tcW w:w="2402" w:type="pct"/>
                  <w:tcBorders>
                    <w:tl2br w:val="nil"/>
                    <w:tr2bl w:val="nil"/>
                  </w:tcBorders>
                  <w:noWrap w:val="0"/>
                  <w:vAlign w:val="center"/>
                </w:tcPr>
                <w:p w14:paraId="080A2F1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eastAsia="宋体" w:cs="Times New Roman"/>
                      <w:color w:val="auto"/>
                      <w:spacing w:val="0"/>
                      <w:kern w:val="0"/>
                      <w:sz w:val="21"/>
                      <w:szCs w:val="21"/>
                      <w:highlight w:val="none"/>
                    </w:rPr>
                    <w:t>禁止在自然保护区核心区、缓冲区的岸线和河段范围内投资建设旅游和生产经营项目。禁止违反风景名胜区规划，在核心景区的岸线和河段范围内建设与风景名胜资源保护无关的项目。</w:t>
                  </w:r>
                </w:p>
              </w:tc>
              <w:tc>
                <w:tcPr>
                  <w:tcW w:w="1847" w:type="pct"/>
                  <w:tcBorders>
                    <w:tl2br w:val="nil"/>
                    <w:tr2bl w:val="nil"/>
                  </w:tcBorders>
                  <w:noWrap w:val="0"/>
                  <w:vAlign w:val="center"/>
                </w:tcPr>
                <w:p w14:paraId="171ADA9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sz w:val="21"/>
                      <w:szCs w:val="21"/>
                      <w:highlight w:val="none"/>
                    </w:rPr>
                  </w:pPr>
                  <w:r>
                    <w:rPr>
                      <w:rFonts w:hint="default" w:ascii="Times New Roman" w:hAnsi="Times New Roman" w:eastAsia="宋体" w:cs="Times New Roman"/>
                      <w:color w:val="auto"/>
                      <w:spacing w:val="0"/>
                      <w:sz w:val="21"/>
                      <w:szCs w:val="21"/>
                      <w:highlight w:val="none"/>
                    </w:rPr>
                    <w:t>本项目不在自然保护区核心区、缓冲区的岸线和河段范围内，也不在风景名胜区核心景区的岸线和河段范围内。</w:t>
                  </w:r>
                </w:p>
              </w:tc>
              <w:tc>
                <w:tcPr>
                  <w:tcW w:w="410" w:type="pct"/>
                  <w:tcBorders>
                    <w:tl2br w:val="nil"/>
                    <w:tr2bl w:val="nil"/>
                  </w:tcBorders>
                  <w:noWrap w:val="0"/>
                  <w:vAlign w:val="center"/>
                </w:tcPr>
                <w:p w14:paraId="4F7F208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sz w:val="21"/>
                      <w:szCs w:val="21"/>
                      <w:highlight w:val="none"/>
                    </w:rPr>
                  </w:pPr>
                  <w:r>
                    <w:rPr>
                      <w:rFonts w:hint="default" w:ascii="Times New Roman" w:hAnsi="Times New Roman" w:eastAsia="宋体" w:cs="Times New Roman"/>
                      <w:color w:val="auto"/>
                      <w:spacing w:val="0"/>
                      <w:sz w:val="21"/>
                      <w:szCs w:val="21"/>
                      <w:highlight w:val="none"/>
                    </w:rPr>
                    <w:t>相符</w:t>
                  </w:r>
                </w:p>
              </w:tc>
            </w:tr>
            <w:tr w14:paraId="2E6BB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tcBorders>
                    <w:tl2br w:val="nil"/>
                    <w:tr2bl w:val="nil"/>
                  </w:tcBorders>
                  <w:noWrap w:val="0"/>
                  <w:vAlign w:val="center"/>
                </w:tcPr>
                <w:p w14:paraId="7B2C767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eastAsia="宋体" w:cs="Times New Roman"/>
                      <w:color w:val="auto"/>
                      <w:spacing w:val="0"/>
                      <w:kern w:val="0"/>
                      <w:sz w:val="21"/>
                      <w:szCs w:val="21"/>
                      <w:highlight w:val="none"/>
                    </w:rPr>
                    <w:t>3</w:t>
                  </w:r>
                </w:p>
              </w:tc>
              <w:tc>
                <w:tcPr>
                  <w:tcW w:w="2402" w:type="pct"/>
                  <w:tcBorders>
                    <w:tl2br w:val="nil"/>
                    <w:tr2bl w:val="nil"/>
                  </w:tcBorders>
                  <w:noWrap w:val="0"/>
                  <w:vAlign w:val="center"/>
                </w:tcPr>
                <w:p w14:paraId="2A9E6B6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eastAsia="宋体" w:cs="Times New Roman"/>
                      <w:color w:val="auto"/>
                      <w:spacing w:val="0"/>
                      <w:kern w:val="0"/>
                      <w:sz w:val="21"/>
                      <w:szCs w:val="21"/>
                      <w:highlight w:val="none"/>
                    </w:rPr>
                    <w:t>禁止在饮用水水源一级保护区的岸线和河段范围内新建、改建、扩建与供水设施和保护水源无关的项目，以及网箱养殖、畜禽养殖、施用化肥农药的种植以及旅游等可能污染饮用水水体的投资建设项目。禁止在饮用水水源</w:t>
                  </w:r>
                  <w:r>
                    <w:rPr>
                      <w:rFonts w:hint="eastAsia" w:ascii="Times New Roman" w:hAnsi="Times New Roman" w:cs="Times New Roman"/>
                      <w:color w:val="auto"/>
                      <w:spacing w:val="0"/>
                      <w:kern w:val="0"/>
                      <w:sz w:val="21"/>
                      <w:szCs w:val="21"/>
                      <w:highlight w:val="none"/>
                      <w:lang w:eastAsia="zh-CN"/>
                    </w:rPr>
                    <w:t>两级</w:t>
                  </w:r>
                  <w:r>
                    <w:rPr>
                      <w:rFonts w:hint="default" w:ascii="Times New Roman" w:hAnsi="Times New Roman" w:eastAsia="宋体" w:cs="Times New Roman"/>
                      <w:color w:val="auto"/>
                      <w:spacing w:val="0"/>
                      <w:kern w:val="0"/>
                      <w:sz w:val="21"/>
                      <w:szCs w:val="21"/>
                      <w:highlight w:val="none"/>
                    </w:rPr>
                    <w:t>保护区的岸线和河段范围内新建、改建、扩建排放污染物的项目。</w:t>
                  </w:r>
                </w:p>
              </w:tc>
              <w:tc>
                <w:tcPr>
                  <w:tcW w:w="1847" w:type="pct"/>
                  <w:tcBorders>
                    <w:tl2br w:val="nil"/>
                    <w:tr2bl w:val="nil"/>
                  </w:tcBorders>
                  <w:noWrap w:val="0"/>
                  <w:vAlign w:val="center"/>
                </w:tcPr>
                <w:p w14:paraId="73DC801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sz w:val="21"/>
                      <w:szCs w:val="21"/>
                      <w:highlight w:val="none"/>
                    </w:rPr>
                  </w:pPr>
                  <w:r>
                    <w:rPr>
                      <w:rFonts w:hint="default" w:ascii="Times New Roman" w:hAnsi="Times New Roman" w:eastAsia="宋体" w:cs="Times New Roman"/>
                      <w:color w:val="auto"/>
                      <w:spacing w:val="0"/>
                      <w:sz w:val="21"/>
                      <w:szCs w:val="21"/>
                      <w:highlight w:val="none"/>
                    </w:rPr>
                    <w:t>本项目不在饮用水水源一级保护区的岸线和河段范围内，不在饮用水水源</w:t>
                  </w:r>
                  <w:r>
                    <w:rPr>
                      <w:rFonts w:hint="eastAsia" w:ascii="Times New Roman" w:hAnsi="Times New Roman" w:cs="Times New Roman"/>
                      <w:color w:val="auto"/>
                      <w:spacing w:val="0"/>
                      <w:sz w:val="21"/>
                      <w:szCs w:val="21"/>
                      <w:highlight w:val="none"/>
                      <w:lang w:eastAsia="zh-CN"/>
                    </w:rPr>
                    <w:t>两级</w:t>
                  </w:r>
                  <w:r>
                    <w:rPr>
                      <w:rFonts w:hint="default" w:ascii="Times New Roman" w:hAnsi="Times New Roman" w:eastAsia="宋体" w:cs="Times New Roman"/>
                      <w:color w:val="auto"/>
                      <w:spacing w:val="0"/>
                      <w:sz w:val="21"/>
                      <w:szCs w:val="21"/>
                      <w:highlight w:val="none"/>
                    </w:rPr>
                    <w:t>保护区的岸线和河段范围内。</w:t>
                  </w:r>
                </w:p>
              </w:tc>
              <w:tc>
                <w:tcPr>
                  <w:tcW w:w="410" w:type="pct"/>
                  <w:tcBorders>
                    <w:tl2br w:val="nil"/>
                    <w:tr2bl w:val="nil"/>
                  </w:tcBorders>
                  <w:noWrap w:val="0"/>
                  <w:vAlign w:val="center"/>
                </w:tcPr>
                <w:p w14:paraId="2865C58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sz w:val="21"/>
                      <w:szCs w:val="21"/>
                      <w:highlight w:val="none"/>
                    </w:rPr>
                  </w:pPr>
                  <w:r>
                    <w:rPr>
                      <w:rFonts w:hint="default" w:ascii="Times New Roman" w:hAnsi="Times New Roman" w:eastAsia="宋体" w:cs="Times New Roman"/>
                      <w:color w:val="auto"/>
                      <w:spacing w:val="0"/>
                      <w:sz w:val="21"/>
                      <w:szCs w:val="21"/>
                      <w:highlight w:val="none"/>
                    </w:rPr>
                    <w:t>相符</w:t>
                  </w:r>
                </w:p>
              </w:tc>
            </w:tr>
            <w:tr w14:paraId="03BAB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tcBorders>
                    <w:tl2br w:val="nil"/>
                    <w:tr2bl w:val="nil"/>
                  </w:tcBorders>
                  <w:noWrap w:val="0"/>
                  <w:vAlign w:val="center"/>
                </w:tcPr>
                <w:p w14:paraId="0681CD4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eastAsia="宋体" w:cs="Times New Roman"/>
                      <w:color w:val="auto"/>
                      <w:spacing w:val="0"/>
                      <w:kern w:val="0"/>
                      <w:sz w:val="21"/>
                      <w:szCs w:val="21"/>
                      <w:highlight w:val="none"/>
                    </w:rPr>
                    <w:t>4</w:t>
                  </w:r>
                </w:p>
              </w:tc>
              <w:tc>
                <w:tcPr>
                  <w:tcW w:w="2402" w:type="pct"/>
                  <w:tcBorders>
                    <w:tl2br w:val="nil"/>
                    <w:tr2bl w:val="nil"/>
                  </w:tcBorders>
                  <w:noWrap w:val="0"/>
                  <w:vAlign w:val="center"/>
                </w:tcPr>
                <w:p w14:paraId="6D784C0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eastAsia="宋体" w:cs="Times New Roman"/>
                      <w:color w:val="auto"/>
                      <w:spacing w:val="0"/>
                      <w:kern w:val="0"/>
                      <w:sz w:val="21"/>
                      <w:szCs w:val="21"/>
                      <w:highlight w:val="none"/>
                    </w:rPr>
                    <w:t>禁止在水产种质资源保护区的岸线和河段范围内新建围湖（河）造田（地）等项目。禁止在国家湿地公园的岸线和河段范围内挖沙、采矿，以及任何不符合主体功能定位的投资建设项目。</w:t>
                  </w:r>
                </w:p>
              </w:tc>
              <w:tc>
                <w:tcPr>
                  <w:tcW w:w="1847" w:type="pct"/>
                  <w:tcBorders>
                    <w:tl2br w:val="nil"/>
                    <w:tr2bl w:val="nil"/>
                  </w:tcBorders>
                  <w:noWrap w:val="0"/>
                  <w:vAlign w:val="center"/>
                </w:tcPr>
                <w:p w14:paraId="729DFAD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sz w:val="21"/>
                      <w:szCs w:val="21"/>
                      <w:highlight w:val="none"/>
                    </w:rPr>
                  </w:pPr>
                  <w:r>
                    <w:rPr>
                      <w:rFonts w:hint="default" w:ascii="Times New Roman" w:hAnsi="Times New Roman" w:eastAsia="宋体" w:cs="Times New Roman"/>
                      <w:color w:val="auto"/>
                      <w:spacing w:val="0"/>
                      <w:sz w:val="21"/>
                      <w:szCs w:val="21"/>
                      <w:highlight w:val="none"/>
                    </w:rPr>
                    <w:t>本项目不在水产种质资源保护区的岸线和河段范围内、不在国家湿地公园的岸线和河段范围内。</w:t>
                  </w:r>
                </w:p>
              </w:tc>
              <w:tc>
                <w:tcPr>
                  <w:tcW w:w="410" w:type="pct"/>
                  <w:tcBorders>
                    <w:tl2br w:val="nil"/>
                    <w:tr2bl w:val="nil"/>
                  </w:tcBorders>
                  <w:noWrap w:val="0"/>
                  <w:vAlign w:val="center"/>
                </w:tcPr>
                <w:p w14:paraId="1625339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sz w:val="21"/>
                      <w:szCs w:val="21"/>
                      <w:highlight w:val="none"/>
                    </w:rPr>
                  </w:pPr>
                  <w:r>
                    <w:rPr>
                      <w:rFonts w:hint="default" w:ascii="Times New Roman" w:hAnsi="Times New Roman" w:eastAsia="宋体" w:cs="Times New Roman"/>
                      <w:color w:val="auto"/>
                      <w:spacing w:val="0"/>
                      <w:sz w:val="21"/>
                      <w:szCs w:val="21"/>
                      <w:highlight w:val="none"/>
                    </w:rPr>
                    <w:t>相符</w:t>
                  </w:r>
                </w:p>
              </w:tc>
            </w:tr>
            <w:tr w14:paraId="178A7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tcBorders>
                    <w:tl2br w:val="nil"/>
                    <w:tr2bl w:val="nil"/>
                  </w:tcBorders>
                  <w:noWrap w:val="0"/>
                  <w:vAlign w:val="center"/>
                </w:tcPr>
                <w:p w14:paraId="4A22FDA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eastAsia="宋体" w:cs="Times New Roman"/>
                      <w:color w:val="auto"/>
                      <w:spacing w:val="0"/>
                      <w:kern w:val="0"/>
                      <w:sz w:val="21"/>
                      <w:szCs w:val="21"/>
                      <w:highlight w:val="none"/>
                    </w:rPr>
                    <w:t>5</w:t>
                  </w:r>
                </w:p>
              </w:tc>
              <w:tc>
                <w:tcPr>
                  <w:tcW w:w="2402" w:type="pct"/>
                  <w:tcBorders>
                    <w:tl2br w:val="nil"/>
                    <w:tr2bl w:val="nil"/>
                  </w:tcBorders>
                  <w:noWrap w:val="0"/>
                  <w:vAlign w:val="center"/>
                </w:tcPr>
                <w:p w14:paraId="5D4A8B2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eastAsia="宋体" w:cs="Times New Roman"/>
                      <w:color w:val="auto"/>
                      <w:spacing w:val="0"/>
                      <w:kern w:val="0"/>
                      <w:sz w:val="21"/>
                      <w:szCs w:val="21"/>
                      <w:highlight w:val="none"/>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禁止在《全国重要江河湖泊水功能区划》划定的河段及湖泊保护区、保留区内投资建设不利于水资源及自然生态保护的项目。</w:t>
                  </w:r>
                </w:p>
              </w:tc>
              <w:tc>
                <w:tcPr>
                  <w:tcW w:w="1847" w:type="pct"/>
                  <w:tcBorders>
                    <w:tl2br w:val="nil"/>
                    <w:tr2bl w:val="nil"/>
                  </w:tcBorders>
                  <w:noWrap w:val="0"/>
                  <w:vAlign w:val="center"/>
                </w:tcPr>
                <w:p w14:paraId="31BA2D0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sz w:val="21"/>
                      <w:szCs w:val="21"/>
                      <w:highlight w:val="none"/>
                    </w:rPr>
                  </w:pPr>
                  <w:r>
                    <w:rPr>
                      <w:rFonts w:hint="default" w:ascii="Times New Roman" w:hAnsi="Times New Roman" w:eastAsia="宋体" w:cs="Times New Roman"/>
                      <w:color w:val="auto"/>
                      <w:spacing w:val="0"/>
                      <w:sz w:val="21"/>
                      <w:szCs w:val="21"/>
                      <w:highlight w:val="none"/>
                    </w:rPr>
                    <w:t>本项目建设不涉及利用、占用长江流域河湖岸线，本项目不在《长江岸线保护和开发利用总体规划》划定的岸线保护区内和《全国重要江河湖泊水功能区划》划定的河段保护区、保留区内。</w:t>
                  </w:r>
                </w:p>
              </w:tc>
              <w:tc>
                <w:tcPr>
                  <w:tcW w:w="410" w:type="pct"/>
                  <w:tcBorders>
                    <w:tl2br w:val="nil"/>
                    <w:tr2bl w:val="nil"/>
                  </w:tcBorders>
                  <w:noWrap w:val="0"/>
                  <w:vAlign w:val="center"/>
                </w:tcPr>
                <w:p w14:paraId="4D76857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sz w:val="21"/>
                      <w:szCs w:val="21"/>
                      <w:highlight w:val="none"/>
                    </w:rPr>
                  </w:pPr>
                  <w:r>
                    <w:rPr>
                      <w:rFonts w:hint="default" w:ascii="Times New Roman" w:hAnsi="Times New Roman" w:eastAsia="宋体" w:cs="Times New Roman"/>
                      <w:color w:val="auto"/>
                      <w:spacing w:val="0"/>
                      <w:sz w:val="21"/>
                      <w:szCs w:val="21"/>
                      <w:highlight w:val="none"/>
                    </w:rPr>
                    <w:t>相符</w:t>
                  </w:r>
                </w:p>
              </w:tc>
            </w:tr>
            <w:tr w14:paraId="6B237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tcBorders>
                    <w:tl2br w:val="nil"/>
                    <w:tr2bl w:val="nil"/>
                  </w:tcBorders>
                  <w:noWrap w:val="0"/>
                  <w:vAlign w:val="center"/>
                </w:tcPr>
                <w:p w14:paraId="26FB411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eastAsia="宋体" w:cs="Times New Roman"/>
                      <w:color w:val="auto"/>
                      <w:spacing w:val="0"/>
                      <w:kern w:val="0"/>
                      <w:sz w:val="21"/>
                      <w:szCs w:val="21"/>
                      <w:highlight w:val="none"/>
                    </w:rPr>
                    <w:t>6</w:t>
                  </w:r>
                </w:p>
              </w:tc>
              <w:tc>
                <w:tcPr>
                  <w:tcW w:w="2402" w:type="pct"/>
                  <w:tcBorders>
                    <w:tl2br w:val="nil"/>
                    <w:tr2bl w:val="nil"/>
                  </w:tcBorders>
                  <w:noWrap w:val="0"/>
                  <w:vAlign w:val="center"/>
                </w:tcPr>
                <w:p w14:paraId="4619656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eastAsia="宋体" w:cs="Times New Roman"/>
                      <w:color w:val="auto"/>
                      <w:spacing w:val="0"/>
                      <w:kern w:val="0"/>
                      <w:sz w:val="21"/>
                      <w:szCs w:val="21"/>
                      <w:highlight w:val="none"/>
                    </w:rPr>
                    <w:t>禁止未经许可在长江干支流及湖泊新设、改设或扩大排污口。</w:t>
                  </w:r>
                </w:p>
              </w:tc>
              <w:tc>
                <w:tcPr>
                  <w:tcW w:w="1847" w:type="pct"/>
                  <w:tcBorders>
                    <w:tl2br w:val="nil"/>
                    <w:tr2bl w:val="nil"/>
                  </w:tcBorders>
                  <w:noWrap w:val="0"/>
                  <w:vAlign w:val="center"/>
                </w:tcPr>
                <w:p w14:paraId="02C9B6E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sz w:val="21"/>
                      <w:szCs w:val="21"/>
                      <w:highlight w:val="none"/>
                    </w:rPr>
                  </w:pPr>
                  <w:r>
                    <w:rPr>
                      <w:rFonts w:hint="default" w:ascii="Times New Roman" w:hAnsi="Times New Roman" w:eastAsia="宋体" w:cs="Times New Roman"/>
                      <w:color w:val="auto"/>
                      <w:spacing w:val="0"/>
                      <w:sz w:val="21"/>
                      <w:szCs w:val="21"/>
                      <w:highlight w:val="none"/>
                    </w:rPr>
                    <w:t>本项目不在长江干支流及湖泊新设、改设或扩大排污口。</w:t>
                  </w:r>
                </w:p>
              </w:tc>
              <w:tc>
                <w:tcPr>
                  <w:tcW w:w="410" w:type="pct"/>
                  <w:tcBorders>
                    <w:tl2br w:val="nil"/>
                    <w:tr2bl w:val="nil"/>
                  </w:tcBorders>
                  <w:noWrap w:val="0"/>
                  <w:vAlign w:val="center"/>
                </w:tcPr>
                <w:p w14:paraId="256ACF8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sz w:val="21"/>
                      <w:szCs w:val="21"/>
                      <w:highlight w:val="none"/>
                    </w:rPr>
                  </w:pPr>
                  <w:r>
                    <w:rPr>
                      <w:rFonts w:hint="default" w:ascii="Times New Roman" w:hAnsi="Times New Roman" w:eastAsia="宋体" w:cs="Times New Roman"/>
                      <w:color w:val="auto"/>
                      <w:spacing w:val="0"/>
                      <w:sz w:val="21"/>
                      <w:szCs w:val="21"/>
                      <w:highlight w:val="none"/>
                    </w:rPr>
                    <w:t>相符</w:t>
                  </w:r>
                </w:p>
              </w:tc>
            </w:tr>
            <w:tr w14:paraId="5E410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tcBorders>
                    <w:tl2br w:val="nil"/>
                    <w:tr2bl w:val="nil"/>
                  </w:tcBorders>
                  <w:noWrap w:val="0"/>
                  <w:vAlign w:val="center"/>
                </w:tcPr>
                <w:p w14:paraId="5A3ECF9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eastAsia="宋体" w:cs="Times New Roman"/>
                      <w:color w:val="auto"/>
                      <w:spacing w:val="0"/>
                      <w:kern w:val="0"/>
                      <w:sz w:val="21"/>
                      <w:szCs w:val="21"/>
                      <w:highlight w:val="none"/>
                    </w:rPr>
                    <w:t>7</w:t>
                  </w:r>
                </w:p>
              </w:tc>
              <w:tc>
                <w:tcPr>
                  <w:tcW w:w="2402" w:type="pct"/>
                  <w:tcBorders>
                    <w:tl2br w:val="nil"/>
                    <w:tr2bl w:val="nil"/>
                  </w:tcBorders>
                  <w:noWrap w:val="0"/>
                  <w:vAlign w:val="center"/>
                </w:tcPr>
                <w:p w14:paraId="31DC324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eastAsia="宋体" w:cs="Times New Roman"/>
                      <w:color w:val="auto"/>
                      <w:spacing w:val="0"/>
                      <w:kern w:val="0"/>
                      <w:sz w:val="21"/>
                      <w:szCs w:val="21"/>
                      <w:highlight w:val="none"/>
                    </w:rPr>
                    <w:t>禁止在长江干支流、巢湖岸线一公里范围内新建、扩建化工园区和化工项目。禁止在长江干流岸线三公里范围内和重要支流岸线一公里范围内新建、改建、扩建尾矿库、冶炼渣库和磷石膏库，以提升安全、生态环境保护水平为目的的改建除外。</w:t>
                  </w:r>
                </w:p>
              </w:tc>
              <w:tc>
                <w:tcPr>
                  <w:tcW w:w="1847" w:type="pct"/>
                  <w:tcBorders>
                    <w:tl2br w:val="nil"/>
                    <w:tr2bl w:val="nil"/>
                  </w:tcBorders>
                  <w:noWrap w:val="0"/>
                  <w:vAlign w:val="center"/>
                </w:tcPr>
                <w:p w14:paraId="657B6BD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sz w:val="21"/>
                      <w:szCs w:val="21"/>
                      <w:highlight w:val="none"/>
                    </w:rPr>
                  </w:pPr>
                  <w:r>
                    <w:rPr>
                      <w:rFonts w:hint="default" w:ascii="Times New Roman" w:hAnsi="Times New Roman" w:cs="Times New Roman"/>
                      <w:color w:val="auto"/>
                      <w:spacing w:val="0"/>
                      <w:sz w:val="21"/>
                      <w:szCs w:val="21"/>
                    </w:rPr>
                    <w:t>本项目距离长江干流岸线约</w:t>
                  </w:r>
                  <w:r>
                    <w:rPr>
                      <w:rFonts w:hint="default" w:ascii="Times New Roman" w:hAnsi="Times New Roman" w:cs="Times New Roman"/>
                      <w:color w:val="auto"/>
                      <w:spacing w:val="0"/>
                      <w:sz w:val="21"/>
                      <w:szCs w:val="21"/>
                      <w:lang w:val="en-US" w:eastAsia="zh-CN"/>
                    </w:rPr>
                    <w:t>30.9</w:t>
                  </w:r>
                  <w:r>
                    <w:rPr>
                      <w:rFonts w:hint="default" w:ascii="Times New Roman" w:hAnsi="Times New Roman" w:cs="Times New Roman"/>
                      <w:color w:val="auto"/>
                      <w:spacing w:val="0"/>
                      <w:sz w:val="21"/>
                      <w:szCs w:val="21"/>
                    </w:rPr>
                    <w:t>km，距离青弋江最近距离为</w:t>
                  </w:r>
                  <w:r>
                    <w:rPr>
                      <w:rFonts w:hint="default" w:ascii="Times New Roman" w:hAnsi="Times New Roman" w:cs="Times New Roman"/>
                      <w:color w:val="auto"/>
                      <w:spacing w:val="0"/>
                      <w:sz w:val="21"/>
                      <w:szCs w:val="21"/>
                      <w:lang w:val="en-US" w:eastAsia="zh-CN"/>
                    </w:rPr>
                    <w:t>4.7</w:t>
                  </w:r>
                  <w:r>
                    <w:rPr>
                      <w:rFonts w:hint="default" w:ascii="Times New Roman" w:hAnsi="Times New Roman" w:cs="Times New Roman"/>
                      <w:color w:val="auto"/>
                      <w:spacing w:val="0"/>
                      <w:sz w:val="21"/>
                      <w:szCs w:val="21"/>
                    </w:rPr>
                    <w:t>km，</w:t>
                  </w:r>
                  <w:r>
                    <w:rPr>
                      <w:rFonts w:hint="default" w:ascii="Times New Roman" w:hAnsi="Times New Roman" w:cs="Times New Roman"/>
                      <w:bCs/>
                      <w:color w:val="auto"/>
                      <w:spacing w:val="0"/>
                      <w:sz w:val="21"/>
                      <w:szCs w:val="21"/>
                      <w:lang w:val="en-US" w:eastAsia="zh-CN"/>
                    </w:rPr>
                    <w:t>不</w:t>
                  </w:r>
                  <w:r>
                    <w:rPr>
                      <w:rFonts w:hint="default" w:ascii="Times New Roman" w:hAnsi="Times New Roman" w:cs="Times New Roman"/>
                      <w:color w:val="auto"/>
                      <w:spacing w:val="0"/>
                      <w:sz w:val="21"/>
                      <w:szCs w:val="21"/>
                    </w:rPr>
                    <w:t>在长江干支流、重要湖泊岸线一公里范围内</w:t>
                  </w:r>
                  <w:r>
                    <w:rPr>
                      <w:rFonts w:hint="default" w:ascii="Times New Roman" w:hAnsi="Times New Roman" w:cs="Times New Roman"/>
                      <w:bCs/>
                      <w:color w:val="auto"/>
                      <w:spacing w:val="0"/>
                      <w:sz w:val="21"/>
                      <w:szCs w:val="21"/>
                      <w:lang w:eastAsia="zh-CN"/>
                    </w:rPr>
                    <w:t>。</w:t>
                  </w:r>
                </w:p>
              </w:tc>
              <w:tc>
                <w:tcPr>
                  <w:tcW w:w="410" w:type="pct"/>
                  <w:tcBorders>
                    <w:tl2br w:val="nil"/>
                    <w:tr2bl w:val="nil"/>
                  </w:tcBorders>
                  <w:noWrap w:val="0"/>
                  <w:vAlign w:val="center"/>
                </w:tcPr>
                <w:p w14:paraId="2BA23B7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sz w:val="21"/>
                      <w:szCs w:val="21"/>
                      <w:highlight w:val="none"/>
                    </w:rPr>
                  </w:pPr>
                  <w:r>
                    <w:rPr>
                      <w:rFonts w:hint="default" w:ascii="Times New Roman" w:hAnsi="Times New Roman" w:eastAsia="宋体" w:cs="Times New Roman"/>
                      <w:color w:val="auto"/>
                      <w:spacing w:val="0"/>
                      <w:sz w:val="21"/>
                      <w:szCs w:val="21"/>
                      <w:highlight w:val="none"/>
                    </w:rPr>
                    <w:t>相符</w:t>
                  </w:r>
                </w:p>
              </w:tc>
            </w:tr>
            <w:tr w14:paraId="64541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tcBorders>
                    <w:tl2br w:val="nil"/>
                    <w:tr2bl w:val="nil"/>
                  </w:tcBorders>
                  <w:noWrap w:val="0"/>
                  <w:vAlign w:val="center"/>
                </w:tcPr>
                <w:p w14:paraId="1D0F4D3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eastAsia="宋体" w:cs="Times New Roman"/>
                      <w:color w:val="auto"/>
                      <w:spacing w:val="0"/>
                      <w:kern w:val="0"/>
                      <w:sz w:val="21"/>
                      <w:szCs w:val="21"/>
                      <w:highlight w:val="none"/>
                    </w:rPr>
                    <w:t>8</w:t>
                  </w:r>
                </w:p>
              </w:tc>
              <w:tc>
                <w:tcPr>
                  <w:tcW w:w="2402" w:type="pct"/>
                  <w:tcBorders>
                    <w:tl2br w:val="nil"/>
                    <w:tr2bl w:val="nil"/>
                  </w:tcBorders>
                  <w:noWrap w:val="0"/>
                  <w:vAlign w:val="center"/>
                </w:tcPr>
                <w:p w14:paraId="7262719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eastAsia="宋体" w:cs="Times New Roman"/>
                      <w:color w:val="auto"/>
                      <w:spacing w:val="0"/>
                      <w:kern w:val="0"/>
                      <w:sz w:val="21"/>
                      <w:szCs w:val="21"/>
                      <w:highlight w:val="none"/>
                    </w:rPr>
                    <w:t>禁止在合规园区外新建、扩建钢铁、石化、化工、焦化、建材、有色、制浆造纸等高污染项目。</w:t>
                  </w:r>
                </w:p>
              </w:tc>
              <w:tc>
                <w:tcPr>
                  <w:tcW w:w="1847" w:type="pct"/>
                  <w:tcBorders>
                    <w:tl2br w:val="nil"/>
                    <w:tr2bl w:val="nil"/>
                  </w:tcBorders>
                  <w:noWrap w:val="0"/>
                  <w:vAlign w:val="center"/>
                </w:tcPr>
                <w:p w14:paraId="1CF9CD7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sz w:val="21"/>
                      <w:szCs w:val="21"/>
                      <w:highlight w:val="none"/>
                    </w:rPr>
                  </w:pPr>
                  <w:r>
                    <w:rPr>
                      <w:rFonts w:hint="default" w:ascii="Times New Roman" w:hAnsi="Times New Roman" w:eastAsia="宋体" w:cs="Times New Roman"/>
                      <w:color w:val="auto"/>
                      <w:spacing w:val="0"/>
                      <w:sz w:val="21"/>
                      <w:szCs w:val="21"/>
                      <w:highlight w:val="none"/>
                    </w:rPr>
                    <w:t>本项目位于</w:t>
                  </w:r>
                  <w:r>
                    <w:rPr>
                      <w:rFonts w:hint="default" w:ascii="Times New Roman" w:hAnsi="Times New Roman" w:eastAsia="宋体" w:cs="Times New Roman"/>
                      <w:color w:val="auto"/>
                      <w:spacing w:val="0"/>
                      <w:kern w:val="0"/>
                      <w:sz w:val="21"/>
                      <w:szCs w:val="21"/>
                      <w:highlight w:val="none"/>
                      <w:lang w:val="en-US" w:eastAsia="zh-CN"/>
                    </w:rPr>
                    <w:t>安徽新芜经济开发区</w:t>
                  </w:r>
                  <w:r>
                    <w:rPr>
                      <w:rFonts w:hint="default" w:ascii="Times New Roman" w:hAnsi="Times New Roman" w:eastAsia="宋体" w:cs="Times New Roman"/>
                      <w:color w:val="auto"/>
                      <w:spacing w:val="0"/>
                      <w:kern w:val="0"/>
                      <w:sz w:val="21"/>
                      <w:szCs w:val="21"/>
                      <w:highlight w:val="none"/>
                    </w:rPr>
                    <w:t>内</w:t>
                  </w:r>
                  <w:r>
                    <w:rPr>
                      <w:rFonts w:hint="default" w:ascii="Times New Roman" w:hAnsi="Times New Roman" w:eastAsia="宋体" w:cs="Times New Roman"/>
                      <w:color w:val="auto"/>
                      <w:spacing w:val="0"/>
                      <w:sz w:val="21"/>
                      <w:szCs w:val="21"/>
                      <w:highlight w:val="none"/>
                    </w:rPr>
                    <w:t>，不属于</w:t>
                  </w:r>
                  <w:r>
                    <w:rPr>
                      <w:rFonts w:hint="default" w:ascii="Times New Roman" w:hAnsi="Times New Roman" w:eastAsia="宋体" w:cs="Times New Roman"/>
                      <w:color w:val="auto"/>
                      <w:spacing w:val="0"/>
                      <w:kern w:val="0"/>
                      <w:sz w:val="21"/>
                      <w:szCs w:val="21"/>
                      <w:highlight w:val="none"/>
                    </w:rPr>
                    <w:t>钢铁、石化、化工、焦化、建材、有色、制浆造纸等</w:t>
                  </w:r>
                  <w:r>
                    <w:rPr>
                      <w:rFonts w:hint="default" w:ascii="Times New Roman" w:hAnsi="Times New Roman" w:eastAsia="宋体" w:cs="Times New Roman"/>
                      <w:color w:val="auto"/>
                      <w:spacing w:val="0"/>
                      <w:sz w:val="21"/>
                      <w:szCs w:val="21"/>
                      <w:highlight w:val="none"/>
                    </w:rPr>
                    <w:t>高污染项目。</w:t>
                  </w:r>
                </w:p>
              </w:tc>
              <w:tc>
                <w:tcPr>
                  <w:tcW w:w="410" w:type="pct"/>
                  <w:tcBorders>
                    <w:tl2br w:val="nil"/>
                    <w:tr2bl w:val="nil"/>
                  </w:tcBorders>
                  <w:noWrap w:val="0"/>
                  <w:vAlign w:val="center"/>
                </w:tcPr>
                <w:p w14:paraId="04C4A4C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sz w:val="21"/>
                      <w:szCs w:val="21"/>
                      <w:highlight w:val="none"/>
                    </w:rPr>
                  </w:pPr>
                  <w:r>
                    <w:rPr>
                      <w:rFonts w:hint="default" w:ascii="Times New Roman" w:hAnsi="Times New Roman" w:eastAsia="宋体" w:cs="Times New Roman"/>
                      <w:color w:val="auto"/>
                      <w:spacing w:val="0"/>
                      <w:sz w:val="21"/>
                      <w:szCs w:val="21"/>
                      <w:highlight w:val="none"/>
                    </w:rPr>
                    <w:t>相符</w:t>
                  </w:r>
                </w:p>
              </w:tc>
            </w:tr>
            <w:tr w14:paraId="367C5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39" w:type="pct"/>
                  <w:tcBorders>
                    <w:tl2br w:val="nil"/>
                    <w:tr2bl w:val="nil"/>
                  </w:tcBorders>
                  <w:noWrap w:val="0"/>
                  <w:vAlign w:val="center"/>
                </w:tcPr>
                <w:p w14:paraId="42967C7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eastAsia="宋体" w:cs="Times New Roman"/>
                      <w:color w:val="auto"/>
                      <w:spacing w:val="0"/>
                      <w:kern w:val="0"/>
                      <w:sz w:val="21"/>
                      <w:szCs w:val="21"/>
                      <w:highlight w:val="none"/>
                    </w:rPr>
                    <w:t>9</w:t>
                  </w:r>
                </w:p>
              </w:tc>
              <w:tc>
                <w:tcPr>
                  <w:tcW w:w="2402" w:type="pct"/>
                  <w:tcBorders>
                    <w:tl2br w:val="nil"/>
                    <w:tr2bl w:val="nil"/>
                  </w:tcBorders>
                  <w:noWrap w:val="0"/>
                  <w:vAlign w:val="center"/>
                </w:tcPr>
                <w:p w14:paraId="7E256F1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kern w:val="0"/>
                      <w:sz w:val="21"/>
                      <w:szCs w:val="21"/>
                      <w:highlight w:val="none"/>
                    </w:rPr>
                  </w:pPr>
                  <w:r>
                    <w:rPr>
                      <w:rFonts w:hint="default" w:ascii="Times New Roman" w:hAnsi="Times New Roman" w:eastAsia="宋体" w:cs="Times New Roman"/>
                      <w:color w:val="auto"/>
                      <w:spacing w:val="0"/>
                      <w:kern w:val="0"/>
                      <w:sz w:val="21"/>
                      <w:szCs w:val="21"/>
                      <w:highlight w:val="none"/>
                    </w:rPr>
                    <w:t>禁止新建、扩建法律法规和相关政策明令禁止的落后产能项目。禁止新建、扩建不符合国家产能置换要求的严重过剩产能行业的项目。禁止新建、扩建不符合要求的高耗能高排放项目。</w:t>
                  </w:r>
                </w:p>
              </w:tc>
              <w:tc>
                <w:tcPr>
                  <w:tcW w:w="1847" w:type="pct"/>
                  <w:tcBorders>
                    <w:tl2br w:val="nil"/>
                    <w:tr2bl w:val="nil"/>
                  </w:tcBorders>
                  <w:noWrap w:val="0"/>
                  <w:vAlign w:val="center"/>
                </w:tcPr>
                <w:p w14:paraId="5023553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sz w:val="21"/>
                      <w:szCs w:val="21"/>
                      <w:highlight w:val="none"/>
                    </w:rPr>
                  </w:pPr>
                  <w:r>
                    <w:rPr>
                      <w:rFonts w:hint="default" w:ascii="Times New Roman" w:hAnsi="Times New Roman" w:eastAsia="宋体" w:cs="Times New Roman"/>
                      <w:color w:val="auto"/>
                      <w:spacing w:val="0"/>
                      <w:sz w:val="21"/>
                      <w:szCs w:val="21"/>
                      <w:highlight w:val="none"/>
                    </w:rPr>
                    <w:t>项目符合国家产业政策，不属于落后产能项目，不属于过剩产能行业项目，不属于高耗能高排放项目。</w:t>
                  </w:r>
                </w:p>
              </w:tc>
              <w:tc>
                <w:tcPr>
                  <w:tcW w:w="410" w:type="pct"/>
                  <w:tcBorders>
                    <w:tl2br w:val="nil"/>
                    <w:tr2bl w:val="nil"/>
                  </w:tcBorders>
                  <w:noWrap w:val="0"/>
                  <w:vAlign w:val="center"/>
                </w:tcPr>
                <w:p w14:paraId="13B542A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pacing w:val="0"/>
                      <w:sz w:val="21"/>
                      <w:szCs w:val="21"/>
                      <w:highlight w:val="none"/>
                    </w:rPr>
                  </w:pPr>
                  <w:r>
                    <w:rPr>
                      <w:rFonts w:hint="default" w:ascii="Times New Roman" w:hAnsi="Times New Roman" w:eastAsia="宋体" w:cs="Times New Roman"/>
                      <w:color w:val="auto"/>
                      <w:spacing w:val="0"/>
                      <w:sz w:val="21"/>
                      <w:szCs w:val="21"/>
                      <w:highlight w:val="none"/>
                    </w:rPr>
                    <w:t>相符</w:t>
                  </w:r>
                </w:p>
              </w:tc>
            </w:tr>
          </w:tbl>
          <w:p w14:paraId="54DE199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highlight w:val="none"/>
              </w:rPr>
            </w:pPr>
            <w:r>
              <w:rPr>
                <w:rFonts w:hint="default" w:ascii="Times New Roman" w:hAnsi="Times New Roman" w:eastAsia="宋体" w:cs="Times New Roman"/>
                <w:color w:val="auto"/>
                <w:sz w:val="24"/>
                <w:highlight w:val="none"/>
              </w:rPr>
              <w:t>因此，本项目的建设符合《长江经济带发展负面清单指南（试行，2022年版）》及《关于印发安徽省长江经济带发展负面清单实施细则（试行，2022年版）的通知》（皖长</w:t>
            </w:r>
            <w:r>
              <w:rPr>
                <w:rFonts w:hint="default" w:ascii="Times New Roman" w:hAnsi="Times New Roman" w:eastAsia="宋体" w:cs="Times New Roman"/>
                <w:b w:val="0"/>
                <w:bCs w:val="0"/>
                <w:color w:val="auto"/>
                <w:sz w:val="24"/>
                <w:highlight w:val="none"/>
              </w:rPr>
              <w:t>江办</w:t>
            </w:r>
            <w:r>
              <w:rPr>
                <w:rFonts w:hint="default" w:ascii="Times New Roman" w:hAnsi="Times New Roman" w:cs="Times New Roman"/>
                <w:b w:val="0"/>
                <w:bCs w:val="0"/>
                <w:color w:val="auto"/>
                <w:sz w:val="24"/>
              </w:rPr>
              <w:t>[2022]</w:t>
            </w:r>
            <w:r>
              <w:rPr>
                <w:rFonts w:hint="default" w:ascii="Times New Roman" w:hAnsi="Times New Roman" w:eastAsia="宋体" w:cs="Times New Roman"/>
                <w:b w:val="0"/>
                <w:bCs w:val="0"/>
                <w:color w:val="auto"/>
                <w:sz w:val="24"/>
                <w:highlight w:val="none"/>
              </w:rPr>
              <w:t>10</w:t>
            </w:r>
            <w:r>
              <w:rPr>
                <w:rFonts w:hint="default" w:ascii="Times New Roman" w:hAnsi="Times New Roman" w:eastAsia="宋体" w:cs="Times New Roman"/>
                <w:color w:val="auto"/>
                <w:sz w:val="24"/>
                <w:highlight w:val="none"/>
              </w:rPr>
              <w:t>号）的要求。</w:t>
            </w:r>
          </w:p>
          <w:p w14:paraId="3F685E9D">
            <w:pPr>
              <w:pageBreakBefore w:val="0"/>
              <w:kinsoku/>
              <w:wordWrap/>
              <w:overflowPunct/>
              <w:topLinePunct w:val="0"/>
              <w:autoSpaceDE/>
              <w:autoSpaceDN/>
              <w:bidi w:val="0"/>
              <w:spacing w:line="360" w:lineRule="auto"/>
              <w:ind w:firstLine="420"/>
              <w:textAlignment w:val="auto"/>
              <w:rPr>
                <w:rFonts w:hint="default" w:ascii="Times New Roman" w:hAnsi="Times New Roman" w:cs="Times New Roman"/>
                <w:b/>
                <w:bCs/>
                <w:color w:val="auto"/>
                <w:spacing w:val="0"/>
                <w:sz w:val="24"/>
              </w:rPr>
            </w:pPr>
            <w:r>
              <w:rPr>
                <w:rFonts w:hint="default" w:ascii="Times New Roman" w:hAnsi="Times New Roman" w:cs="Times New Roman"/>
                <w:b/>
                <w:bCs/>
                <w:color w:val="auto"/>
                <w:spacing w:val="0"/>
                <w:sz w:val="24"/>
                <w:lang w:val="en-US" w:eastAsia="zh-CN"/>
              </w:rPr>
              <w:t>9</w:t>
            </w:r>
            <w:r>
              <w:rPr>
                <w:rFonts w:hint="default" w:ascii="Times New Roman" w:hAnsi="Times New Roman" w:cs="Times New Roman"/>
                <w:b/>
                <w:bCs/>
                <w:color w:val="auto"/>
                <w:spacing w:val="0"/>
                <w:sz w:val="24"/>
              </w:rPr>
              <w:t>、与《芜湖市2022年大气污染防治工作要点》（芜环委办[2022]4号文）相符性分析</w:t>
            </w:r>
          </w:p>
          <w:p w14:paraId="3905B31D">
            <w:pPr>
              <w:keepNext w:val="0"/>
              <w:keepLines w:val="0"/>
              <w:pageBreakBefore w:val="0"/>
              <w:widowControl w:val="0"/>
              <w:kinsoku/>
              <w:wordWrap/>
              <w:overflowPunct/>
              <w:topLinePunct w:val="0"/>
              <w:autoSpaceDE/>
              <w:autoSpaceDN/>
              <w:bidi w:val="0"/>
              <w:adjustRightInd/>
              <w:snapToGrid/>
              <w:spacing w:beforeAutospacing="0"/>
              <w:jc w:val="center"/>
              <w:textAlignment w:val="auto"/>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szCs w:val="20"/>
                <w:lang w:val="zh-CN"/>
              </w:rPr>
              <w:t>表1-</w:t>
            </w:r>
            <w:r>
              <w:rPr>
                <w:rFonts w:hint="eastAsia" w:ascii="Times New Roman" w:hAnsi="Times New Roman" w:eastAsia="宋体" w:cs="Times New Roman"/>
                <w:b/>
                <w:color w:val="auto"/>
                <w:kern w:val="0"/>
                <w:sz w:val="24"/>
                <w:szCs w:val="20"/>
                <w:lang w:val="en-US" w:eastAsia="zh-CN"/>
              </w:rPr>
              <w:t>8</w:t>
            </w:r>
            <w:r>
              <w:rPr>
                <w:rFonts w:hint="default" w:ascii="Times New Roman" w:hAnsi="Times New Roman" w:eastAsia="宋体" w:cs="Times New Roman"/>
                <w:b/>
                <w:color w:val="auto"/>
                <w:kern w:val="0"/>
                <w:sz w:val="24"/>
                <w:szCs w:val="20"/>
                <w:lang w:val="zh-CN"/>
              </w:rPr>
              <w:t xml:space="preserve">  与《芜湖市2022年大气污染防治工作要点》相符性分析</w:t>
            </w:r>
          </w:p>
          <w:tbl>
            <w:tblPr>
              <w:tblStyle w:val="63"/>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11" w:type="dxa"/>
                <w:left w:w="28" w:type="dxa"/>
                <w:bottom w:w="11" w:type="dxa"/>
                <w:right w:w="28" w:type="dxa"/>
              </w:tblCellMar>
            </w:tblPr>
            <w:tblGrid>
              <w:gridCol w:w="535"/>
              <w:gridCol w:w="3339"/>
              <w:gridCol w:w="2399"/>
              <w:gridCol w:w="710"/>
            </w:tblGrid>
            <w:tr w14:paraId="6286002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11" w:type="dxa"/>
                  <w:left w:w="28" w:type="dxa"/>
                  <w:bottom w:w="11" w:type="dxa"/>
                  <w:right w:w="28" w:type="dxa"/>
                </w:tblCellMar>
              </w:tblPrEx>
              <w:trPr>
                <w:trHeight w:val="397" w:hRule="atLeast"/>
                <w:tblHeader/>
                <w:jc w:val="center"/>
              </w:trPr>
              <w:tc>
                <w:tcPr>
                  <w:tcW w:w="383" w:type="pct"/>
                  <w:tcBorders>
                    <w:tl2br w:val="nil"/>
                    <w:tr2bl w:val="nil"/>
                  </w:tcBorders>
                  <w:noWrap w:val="0"/>
                  <w:vAlign w:val="center"/>
                </w:tcPr>
                <w:p w14:paraId="171EAA93">
                  <w:pPr>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pacing w:val="0"/>
                      <w:szCs w:val="21"/>
                    </w:rPr>
                  </w:pPr>
                  <w:r>
                    <w:rPr>
                      <w:rFonts w:hint="default" w:ascii="Times New Roman" w:hAnsi="Times New Roman" w:cs="Times New Roman"/>
                      <w:b/>
                      <w:bCs/>
                      <w:color w:val="auto"/>
                      <w:spacing w:val="0"/>
                      <w:szCs w:val="21"/>
                    </w:rPr>
                    <w:t>序号</w:t>
                  </w:r>
                </w:p>
              </w:tc>
              <w:tc>
                <w:tcPr>
                  <w:tcW w:w="2390" w:type="pct"/>
                  <w:tcBorders>
                    <w:tl2br w:val="nil"/>
                    <w:tr2bl w:val="nil"/>
                  </w:tcBorders>
                  <w:noWrap w:val="0"/>
                  <w:vAlign w:val="center"/>
                </w:tcPr>
                <w:p w14:paraId="7B3F9E1E">
                  <w:pPr>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pacing w:val="0"/>
                      <w:szCs w:val="21"/>
                    </w:rPr>
                  </w:pPr>
                  <w:r>
                    <w:rPr>
                      <w:rFonts w:hint="default" w:ascii="Times New Roman" w:hAnsi="Times New Roman" w:cs="Times New Roman"/>
                      <w:b/>
                      <w:bCs/>
                      <w:color w:val="auto"/>
                      <w:spacing w:val="0"/>
                      <w:szCs w:val="21"/>
                    </w:rPr>
                    <w:t>文件要求</w:t>
                  </w:r>
                </w:p>
              </w:tc>
              <w:tc>
                <w:tcPr>
                  <w:tcW w:w="1717" w:type="pct"/>
                  <w:tcBorders>
                    <w:tl2br w:val="nil"/>
                    <w:tr2bl w:val="nil"/>
                  </w:tcBorders>
                  <w:noWrap w:val="0"/>
                  <w:vAlign w:val="center"/>
                </w:tcPr>
                <w:p w14:paraId="5C21611A">
                  <w:pPr>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pacing w:val="0"/>
                      <w:szCs w:val="21"/>
                    </w:rPr>
                  </w:pPr>
                  <w:r>
                    <w:rPr>
                      <w:rFonts w:hint="default" w:ascii="Times New Roman" w:hAnsi="Times New Roman" w:cs="Times New Roman"/>
                      <w:b/>
                      <w:bCs/>
                      <w:color w:val="auto"/>
                      <w:spacing w:val="0"/>
                      <w:szCs w:val="21"/>
                    </w:rPr>
                    <w:t>本项目情况</w:t>
                  </w:r>
                </w:p>
              </w:tc>
              <w:tc>
                <w:tcPr>
                  <w:tcW w:w="508" w:type="pct"/>
                  <w:tcBorders>
                    <w:tl2br w:val="nil"/>
                    <w:tr2bl w:val="nil"/>
                  </w:tcBorders>
                  <w:noWrap w:val="0"/>
                  <w:vAlign w:val="center"/>
                </w:tcPr>
                <w:p w14:paraId="79CFA97D">
                  <w:pPr>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b/>
                      <w:bCs/>
                      <w:color w:val="auto"/>
                      <w:spacing w:val="0"/>
                      <w:szCs w:val="21"/>
                    </w:rPr>
                  </w:pPr>
                  <w:r>
                    <w:rPr>
                      <w:rFonts w:hint="default" w:ascii="Times New Roman" w:hAnsi="Times New Roman" w:cs="Times New Roman"/>
                      <w:b/>
                      <w:bCs/>
                      <w:color w:val="auto"/>
                      <w:spacing w:val="0"/>
                      <w:szCs w:val="21"/>
                    </w:rPr>
                    <w:t>相符性</w:t>
                  </w:r>
                </w:p>
              </w:tc>
            </w:tr>
            <w:tr w14:paraId="61FDCF2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11" w:type="dxa"/>
                  <w:left w:w="28" w:type="dxa"/>
                  <w:bottom w:w="11" w:type="dxa"/>
                  <w:right w:w="28" w:type="dxa"/>
                </w:tblCellMar>
              </w:tblPrEx>
              <w:trPr>
                <w:trHeight w:val="397" w:hRule="atLeast"/>
                <w:jc w:val="center"/>
              </w:trPr>
              <w:tc>
                <w:tcPr>
                  <w:tcW w:w="383" w:type="pct"/>
                  <w:tcBorders>
                    <w:tl2br w:val="nil"/>
                    <w:tr2bl w:val="nil"/>
                  </w:tcBorders>
                  <w:noWrap w:val="0"/>
                  <w:vAlign w:val="center"/>
                </w:tcPr>
                <w:p w14:paraId="63050352">
                  <w:pPr>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szCs w:val="21"/>
                    </w:rPr>
                  </w:pPr>
                  <w:r>
                    <w:rPr>
                      <w:rFonts w:hint="default" w:ascii="Times New Roman" w:hAnsi="Times New Roman" w:cs="Times New Roman"/>
                      <w:color w:val="auto"/>
                      <w:spacing w:val="0"/>
                      <w:szCs w:val="21"/>
                    </w:rPr>
                    <w:t>1</w:t>
                  </w:r>
                </w:p>
              </w:tc>
              <w:tc>
                <w:tcPr>
                  <w:tcW w:w="2390" w:type="pct"/>
                  <w:tcBorders>
                    <w:tl2br w:val="nil"/>
                    <w:tr2bl w:val="nil"/>
                  </w:tcBorders>
                  <w:noWrap w:val="0"/>
                  <w:vAlign w:val="center"/>
                </w:tcPr>
                <w:p w14:paraId="65FC64C6">
                  <w:pPr>
                    <w:keepNext w:val="0"/>
                    <w:keepLines w:val="0"/>
                    <w:pageBreakBefore w:val="0"/>
                    <w:widowControl/>
                    <w:kinsoku/>
                    <w:wordWrap/>
                    <w:overflowPunct/>
                    <w:topLinePunct w:val="0"/>
                    <w:autoSpaceDE/>
                    <w:autoSpaceDN/>
                    <w:bidi w:val="0"/>
                    <w:adjustRightInd/>
                    <w:snapToGrid/>
                    <w:ind w:firstLine="0" w:firstLineChars="0"/>
                    <w:jc w:val="both"/>
                    <w:textAlignment w:val="auto"/>
                    <w:rPr>
                      <w:rFonts w:hint="default" w:ascii="Times New Roman" w:hAnsi="Times New Roman" w:cs="Times New Roman"/>
                      <w:color w:val="auto"/>
                      <w:spacing w:val="0"/>
                      <w:szCs w:val="21"/>
                    </w:rPr>
                  </w:pPr>
                  <w:r>
                    <w:rPr>
                      <w:rFonts w:hint="default" w:ascii="Times New Roman" w:hAnsi="Times New Roman" w:eastAsia="宋体" w:cs="Times New Roman"/>
                      <w:b/>
                      <w:bCs/>
                      <w:color w:val="auto"/>
                      <w:spacing w:val="0"/>
                      <w:szCs w:val="21"/>
                    </w:rPr>
                    <w:t>积极发展清洁能源。</w:t>
                  </w:r>
                  <w:r>
                    <w:rPr>
                      <w:rFonts w:hint="default" w:ascii="Times New Roman" w:hAnsi="Times New Roman" w:eastAsia="宋体" w:cs="Times New Roman"/>
                      <w:color w:val="auto"/>
                      <w:spacing w:val="0"/>
                      <w:szCs w:val="21"/>
                    </w:rPr>
                    <w:t>坚持实施“增气减煤”，提</w:t>
                  </w:r>
                  <w:r>
                    <w:rPr>
                      <w:rFonts w:hint="default" w:ascii="Times New Roman" w:hAnsi="Times New Roman" w:cs="Times New Roman"/>
                      <w:color w:val="auto"/>
                      <w:spacing w:val="0"/>
                      <w:szCs w:val="21"/>
                    </w:rPr>
                    <w:t>升供应侧非化石能源比重，提高消费侧电力比重，增加天然气供应量，2022年底前，新增电能替代电量4.97亿千瓦时，天然气供气规模达5.8亿立方米。持续推进以煤为燃料的工业炉窑清洁燃料替代改造，提高以电代煤、以气代煤比例。实施可再生能源替代行动，加快建设新型能源供应系统，因地制宜开发水力、光伏发电，鼓励建设太阳能等新能源项目。</w:t>
                  </w:r>
                </w:p>
              </w:tc>
              <w:tc>
                <w:tcPr>
                  <w:tcW w:w="1717" w:type="pct"/>
                  <w:tcBorders>
                    <w:tl2br w:val="nil"/>
                    <w:tr2bl w:val="nil"/>
                  </w:tcBorders>
                  <w:noWrap w:val="0"/>
                  <w:vAlign w:val="center"/>
                </w:tcPr>
                <w:p w14:paraId="1AB4D835">
                  <w:pPr>
                    <w:pStyle w:val="28"/>
                    <w:keepNext w:val="0"/>
                    <w:keepLines w:val="0"/>
                    <w:pageBreakBefore w:val="0"/>
                    <w:widowControl/>
                    <w:kinsoku/>
                    <w:wordWrap/>
                    <w:overflowPunct/>
                    <w:topLinePunct w:val="0"/>
                    <w:autoSpaceDE/>
                    <w:autoSpaceDN/>
                    <w:bidi w:val="0"/>
                    <w:adjustRightInd/>
                    <w:snapToGrid/>
                    <w:spacing w:before="0" w:after="0" w:line="240" w:lineRule="auto"/>
                    <w:ind w:right="0" w:firstLine="0" w:firstLineChars="0"/>
                    <w:jc w:val="both"/>
                    <w:textAlignment w:val="auto"/>
                    <w:rPr>
                      <w:rFonts w:hint="default" w:ascii="Times New Roman" w:hAnsi="Times New Roman" w:cs="Times New Roman"/>
                      <w:color w:val="auto"/>
                      <w:spacing w:val="0"/>
                      <w:sz w:val="21"/>
                      <w:szCs w:val="21"/>
                      <w:lang w:bidi="ar"/>
                    </w:rPr>
                  </w:pPr>
                  <w:r>
                    <w:rPr>
                      <w:rFonts w:hint="default" w:ascii="Times New Roman" w:hAnsi="Times New Roman" w:cs="Times New Roman"/>
                      <w:color w:val="auto"/>
                      <w:spacing w:val="0"/>
                      <w:sz w:val="21"/>
                      <w:szCs w:val="21"/>
                      <w:lang w:bidi="ar"/>
                    </w:rPr>
                    <w:t>本项目采用</w:t>
                  </w:r>
                  <w:r>
                    <w:rPr>
                      <w:rFonts w:hint="default" w:ascii="Times New Roman" w:hAnsi="Times New Roman" w:eastAsia="宋体" w:cs="Times New Roman"/>
                      <w:color w:val="auto"/>
                      <w:spacing w:val="0"/>
                      <w:sz w:val="21"/>
                      <w:szCs w:val="21"/>
                      <w:lang w:bidi="ar"/>
                    </w:rPr>
                    <w:t>电力能源，属于清洁能源。</w:t>
                  </w:r>
                </w:p>
              </w:tc>
              <w:tc>
                <w:tcPr>
                  <w:tcW w:w="508" w:type="pct"/>
                  <w:tcBorders>
                    <w:tl2br w:val="nil"/>
                    <w:tr2bl w:val="nil"/>
                  </w:tcBorders>
                  <w:noWrap w:val="0"/>
                  <w:vAlign w:val="center"/>
                </w:tcPr>
                <w:p w14:paraId="0F25092D">
                  <w:pPr>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kern w:val="0"/>
                      <w:szCs w:val="21"/>
                    </w:rPr>
                  </w:pPr>
                  <w:r>
                    <w:rPr>
                      <w:rFonts w:hint="default" w:ascii="Times New Roman" w:hAnsi="Times New Roman" w:cs="Times New Roman"/>
                      <w:color w:val="auto"/>
                      <w:spacing w:val="0"/>
                      <w:kern w:val="0"/>
                      <w:szCs w:val="21"/>
                    </w:rPr>
                    <w:t>符合</w:t>
                  </w:r>
                </w:p>
              </w:tc>
            </w:tr>
            <w:tr w14:paraId="600CDB3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11" w:type="dxa"/>
                  <w:left w:w="28" w:type="dxa"/>
                  <w:bottom w:w="11" w:type="dxa"/>
                  <w:right w:w="28" w:type="dxa"/>
                </w:tblCellMar>
              </w:tblPrEx>
              <w:trPr>
                <w:trHeight w:val="397" w:hRule="atLeast"/>
                <w:jc w:val="center"/>
              </w:trPr>
              <w:tc>
                <w:tcPr>
                  <w:tcW w:w="383" w:type="pct"/>
                  <w:tcBorders>
                    <w:tl2br w:val="nil"/>
                    <w:tr2bl w:val="nil"/>
                  </w:tcBorders>
                  <w:noWrap w:val="0"/>
                  <w:vAlign w:val="center"/>
                </w:tcPr>
                <w:p w14:paraId="553359A9">
                  <w:pPr>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szCs w:val="21"/>
                    </w:rPr>
                  </w:pPr>
                  <w:r>
                    <w:rPr>
                      <w:rFonts w:hint="default" w:ascii="Times New Roman" w:hAnsi="Times New Roman" w:cs="Times New Roman"/>
                      <w:color w:val="auto"/>
                      <w:spacing w:val="0"/>
                      <w:szCs w:val="21"/>
                    </w:rPr>
                    <w:t>2</w:t>
                  </w:r>
                </w:p>
              </w:tc>
              <w:tc>
                <w:tcPr>
                  <w:tcW w:w="2390" w:type="pct"/>
                  <w:tcBorders>
                    <w:tl2br w:val="nil"/>
                    <w:tr2bl w:val="nil"/>
                  </w:tcBorders>
                  <w:noWrap w:val="0"/>
                  <w:vAlign w:val="center"/>
                </w:tcPr>
                <w:p w14:paraId="218755FF">
                  <w:pPr>
                    <w:keepNext w:val="0"/>
                    <w:keepLines w:val="0"/>
                    <w:pageBreakBefore w:val="0"/>
                    <w:widowControl/>
                    <w:kinsoku/>
                    <w:wordWrap/>
                    <w:overflowPunct/>
                    <w:topLinePunct w:val="0"/>
                    <w:autoSpaceDE/>
                    <w:autoSpaceDN/>
                    <w:bidi w:val="0"/>
                    <w:adjustRightInd/>
                    <w:snapToGrid/>
                    <w:ind w:firstLine="0" w:firstLineChars="0"/>
                    <w:jc w:val="both"/>
                    <w:textAlignment w:val="auto"/>
                    <w:rPr>
                      <w:rFonts w:hint="default" w:ascii="Times New Roman" w:hAnsi="Times New Roman" w:cs="Times New Roman"/>
                      <w:color w:val="auto"/>
                      <w:spacing w:val="0"/>
                      <w:szCs w:val="21"/>
                    </w:rPr>
                  </w:pPr>
                  <w:r>
                    <w:rPr>
                      <w:rFonts w:hint="default" w:ascii="Times New Roman" w:hAnsi="Times New Roman" w:eastAsia="宋体" w:cs="Times New Roman"/>
                      <w:b/>
                      <w:bCs/>
                      <w:color w:val="auto"/>
                      <w:spacing w:val="0"/>
                      <w:szCs w:val="21"/>
                    </w:rPr>
                    <w:t>加快产业结构转型升级。</w:t>
                  </w:r>
                  <w:r>
                    <w:rPr>
                      <w:rFonts w:hint="default" w:ascii="Times New Roman" w:hAnsi="Times New Roman" w:eastAsia="宋体" w:cs="Times New Roman"/>
                      <w:color w:val="auto"/>
                      <w:spacing w:val="0"/>
                      <w:szCs w:val="21"/>
                    </w:rPr>
                    <w:t>全面排查“两高”项目，实施清单管理、分类处置、动态监控，</w:t>
                  </w:r>
                  <w:r>
                    <w:rPr>
                      <w:rFonts w:hint="default" w:ascii="Times New Roman" w:hAnsi="Times New Roman" w:cs="Times New Roman"/>
                      <w:color w:val="auto"/>
                      <w:spacing w:val="0"/>
                      <w:szCs w:val="21"/>
                    </w:rPr>
                    <w:t>对不符合规定的坚决停批停建，科学稳妥推进符合要求的拟建项目。依法依规淘汰落后产能和化解过剩产能，严禁新增钢铁、焦化、水泥熟料、平板玻璃、电解铝等产能。</w:t>
                  </w:r>
                </w:p>
              </w:tc>
              <w:tc>
                <w:tcPr>
                  <w:tcW w:w="1717" w:type="pct"/>
                  <w:tcBorders>
                    <w:tl2br w:val="nil"/>
                    <w:tr2bl w:val="nil"/>
                  </w:tcBorders>
                  <w:noWrap w:val="0"/>
                  <w:vAlign w:val="center"/>
                </w:tcPr>
                <w:p w14:paraId="59BCF740">
                  <w:pPr>
                    <w:pStyle w:val="28"/>
                    <w:keepNext w:val="0"/>
                    <w:keepLines w:val="0"/>
                    <w:pageBreakBefore w:val="0"/>
                    <w:widowControl/>
                    <w:kinsoku/>
                    <w:wordWrap/>
                    <w:overflowPunct/>
                    <w:topLinePunct w:val="0"/>
                    <w:autoSpaceDE/>
                    <w:autoSpaceDN/>
                    <w:bidi w:val="0"/>
                    <w:adjustRightInd/>
                    <w:snapToGrid/>
                    <w:spacing w:before="0" w:after="0" w:line="240" w:lineRule="auto"/>
                    <w:ind w:right="0" w:firstLine="0" w:firstLineChars="0"/>
                    <w:jc w:val="both"/>
                    <w:textAlignment w:val="auto"/>
                    <w:rPr>
                      <w:rFonts w:hint="default" w:ascii="Times New Roman" w:hAnsi="Times New Roman" w:cs="Times New Roman"/>
                      <w:color w:val="auto"/>
                      <w:spacing w:val="0"/>
                      <w:sz w:val="21"/>
                      <w:szCs w:val="21"/>
                      <w:lang w:bidi="ar"/>
                    </w:rPr>
                  </w:pPr>
                  <w:r>
                    <w:rPr>
                      <w:rFonts w:hint="default" w:ascii="Times New Roman" w:hAnsi="Times New Roman" w:cs="Times New Roman"/>
                      <w:color w:val="auto"/>
                      <w:spacing w:val="0"/>
                      <w:sz w:val="21"/>
                      <w:szCs w:val="21"/>
                      <w:lang w:bidi="ar"/>
                    </w:rPr>
                    <w:t>本项目不属于《产业结构调整指导目录（2024年本）》中淘汰类或限制类项目，项目符合国家产业政策，不属于落后产能和过剩产能行业项目，本项目不属于“两高”项目，不属于钢铁、焦化、水泥熟料、平板玻璃、电解铝、氧化铝、煤化工行业。</w:t>
                  </w:r>
                </w:p>
              </w:tc>
              <w:tc>
                <w:tcPr>
                  <w:tcW w:w="508" w:type="pct"/>
                  <w:tcBorders>
                    <w:tl2br w:val="nil"/>
                    <w:tr2bl w:val="nil"/>
                  </w:tcBorders>
                  <w:noWrap w:val="0"/>
                  <w:vAlign w:val="center"/>
                </w:tcPr>
                <w:p w14:paraId="3E2FE3BA">
                  <w:pPr>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kern w:val="0"/>
                      <w:szCs w:val="21"/>
                    </w:rPr>
                  </w:pPr>
                  <w:r>
                    <w:rPr>
                      <w:rFonts w:hint="default" w:ascii="Times New Roman" w:hAnsi="Times New Roman" w:cs="Times New Roman"/>
                      <w:color w:val="auto"/>
                      <w:spacing w:val="0"/>
                      <w:kern w:val="0"/>
                      <w:szCs w:val="21"/>
                    </w:rPr>
                    <w:t>符合</w:t>
                  </w:r>
                </w:p>
              </w:tc>
            </w:tr>
            <w:tr w14:paraId="27FC6FE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11" w:type="dxa"/>
                  <w:left w:w="28" w:type="dxa"/>
                  <w:bottom w:w="11" w:type="dxa"/>
                  <w:right w:w="28" w:type="dxa"/>
                </w:tblCellMar>
              </w:tblPrEx>
              <w:trPr>
                <w:trHeight w:val="397" w:hRule="atLeast"/>
                <w:jc w:val="center"/>
              </w:trPr>
              <w:tc>
                <w:tcPr>
                  <w:tcW w:w="383" w:type="pct"/>
                  <w:tcBorders>
                    <w:tl2br w:val="nil"/>
                    <w:tr2bl w:val="nil"/>
                  </w:tcBorders>
                  <w:noWrap w:val="0"/>
                  <w:vAlign w:val="center"/>
                </w:tcPr>
                <w:p w14:paraId="7E4B5537">
                  <w:pPr>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szCs w:val="21"/>
                    </w:rPr>
                  </w:pPr>
                  <w:r>
                    <w:rPr>
                      <w:rFonts w:hint="default" w:ascii="Times New Roman" w:hAnsi="Times New Roman" w:cs="Times New Roman"/>
                      <w:color w:val="auto"/>
                      <w:spacing w:val="0"/>
                      <w:szCs w:val="21"/>
                    </w:rPr>
                    <w:t>3</w:t>
                  </w:r>
                </w:p>
              </w:tc>
              <w:tc>
                <w:tcPr>
                  <w:tcW w:w="2390" w:type="pct"/>
                  <w:tcBorders>
                    <w:tl2br w:val="nil"/>
                    <w:tr2bl w:val="nil"/>
                  </w:tcBorders>
                  <w:noWrap w:val="0"/>
                  <w:vAlign w:val="center"/>
                </w:tcPr>
                <w:p w14:paraId="4711D7A7">
                  <w:pPr>
                    <w:keepNext w:val="0"/>
                    <w:keepLines w:val="0"/>
                    <w:pageBreakBefore w:val="0"/>
                    <w:widowControl/>
                    <w:kinsoku/>
                    <w:wordWrap/>
                    <w:overflowPunct/>
                    <w:topLinePunct w:val="0"/>
                    <w:autoSpaceDE/>
                    <w:autoSpaceDN/>
                    <w:bidi w:val="0"/>
                    <w:adjustRightInd/>
                    <w:snapToGrid/>
                    <w:ind w:firstLine="0" w:firstLineChars="0"/>
                    <w:jc w:val="both"/>
                    <w:textAlignment w:val="auto"/>
                    <w:rPr>
                      <w:rFonts w:hint="default" w:ascii="Times New Roman" w:hAnsi="Times New Roman" w:cs="Times New Roman"/>
                      <w:color w:val="auto"/>
                      <w:spacing w:val="0"/>
                      <w:szCs w:val="21"/>
                    </w:rPr>
                  </w:pPr>
                  <w:r>
                    <w:rPr>
                      <w:rFonts w:hint="default" w:ascii="Times New Roman" w:hAnsi="Times New Roman" w:cs="Times New Roman"/>
                      <w:b/>
                      <w:bCs/>
                      <w:color w:val="auto"/>
                      <w:spacing w:val="0"/>
                      <w:szCs w:val="21"/>
                    </w:rPr>
                    <w:t>开展臭氧污染防治攻坚。</w:t>
                  </w:r>
                  <w:r>
                    <w:rPr>
                      <w:rFonts w:hint="default" w:ascii="Times New Roman" w:hAnsi="Times New Roman" w:cs="Times New Roman"/>
                      <w:color w:val="auto"/>
                      <w:spacing w:val="0"/>
                      <w:szCs w:val="21"/>
                    </w:rPr>
                    <w:t>以化工、涂装、医药、包装印刷、油品储运销等行业领域为重点，深入开展挥发性有机物综合治理，动态更新排查治理清单，挥发性有机物年排放量1吨及以上企</w:t>
                  </w:r>
                  <w:r>
                    <w:rPr>
                      <w:rFonts w:hint="default" w:ascii="Times New Roman" w:hAnsi="Times New Roman" w:eastAsia="宋体" w:cs="Times New Roman"/>
                      <w:color w:val="auto"/>
                      <w:spacing w:val="0"/>
                      <w:szCs w:val="21"/>
                    </w:rPr>
                    <w:t>业编制实施“一厂一策”。推进实施重</w:t>
                  </w:r>
                  <w:r>
                    <w:rPr>
                      <w:rFonts w:hint="default" w:ascii="Times New Roman" w:hAnsi="Times New Roman" w:cs="Times New Roman"/>
                      <w:color w:val="auto"/>
                      <w:spacing w:val="0"/>
                      <w:szCs w:val="21"/>
                    </w:rPr>
                    <w:t>点行业低VOCs含量原辅材料源头替代。实施工业锅炉和炉窑提标改造和清洁能源替代，推动玻璃等行业深度治理。加快推进新兴铸管、富鑫钢铁等钢铁企业超低排放改造，力争2022年底前基本完成。全面摸排现有工业燃煤锅炉，明确超低排放改造或集中供热时间表。</w:t>
                  </w:r>
                </w:p>
              </w:tc>
              <w:tc>
                <w:tcPr>
                  <w:tcW w:w="1717" w:type="pct"/>
                  <w:tcBorders>
                    <w:tl2br w:val="nil"/>
                    <w:tr2bl w:val="nil"/>
                  </w:tcBorders>
                  <w:noWrap w:val="0"/>
                  <w:vAlign w:val="center"/>
                </w:tcPr>
                <w:p w14:paraId="610AAC2B">
                  <w:pPr>
                    <w:pStyle w:val="28"/>
                    <w:keepNext w:val="0"/>
                    <w:keepLines w:val="0"/>
                    <w:pageBreakBefore w:val="0"/>
                    <w:widowControl/>
                    <w:kinsoku/>
                    <w:wordWrap/>
                    <w:overflowPunct/>
                    <w:topLinePunct w:val="0"/>
                    <w:autoSpaceDE/>
                    <w:autoSpaceDN/>
                    <w:bidi w:val="0"/>
                    <w:adjustRightInd/>
                    <w:snapToGrid/>
                    <w:spacing w:before="0" w:after="0" w:line="240" w:lineRule="auto"/>
                    <w:ind w:right="0" w:firstLine="0" w:firstLineChars="0"/>
                    <w:jc w:val="both"/>
                    <w:textAlignment w:val="auto"/>
                    <w:rPr>
                      <w:rFonts w:hint="default" w:ascii="Times New Roman" w:hAnsi="Times New Roman" w:cs="Times New Roman"/>
                      <w:color w:val="auto"/>
                      <w:spacing w:val="0"/>
                      <w:sz w:val="21"/>
                      <w:szCs w:val="21"/>
                      <w:lang w:bidi="ar"/>
                    </w:rPr>
                  </w:pPr>
                  <w:r>
                    <w:rPr>
                      <w:rFonts w:hint="default" w:ascii="Times New Roman" w:hAnsi="Times New Roman" w:cs="Times New Roman"/>
                      <w:color w:val="auto"/>
                      <w:sz w:val="21"/>
                      <w:szCs w:val="21"/>
                      <w:lang w:val="en-US" w:eastAsia="zh-CN"/>
                    </w:rPr>
                    <w:t>本项目使用的</w:t>
                  </w:r>
                  <w:r>
                    <w:rPr>
                      <w:rFonts w:hint="eastAsia" w:ascii="Times New Roman" w:hAnsi="Times New Roman" w:cs="Times New Roman"/>
                      <w:color w:val="auto"/>
                      <w:sz w:val="21"/>
                      <w:szCs w:val="21"/>
                      <w:lang w:val="en-US" w:eastAsia="zh-CN"/>
                    </w:rPr>
                    <w:t>水性淬火液、水性脱模剂</w:t>
                  </w:r>
                  <w:r>
                    <w:rPr>
                      <w:rFonts w:hint="default" w:ascii="Times New Roman" w:hAnsi="Times New Roman" w:cs="Times New Roman"/>
                      <w:color w:val="auto"/>
                      <w:sz w:val="21"/>
                      <w:szCs w:val="21"/>
                      <w:lang w:val="en-US" w:eastAsia="zh-CN"/>
                    </w:rPr>
                    <w:t>为低</w:t>
                  </w:r>
                  <w:r>
                    <w:rPr>
                      <w:rFonts w:hint="default" w:ascii="Times New Roman" w:hAnsi="Times New Roman" w:cs="Times New Roman"/>
                      <w:color w:val="auto"/>
                      <w:sz w:val="21"/>
                      <w:szCs w:val="21"/>
                    </w:rPr>
                    <w:t>VOCs含量原辅材料</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lang w:val="en-US" w:eastAsia="zh-CN"/>
                    </w:rPr>
                    <w:t>本项目</w:t>
                  </w:r>
                  <w:r>
                    <w:rPr>
                      <w:rFonts w:hint="default" w:ascii="Times New Roman" w:hAnsi="Times New Roman" w:cs="Times New Roman"/>
                      <w:color w:val="auto"/>
                      <w:spacing w:val="0"/>
                      <w:sz w:val="21"/>
                      <w:szCs w:val="21"/>
                      <w:lang w:bidi="ar"/>
                    </w:rPr>
                    <w:t>使用电能</w:t>
                  </w:r>
                  <w:r>
                    <w:rPr>
                      <w:rFonts w:hint="default" w:ascii="Times New Roman" w:hAnsi="Times New Roman" w:cs="Times New Roman"/>
                      <w:color w:val="auto"/>
                      <w:spacing w:val="0"/>
                      <w:sz w:val="21"/>
                      <w:szCs w:val="21"/>
                      <w:lang w:val="en-US" w:eastAsia="zh-CN" w:bidi="ar"/>
                    </w:rPr>
                    <w:t>能源</w:t>
                  </w:r>
                  <w:r>
                    <w:rPr>
                      <w:rFonts w:hint="default" w:ascii="Times New Roman" w:hAnsi="Times New Roman" w:cs="Times New Roman"/>
                      <w:color w:val="auto"/>
                      <w:spacing w:val="0"/>
                      <w:sz w:val="21"/>
                      <w:szCs w:val="21"/>
                      <w:lang w:bidi="ar"/>
                    </w:rPr>
                    <w:t>。</w:t>
                  </w:r>
                </w:p>
              </w:tc>
              <w:tc>
                <w:tcPr>
                  <w:tcW w:w="508" w:type="pct"/>
                  <w:tcBorders>
                    <w:tl2br w:val="nil"/>
                    <w:tr2bl w:val="nil"/>
                  </w:tcBorders>
                  <w:noWrap w:val="0"/>
                  <w:vAlign w:val="center"/>
                </w:tcPr>
                <w:p w14:paraId="45BFCA58">
                  <w:pPr>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kern w:val="0"/>
                      <w:szCs w:val="21"/>
                    </w:rPr>
                  </w:pPr>
                  <w:r>
                    <w:rPr>
                      <w:rFonts w:hint="default" w:ascii="Times New Roman" w:hAnsi="Times New Roman" w:cs="Times New Roman"/>
                      <w:color w:val="auto"/>
                      <w:spacing w:val="0"/>
                      <w:kern w:val="0"/>
                      <w:szCs w:val="21"/>
                    </w:rPr>
                    <w:t>符合</w:t>
                  </w:r>
                </w:p>
              </w:tc>
            </w:tr>
          </w:tbl>
          <w:p w14:paraId="26C67E45">
            <w:pPr>
              <w:keepNext w:val="0"/>
              <w:keepLines w:val="0"/>
              <w:pageBreakBefore w:val="0"/>
              <w:widowControl w:val="0"/>
              <w:numPr>
                <w:ilvl w:val="0"/>
                <w:numId w:val="0"/>
              </w:numPr>
              <w:tabs>
                <w:tab w:val="left" w:pos="8658"/>
              </w:tabs>
              <w:kinsoku/>
              <w:wordWrap/>
              <w:overflowPunct/>
              <w:topLinePunct w:val="0"/>
              <w:autoSpaceDE/>
              <w:autoSpaceDN/>
              <w:bidi w:val="0"/>
              <w:adjustRightInd/>
              <w:snapToGrid/>
              <w:spacing w:line="360" w:lineRule="auto"/>
              <w:ind w:left="0" w:leftChars="0" w:firstLine="482" w:firstLineChars="200"/>
              <w:jc w:val="both"/>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0"/>
                <w:sz w:val="24"/>
                <w:szCs w:val="24"/>
                <w:lang w:val="en-US" w:eastAsia="zh-CN" w:bidi="ar-SA"/>
              </w:rPr>
              <w:t>10、</w:t>
            </w:r>
            <w:r>
              <w:rPr>
                <w:rStyle w:val="77"/>
                <w:rFonts w:hint="default" w:ascii="Times New Roman" w:hAnsi="Times New Roman" w:cs="Times New Roman"/>
                <w:b/>
                <w:bCs/>
                <w:color w:val="auto"/>
                <w:kern w:val="0"/>
                <w:sz w:val="24"/>
                <w:highlight w:val="none"/>
              </w:rPr>
              <w:t>与《</w:t>
            </w:r>
            <w:r>
              <w:rPr>
                <w:rStyle w:val="77"/>
                <w:rFonts w:hint="default" w:ascii="Times New Roman" w:hAnsi="Times New Roman" w:cs="Times New Roman"/>
                <w:b/>
                <w:bCs/>
                <w:color w:val="auto"/>
                <w:kern w:val="0"/>
                <w:sz w:val="24"/>
                <w:highlight w:val="none"/>
                <w:lang w:val="en-US" w:eastAsia="zh-CN"/>
              </w:rPr>
              <w:t>安徽省</w:t>
            </w:r>
            <w:r>
              <w:rPr>
                <w:rStyle w:val="77"/>
                <w:rFonts w:hint="default" w:ascii="Times New Roman" w:hAnsi="Times New Roman" w:cs="Times New Roman"/>
                <w:b/>
                <w:bCs/>
                <w:color w:val="auto"/>
                <w:kern w:val="0"/>
                <w:sz w:val="24"/>
                <w:highlight w:val="none"/>
              </w:rPr>
              <w:t>空气质量持续改善行动</w:t>
            </w:r>
            <w:r>
              <w:rPr>
                <w:rStyle w:val="77"/>
                <w:rFonts w:hint="default" w:ascii="Times New Roman" w:hAnsi="Times New Roman" w:cs="Times New Roman"/>
                <w:b/>
                <w:bCs/>
                <w:color w:val="auto"/>
                <w:kern w:val="0"/>
                <w:sz w:val="24"/>
                <w:highlight w:val="none"/>
                <w:lang w:val="en-US" w:eastAsia="zh-CN"/>
              </w:rPr>
              <w:t>方案</w:t>
            </w:r>
            <w:r>
              <w:rPr>
                <w:rStyle w:val="77"/>
                <w:rFonts w:hint="default" w:ascii="Times New Roman" w:hAnsi="Times New Roman" w:cs="Times New Roman"/>
                <w:b/>
                <w:bCs/>
                <w:color w:val="auto"/>
                <w:kern w:val="0"/>
                <w:sz w:val="24"/>
                <w:highlight w:val="none"/>
              </w:rPr>
              <w:t>》（皖政</w:t>
            </w:r>
            <w:r>
              <w:rPr>
                <w:rFonts w:hint="default" w:ascii="Times New Roman" w:hAnsi="Times New Roman" w:cs="Times New Roman"/>
                <w:b/>
                <w:bCs/>
                <w:color w:val="auto"/>
                <w:spacing w:val="0"/>
                <w:sz w:val="24"/>
              </w:rPr>
              <w:t>[202</w:t>
            </w:r>
            <w:r>
              <w:rPr>
                <w:rFonts w:hint="default" w:ascii="Times New Roman" w:hAnsi="Times New Roman" w:cs="Times New Roman"/>
                <w:b/>
                <w:bCs/>
                <w:color w:val="auto"/>
                <w:spacing w:val="0"/>
                <w:sz w:val="24"/>
                <w:lang w:val="en-US" w:eastAsia="zh-CN"/>
              </w:rPr>
              <w:t>4</w:t>
            </w:r>
            <w:r>
              <w:rPr>
                <w:rFonts w:hint="default" w:ascii="Times New Roman" w:hAnsi="Times New Roman" w:cs="Times New Roman"/>
                <w:b/>
                <w:bCs/>
                <w:color w:val="auto"/>
                <w:spacing w:val="0"/>
                <w:sz w:val="24"/>
              </w:rPr>
              <w:t>]</w:t>
            </w:r>
            <w:r>
              <w:rPr>
                <w:rStyle w:val="77"/>
                <w:rFonts w:hint="default" w:ascii="Times New Roman" w:hAnsi="Times New Roman" w:cs="Times New Roman"/>
                <w:b/>
                <w:bCs/>
                <w:color w:val="auto"/>
                <w:kern w:val="0"/>
                <w:sz w:val="24"/>
                <w:highlight w:val="none"/>
              </w:rPr>
              <w:t>36号）相符性分析</w:t>
            </w:r>
          </w:p>
          <w:p w14:paraId="7B90730C">
            <w:pPr>
              <w:keepNext w:val="0"/>
              <w:keepLines w:val="0"/>
              <w:pageBreakBefore w:val="0"/>
              <w:widowControl w:val="0"/>
              <w:kinsoku/>
              <w:wordWrap/>
              <w:overflowPunct/>
              <w:topLinePunct w:val="0"/>
              <w:autoSpaceDE/>
              <w:autoSpaceDN/>
              <w:bidi w:val="0"/>
              <w:adjustRightInd/>
              <w:snapToGrid/>
              <w:spacing w:beforeAutospacing="0"/>
              <w:jc w:val="center"/>
              <w:textAlignment w:val="auto"/>
              <w:rPr>
                <w:rFonts w:hint="default" w:ascii="Times New Roman" w:hAnsi="Times New Roman" w:eastAsia="宋体" w:cs="Times New Roman"/>
                <w:b/>
                <w:color w:val="auto"/>
                <w:kern w:val="0"/>
                <w:sz w:val="24"/>
                <w:szCs w:val="20"/>
                <w:lang w:val="zh-CN"/>
              </w:rPr>
            </w:pPr>
            <w:r>
              <w:rPr>
                <w:rFonts w:hint="default" w:ascii="Times New Roman" w:hAnsi="Times New Roman" w:eastAsia="宋体" w:cs="Times New Roman"/>
                <w:b/>
                <w:color w:val="auto"/>
                <w:kern w:val="0"/>
                <w:sz w:val="24"/>
                <w:szCs w:val="20"/>
                <w:lang w:val="en-US" w:eastAsia="zh-CN"/>
              </w:rPr>
              <w:t>表1-</w:t>
            </w:r>
            <w:r>
              <w:rPr>
                <w:rFonts w:hint="eastAsia" w:ascii="Times New Roman" w:hAnsi="Times New Roman" w:eastAsia="宋体" w:cs="Times New Roman"/>
                <w:b/>
                <w:color w:val="auto"/>
                <w:kern w:val="0"/>
                <w:sz w:val="24"/>
                <w:szCs w:val="20"/>
                <w:lang w:val="en-US" w:eastAsia="zh-CN"/>
              </w:rPr>
              <w:t>9</w:t>
            </w:r>
            <w:r>
              <w:rPr>
                <w:rFonts w:hint="default" w:ascii="Times New Roman" w:hAnsi="Times New Roman" w:eastAsia="宋体" w:cs="Times New Roman"/>
                <w:b/>
                <w:color w:val="auto"/>
                <w:kern w:val="0"/>
                <w:sz w:val="24"/>
                <w:szCs w:val="20"/>
                <w:lang w:val="en-US" w:eastAsia="zh-CN"/>
              </w:rPr>
              <w:t xml:space="preserve">  </w:t>
            </w:r>
            <w:r>
              <w:rPr>
                <w:rFonts w:hint="default" w:ascii="Times New Roman" w:hAnsi="Times New Roman" w:eastAsia="宋体" w:cs="Times New Roman"/>
                <w:b/>
                <w:color w:val="auto"/>
                <w:kern w:val="0"/>
                <w:sz w:val="24"/>
                <w:szCs w:val="20"/>
                <w:lang w:val="zh-CN"/>
              </w:rPr>
              <w:t>项目与《</w:t>
            </w:r>
            <w:r>
              <w:rPr>
                <w:rFonts w:hint="default" w:ascii="Times New Roman" w:hAnsi="Times New Roman" w:eastAsia="宋体" w:cs="Times New Roman"/>
                <w:b/>
                <w:color w:val="auto"/>
                <w:kern w:val="0"/>
                <w:sz w:val="24"/>
                <w:szCs w:val="20"/>
                <w:lang w:val="en-US" w:eastAsia="zh-CN"/>
              </w:rPr>
              <w:t>安徽省</w:t>
            </w:r>
            <w:r>
              <w:rPr>
                <w:rFonts w:hint="default" w:ascii="Times New Roman" w:hAnsi="Times New Roman" w:eastAsia="宋体" w:cs="Times New Roman"/>
                <w:b/>
                <w:color w:val="auto"/>
                <w:kern w:val="0"/>
                <w:sz w:val="24"/>
                <w:szCs w:val="20"/>
                <w:lang w:val="zh-CN"/>
              </w:rPr>
              <w:t>空气质量持续改善行动</w:t>
            </w:r>
            <w:r>
              <w:rPr>
                <w:rFonts w:hint="default" w:ascii="Times New Roman" w:hAnsi="Times New Roman" w:eastAsia="宋体" w:cs="Times New Roman"/>
                <w:b/>
                <w:color w:val="auto"/>
                <w:kern w:val="0"/>
                <w:sz w:val="24"/>
                <w:szCs w:val="20"/>
                <w:lang w:val="en-US" w:eastAsia="zh-CN"/>
              </w:rPr>
              <w:t>方案</w:t>
            </w:r>
            <w:r>
              <w:rPr>
                <w:rFonts w:hint="default" w:ascii="Times New Roman" w:hAnsi="Times New Roman" w:eastAsia="宋体" w:cs="Times New Roman"/>
                <w:b/>
                <w:color w:val="auto"/>
                <w:kern w:val="0"/>
                <w:sz w:val="24"/>
                <w:szCs w:val="20"/>
                <w:lang w:val="zh-CN"/>
              </w:rPr>
              <w:t>》相符性分析一览表</w:t>
            </w:r>
          </w:p>
          <w:tbl>
            <w:tblPr>
              <w:tblStyle w:val="6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3"/>
              <w:gridCol w:w="3349"/>
              <w:gridCol w:w="2324"/>
              <w:gridCol w:w="763"/>
            </w:tblGrid>
            <w:tr w14:paraId="3A70B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6" w:type="pct"/>
                  <w:tcBorders>
                    <w:tl2br w:val="nil"/>
                    <w:tr2bl w:val="nil"/>
                  </w:tcBorders>
                  <w:noWrap w:val="0"/>
                  <w:vAlign w:val="center"/>
                </w:tcPr>
                <w:p w14:paraId="2C225195">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序号</w:t>
                  </w:r>
                </w:p>
              </w:tc>
              <w:tc>
                <w:tcPr>
                  <w:tcW w:w="2395" w:type="pct"/>
                  <w:tcBorders>
                    <w:tl2br w:val="nil"/>
                    <w:tr2bl w:val="nil"/>
                  </w:tcBorders>
                  <w:noWrap w:val="0"/>
                  <w:vAlign w:val="center"/>
                </w:tcPr>
                <w:p w14:paraId="6223B43D">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内容要求</w:t>
                  </w:r>
                </w:p>
              </w:tc>
              <w:tc>
                <w:tcPr>
                  <w:tcW w:w="1662" w:type="pct"/>
                  <w:tcBorders>
                    <w:tl2br w:val="nil"/>
                    <w:tr2bl w:val="nil"/>
                  </w:tcBorders>
                  <w:noWrap w:val="0"/>
                  <w:vAlign w:val="center"/>
                </w:tcPr>
                <w:p w14:paraId="52CE4F2E">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项目拟建设情况</w:t>
                  </w:r>
                </w:p>
              </w:tc>
              <w:tc>
                <w:tcPr>
                  <w:tcW w:w="546" w:type="pct"/>
                  <w:tcBorders>
                    <w:tl2br w:val="nil"/>
                    <w:tr2bl w:val="nil"/>
                  </w:tcBorders>
                  <w:noWrap w:val="0"/>
                  <w:vAlign w:val="center"/>
                </w:tcPr>
                <w:p w14:paraId="15ADB635">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相符性</w:t>
                  </w:r>
                </w:p>
              </w:tc>
            </w:tr>
            <w:tr w14:paraId="4C80C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6" w:type="pct"/>
                  <w:tcBorders>
                    <w:tl2br w:val="nil"/>
                    <w:tr2bl w:val="nil"/>
                  </w:tcBorders>
                  <w:noWrap w:val="0"/>
                  <w:vAlign w:val="center"/>
                </w:tcPr>
                <w:p w14:paraId="14806A64">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2395" w:type="pct"/>
                  <w:tcBorders>
                    <w:tl2br w:val="nil"/>
                    <w:tr2bl w:val="nil"/>
                  </w:tcBorders>
                  <w:noWrap w:val="0"/>
                  <w:vAlign w:val="center"/>
                </w:tcPr>
                <w:p w14:paraId="035B4B0D">
                  <w:pPr>
                    <w:jc w:val="center"/>
                    <w:rPr>
                      <w:rFonts w:hint="default" w:ascii="Times New Roman" w:hAnsi="Times New Roman" w:cs="Times New Roman"/>
                      <w:color w:val="auto"/>
                      <w:szCs w:val="21"/>
                    </w:rPr>
                  </w:pPr>
                  <w:r>
                    <w:rPr>
                      <w:rFonts w:hint="default" w:ascii="Times New Roman" w:hAnsi="Times New Roman" w:cs="Times New Roman"/>
                      <w:color w:val="auto"/>
                      <w:szCs w:val="21"/>
                    </w:rPr>
                    <w:t>坚决遏制高耗能、高排放、低水平项目盲目上马。新改扩建项目严格落实国家产业规划、产业政策、生态环境分区管控方案、规划环评、项目环评、节能审查、产能置换、重点污染物总量控制、污染物排放区域削减、碳排放达峰目标等相关要求，原则上采用清洁运输方式。实施“高污染、高耗能”项目部门联审，源头管控低水平项目上马。制定实施安徽省加强生态环境分区管控方案。严格落实产能置换要求，不以任何名义、任何方式核准、备案产能严重过剩行业新增产能项目，被置换产能及其配套设施关停后，新建项目方可投产。</w:t>
                  </w:r>
                </w:p>
              </w:tc>
              <w:tc>
                <w:tcPr>
                  <w:tcW w:w="1662" w:type="pct"/>
                  <w:tcBorders>
                    <w:tl2br w:val="nil"/>
                    <w:tr2bl w:val="nil"/>
                  </w:tcBorders>
                  <w:noWrap w:val="0"/>
                  <w:vAlign w:val="center"/>
                </w:tcPr>
                <w:p w14:paraId="3A064E6A">
                  <w:pPr>
                    <w:jc w:val="center"/>
                    <w:rPr>
                      <w:rFonts w:hint="default" w:ascii="Times New Roman" w:hAnsi="Times New Roman" w:cs="Times New Roman"/>
                      <w:color w:val="auto"/>
                      <w:szCs w:val="21"/>
                    </w:rPr>
                  </w:pPr>
                  <w:r>
                    <w:rPr>
                      <w:rFonts w:hint="default" w:ascii="Times New Roman" w:hAnsi="Times New Roman" w:cs="Times New Roman"/>
                      <w:color w:val="auto"/>
                      <w:szCs w:val="21"/>
                    </w:rPr>
                    <w:t>本项目不属于高能耗、高排放、低水平项目，符合产业政策和规划；不涉及产能置换，不属于钢铁、焦化等产业。</w:t>
                  </w:r>
                </w:p>
              </w:tc>
              <w:tc>
                <w:tcPr>
                  <w:tcW w:w="546" w:type="pct"/>
                  <w:tcBorders>
                    <w:tl2br w:val="nil"/>
                    <w:tr2bl w:val="nil"/>
                  </w:tcBorders>
                  <w:noWrap w:val="0"/>
                  <w:vAlign w:val="center"/>
                </w:tcPr>
                <w:p w14:paraId="06E2D146">
                  <w:pPr>
                    <w:jc w:val="center"/>
                    <w:rPr>
                      <w:rFonts w:hint="default" w:ascii="Times New Roman" w:hAnsi="Times New Roman" w:cs="Times New Roman"/>
                      <w:color w:val="auto"/>
                      <w:szCs w:val="21"/>
                    </w:rPr>
                  </w:pPr>
                  <w:r>
                    <w:rPr>
                      <w:rFonts w:hint="default" w:ascii="Times New Roman" w:hAnsi="Times New Roman" w:cs="Times New Roman"/>
                      <w:color w:val="auto"/>
                      <w:szCs w:val="21"/>
                    </w:rPr>
                    <w:t>符合</w:t>
                  </w:r>
                </w:p>
              </w:tc>
            </w:tr>
            <w:tr w14:paraId="1E5B5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6" w:type="pct"/>
                  <w:tcBorders>
                    <w:tl2br w:val="nil"/>
                    <w:tr2bl w:val="nil"/>
                  </w:tcBorders>
                  <w:noWrap w:val="0"/>
                  <w:vAlign w:val="center"/>
                </w:tcPr>
                <w:p w14:paraId="22D685CE">
                  <w:pPr>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2395" w:type="pct"/>
                  <w:tcBorders>
                    <w:tl2br w:val="nil"/>
                    <w:tr2bl w:val="nil"/>
                  </w:tcBorders>
                  <w:noWrap w:val="0"/>
                  <w:vAlign w:val="center"/>
                </w:tcPr>
                <w:p w14:paraId="2BC06F36">
                  <w:pPr>
                    <w:jc w:val="center"/>
                    <w:rPr>
                      <w:rFonts w:hint="default" w:ascii="Times New Roman" w:hAnsi="Times New Roman" w:cs="Times New Roman"/>
                      <w:color w:val="auto"/>
                      <w:szCs w:val="21"/>
                    </w:rPr>
                  </w:pPr>
                  <w:r>
                    <w:rPr>
                      <w:rFonts w:hint="default" w:ascii="Times New Roman" w:hAnsi="Times New Roman" w:cs="Times New Roman"/>
                      <w:color w:val="auto"/>
                      <w:szCs w:val="21"/>
                    </w:rPr>
                    <w:t>有序推动落后产能淘汰。严格执行《产业结构调整指导目录》。综合运用能耗、环保、质量、安全、技术等要求，依法依规推动落后产能退出，逐步退出限制类涉气行业工艺和装备。有序推动生产设施老旧、工艺水平落后、环境管理水平低下的独立焦化、烧结、球团、热轧企业和落后煤炭洗选企业退出市场。逐步淘汰步进式烧结机和球团竖炉以及半封闭式硅锰合金、镍铁、高碳铬铁、高碳锰铁电炉。严禁违规新增钢铁、水泥（熟料）、焦化、电解铝、平板玻璃（不含光伏压延玻璃）产能。鼓励钢铁行业龙头企业实施兼并重组，到2025年，短流程炼钢产量占比达15%。</w:t>
                  </w:r>
                </w:p>
              </w:tc>
              <w:tc>
                <w:tcPr>
                  <w:tcW w:w="1662" w:type="pct"/>
                  <w:tcBorders>
                    <w:tl2br w:val="nil"/>
                    <w:tr2bl w:val="nil"/>
                  </w:tcBorders>
                  <w:noWrap w:val="0"/>
                  <w:vAlign w:val="center"/>
                </w:tcPr>
                <w:p w14:paraId="6F992B4D">
                  <w:pPr>
                    <w:jc w:val="center"/>
                    <w:rPr>
                      <w:rFonts w:hint="default" w:ascii="Times New Roman" w:hAnsi="Times New Roman" w:cs="Times New Roman"/>
                      <w:color w:val="auto"/>
                      <w:szCs w:val="21"/>
                    </w:rPr>
                  </w:pPr>
                  <w:r>
                    <w:rPr>
                      <w:rFonts w:hint="default" w:ascii="Times New Roman" w:hAnsi="Times New Roman" w:cs="Times New Roman"/>
                      <w:color w:val="auto"/>
                      <w:szCs w:val="21"/>
                    </w:rPr>
                    <w:t>本项目不属于钢铁、</w:t>
                  </w:r>
                  <w:r>
                    <w:rPr>
                      <w:rFonts w:hint="default" w:ascii="Times New Roman" w:hAnsi="Times New Roman" w:cs="Times New Roman"/>
                      <w:color w:val="auto"/>
                      <w:szCs w:val="21"/>
                      <w:lang w:val="en-US" w:eastAsia="zh-CN"/>
                    </w:rPr>
                    <w:t>水泥、</w:t>
                  </w:r>
                  <w:r>
                    <w:rPr>
                      <w:rFonts w:hint="default" w:ascii="Times New Roman" w:hAnsi="Times New Roman" w:cs="Times New Roman"/>
                      <w:color w:val="auto"/>
                      <w:szCs w:val="21"/>
                    </w:rPr>
                    <w:t>焦化、电解铝等产业。</w:t>
                  </w:r>
                </w:p>
              </w:tc>
              <w:tc>
                <w:tcPr>
                  <w:tcW w:w="546" w:type="pct"/>
                  <w:tcBorders>
                    <w:tl2br w:val="nil"/>
                    <w:tr2bl w:val="nil"/>
                  </w:tcBorders>
                  <w:noWrap w:val="0"/>
                  <w:vAlign w:val="center"/>
                </w:tcPr>
                <w:p w14:paraId="5A180FB3">
                  <w:pPr>
                    <w:jc w:val="center"/>
                    <w:rPr>
                      <w:rFonts w:hint="default" w:ascii="Times New Roman" w:hAnsi="Times New Roman" w:cs="Times New Roman"/>
                      <w:color w:val="auto"/>
                      <w:szCs w:val="21"/>
                    </w:rPr>
                  </w:pPr>
                  <w:r>
                    <w:rPr>
                      <w:rFonts w:hint="default" w:ascii="Times New Roman" w:hAnsi="Times New Roman" w:cs="Times New Roman"/>
                      <w:color w:val="auto"/>
                      <w:szCs w:val="21"/>
                    </w:rPr>
                    <w:t>符合</w:t>
                  </w:r>
                </w:p>
              </w:tc>
            </w:tr>
            <w:tr w14:paraId="03C65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6" w:type="pct"/>
                  <w:tcBorders>
                    <w:tl2br w:val="nil"/>
                    <w:tr2bl w:val="nil"/>
                  </w:tcBorders>
                  <w:noWrap w:val="0"/>
                  <w:vAlign w:val="center"/>
                </w:tcPr>
                <w:p w14:paraId="3DDB2BBB">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2395" w:type="pct"/>
                  <w:tcBorders>
                    <w:tl2br w:val="nil"/>
                    <w:tr2bl w:val="nil"/>
                  </w:tcBorders>
                  <w:noWrap w:val="0"/>
                  <w:vAlign w:val="center"/>
                </w:tcPr>
                <w:p w14:paraId="50E91B8E">
                  <w:pPr>
                    <w:jc w:val="center"/>
                    <w:rPr>
                      <w:rFonts w:hint="default" w:ascii="Times New Roman" w:hAnsi="Times New Roman" w:cs="Times New Roman"/>
                      <w:color w:val="auto"/>
                      <w:szCs w:val="21"/>
                    </w:rPr>
                  </w:pPr>
                  <w:r>
                    <w:rPr>
                      <w:rFonts w:hint="default" w:ascii="Times New Roman" w:hAnsi="Times New Roman" w:cs="Times New Roman"/>
                      <w:color w:val="auto"/>
                      <w:szCs w:val="21"/>
                    </w:rPr>
                    <w:t>开展传统产业集群排查整治。中小型传统制造企业集中的涉气产业集群要制定发展规划。开展石灰岩、陶瓷等涉气产业集群排查及分类治理，“一群一策”制定整治提升方案，实施拉单挂账式管理，依法淘汰关停一批、搬迁入园一批、就地改造一批、做优做强一批。高水平打造皖北等承接产业转移集聚区，持续加强产业集群环境治理。结合“绿岛”项目等因地制宜建设集中供热中心、集中涂装中心、有机溶剂集中回收中心、活性炭再生中心；推进建设钣喷共享中心，配套建设适宜高效VOCs治理设施。</w:t>
                  </w:r>
                </w:p>
              </w:tc>
              <w:tc>
                <w:tcPr>
                  <w:tcW w:w="1662" w:type="pct"/>
                  <w:tcBorders>
                    <w:tl2br w:val="nil"/>
                    <w:tr2bl w:val="nil"/>
                  </w:tcBorders>
                  <w:noWrap w:val="0"/>
                  <w:vAlign w:val="center"/>
                </w:tcPr>
                <w:p w14:paraId="3C5D8C5E">
                  <w:pPr>
                    <w:jc w:val="center"/>
                    <w:rPr>
                      <w:rFonts w:hint="default" w:ascii="Times New Roman" w:hAnsi="Times New Roman" w:cs="Times New Roman"/>
                      <w:color w:val="auto"/>
                      <w:szCs w:val="21"/>
                    </w:rPr>
                  </w:pPr>
                  <w:r>
                    <w:rPr>
                      <w:rFonts w:hint="default" w:ascii="Times New Roman" w:hAnsi="Times New Roman" w:cs="Times New Roman"/>
                      <w:color w:val="auto"/>
                      <w:szCs w:val="21"/>
                      <w:highlight w:val="none"/>
                    </w:rPr>
                    <w:t>本项目</w:t>
                  </w:r>
                  <w:r>
                    <w:rPr>
                      <w:rFonts w:hint="eastAsia" w:ascii="Times New Roman" w:hAnsi="Times New Roman" w:cs="Times New Roman"/>
                      <w:color w:val="auto"/>
                      <w:szCs w:val="21"/>
                      <w:highlight w:val="none"/>
                      <w:lang w:val="en-US" w:eastAsia="zh-CN"/>
                    </w:rPr>
                    <w:t>锻压脱模</w:t>
                  </w:r>
                  <w:r>
                    <w:rPr>
                      <w:rFonts w:hint="default" w:ascii="Times New Roman" w:hAnsi="Times New Roman" w:cs="Times New Roman"/>
                      <w:color w:val="auto"/>
                      <w:szCs w:val="21"/>
                      <w:highlight w:val="none"/>
                      <w:lang w:val="en-US" w:eastAsia="zh-CN"/>
                    </w:rPr>
                    <w:t>产生的有机废气经集气罩收集+</w:t>
                  </w:r>
                  <w:r>
                    <w:rPr>
                      <w:rFonts w:hint="eastAsia" w:ascii="Times New Roman" w:hAnsi="Times New Roman" w:cs="Times New Roman"/>
                      <w:color w:val="auto"/>
                      <w:szCs w:val="21"/>
                      <w:highlight w:val="none"/>
                      <w:lang w:val="en-US" w:eastAsia="zh-CN"/>
                    </w:rPr>
                    <w:t>两</w:t>
                  </w:r>
                  <w:r>
                    <w:rPr>
                      <w:rFonts w:hint="default" w:ascii="Times New Roman" w:hAnsi="Times New Roman" w:cs="Times New Roman"/>
                      <w:color w:val="auto"/>
                      <w:szCs w:val="21"/>
                      <w:highlight w:val="none"/>
                      <w:lang w:val="en-US" w:eastAsia="zh-CN"/>
                    </w:rPr>
                    <w:t>级活性炭吸附处理后通过18m排气筒高空排放。</w:t>
                  </w:r>
                </w:p>
              </w:tc>
              <w:tc>
                <w:tcPr>
                  <w:tcW w:w="546" w:type="pct"/>
                  <w:tcBorders>
                    <w:tl2br w:val="nil"/>
                    <w:tr2bl w:val="nil"/>
                  </w:tcBorders>
                  <w:noWrap w:val="0"/>
                  <w:vAlign w:val="center"/>
                </w:tcPr>
                <w:p w14:paraId="26BE4B88">
                  <w:pPr>
                    <w:jc w:val="center"/>
                    <w:rPr>
                      <w:rFonts w:hint="default" w:ascii="Times New Roman" w:hAnsi="Times New Roman" w:cs="Times New Roman"/>
                      <w:b/>
                      <w:bCs/>
                      <w:color w:val="auto"/>
                      <w:szCs w:val="21"/>
                    </w:rPr>
                  </w:pPr>
                  <w:r>
                    <w:rPr>
                      <w:rFonts w:hint="default" w:ascii="Times New Roman" w:hAnsi="Times New Roman" w:cs="Times New Roman"/>
                      <w:color w:val="auto"/>
                      <w:szCs w:val="21"/>
                    </w:rPr>
                    <w:t>符合</w:t>
                  </w:r>
                </w:p>
              </w:tc>
            </w:tr>
            <w:tr w14:paraId="5E252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6" w:type="pct"/>
                  <w:tcBorders>
                    <w:tl2br w:val="nil"/>
                    <w:tr2bl w:val="nil"/>
                  </w:tcBorders>
                  <w:noWrap w:val="0"/>
                  <w:vAlign w:val="center"/>
                </w:tcPr>
                <w:p w14:paraId="4E501F7C">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2395" w:type="pct"/>
                  <w:tcBorders>
                    <w:tl2br w:val="nil"/>
                    <w:tr2bl w:val="nil"/>
                  </w:tcBorders>
                  <w:noWrap w:val="0"/>
                  <w:vAlign w:val="center"/>
                </w:tcPr>
                <w:p w14:paraId="3ACBD5E6">
                  <w:pPr>
                    <w:jc w:val="center"/>
                    <w:rPr>
                      <w:rFonts w:hint="default" w:ascii="Times New Roman" w:hAnsi="Times New Roman" w:cs="Times New Roman"/>
                      <w:color w:val="auto"/>
                      <w:szCs w:val="21"/>
                    </w:rPr>
                  </w:pPr>
                  <w:r>
                    <w:rPr>
                      <w:rFonts w:hint="default" w:ascii="Times New Roman" w:hAnsi="Times New Roman" w:cs="Times New Roman"/>
                      <w:color w:val="auto"/>
                      <w:szCs w:val="21"/>
                    </w:rPr>
                    <w:t>推动新能源和节能环保等产业健康发展。深化新能源和节能环保产业“双招双引”，在低（无）VOCs含量原辅材料生产和使用、VOCs污染治理、超低排放、环境和大气成分监测等领域支持培育一批技术水平高、市场竞争力强的龙头企业。加快发展新能源汽车和智能网联汽车等战略性新兴产业。开展招标投标领域优化营商环境对标提升行动，系统治理环保领域低价低质中标乱象，营造公平竞争环境，推动产业健康有序发展。</w:t>
                  </w:r>
                </w:p>
              </w:tc>
              <w:tc>
                <w:tcPr>
                  <w:tcW w:w="1662" w:type="pct"/>
                  <w:tcBorders>
                    <w:tl2br w:val="nil"/>
                    <w:tr2bl w:val="nil"/>
                  </w:tcBorders>
                  <w:noWrap w:val="0"/>
                  <w:vAlign w:val="center"/>
                </w:tcPr>
                <w:p w14:paraId="775FCE5A">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本项目使用的原辅料为</w:t>
                  </w:r>
                  <w:r>
                    <w:rPr>
                      <w:rFonts w:hint="eastAsia" w:ascii="Times New Roman" w:hAnsi="Times New Roman" w:cs="Times New Roman"/>
                      <w:color w:val="auto"/>
                      <w:sz w:val="21"/>
                      <w:szCs w:val="21"/>
                      <w:lang w:val="en-US" w:eastAsia="zh-CN"/>
                    </w:rPr>
                    <w:t>水性淬火液、水性脱模剂</w:t>
                  </w:r>
                  <w:r>
                    <w:rPr>
                      <w:rFonts w:hint="default" w:ascii="Times New Roman" w:hAnsi="Times New Roman" w:cs="Times New Roman"/>
                      <w:color w:val="auto"/>
                      <w:szCs w:val="21"/>
                      <w:lang w:val="en-US" w:eastAsia="zh-CN"/>
                    </w:rPr>
                    <w:t>，为低</w:t>
                  </w:r>
                  <w:r>
                    <w:rPr>
                      <w:rFonts w:hint="default" w:ascii="Times New Roman" w:hAnsi="Times New Roman" w:cs="Times New Roman"/>
                      <w:color w:val="auto"/>
                      <w:szCs w:val="21"/>
                    </w:rPr>
                    <w:t>VOCs含量原辅材料</w:t>
                  </w:r>
                  <w:r>
                    <w:rPr>
                      <w:rFonts w:hint="default" w:ascii="Times New Roman" w:hAnsi="Times New Roman" w:cs="Times New Roman"/>
                      <w:color w:val="auto"/>
                      <w:szCs w:val="21"/>
                      <w:lang w:eastAsia="zh-CN"/>
                    </w:rPr>
                    <w:t>。</w:t>
                  </w:r>
                  <w:r>
                    <w:rPr>
                      <w:rFonts w:hint="eastAsia" w:ascii="Times New Roman" w:hAnsi="Times New Roman" w:cs="Times New Roman"/>
                      <w:color w:val="auto"/>
                      <w:szCs w:val="21"/>
                      <w:highlight w:val="none"/>
                      <w:lang w:val="en-US" w:eastAsia="zh-CN"/>
                    </w:rPr>
                    <w:t>锻压脱模</w:t>
                  </w:r>
                  <w:r>
                    <w:rPr>
                      <w:rFonts w:hint="default" w:ascii="Times New Roman" w:hAnsi="Times New Roman" w:cs="Times New Roman"/>
                      <w:color w:val="auto"/>
                      <w:szCs w:val="21"/>
                      <w:highlight w:val="none"/>
                      <w:lang w:val="en-US" w:eastAsia="zh-CN"/>
                    </w:rPr>
                    <w:t>产生的有机废气经集气罩收集+</w:t>
                  </w:r>
                  <w:r>
                    <w:rPr>
                      <w:rFonts w:hint="eastAsia" w:ascii="Times New Roman" w:hAnsi="Times New Roman" w:cs="Times New Roman"/>
                      <w:color w:val="auto"/>
                      <w:szCs w:val="21"/>
                      <w:highlight w:val="none"/>
                      <w:lang w:val="en-US" w:eastAsia="zh-CN"/>
                    </w:rPr>
                    <w:t>两级</w:t>
                  </w:r>
                  <w:r>
                    <w:rPr>
                      <w:rFonts w:hint="default" w:ascii="Times New Roman" w:hAnsi="Times New Roman" w:cs="Times New Roman"/>
                      <w:color w:val="auto"/>
                      <w:szCs w:val="21"/>
                      <w:highlight w:val="none"/>
                      <w:lang w:val="en-US" w:eastAsia="zh-CN"/>
                    </w:rPr>
                    <w:t>活性炭吸附处理后通过18m排气筒高空排放。</w:t>
                  </w:r>
                </w:p>
              </w:tc>
              <w:tc>
                <w:tcPr>
                  <w:tcW w:w="546" w:type="pct"/>
                  <w:tcBorders>
                    <w:tl2br w:val="nil"/>
                    <w:tr2bl w:val="nil"/>
                  </w:tcBorders>
                  <w:noWrap w:val="0"/>
                  <w:vAlign w:val="center"/>
                </w:tcPr>
                <w:p w14:paraId="0B856961">
                  <w:pPr>
                    <w:jc w:val="center"/>
                    <w:rPr>
                      <w:rFonts w:hint="default" w:ascii="Times New Roman" w:hAnsi="Times New Roman" w:cs="Times New Roman"/>
                      <w:color w:val="auto"/>
                      <w:szCs w:val="21"/>
                    </w:rPr>
                  </w:pPr>
                  <w:r>
                    <w:rPr>
                      <w:rFonts w:hint="default" w:ascii="Times New Roman" w:hAnsi="Times New Roman" w:cs="Times New Roman"/>
                      <w:color w:val="auto"/>
                      <w:szCs w:val="21"/>
                    </w:rPr>
                    <w:t>符合</w:t>
                  </w:r>
                </w:p>
              </w:tc>
            </w:tr>
            <w:tr w14:paraId="1E14B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6" w:type="pct"/>
                  <w:tcBorders>
                    <w:tl2br w:val="nil"/>
                    <w:tr2bl w:val="nil"/>
                  </w:tcBorders>
                  <w:noWrap w:val="0"/>
                  <w:vAlign w:val="center"/>
                </w:tcPr>
                <w:p w14:paraId="5E2266C9">
                  <w:pPr>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c>
                <w:tcPr>
                  <w:tcW w:w="2395" w:type="pct"/>
                  <w:tcBorders>
                    <w:tl2br w:val="nil"/>
                    <w:tr2bl w:val="nil"/>
                  </w:tcBorders>
                  <w:noWrap w:val="0"/>
                  <w:vAlign w:val="center"/>
                </w:tcPr>
                <w:p w14:paraId="13CF4A8C">
                  <w:pPr>
                    <w:jc w:val="center"/>
                    <w:rPr>
                      <w:rFonts w:hint="default" w:ascii="Times New Roman" w:hAnsi="Times New Roman" w:cs="Times New Roman"/>
                      <w:color w:val="auto"/>
                      <w:szCs w:val="21"/>
                    </w:rPr>
                  </w:pPr>
                  <w:r>
                    <w:rPr>
                      <w:rFonts w:hint="default" w:ascii="Times New Roman" w:hAnsi="Times New Roman" w:cs="Times New Roman"/>
                      <w:color w:val="auto"/>
                      <w:szCs w:val="21"/>
                    </w:rPr>
                    <w:t>推动工业炉窑清洁能源替代。有序推进工业领域电能替代，提高电气化水平，推动大用户直供气，降低供气成本。重点区域不再新增燃料类煤气发生炉，新改扩建加热炉、热处理炉、干燥炉、熔化炉原则上采用清洁低碳能源。燃料类煤气发生炉实施清洁能源替代，或因地制宜采取园区（集群）集中供气、分散使用方式。逐步淘汰固定床间歇式煤气发生炉，鼓励现有煤气发生炉“小改大”。安全稳妥推进使用高污染燃料的工业炉窑改用工业余热、电能、天然气等，推动石油焦、重油等高污染燃料逐步替代。</w:t>
                  </w:r>
                </w:p>
              </w:tc>
              <w:tc>
                <w:tcPr>
                  <w:tcW w:w="1662" w:type="pct"/>
                  <w:tcBorders>
                    <w:tl2br w:val="nil"/>
                    <w:tr2bl w:val="nil"/>
                  </w:tcBorders>
                  <w:noWrap w:val="0"/>
                  <w:vAlign w:val="center"/>
                </w:tcPr>
                <w:p w14:paraId="30F284E6">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本项目</w:t>
                  </w:r>
                  <w:r>
                    <w:rPr>
                      <w:rFonts w:hint="eastAsia" w:ascii="Times New Roman" w:hAnsi="Times New Roman" w:eastAsia="宋体" w:cs="Times New Roman"/>
                      <w:color w:val="auto"/>
                      <w:szCs w:val="21"/>
                      <w:lang w:val="en-US" w:eastAsia="zh-CN"/>
                    </w:rPr>
                    <w:t>不涉及工业炉窑</w:t>
                  </w:r>
                </w:p>
              </w:tc>
              <w:tc>
                <w:tcPr>
                  <w:tcW w:w="546" w:type="pct"/>
                  <w:tcBorders>
                    <w:tl2br w:val="nil"/>
                    <w:tr2bl w:val="nil"/>
                  </w:tcBorders>
                  <w:noWrap w:val="0"/>
                  <w:vAlign w:val="center"/>
                </w:tcPr>
                <w:p w14:paraId="25625BC5">
                  <w:pPr>
                    <w:jc w:val="center"/>
                    <w:rPr>
                      <w:rFonts w:hint="default" w:ascii="Times New Roman" w:hAnsi="Times New Roman" w:cs="Times New Roman"/>
                      <w:color w:val="auto"/>
                      <w:szCs w:val="21"/>
                    </w:rPr>
                  </w:pPr>
                  <w:r>
                    <w:rPr>
                      <w:rFonts w:hint="default" w:ascii="Times New Roman" w:hAnsi="Times New Roman" w:cs="Times New Roman"/>
                      <w:color w:val="auto"/>
                      <w:szCs w:val="21"/>
                    </w:rPr>
                    <w:t>符合</w:t>
                  </w:r>
                </w:p>
              </w:tc>
            </w:tr>
          </w:tbl>
          <w:p w14:paraId="2D67EC62">
            <w:pPr>
              <w:spacing w:line="360" w:lineRule="auto"/>
              <w:ind w:firstLine="482" w:firstLineChars="200"/>
              <w:rPr>
                <w:rStyle w:val="77"/>
                <w:rFonts w:hint="default" w:ascii="Times New Roman" w:hAnsi="Times New Roman" w:cs="Times New Roman"/>
                <w:b/>
                <w:bCs/>
                <w:color w:val="auto"/>
                <w:kern w:val="0"/>
                <w:sz w:val="24"/>
                <w:highlight w:val="none"/>
              </w:rPr>
            </w:pPr>
            <w:r>
              <w:rPr>
                <w:rFonts w:hint="default" w:ascii="Times New Roman" w:hAnsi="Times New Roman" w:cs="Times New Roman"/>
                <w:b/>
                <w:bCs/>
                <w:color w:val="auto"/>
                <w:sz w:val="24"/>
                <w:lang w:val="en-US" w:eastAsia="zh-CN"/>
              </w:rPr>
              <w:t>11、</w:t>
            </w:r>
            <w:r>
              <w:rPr>
                <w:rFonts w:hint="default" w:ascii="Times New Roman" w:hAnsi="Times New Roman" w:cs="Times New Roman"/>
                <w:b/>
                <w:bCs/>
                <w:color w:val="auto"/>
                <w:sz w:val="24"/>
              </w:rPr>
              <w:t>与</w:t>
            </w:r>
            <w:r>
              <w:rPr>
                <w:rFonts w:hint="default" w:ascii="Times New Roman" w:hAnsi="Times New Roman" w:cs="Times New Roman"/>
                <w:b/>
                <w:bCs/>
                <w:color w:val="auto"/>
                <w:sz w:val="24"/>
                <w:lang w:val="en-US" w:eastAsia="zh-CN"/>
              </w:rPr>
              <w:t>芜湖市</w:t>
            </w:r>
            <w:r>
              <w:rPr>
                <w:rFonts w:hint="default" w:ascii="Times New Roman" w:hAnsi="Times New Roman" w:cs="Times New Roman"/>
                <w:b/>
                <w:bCs/>
                <w:color w:val="auto"/>
                <w:sz w:val="24"/>
              </w:rPr>
              <w:t>生态环境保护委员会办公室关于印发《</w:t>
            </w:r>
            <w:r>
              <w:rPr>
                <w:rFonts w:hint="default" w:ascii="Times New Roman" w:hAnsi="Times New Roman" w:cs="Times New Roman"/>
                <w:b/>
                <w:bCs/>
                <w:color w:val="auto"/>
                <w:sz w:val="24"/>
                <w:lang w:val="en-US" w:eastAsia="zh-CN"/>
              </w:rPr>
              <w:t>芜湖市2024-2025年大气污染防治重点任务攻坚工作方案</w:t>
            </w:r>
            <w:r>
              <w:rPr>
                <w:rFonts w:hint="default" w:ascii="Times New Roman" w:hAnsi="Times New Roman" w:cs="Times New Roman"/>
                <w:b/>
                <w:bCs/>
                <w:color w:val="auto"/>
                <w:sz w:val="24"/>
              </w:rPr>
              <w:t>》的通知（</w:t>
            </w:r>
            <w:r>
              <w:rPr>
                <w:rFonts w:hint="default" w:ascii="Times New Roman" w:hAnsi="Times New Roman" w:cs="Times New Roman"/>
                <w:b/>
                <w:bCs/>
                <w:color w:val="auto"/>
                <w:sz w:val="24"/>
                <w:lang w:val="en-US" w:eastAsia="zh-CN"/>
              </w:rPr>
              <w:t>芜</w:t>
            </w:r>
            <w:r>
              <w:rPr>
                <w:rFonts w:hint="default" w:ascii="Times New Roman" w:hAnsi="Times New Roman" w:cs="Times New Roman"/>
                <w:b/>
                <w:bCs/>
                <w:color w:val="auto"/>
                <w:sz w:val="24"/>
              </w:rPr>
              <w:t>环委办</w:t>
            </w:r>
            <w:r>
              <w:rPr>
                <w:rFonts w:hint="default" w:ascii="Times New Roman" w:hAnsi="Times New Roman" w:cs="Times New Roman"/>
                <w:b/>
                <w:bCs/>
                <w:color w:val="auto"/>
                <w:spacing w:val="0"/>
                <w:sz w:val="24"/>
              </w:rPr>
              <w:t>[202</w:t>
            </w:r>
            <w:r>
              <w:rPr>
                <w:rFonts w:hint="default" w:ascii="Times New Roman" w:hAnsi="Times New Roman" w:cs="Times New Roman"/>
                <w:b/>
                <w:bCs/>
                <w:color w:val="auto"/>
                <w:spacing w:val="0"/>
                <w:sz w:val="24"/>
                <w:lang w:val="en-US" w:eastAsia="zh-CN"/>
              </w:rPr>
              <w:t>4</w:t>
            </w:r>
            <w:r>
              <w:rPr>
                <w:rFonts w:hint="default" w:ascii="Times New Roman" w:hAnsi="Times New Roman" w:cs="Times New Roman"/>
                <w:b/>
                <w:bCs/>
                <w:color w:val="auto"/>
                <w:spacing w:val="0"/>
                <w:sz w:val="24"/>
              </w:rPr>
              <w:t>]</w:t>
            </w:r>
            <w:r>
              <w:rPr>
                <w:rFonts w:hint="default" w:ascii="Times New Roman" w:hAnsi="Times New Roman" w:cs="Times New Roman"/>
                <w:b/>
                <w:bCs/>
                <w:color w:val="auto"/>
                <w:sz w:val="24"/>
                <w:lang w:val="en-US" w:eastAsia="zh-CN"/>
              </w:rPr>
              <w:t>12</w:t>
            </w:r>
            <w:r>
              <w:rPr>
                <w:rFonts w:hint="default" w:ascii="Times New Roman" w:hAnsi="Times New Roman" w:cs="Times New Roman"/>
                <w:b/>
                <w:bCs/>
                <w:color w:val="auto"/>
                <w:sz w:val="24"/>
              </w:rPr>
              <w:t>号）相符性</w:t>
            </w:r>
          </w:p>
          <w:p w14:paraId="28AC4ECE">
            <w:pPr>
              <w:keepNext w:val="0"/>
              <w:keepLines w:val="0"/>
              <w:pageBreakBefore w:val="0"/>
              <w:widowControl w:val="0"/>
              <w:kinsoku/>
              <w:wordWrap/>
              <w:overflowPunct/>
              <w:topLinePunct w:val="0"/>
              <w:autoSpaceDE/>
              <w:autoSpaceDN/>
              <w:bidi w:val="0"/>
              <w:adjustRightInd/>
              <w:snapToGrid/>
              <w:spacing w:beforeAutospacing="0"/>
              <w:jc w:val="center"/>
              <w:textAlignment w:val="auto"/>
              <w:rPr>
                <w:rFonts w:hint="default" w:ascii="Times New Roman" w:hAnsi="Times New Roman" w:eastAsia="宋体" w:cs="Times New Roman"/>
                <w:b/>
                <w:color w:val="auto"/>
                <w:kern w:val="0"/>
                <w:sz w:val="24"/>
                <w:szCs w:val="20"/>
                <w:lang w:val="zh-CN"/>
              </w:rPr>
            </w:pPr>
            <w:r>
              <w:rPr>
                <w:rFonts w:hint="default" w:ascii="Times New Roman" w:hAnsi="Times New Roman" w:eastAsia="宋体" w:cs="Times New Roman"/>
                <w:b/>
                <w:color w:val="auto"/>
                <w:kern w:val="0"/>
                <w:sz w:val="24"/>
                <w:szCs w:val="20"/>
                <w:lang w:val="en-US" w:eastAsia="zh-CN"/>
              </w:rPr>
              <w:t>表1-1</w:t>
            </w:r>
            <w:r>
              <w:rPr>
                <w:rFonts w:hint="eastAsia" w:ascii="Times New Roman" w:hAnsi="Times New Roman" w:eastAsia="宋体" w:cs="Times New Roman"/>
                <w:b/>
                <w:color w:val="auto"/>
                <w:kern w:val="0"/>
                <w:sz w:val="24"/>
                <w:szCs w:val="20"/>
                <w:lang w:val="en-US" w:eastAsia="zh-CN"/>
              </w:rPr>
              <w:t>0</w:t>
            </w:r>
            <w:r>
              <w:rPr>
                <w:rFonts w:hint="default" w:ascii="Times New Roman" w:hAnsi="Times New Roman" w:eastAsia="宋体" w:cs="Times New Roman"/>
                <w:b/>
                <w:color w:val="auto"/>
                <w:kern w:val="0"/>
                <w:sz w:val="24"/>
                <w:szCs w:val="20"/>
                <w:lang w:val="en-US" w:eastAsia="zh-CN"/>
              </w:rPr>
              <w:t xml:space="preserve">  </w:t>
            </w:r>
            <w:r>
              <w:rPr>
                <w:rFonts w:hint="default" w:ascii="Times New Roman" w:hAnsi="Times New Roman" w:eastAsia="宋体" w:cs="Times New Roman"/>
                <w:b/>
                <w:color w:val="auto"/>
                <w:kern w:val="0"/>
                <w:sz w:val="24"/>
                <w:szCs w:val="20"/>
                <w:lang w:val="zh-CN"/>
              </w:rPr>
              <w:t>与《</w:t>
            </w:r>
            <w:r>
              <w:rPr>
                <w:rFonts w:hint="default" w:ascii="Times New Roman" w:hAnsi="Times New Roman" w:eastAsia="宋体" w:cs="Times New Roman"/>
                <w:b/>
                <w:color w:val="auto"/>
                <w:kern w:val="0"/>
                <w:sz w:val="24"/>
                <w:szCs w:val="20"/>
                <w:lang w:val="en-US" w:eastAsia="zh-CN"/>
              </w:rPr>
              <w:t>芜湖市2024-2025年大气污染防治重点任务攻坚工作方案</w:t>
            </w:r>
            <w:r>
              <w:rPr>
                <w:rFonts w:hint="default" w:ascii="Times New Roman" w:hAnsi="Times New Roman" w:eastAsia="宋体" w:cs="Times New Roman"/>
                <w:b/>
                <w:color w:val="auto"/>
                <w:kern w:val="0"/>
                <w:sz w:val="24"/>
                <w:szCs w:val="20"/>
                <w:lang w:val="zh-CN"/>
              </w:rPr>
              <w:t>》相符性分析</w:t>
            </w:r>
          </w:p>
          <w:tbl>
            <w:tblPr>
              <w:tblStyle w:val="1094"/>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
            <w:tblGrid>
              <w:gridCol w:w="799"/>
              <w:gridCol w:w="3405"/>
              <w:gridCol w:w="2113"/>
              <w:gridCol w:w="673"/>
            </w:tblGrid>
            <w:tr w14:paraId="6FF05A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572" w:type="pct"/>
                  <w:tcBorders>
                    <w:tl2br w:val="nil"/>
                    <w:tr2bl w:val="nil"/>
                  </w:tcBorders>
                  <w:noWrap w:val="0"/>
                  <w:vAlign w:val="center"/>
                </w:tcPr>
                <w:p w14:paraId="29E6B533">
                  <w:pPr>
                    <w:widowControl w:val="0"/>
                    <w:autoSpaceDE w:val="0"/>
                    <w:autoSpaceDN w:val="0"/>
                    <w:bidi w:val="0"/>
                    <w:adjustRightInd/>
                    <w:snapToGrid w:val="0"/>
                    <w:spacing w:line="240" w:lineRule="auto"/>
                    <w:ind w:firstLine="0" w:firstLineChars="0"/>
                    <w:jc w:val="center"/>
                    <w:rPr>
                      <w:rFonts w:hint="default" w:ascii="Times New Roman" w:hAnsi="Times New Roman" w:eastAsia="宋体" w:cs="Times New Roman"/>
                      <w:b/>
                      <w:bCs/>
                      <w:color w:val="auto"/>
                      <w:kern w:val="0"/>
                      <w:sz w:val="21"/>
                      <w:szCs w:val="20"/>
                      <w:lang w:val="en-US" w:eastAsia="zh-CN" w:bidi="ar-SA"/>
                    </w:rPr>
                  </w:pPr>
                  <w:r>
                    <w:rPr>
                      <w:rFonts w:hint="default" w:ascii="Times New Roman" w:hAnsi="Times New Roman" w:eastAsia="宋体" w:cs="Times New Roman"/>
                      <w:b/>
                      <w:bCs/>
                      <w:color w:val="auto"/>
                      <w:kern w:val="0"/>
                      <w:sz w:val="21"/>
                      <w:szCs w:val="20"/>
                      <w:lang w:val="en-US" w:eastAsia="zh-CN" w:bidi="ar-SA"/>
                    </w:rPr>
                    <w:t>序号</w:t>
                  </w:r>
                </w:p>
              </w:tc>
              <w:tc>
                <w:tcPr>
                  <w:tcW w:w="2434" w:type="pct"/>
                  <w:tcBorders>
                    <w:tl2br w:val="nil"/>
                    <w:tr2bl w:val="nil"/>
                  </w:tcBorders>
                  <w:noWrap w:val="0"/>
                  <w:vAlign w:val="center"/>
                </w:tcPr>
                <w:p w14:paraId="61F63701">
                  <w:pPr>
                    <w:widowControl w:val="0"/>
                    <w:autoSpaceDE w:val="0"/>
                    <w:autoSpaceDN w:val="0"/>
                    <w:bidi w:val="0"/>
                    <w:adjustRightInd/>
                    <w:snapToGrid w:val="0"/>
                    <w:spacing w:line="240" w:lineRule="auto"/>
                    <w:ind w:firstLine="0" w:firstLineChars="0"/>
                    <w:jc w:val="center"/>
                    <w:rPr>
                      <w:rFonts w:hint="default" w:ascii="Times New Roman" w:hAnsi="Times New Roman" w:eastAsia="宋体" w:cs="Times New Roman"/>
                      <w:b/>
                      <w:bCs/>
                      <w:color w:val="auto"/>
                      <w:kern w:val="0"/>
                      <w:sz w:val="21"/>
                      <w:szCs w:val="20"/>
                      <w:lang w:val="en-US" w:eastAsia="zh-CN" w:bidi="ar-SA"/>
                    </w:rPr>
                  </w:pPr>
                  <w:r>
                    <w:rPr>
                      <w:rFonts w:hint="default" w:ascii="Times New Roman" w:hAnsi="Times New Roman" w:eastAsia="宋体" w:cs="Times New Roman"/>
                      <w:b/>
                      <w:bCs/>
                      <w:color w:val="auto"/>
                      <w:kern w:val="0"/>
                      <w:sz w:val="21"/>
                      <w:szCs w:val="20"/>
                      <w:lang w:val="en-US" w:eastAsia="zh-CN" w:bidi="ar-SA"/>
                    </w:rPr>
                    <w:t>文件内容</w:t>
                  </w:r>
                </w:p>
              </w:tc>
              <w:tc>
                <w:tcPr>
                  <w:tcW w:w="1510" w:type="pct"/>
                  <w:tcBorders>
                    <w:tl2br w:val="nil"/>
                    <w:tr2bl w:val="nil"/>
                  </w:tcBorders>
                  <w:noWrap w:val="0"/>
                  <w:vAlign w:val="center"/>
                </w:tcPr>
                <w:p w14:paraId="4156F54A">
                  <w:pPr>
                    <w:widowControl w:val="0"/>
                    <w:autoSpaceDE w:val="0"/>
                    <w:autoSpaceDN w:val="0"/>
                    <w:bidi w:val="0"/>
                    <w:adjustRightInd/>
                    <w:snapToGrid w:val="0"/>
                    <w:spacing w:line="240" w:lineRule="auto"/>
                    <w:ind w:firstLine="0" w:firstLineChars="0"/>
                    <w:jc w:val="center"/>
                    <w:rPr>
                      <w:rFonts w:hint="default" w:ascii="Times New Roman" w:hAnsi="Times New Roman" w:eastAsia="宋体" w:cs="Times New Roman"/>
                      <w:b/>
                      <w:bCs/>
                      <w:color w:val="auto"/>
                      <w:kern w:val="0"/>
                      <w:sz w:val="21"/>
                      <w:szCs w:val="20"/>
                      <w:lang w:val="en-US" w:eastAsia="zh-CN" w:bidi="ar-SA"/>
                    </w:rPr>
                  </w:pPr>
                  <w:r>
                    <w:rPr>
                      <w:rFonts w:hint="default" w:ascii="Times New Roman" w:hAnsi="Times New Roman" w:eastAsia="宋体" w:cs="Times New Roman"/>
                      <w:b/>
                      <w:bCs/>
                      <w:color w:val="auto"/>
                      <w:kern w:val="0"/>
                      <w:sz w:val="21"/>
                      <w:szCs w:val="20"/>
                      <w:lang w:val="en-US" w:eastAsia="zh-CN" w:bidi="ar-SA"/>
                    </w:rPr>
                    <w:t>本项目建设情况</w:t>
                  </w:r>
                </w:p>
              </w:tc>
              <w:tc>
                <w:tcPr>
                  <w:tcW w:w="481" w:type="pct"/>
                  <w:tcBorders>
                    <w:tl2br w:val="nil"/>
                    <w:tr2bl w:val="nil"/>
                  </w:tcBorders>
                  <w:noWrap w:val="0"/>
                  <w:vAlign w:val="center"/>
                </w:tcPr>
                <w:p w14:paraId="1B0FFDE5">
                  <w:pPr>
                    <w:widowControl w:val="0"/>
                    <w:autoSpaceDE w:val="0"/>
                    <w:autoSpaceDN w:val="0"/>
                    <w:bidi w:val="0"/>
                    <w:adjustRightInd/>
                    <w:snapToGrid w:val="0"/>
                    <w:spacing w:line="240" w:lineRule="auto"/>
                    <w:ind w:firstLine="0" w:firstLineChars="0"/>
                    <w:jc w:val="center"/>
                    <w:rPr>
                      <w:rFonts w:hint="default" w:ascii="Times New Roman" w:hAnsi="Times New Roman" w:eastAsia="宋体" w:cs="Times New Roman"/>
                      <w:b/>
                      <w:bCs/>
                      <w:color w:val="auto"/>
                      <w:kern w:val="0"/>
                      <w:sz w:val="21"/>
                      <w:szCs w:val="20"/>
                      <w:lang w:val="en-US" w:eastAsia="zh-CN" w:bidi="ar-SA"/>
                    </w:rPr>
                  </w:pPr>
                  <w:r>
                    <w:rPr>
                      <w:rFonts w:hint="default" w:ascii="Times New Roman" w:hAnsi="Times New Roman" w:eastAsia="宋体" w:cs="Times New Roman"/>
                      <w:b/>
                      <w:bCs/>
                      <w:color w:val="auto"/>
                      <w:kern w:val="0"/>
                      <w:sz w:val="21"/>
                      <w:szCs w:val="20"/>
                      <w:lang w:val="en-US" w:eastAsia="zh-CN" w:bidi="ar-SA"/>
                    </w:rPr>
                    <w:t>相符性</w:t>
                  </w:r>
                </w:p>
              </w:tc>
            </w:tr>
            <w:tr w14:paraId="10279B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572" w:type="pct"/>
                  <w:tcBorders>
                    <w:tl2br w:val="nil"/>
                    <w:tr2bl w:val="nil"/>
                  </w:tcBorders>
                  <w:noWrap w:val="0"/>
                  <w:vAlign w:val="center"/>
                </w:tcPr>
                <w:p w14:paraId="172E6CBE">
                  <w:pPr>
                    <w:widowControl w:val="0"/>
                    <w:autoSpaceDE w:val="0"/>
                    <w:autoSpaceDN w:val="0"/>
                    <w:bidi w:val="0"/>
                    <w:adjustRightInd/>
                    <w:snapToGrid w:val="0"/>
                    <w:spacing w:line="240" w:lineRule="auto"/>
                    <w:ind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1</w:t>
                  </w:r>
                </w:p>
              </w:tc>
              <w:tc>
                <w:tcPr>
                  <w:tcW w:w="2434" w:type="pct"/>
                  <w:tcBorders>
                    <w:tl2br w:val="nil"/>
                    <w:tr2bl w:val="nil"/>
                  </w:tcBorders>
                  <w:noWrap w:val="0"/>
                  <w:vAlign w:val="center"/>
                </w:tcPr>
                <w:p w14:paraId="686BCF18">
                  <w:pPr>
                    <w:widowControl w:val="0"/>
                    <w:autoSpaceDE w:val="0"/>
                    <w:autoSpaceDN w:val="0"/>
                    <w:bidi w:val="0"/>
                    <w:adjustRightInd/>
                    <w:snapToGrid w:val="0"/>
                    <w:spacing w:line="240" w:lineRule="auto"/>
                    <w:ind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严格项目准入：新改扩建项目严格落实国家产业规划、产业政策、生态环境分区管控等相关要求，源头管控低水平项目上马。</w:t>
                  </w:r>
                </w:p>
                <w:p w14:paraId="1754D5B0">
                  <w:pPr>
                    <w:widowControl w:val="0"/>
                    <w:autoSpaceDE w:val="0"/>
                    <w:autoSpaceDN w:val="0"/>
                    <w:bidi w:val="0"/>
                    <w:adjustRightInd/>
                    <w:snapToGrid w:val="0"/>
                    <w:spacing w:line="240" w:lineRule="auto"/>
                    <w:ind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对新改扩建重点行业企业项目，原则上按照重点行业A级绩效或引领性绩效水平建设，控制非绩效先进水平企业新增数量。</w:t>
                  </w:r>
                </w:p>
              </w:tc>
              <w:tc>
                <w:tcPr>
                  <w:tcW w:w="1510" w:type="pct"/>
                  <w:tcBorders>
                    <w:tl2br w:val="nil"/>
                    <w:tr2bl w:val="nil"/>
                  </w:tcBorders>
                  <w:noWrap w:val="0"/>
                  <w:vAlign w:val="center"/>
                </w:tcPr>
                <w:p w14:paraId="7A9FB48E">
                  <w:pPr>
                    <w:widowControl w:val="0"/>
                    <w:autoSpaceDE w:val="0"/>
                    <w:autoSpaceDN w:val="0"/>
                    <w:bidi w:val="0"/>
                    <w:adjustRightInd/>
                    <w:snapToGrid w:val="0"/>
                    <w:spacing w:line="240" w:lineRule="auto"/>
                    <w:ind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本新建项目符合开发区规划、产业准入、国家产业政策及生态环境分区管控等相关要求</w:t>
                  </w:r>
                  <w:r>
                    <w:rPr>
                      <w:rFonts w:hint="default" w:ascii="Times New Roman" w:hAnsi="Times New Roman" w:cs="Times New Roman"/>
                      <w:color w:val="auto"/>
                      <w:kern w:val="0"/>
                      <w:sz w:val="21"/>
                      <w:szCs w:val="20"/>
                      <w:lang w:val="en-US" w:eastAsia="zh-CN" w:bidi="ar-SA"/>
                    </w:rPr>
                    <w:t>。</w:t>
                  </w:r>
                </w:p>
              </w:tc>
              <w:tc>
                <w:tcPr>
                  <w:tcW w:w="481" w:type="pct"/>
                  <w:tcBorders>
                    <w:tl2br w:val="nil"/>
                    <w:tr2bl w:val="nil"/>
                  </w:tcBorders>
                  <w:noWrap w:val="0"/>
                  <w:vAlign w:val="center"/>
                </w:tcPr>
                <w:p w14:paraId="336A895C">
                  <w:pPr>
                    <w:widowControl w:val="0"/>
                    <w:autoSpaceDE w:val="0"/>
                    <w:autoSpaceDN w:val="0"/>
                    <w:bidi w:val="0"/>
                    <w:adjustRightInd/>
                    <w:snapToGrid w:val="0"/>
                    <w:spacing w:line="240" w:lineRule="auto"/>
                    <w:ind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符合</w:t>
                  </w:r>
                </w:p>
              </w:tc>
            </w:tr>
            <w:tr w14:paraId="0B8D81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rPr>
                <w:trHeight w:val="340" w:hRule="atLeast"/>
                <w:jc w:val="center"/>
              </w:trPr>
              <w:tc>
                <w:tcPr>
                  <w:tcW w:w="572" w:type="pct"/>
                  <w:tcBorders>
                    <w:tl2br w:val="nil"/>
                    <w:tr2bl w:val="nil"/>
                  </w:tcBorders>
                  <w:noWrap w:val="0"/>
                  <w:vAlign w:val="center"/>
                </w:tcPr>
                <w:p w14:paraId="0D5D1E27">
                  <w:pPr>
                    <w:widowControl w:val="0"/>
                    <w:autoSpaceDE w:val="0"/>
                    <w:autoSpaceDN w:val="0"/>
                    <w:bidi w:val="0"/>
                    <w:adjustRightInd/>
                    <w:snapToGrid w:val="0"/>
                    <w:spacing w:line="240" w:lineRule="auto"/>
                    <w:ind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2</w:t>
                  </w:r>
                </w:p>
              </w:tc>
              <w:tc>
                <w:tcPr>
                  <w:tcW w:w="2434" w:type="pct"/>
                  <w:tcBorders>
                    <w:tl2br w:val="nil"/>
                    <w:tr2bl w:val="nil"/>
                  </w:tcBorders>
                  <w:noWrap w:val="0"/>
                  <w:vAlign w:val="center"/>
                </w:tcPr>
                <w:p w14:paraId="4ED079CD">
                  <w:pPr>
                    <w:widowControl w:val="0"/>
                    <w:autoSpaceDE w:val="0"/>
                    <w:autoSpaceDN w:val="0"/>
                    <w:bidi w:val="0"/>
                    <w:adjustRightInd/>
                    <w:snapToGrid w:val="0"/>
                    <w:spacing w:line="240" w:lineRule="auto"/>
                    <w:ind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开展低挥发性有机物含量原辅材料源头替代：加大工业涂装行业、包装印刷行业低（无）VOCs 含量原辅材料的替代工作力度。在建筑房屋和市政工程领域全面推广使用低VOCs含量涂料和胶黏剂，除特殊功能要求外的室内地坪施工、室外构筑物防护和城市道路交通标志基本使用低VOCs含量涂料。严格执行涂料、油墨、胶粘剂、清洗剂VOCs含量限值标准。</w:t>
                  </w:r>
                </w:p>
              </w:tc>
              <w:tc>
                <w:tcPr>
                  <w:tcW w:w="1510" w:type="pct"/>
                  <w:tcBorders>
                    <w:tl2br w:val="nil"/>
                    <w:tr2bl w:val="nil"/>
                  </w:tcBorders>
                  <w:noWrap w:val="0"/>
                  <w:vAlign w:val="center"/>
                </w:tcPr>
                <w:p w14:paraId="63019FDC">
                  <w:pPr>
                    <w:widowControl w:val="0"/>
                    <w:autoSpaceDE w:val="0"/>
                    <w:autoSpaceDN w:val="0"/>
                    <w:bidi w:val="0"/>
                    <w:adjustRightInd/>
                    <w:snapToGrid w:val="0"/>
                    <w:spacing w:line="240" w:lineRule="auto"/>
                    <w:ind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cs="Times New Roman"/>
                      <w:color w:val="auto"/>
                      <w:szCs w:val="21"/>
                      <w:lang w:val="en-US" w:eastAsia="zh-CN"/>
                    </w:rPr>
                    <w:t>本</w:t>
                  </w:r>
                  <w:r>
                    <w:rPr>
                      <w:rFonts w:hint="default" w:ascii="Times New Roman" w:hAnsi="Times New Roman" w:eastAsia="宋体" w:cs="Times New Roman"/>
                      <w:color w:val="auto"/>
                      <w:szCs w:val="21"/>
                      <w:lang w:val="en-US" w:eastAsia="zh-CN"/>
                    </w:rPr>
                    <w:t>项目不生产和使用高VOCs含量的涂料、油墨、胶粘剂、清洗剂。</w:t>
                  </w:r>
                </w:p>
              </w:tc>
              <w:tc>
                <w:tcPr>
                  <w:tcW w:w="481" w:type="pct"/>
                  <w:tcBorders>
                    <w:tl2br w:val="nil"/>
                    <w:tr2bl w:val="nil"/>
                  </w:tcBorders>
                  <w:noWrap w:val="0"/>
                  <w:vAlign w:val="center"/>
                </w:tcPr>
                <w:p w14:paraId="2E15F37D">
                  <w:pPr>
                    <w:widowControl w:val="0"/>
                    <w:autoSpaceDE w:val="0"/>
                    <w:autoSpaceDN w:val="0"/>
                    <w:bidi w:val="0"/>
                    <w:adjustRightInd/>
                    <w:snapToGrid w:val="0"/>
                    <w:spacing w:line="240" w:lineRule="auto"/>
                    <w:ind w:firstLine="0" w:firstLineChars="0"/>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color w:val="auto"/>
                      <w:kern w:val="0"/>
                      <w:sz w:val="21"/>
                      <w:szCs w:val="20"/>
                      <w:lang w:val="en-US" w:eastAsia="zh-CN" w:bidi="ar-SA"/>
                    </w:rPr>
                    <w:t>符合</w:t>
                  </w:r>
                </w:p>
              </w:tc>
            </w:tr>
          </w:tbl>
          <w:p w14:paraId="63377D1A">
            <w:pPr>
              <w:pStyle w:val="374"/>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sz w:val="24"/>
                <w:szCs w:val="24"/>
              </w:rPr>
            </w:pPr>
            <w:r>
              <w:rPr>
                <w:rFonts w:hint="default" w:ascii="Times New Roman" w:hAnsi="Times New Roman" w:cs="Times New Roman"/>
                <w:b/>
                <w:bCs/>
                <w:color w:val="auto"/>
                <w:sz w:val="24"/>
                <w:szCs w:val="24"/>
                <w:lang w:val="en-US" w:eastAsia="zh-CN"/>
              </w:rPr>
              <w:t>12</w:t>
            </w:r>
            <w:r>
              <w:rPr>
                <w:rFonts w:hint="default" w:ascii="Times New Roman" w:hAnsi="Times New Roman" w:eastAsia="宋体" w:cs="Times New Roman"/>
                <w:b/>
                <w:bCs/>
                <w:color w:val="auto"/>
                <w:sz w:val="24"/>
                <w:szCs w:val="24"/>
              </w:rPr>
              <w:t>、《重点行业挥发性有机物综合治理方案》（环大气〔2019〕53号）符合性分析</w:t>
            </w:r>
          </w:p>
          <w:p w14:paraId="35E0F4B1">
            <w:pPr>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根据生态环境部2019年6月26日发布的关于印发《重点行业挥发性有机物综合治理方案》的通知，对照本项目，相符性分析如下表：</w:t>
            </w:r>
          </w:p>
          <w:p w14:paraId="13812565">
            <w:pPr>
              <w:keepNext w:val="0"/>
              <w:keepLines w:val="0"/>
              <w:pageBreakBefore w:val="0"/>
              <w:widowControl w:val="0"/>
              <w:kinsoku/>
              <w:wordWrap/>
              <w:overflowPunct/>
              <w:topLinePunct w:val="0"/>
              <w:autoSpaceDE/>
              <w:autoSpaceDN/>
              <w:bidi w:val="0"/>
              <w:adjustRightInd/>
              <w:snapToGrid/>
              <w:spacing w:beforeAutospacing="0"/>
              <w:jc w:val="center"/>
              <w:textAlignment w:val="auto"/>
              <w:rPr>
                <w:rFonts w:hint="default" w:ascii="Times New Roman" w:hAnsi="Times New Roman" w:eastAsia="宋体" w:cs="Times New Roman"/>
                <w:b/>
                <w:color w:val="auto"/>
                <w:kern w:val="0"/>
                <w:sz w:val="24"/>
                <w:szCs w:val="20"/>
                <w:lang w:val="zh-CN"/>
              </w:rPr>
            </w:pPr>
            <w:r>
              <w:rPr>
                <w:rFonts w:hint="default" w:ascii="Times New Roman" w:hAnsi="Times New Roman" w:eastAsia="宋体" w:cs="Times New Roman"/>
                <w:b/>
                <w:color w:val="auto"/>
                <w:kern w:val="0"/>
                <w:sz w:val="24"/>
                <w:szCs w:val="20"/>
                <w:lang w:val="zh-CN"/>
              </w:rPr>
              <w:t>表1-</w:t>
            </w:r>
            <w:r>
              <w:rPr>
                <w:rFonts w:hint="default" w:ascii="Times New Roman" w:hAnsi="Times New Roman" w:eastAsia="宋体" w:cs="Times New Roman"/>
                <w:b/>
                <w:color w:val="auto"/>
                <w:kern w:val="0"/>
                <w:sz w:val="24"/>
                <w:szCs w:val="20"/>
                <w:lang w:val="en-US" w:eastAsia="zh-CN"/>
              </w:rPr>
              <w:t>1</w:t>
            </w:r>
            <w:r>
              <w:rPr>
                <w:rFonts w:hint="eastAsia" w:ascii="Times New Roman" w:hAnsi="Times New Roman" w:eastAsia="宋体" w:cs="Times New Roman"/>
                <w:b/>
                <w:color w:val="auto"/>
                <w:kern w:val="0"/>
                <w:sz w:val="24"/>
                <w:szCs w:val="20"/>
                <w:lang w:val="en-US" w:eastAsia="zh-CN"/>
              </w:rPr>
              <w:t>1</w:t>
            </w:r>
            <w:r>
              <w:rPr>
                <w:rFonts w:hint="default" w:ascii="Times New Roman" w:hAnsi="Times New Roman" w:eastAsia="宋体" w:cs="Times New Roman"/>
                <w:b/>
                <w:color w:val="auto"/>
                <w:kern w:val="0"/>
                <w:sz w:val="24"/>
                <w:szCs w:val="20"/>
                <w:lang w:val="zh-CN"/>
              </w:rPr>
              <w:t xml:space="preserve"> 《重点行业挥发性有机物综合治理方案》符合性分析</w:t>
            </w:r>
          </w:p>
          <w:tbl>
            <w:tblPr>
              <w:tblStyle w:val="6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37"/>
              <w:gridCol w:w="2291"/>
              <w:gridCol w:w="661"/>
            </w:tblGrid>
            <w:tr w14:paraId="1D3E9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2887" w:type="pct"/>
                  <w:noWrap w:val="0"/>
                  <w:vAlign w:val="center"/>
                </w:tcPr>
                <w:p w14:paraId="68C7D7D5">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文件要求</w:t>
                  </w:r>
                </w:p>
              </w:tc>
              <w:tc>
                <w:tcPr>
                  <w:tcW w:w="1638" w:type="pct"/>
                  <w:noWrap w:val="0"/>
                  <w:vAlign w:val="center"/>
                </w:tcPr>
                <w:p w14:paraId="0D3AD5C5">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相符性</w:t>
                  </w:r>
                </w:p>
              </w:tc>
              <w:tc>
                <w:tcPr>
                  <w:tcW w:w="473" w:type="pct"/>
                  <w:noWrap w:val="0"/>
                  <w:vAlign w:val="center"/>
                </w:tcPr>
                <w:p w14:paraId="5EE62E63">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sz w:val="21"/>
                      <w:szCs w:val="21"/>
                      <w:lang w:bidi="ar"/>
                    </w:rPr>
                    <w:t>符合性</w:t>
                  </w:r>
                </w:p>
              </w:tc>
            </w:tr>
            <w:tr w14:paraId="1D375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887" w:type="pct"/>
                  <w:noWrap w:val="0"/>
                  <w:vAlign w:val="center"/>
                </w:tcPr>
                <w:p w14:paraId="4EC92382">
                  <w:pPr>
                    <w:keepNext w:val="0"/>
                    <w:keepLines w:val="0"/>
                    <w:pageBreakBefore w:val="0"/>
                    <w:widowControl/>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大力推进源头替代。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工业涂装、包装印刷等行业要加大源头替代力度；化工行业要推广使用低（无）VOCs含量、低反应活性的原辅材料，加快对芳香烃、含卤素有机化合物的绿色替代。企业应大力推广使用低VOCs含量木器涂料、车辆涂料、机械设备涂料、集装箱涂料以及建筑物和构筑物防护涂料等，在技术成熟的行业，推广使用低VOCs含量油墨和胶粘剂。鼓励加快低VOCs 含量涂料、油墨、胶粘剂等研发和生产。</w:t>
                  </w:r>
                </w:p>
              </w:tc>
              <w:tc>
                <w:tcPr>
                  <w:tcW w:w="1638" w:type="pct"/>
                  <w:noWrap w:val="0"/>
                  <w:vAlign w:val="center"/>
                </w:tcPr>
                <w:p w14:paraId="35EC1628">
                  <w:pPr>
                    <w:keepNext w:val="0"/>
                    <w:keepLines w:val="0"/>
                    <w:pageBreakBefore w:val="0"/>
                    <w:widowControl/>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bCs/>
                      <w:color w:val="auto"/>
                      <w:sz w:val="21"/>
                      <w:szCs w:val="21"/>
                      <w:lang w:val="en-US" w:eastAsia="zh-CN"/>
                    </w:rPr>
                    <w:t>项目不</w:t>
                  </w:r>
                  <w:r>
                    <w:rPr>
                      <w:rFonts w:hint="default" w:ascii="Times New Roman" w:hAnsi="Times New Roman" w:eastAsia="宋体" w:cs="Times New Roman"/>
                      <w:b w:val="0"/>
                      <w:bCs/>
                      <w:color w:val="auto"/>
                      <w:kern w:val="2"/>
                      <w:sz w:val="21"/>
                      <w:szCs w:val="21"/>
                      <w:lang w:val="en-US" w:eastAsia="zh-CN" w:bidi="ar-SA"/>
                    </w:rPr>
                    <w:t>使用涂料、油墨、胶粘剂、清洗剂等</w:t>
                  </w:r>
                  <w:r>
                    <w:rPr>
                      <w:rFonts w:hint="default" w:ascii="Times New Roman" w:hAnsi="Times New Roman" w:eastAsia="宋体" w:cs="Times New Roman"/>
                      <w:bCs/>
                      <w:color w:val="auto"/>
                      <w:sz w:val="21"/>
                      <w:szCs w:val="21"/>
                      <w:lang w:val="en-US" w:eastAsia="zh-CN"/>
                    </w:rPr>
                    <w:t>原辅材料。</w:t>
                  </w:r>
                </w:p>
              </w:tc>
              <w:tc>
                <w:tcPr>
                  <w:tcW w:w="473" w:type="pct"/>
                  <w:noWrap w:val="0"/>
                  <w:vAlign w:val="center"/>
                </w:tcPr>
                <w:p w14:paraId="220567F8">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bidi="ar"/>
                    </w:rPr>
                  </w:pPr>
                  <w:r>
                    <w:rPr>
                      <w:rFonts w:hint="default" w:ascii="Times New Roman" w:hAnsi="Times New Roman" w:eastAsia="宋体" w:cs="Times New Roman"/>
                      <w:color w:val="auto"/>
                      <w:kern w:val="0"/>
                      <w:sz w:val="21"/>
                      <w:szCs w:val="21"/>
                      <w:lang w:bidi="ar"/>
                    </w:rPr>
                    <w:t>符合</w:t>
                  </w:r>
                </w:p>
              </w:tc>
            </w:tr>
            <w:tr w14:paraId="7CDBD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887" w:type="pct"/>
                  <w:noWrap w:val="0"/>
                  <w:vAlign w:val="center"/>
                </w:tcPr>
                <w:p w14:paraId="4F51E073">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推进建设适宜高效的治污设施。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活性炭吸附、减风增浓等浓缩技术，提高VOCs浓度后净化处理；高浓度废气，优先进行溶剂回收，难以回收的，宜采用高温焚烧、催化燃烧等技术。油气（溶剂）回收宜采用冷凝+吸附、吸附+吸收、膜分离+吸附等技术。低温等离子、光催化、光氧化技术主要适用于恶臭异味等治理；生物法主要适用于低浓度VOCs废气治理和恶臭异味治理。非水溶性的VOCs废气禁止采用水或水溶液喷淋吸收处理。采用一次性活性炭吸附技术的，应定期更换活性炭，废旧活性炭应再生或处理处置。</w:t>
                  </w:r>
                </w:p>
              </w:tc>
              <w:tc>
                <w:tcPr>
                  <w:tcW w:w="1638" w:type="pct"/>
                  <w:noWrap w:val="0"/>
                  <w:vAlign w:val="center"/>
                </w:tcPr>
                <w:p w14:paraId="423E10A0">
                  <w:pPr>
                    <w:keepNext w:val="0"/>
                    <w:keepLines w:val="0"/>
                    <w:pageBreakBefore w:val="0"/>
                    <w:widowControl/>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shd w:val="clear" w:color="auto" w:fill="FFFFFF"/>
                      <w:lang w:val="en-US" w:bidi="ar"/>
                    </w:rPr>
                  </w:pPr>
                  <w:r>
                    <w:rPr>
                      <w:rFonts w:hint="default" w:ascii="Times New Roman" w:hAnsi="Times New Roman" w:eastAsia="宋体" w:cs="Times New Roman"/>
                      <w:color w:val="auto"/>
                      <w:szCs w:val="21"/>
                      <w:highlight w:val="none"/>
                      <w:lang w:val="en-US" w:eastAsia="zh-CN"/>
                    </w:rPr>
                    <w:t>针对</w:t>
                  </w:r>
                  <w:r>
                    <w:rPr>
                      <w:rFonts w:hint="eastAsia" w:ascii="Times New Roman" w:hAnsi="Times New Roman" w:eastAsia="宋体" w:cs="Times New Roman"/>
                      <w:color w:val="auto"/>
                      <w:szCs w:val="21"/>
                      <w:highlight w:val="none"/>
                      <w:lang w:val="en-US" w:eastAsia="zh-CN"/>
                    </w:rPr>
                    <w:t>锻压脱模</w:t>
                  </w:r>
                  <w:r>
                    <w:rPr>
                      <w:rFonts w:hint="default" w:ascii="Times New Roman" w:hAnsi="Times New Roman" w:eastAsia="宋体" w:cs="Times New Roman"/>
                      <w:color w:val="auto"/>
                      <w:szCs w:val="21"/>
                      <w:highlight w:val="none"/>
                      <w:lang w:val="en-US" w:eastAsia="zh-CN"/>
                    </w:rPr>
                    <w:t>产生的有机废气经集</w:t>
                  </w:r>
                  <w:r>
                    <w:rPr>
                      <w:rFonts w:hint="default" w:ascii="Times New Roman" w:hAnsi="Times New Roman" w:cs="Times New Roman"/>
                      <w:color w:val="auto"/>
                      <w:szCs w:val="21"/>
                      <w:highlight w:val="none"/>
                      <w:lang w:val="en-US" w:eastAsia="zh-CN"/>
                    </w:rPr>
                    <w:t>气罩收集+</w:t>
                  </w:r>
                  <w:r>
                    <w:rPr>
                      <w:rFonts w:hint="eastAsia" w:ascii="Times New Roman" w:hAnsi="Times New Roman" w:cs="Times New Roman"/>
                      <w:color w:val="auto"/>
                      <w:szCs w:val="21"/>
                      <w:highlight w:val="none"/>
                      <w:lang w:val="en-US" w:eastAsia="zh-CN"/>
                    </w:rPr>
                    <w:t>两级</w:t>
                  </w:r>
                  <w:r>
                    <w:rPr>
                      <w:rFonts w:hint="default" w:ascii="Times New Roman" w:hAnsi="Times New Roman" w:cs="Times New Roman"/>
                      <w:color w:val="auto"/>
                      <w:szCs w:val="21"/>
                      <w:highlight w:val="none"/>
                      <w:lang w:val="en-US" w:eastAsia="zh-CN"/>
                    </w:rPr>
                    <w:t>活性炭吸附处理后通过18m排气筒高空排放。</w:t>
                  </w:r>
                </w:p>
              </w:tc>
              <w:tc>
                <w:tcPr>
                  <w:tcW w:w="473" w:type="pct"/>
                  <w:noWrap w:val="0"/>
                  <w:vAlign w:val="center"/>
                </w:tcPr>
                <w:p w14:paraId="3F3558F8">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符合</w:t>
                  </w:r>
                </w:p>
              </w:tc>
            </w:tr>
            <w:tr w14:paraId="65455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887" w:type="pct"/>
                  <w:noWrap w:val="0"/>
                  <w:vAlign w:val="center"/>
                </w:tcPr>
                <w:p w14:paraId="01352FD0">
                  <w:pPr>
                    <w:keepNext w:val="0"/>
                    <w:keepLines w:val="0"/>
                    <w:pageBreakBefore w:val="0"/>
                    <w:widowControl/>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规范工程设计。采用吸附处理工艺的，应满足《吸附法工业有机废气治理工程技术规范》要求。</w:t>
                  </w:r>
                </w:p>
              </w:tc>
              <w:tc>
                <w:tcPr>
                  <w:tcW w:w="1638" w:type="pct"/>
                  <w:noWrap w:val="0"/>
                  <w:vAlign w:val="center"/>
                </w:tcPr>
                <w:p w14:paraId="78A9BE0D">
                  <w:pPr>
                    <w:keepNext w:val="0"/>
                    <w:keepLines w:val="0"/>
                    <w:pageBreakBefore w:val="0"/>
                    <w:widowControl/>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lang w:eastAsia="zh-CN" w:bidi="ar"/>
                    </w:rPr>
                  </w:pPr>
                  <w:r>
                    <w:rPr>
                      <w:rFonts w:hint="default" w:ascii="Times New Roman" w:hAnsi="Times New Roman" w:eastAsia="宋体" w:cs="Times New Roman"/>
                      <w:color w:val="auto"/>
                      <w:kern w:val="0"/>
                      <w:sz w:val="21"/>
                      <w:szCs w:val="21"/>
                      <w:lang w:bidi="ar"/>
                    </w:rPr>
                    <w:t>本项目活性炭</w:t>
                  </w:r>
                  <w:r>
                    <w:rPr>
                      <w:rFonts w:hint="default" w:ascii="Times New Roman" w:hAnsi="Times New Roman" w:eastAsia="宋体" w:cs="Times New Roman"/>
                      <w:color w:val="auto"/>
                      <w:kern w:val="0"/>
                      <w:sz w:val="21"/>
                      <w:szCs w:val="21"/>
                      <w:lang w:val="en-US" w:eastAsia="zh-CN" w:bidi="ar"/>
                    </w:rPr>
                    <w:t>吸附装置</w:t>
                  </w:r>
                  <w:r>
                    <w:rPr>
                      <w:rFonts w:hint="default" w:ascii="Times New Roman" w:hAnsi="Times New Roman" w:eastAsia="宋体" w:cs="Times New Roman"/>
                      <w:color w:val="auto"/>
                      <w:kern w:val="0"/>
                      <w:sz w:val="21"/>
                      <w:szCs w:val="21"/>
                      <w:lang w:eastAsia="zh-CN" w:bidi="ar"/>
                    </w:rPr>
                    <w:t>满足</w:t>
                  </w:r>
                  <w:r>
                    <w:rPr>
                      <w:rFonts w:hint="default" w:ascii="Times New Roman" w:hAnsi="Times New Roman" w:eastAsia="宋体" w:cs="Times New Roman"/>
                      <w:color w:val="auto"/>
                      <w:kern w:val="0"/>
                      <w:sz w:val="21"/>
                      <w:szCs w:val="21"/>
                      <w:lang w:bidi="ar"/>
                    </w:rPr>
                    <w:t>《吸附法工业废气设计规范治理工程技术规范》(HJ2026-2013)</w:t>
                  </w:r>
                  <w:r>
                    <w:rPr>
                      <w:rFonts w:hint="default" w:ascii="Times New Roman" w:hAnsi="Times New Roman" w:eastAsia="宋体" w:cs="Times New Roman"/>
                      <w:color w:val="auto"/>
                      <w:kern w:val="0"/>
                      <w:sz w:val="21"/>
                      <w:szCs w:val="21"/>
                      <w:lang w:eastAsia="zh-CN" w:bidi="ar"/>
                    </w:rPr>
                    <w:t>中“</w:t>
                  </w:r>
                  <w:r>
                    <w:rPr>
                      <w:rFonts w:hint="default" w:ascii="Times New Roman" w:hAnsi="Times New Roman" w:eastAsia="宋体" w:cs="Times New Roman"/>
                      <w:color w:val="auto"/>
                      <w:kern w:val="0"/>
                      <w:sz w:val="21"/>
                      <w:szCs w:val="21"/>
                      <w:lang w:bidi="ar"/>
                    </w:rPr>
                    <w:t>气体流速宜低于1.2m/s</w:t>
                  </w:r>
                  <w:r>
                    <w:rPr>
                      <w:rFonts w:hint="default" w:ascii="Times New Roman" w:hAnsi="Times New Roman" w:eastAsia="宋体" w:cs="Times New Roman"/>
                      <w:color w:val="auto"/>
                      <w:kern w:val="0"/>
                      <w:sz w:val="21"/>
                      <w:szCs w:val="21"/>
                      <w:lang w:eastAsia="zh-CN" w:bidi="ar"/>
                    </w:rPr>
                    <w:t>”要求</w:t>
                  </w:r>
                  <w:r>
                    <w:rPr>
                      <w:rFonts w:hint="default" w:ascii="Times New Roman" w:hAnsi="Times New Roman" w:cs="Times New Roman"/>
                      <w:color w:val="auto"/>
                      <w:lang w:eastAsia="zh-CN"/>
                    </w:rPr>
                    <w:t>；</w:t>
                  </w:r>
                  <w:r>
                    <w:rPr>
                      <w:rFonts w:hint="default" w:ascii="Times New Roman" w:hAnsi="Times New Roman" w:eastAsia="宋体" w:cs="Times New Roman"/>
                      <w:color w:val="auto"/>
                      <w:sz w:val="21"/>
                      <w:szCs w:val="21"/>
                      <w:lang w:val="en-US" w:eastAsia="zh-CN"/>
                    </w:rPr>
                    <w:t>颗粒物浓度超过1mg/m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时，采取过滤或洗涤措施进行预处理</w:t>
                  </w:r>
                  <w:r>
                    <w:rPr>
                      <w:rFonts w:hint="default" w:ascii="Times New Roman" w:hAnsi="Times New Roman"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进气温度高于40℃时，采取稀释或冷凝降温进行预处理</w:t>
                  </w:r>
                  <w:r>
                    <w:rPr>
                      <w:rFonts w:hint="default" w:ascii="Times New Roman" w:hAnsi="Times New Roman"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过滤材料两端设置压差计，对过滤材料及时更换</w:t>
                  </w:r>
                  <w:r>
                    <w:rPr>
                      <w:rFonts w:hint="default" w:ascii="Times New Roman" w:hAnsi="Times New Roman"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采用颗粒活性炭作为吸附剂时，其碘值不宜低800mg/g；采用蜂窝活性炭作为吸附剂时，其碘值不宜低于650mg/g；采用活性炭纤维作为吸附剂时，其比表面积不低于1100m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/g（BET 法）</w:t>
                  </w:r>
                </w:p>
              </w:tc>
              <w:tc>
                <w:tcPr>
                  <w:tcW w:w="473" w:type="pct"/>
                  <w:noWrap w:val="0"/>
                  <w:vAlign w:val="center"/>
                </w:tcPr>
                <w:p w14:paraId="21EFF518">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符合</w:t>
                  </w:r>
                </w:p>
              </w:tc>
            </w:tr>
          </w:tbl>
          <w:p w14:paraId="68A694CA">
            <w:pPr>
              <w:pStyle w:val="374"/>
              <w:spacing w:line="360" w:lineRule="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kern w:val="0"/>
                <w:sz w:val="24"/>
                <w:szCs w:val="24"/>
              </w:rPr>
              <w:t>综上分析，本项目建设符合《重点行业挥发性有机物综合治理方案》（环大气〔2019〕53号）中相关要求。</w:t>
            </w:r>
          </w:p>
          <w:p w14:paraId="30CD11F9">
            <w:pPr>
              <w:pStyle w:val="374"/>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eastAsia="宋体" w:cs="Times New Roman"/>
                <w:color w:val="auto"/>
                <w:sz w:val="24"/>
                <w:szCs w:val="24"/>
              </w:rPr>
            </w:pPr>
            <w:r>
              <w:rPr>
                <w:rFonts w:hint="default" w:ascii="Times New Roman" w:hAnsi="Times New Roman" w:cs="Times New Roman"/>
                <w:b/>
                <w:bCs/>
                <w:color w:val="auto"/>
                <w:sz w:val="24"/>
                <w:szCs w:val="24"/>
                <w:lang w:val="en-US" w:eastAsia="zh-CN"/>
              </w:rPr>
              <w:t>13</w:t>
            </w:r>
            <w:r>
              <w:rPr>
                <w:rFonts w:hint="default" w:ascii="Times New Roman" w:hAnsi="Times New Roman" w:eastAsia="宋体" w:cs="Times New Roman"/>
                <w:b/>
                <w:bCs/>
                <w:color w:val="auto"/>
                <w:sz w:val="24"/>
                <w:szCs w:val="24"/>
              </w:rPr>
              <w:t>、《2020年挥发性有机物治理攻坚方案》符合性分析</w:t>
            </w:r>
          </w:p>
          <w:p w14:paraId="260817FB">
            <w:pPr>
              <w:pStyle w:val="374"/>
              <w:adjustRightInd w:val="0"/>
              <w:snapToGrid w:val="0"/>
              <w:spacing w:line="360" w:lineRule="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根据生态环境部2020年6月24日发布《2020年挥发性有机物治理攻坚方案》，对照本项目，相符性分析如下表：</w:t>
            </w:r>
          </w:p>
          <w:p w14:paraId="63FFCEC1">
            <w:pPr>
              <w:keepNext w:val="0"/>
              <w:keepLines w:val="0"/>
              <w:pageBreakBefore w:val="0"/>
              <w:widowControl w:val="0"/>
              <w:kinsoku/>
              <w:wordWrap/>
              <w:overflowPunct/>
              <w:topLinePunct w:val="0"/>
              <w:autoSpaceDE/>
              <w:autoSpaceDN/>
              <w:bidi w:val="0"/>
              <w:adjustRightInd/>
              <w:snapToGrid/>
              <w:spacing w:beforeAutospacing="0"/>
              <w:jc w:val="center"/>
              <w:textAlignment w:val="auto"/>
              <w:rPr>
                <w:rFonts w:hint="default" w:ascii="Times New Roman" w:hAnsi="Times New Roman" w:eastAsia="宋体" w:cs="Times New Roman"/>
                <w:b/>
                <w:color w:val="auto"/>
                <w:kern w:val="0"/>
                <w:sz w:val="24"/>
                <w:szCs w:val="20"/>
                <w:lang w:val="zh-CN"/>
              </w:rPr>
            </w:pPr>
            <w:r>
              <w:rPr>
                <w:rFonts w:hint="default" w:ascii="Times New Roman" w:hAnsi="Times New Roman" w:eastAsia="宋体" w:cs="Times New Roman"/>
                <w:b/>
                <w:color w:val="auto"/>
                <w:kern w:val="0"/>
                <w:sz w:val="24"/>
                <w:szCs w:val="20"/>
                <w:lang w:val="zh-CN"/>
              </w:rPr>
              <w:t>表1-</w:t>
            </w:r>
            <w:r>
              <w:rPr>
                <w:rFonts w:hint="default" w:ascii="Times New Roman" w:hAnsi="Times New Roman" w:eastAsia="宋体" w:cs="Times New Roman"/>
                <w:b/>
                <w:color w:val="auto"/>
                <w:kern w:val="0"/>
                <w:sz w:val="24"/>
                <w:szCs w:val="20"/>
                <w:lang w:val="en-US" w:eastAsia="zh-CN"/>
              </w:rPr>
              <w:t>1</w:t>
            </w:r>
            <w:r>
              <w:rPr>
                <w:rFonts w:hint="eastAsia" w:ascii="Times New Roman" w:hAnsi="Times New Roman" w:eastAsia="宋体" w:cs="Times New Roman"/>
                <w:b/>
                <w:color w:val="auto"/>
                <w:kern w:val="0"/>
                <w:sz w:val="24"/>
                <w:szCs w:val="20"/>
                <w:lang w:val="en-US" w:eastAsia="zh-CN"/>
              </w:rPr>
              <w:t>2</w:t>
            </w:r>
            <w:r>
              <w:rPr>
                <w:rFonts w:hint="default" w:ascii="Times New Roman" w:hAnsi="Times New Roman" w:eastAsia="宋体" w:cs="Times New Roman"/>
                <w:b/>
                <w:color w:val="auto"/>
                <w:kern w:val="0"/>
                <w:sz w:val="24"/>
                <w:szCs w:val="20"/>
                <w:lang w:val="zh-CN"/>
              </w:rPr>
              <w:t xml:space="preserve"> 与《2020年挥发性有机物治理攻坚方案》符合性分析</w:t>
            </w:r>
          </w:p>
          <w:tbl>
            <w:tblPr>
              <w:tblStyle w:val="63"/>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4"/>
              <w:gridCol w:w="2562"/>
              <w:gridCol w:w="636"/>
            </w:tblGrid>
            <w:tr w14:paraId="64342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2713" w:type="pct"/>
                  <w:noWrap w:val="0"/>
                  <w:vAlign w:val="center"/>
                </w:tcPr>
                <w:p w14:paraId="64EC293B">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文件要求</w:t>
                  </w:r>
                </w:p>
              </w:tc>
              <w:tc>
                <w:tcPr>
                  <w:tcW w:w="1831" w:type="pct"/>
                  <w:noWrap w:val="0"/>
                  <w:vAlign w:val="center"/>
                </w:tcPr>
                <w:p w14:paraId="686C446E">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相符性</w:t>
                  </w:r>
                </w:p>
              </w:tc>
              <w:tc>
                <w:tcPr>
                  <w:tcW w:w="455" w:type="pct"/>
                  <w:noWrap w:val="0"/>
                  <w:vAlign w:val="center"/>
                </w:tcPr>
                <w:p w14:paraId="7A2E87F8">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符合性</w:t>
                  </w:r>
                </w:p>
              </w:tc>
            </w:tr>
            <w:tr w14:paraId="7CEB4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5" w:hRule="atLeast"/>
                <w:jc w:val="center"/>
              </w:trPr>
              <w:tc>
                <w:tcPr>
                  <w:tcW w:w="2713" w:type="pct"/>
                  <w:noWrap w:val="0"/>
                  <w:vAlign w:val="center"/>
                </w:tcPr>
                <w:p w14:paraId="163D2B10">
                  <w:pP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大力推进低（无）VOCs含量原辅材料替代。将全面使用符合国家要求的低VOCs含量原辅材料的企业纳入正面清单和政府绿色采购清单。企业应建立原辅材料台账，记录VOCs原辅材料名称、成分、VOCs含量、采购量、使用量、库存量、回收方式、回收量等信息，并保存相关证明材料。采用符合国家有关低VOCs含量产品规定的涂料、油墨、胶粘剂等，排放浓度稳定达标且排放速率满足相关规定的，相应生产工序可不要求建设末端治理设施。使用的原辅材料VOCs含量（质量比）均低于10%的工序，可不要求采取无组织排放收集和处理措施。</w:t>
                  </w:r>
                </w:p>
              </w:tc>
              <w:tc>
                <w:tcPr>
                  <w:tcW w:w="1831" w:type="pct"/>
                  <w:noWrap w:val="0"/>
                  <w:vAlign w:val="center"/>
                </w:tcPr>
                <w:p w14:paraId="06D15894">
                  <w:pPr>
                    <w:keepNext w:val="0"/>
                    <w:keepLines w:val="0"/>
                    <w:pageBreakBefore w:val="0"/>
                    <w:kinsoku/>
                    <w:wordWrap/>
                    <w:overflowPunct/>
                    <w:topLinePunct w:val="0"/>
                    <w:bidi w:val="0"/>
                    <w:adjustRightInd w:val="0"/>
                    <w:snapToGrid/>
                    <w:spacing w:line="240" w:lineRule="auto"/>
                    <w:ind w:left="-42" w:leftChars="-20" w:right="-42" w:rightChars="-20"/>
                    <w:textAlignment w:val="auto"/>
                    <w:rPr>
                      <w:rFonts w:hint="default" w:ascii="Times New Roman" w:hAnsi="Times New Roman" w:eastAsia="宋体" w:cs="Times New Roman"/>
                      <w:color w:val="auto"/>
                      <w:sz w:val="21"/>
                      <w:szCs w:val="21"/>
                    </w:rPr>
                  </w:pPr>
                </w:p>
                <w:p w14:paraId="56FE93A6">
                  <w:pPr>
                    <w:rPr>
                      <w:rFonts w:hint="default" w:ascii="Times New Roman" w:hAnsi="Times New Roman" w:eastAsia="宋体" w:cs="Times New Roman"/>
                      <w:color w:val="auto"/>
                      <w:lang w:val="en-US" w:eastAsia="zh-CN"/>
                    </w:rPr>
                  </w:pPr>
                  <w:r>
                    <w:rPr>
                      <w:rFonts w:hint="default" w:ascii="Times New Roman" w:hAnsi="Times New Roman" w:cs="Times New Roman"/>
                      <w:color w:val="auto"/>
                      <w:lang w:eastAsia="zh-CN"/>
                    </w:rPr>
                    <w:t>企业应按要求建立原辅材料台账。</w:t>
                  </w:r>
                  <w:r>
                    <w:rPr>
                      <w:rFonts w:hint="default" w:ascii="Times New Roman" w:hAnsi="Times New Roman" w:eastAsia="宋体" w:cs="Times New Roman"/>
                      <w:color w:val="auto"/>
                      <w:highlight w:val="none"/>
                    </w:rPr>
                    <w:t>项目运营期不使用溶剂型涂料、油墨、粘合剂等</w:t>
                  </w:r>
                  <w:r>
                    <w:rPr>
                      <w:rFonts w:hint="default" w:ascii="Times New Roman" w:hAnsi="Times New Roman" w:cs="Times New Roman"/>
                      <w:color w:val="auto"/>
                      <w:lang w:eastAsia="zh-CN"/>
                    </w:rPr>
                    <w:t>。</w:t>
                  </w:r>
                </w:p>
              </w:tc>
              <w:tc>
                <w:tcPr>
                  <w:tcW w:w="455" w:type="pct"/>
                  <w:noWrap w:val="0"/>
                  <w:vAlign w:val="center"/>
                </w:tcPr>
                <w:p w14:paraId="5FB2EE57">
                  <w:pPr>
                    <w:widowControl/>
                    <w:adjustRightInd w:val="0"/>
                    <w:snapToGrid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符合</w:t>
                  </w:r>
                </w:p>
              </w:tc>
            </w:tr>
            <w:tr w14:paraId="151EE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13" w:type="pct"/>
                  <w:noWrap w:val="0"/>
                  <w:vAlign w:val="center"/>
                </w:tcPr>
                <w:p w14:paraId="1909DB6A">
                  <w:pP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储存环节应采用密闭容器、包装袋，高效密封储罐，封闭式储库、料仓等。装卸、转移和输送环节应采用密闭管道或密闭容器、罐车等。生产和使用环节应采用密闭设备，或在密闭空间中操作并有效收集废气，或进行局部气体收集。处置环节应将盛装过VOCs物料的包装容器、含VOCs废料（渣、液）、废吸附剂等通过加盖、封装等方式密闭，妥善存放，不得随意丢弃。</w:t>
                  </w:r>
                </w:p>
              </w:tc>
              <w:tc>
                <w:tcPr>
                  <w:tcW w:w="1831" w:type="pct"/>
                  <w:vMerge w:val="restart"/>
                  <w:noWrap w:val="0"/>
                  <w:vAlign w:val="center"/>
                </w:tcPr>
                <w:p w14:paraId="5D8A09AA">
                  <w:pPr>
                    <w:widowControl/>
                    <w:adjustRightInd w:val="0"/>
                    <w:snapToGrid w:val="0"/>
                    <w:rPr>
                      <w:rFonts w:hint="default" w:ascii="Times New Roman" w:hAnsi="Times New Roman" w:eastAsia="宋体" w:cs="Times New Roman"/>
                      <w:color w:val="auto"/>
                      <w:sz w:val="21"/>
                      <w:szCs w:val="21"/>
                      <w:highlight w:val="yellow"/>
                    </w:rPr>
                  </w:pPr>
                  <w:r>
                    <w:rPr>
                      <w:rFonts w:hint="eastAsia" w:ascii="Times New Roman" w:hAnsi="Times New Roman" w:eastAsia="宋体" w:cs="Times New Roman"/>
                      <w:color w:val="auto"/>
                      <w:szCs w:val="21"/>
                      <w:highlight w:val="none"/>
                      <w:lang w:val="en-US" w:eastAsia="zh-CN"/>
                    </w:rPr>
                    <w:t>项目使用的水性脱模剂、水性淬火液等化学品</w:t>
                  </w:r>
                  <w:r>
                    <w:rPr>
                      <w:rFonts w:hint="default" w:ascii="Times New Roman" w:hAnsi="Times New Roman" w:eastAsia="宋体" w:cs="Times New Roman"/>
                      <w:color w:val="auto"/>
                      <w:szCs w:val="21"/>
                      <w:highlight w:val="none"/>
                      <w:lang w:val="en-US" w:eastAsia="zh-CN"/>
                    </w:rPr>
                    <w:t>均储存于密封的包装桶、瓶中，在非取用状态时封口，保持密</w:t>
                  </w:r>
                  <w:r>
                    <w:rPr>
                      <w:rFonts w:hint="default" w:ascii="Times New Roman" w:hAnsi="Times New Roman" w:eastAsia="宋体" w:cs="Times New Roman"/>
                      <w:color w:val="auto"/>
                      <w:kern w:val="0"/>
                      <w:szCs w:val="21"/>
                    </w:rPr>
                    <w:t>闭</w:t>
                  </w:r>
                  <w:r>
                    <w:rPr>
                      <w:rFonts w:hint="eastAsia" w:ascii="Times New Roman" w:hAnsi="Times New Roman" w:eastAsia="宋体" w:cs="Times New Roman"/>
                      <w:color w:val="auto"/>
                      <w:szCs w:val="21"/>
                      <w:highlight w:val="none"/>
                      <w:lang w:val="en-US" w:eastAsia="zh-CN"/>
                    </w:rPr>
                    <w:t>；锻压脱模</w:t>
                  </w:r>
                  <w:r>
                    <w:rPr>
                      <w:rFonts w:hint="default" w:ascii="Times New Roman" w:hAnsi="Times New Roman" w:eastAsia="宋体" w:cs="Times New Roman"/>
                      <w:color w:val="auto"/>
                      <w:szCs w:val="21"/>
                      <w:highlight w:val="none"/>
                      <w:lang w:val="en-US" w:eastAsia="zh-CN"/>
                    </w:rPr>
                    <w:t>产生的有机废气经集</w:t>
                  </w:r>
                  <w:r>
                    <w:rPr>
                      <w:rFonts w:hint="default" w:ascii="Times New Roman" w:hAnsi="Times New Roman" w:cs="Times New Roman"/>
                      <w:color w:val="auto"/>
                      <w:szCs w:val="21"/>
                      <w:highlight w:val="none"/>
                      <w:lang w:val="en-US" w:eastAsia="zh-CN"/>
                    </w:rPr>
                    <w:t>气罩收集+</w:t>
                  </w:r>
                  <w:r>
                    <w:rPr>
                      <w:rFonts w:hint="eastAsia" w:ascii="Times New Roman" w:hAnsi="Times New Roman" w:cs="Times New Roman"/>
                      <w:color w:val="auto"/>
                      <w:szCs w:val="21"/>
                      <w:highlight w:val="none"/>
                      <w:lang w:val="en-US" w:eastAsia="zh-CN"/>
                    </w:rPr>
                    <w:t>两级</w:t>
                  </w:r>
                  <w:r>
                    <w:rPr>
                      <w:rFonts w:hint="default" w:ascii="Times New Roman" w:hAnsi="Times New Roman" w:cs="Times New Roman"/>
                      <w:color w:val="auto"/>
                      <w:szCs w:val="21"/>
                      <w:highlight w:val="none"/>
                      <w:lang w:val="en-US" w:eastAsia="zh-CN"/>
                    </w:rPr>
                    <w:t>活性炭吸附处理后通过18m排气筒高空排放。</w:t>
                  </w:r>
                </w:p>
              </w:tc>
              <w:tc>
                <w:tcPr>
                  <w:tcW w:w="455" w:type="pct"/>
                  <w:noWrap w:val="0"/>
                  <w:vAlign w:val="center"/>
                </w:tcPr>
                <w:p w14:paraId="55894DF5">
                  <w:pPr>
                    <w:widowControl/>
                    <w:adjustRightInd w:val="0"/>
                    <w:snapToGrid w:val="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符合</w:t>
                  </w:r>
                </w:p>
              </w:tc>
            </w:tr>
            <w:tr w14:paraId="52143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jc w:val="center"/>
              </w:trPr>
              <w:tc>
                <w:tcPr>
                  <w:tcW w:w="2713" w:type="pct"/>
                  <w:noWrap w:val="0"/>
                  <w:vAlign w:val="center"/>
                </w:tcPr>
                <w:p w14:paraId="776B2AE4">
                  <w:pP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对现有VOCs废气收集率、治理设施同步运行率和去除率开展自查，重点关注单一采用光氧化、光催化、低温等离子、一次性活性炭吸附、喷淋吸收等工艺的治理设施。对达不到要求的VOCs收集、治理设施进行更换或升级改造，确保实现达标排放。除恶臭异味治理外，一般不采用低温等离子、光催化、光氧化等技术。</w:t>
                  </w:r>
                </w:p>
              </w:tc>
              <w:tc>
                <w:tcPr>
                  <w:tcW w:w="1831" w:type="pct"/>
                  <w:vMerge w:val="continue"/>
                  <w:noWrap w:val="0"/>
                  <w:vAlign w:val="center"/>
                </w:tcPr>
                <w:p w14:paraId="6122D46D">
                  <w:pPr>
                    <w:keepNext w:val="0"/>
                    <w:keepLines w:val="0"/>
                    <w:pageBreakBefore w:val="0"/>
                    <w:kinsoku/>
                    <w:wordWrap/>
                    <w:overflowPunct/>
                    <w:topLinePunct w:val="0"/>
                    <w:bidi w:val="0"/>
                    <w:adjustRightInd w:val="0"/>
                    <w:snapToGrid/>
                    <w:spacing w:line="240" w:lineRule="auto"/>
                    <w:ind w:left="-42" w:leftChars="-20" w:right="-42" w:rightChars="-20"/>
                    <w:textAlignment w:val="auto"/>
                    <w:rPr>
                      <w:rFonts w:hint="default" w:ascii="Times New Roman" w:hAnsi="Times New Roman" w:eastAsia="宋体" w:cs="Times New Roman"/>
                      <w:color w:val="auto"/>
                      <w:sz w:val="21"/>
                      <w:szCs w:val="21"/>
                    </w:rPr>
                  </w:pPr>
                </w:p>
              </w:tc>
              <w:tc>
                <w:tcPr>
                  <w:tcW w:w="455" w:type="pct"/>
                  <w:noWrap w:val="0"/>
                  <w:vAlign w:val="center"/>
                </w:tcPr>
                <w:p w14:paraId="37033081">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符合</w:t>
                  </w:r>
                </w:p>
              </w:tc>
            </w:tr>
          </w:tbl>
          <w:p w14:paraId="64EF8CDA">
            <w:pPr>
              <w:spacing w:line="360" w:lineRule="auto"/>
              <w:ind w:firstLine="480" w:firstLineChars="200"/>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color w:val="auto"/>
                <w:kern w:val="0"/>
                <w:sz w:val="24"/>
                <w:szCs w:val="24"/>
              </w:rPr>
              <w:t>综上分析，本项目建设符合</w:t>
            </w:r>
            <w:r>
              <w:rPr>
                <w:rFonts w:hint="default" w:ascii="Times New Roman" w:hAnsi="Times New Roman" w:eastAsia="宋体" w:cs="Times New Roman"/>
                <w:color w:val="auto"/>
                <w:sz w:val="24"/>
                <w:szCs w:val="24"/>
              </w:rPr>
              <w:t>《2020年挥发性有机物治理攻坚方案》</w:t>
            </w:r>
            <w:r>
              <w:rPr>
                <w:rFonts w:hint="default" w:ascii="Times New Roman" w:hAnsi="Times New Roman" w:eastAsia="宋体" w:cs="Times New Roman"/>
                <w:color w:val="auto"/>
                <w:kern w:val="0"/>
                <w:sz w:val="24"/>
                <w:szCs w:val="24"/>
              </w:rPr>
              <w:t>中相关要求。</w:t>
            </w:r>
          </w:p>
          <w:p w14:paraId="3AD35E09">
            <w:pPr>
              <w:adjustRightInd w:val="0"/>
              <w:snapToGrid w:val="0"/>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lang w:val="en-US" w:eastAsia="zh-CN"/>
              </w:rPr>
              <w:t>14</w:t>
            </w:r>
            <w:r>
              <w:rPr>
                <w:rFonts w:hint="default" w:ascii="Times New Roman" w:hAnsi="Times New Roman" w:cs="Times New Roman"/>
                <w:b/>
                <w:bCs/>
                <w:color w:val="auto"/>
                <w:sz w:val="24"/>
              </w:rPr>
              <w:t>、与《挥发性有机物无组织排放控制标准》（GB37822-2019）相符性分析</w:t>
            </w:r>
          </w:p>
          <w:p w14:paraId="4AB880A3">
            <w:pPr>
              <w:pStyle w:val="6"/>
              <w:keepNext/>
              <w:keepLines/>
              <w:pageBreakBefore w:val="0"/>
              <w:widowControl w:val="0"/>
              <w:kinsoku/>
              <w:wordWrap/>
              <w:overflowPunct/>
              <w:topLinePunct w:val="0"/>
              <w:autoSpaceDE/>
              <w:autoSpaceDN/>
              <w:bidi w:val="0"/>
              <w:adjustRightInd/>
              <w:snapToGrid/>
              <w:spacing w:before="0" w:beforeAutospacing="0" w:after="0" w:line="240" w:lineRule="auto"/>
              <w:ind w:left="0" w:firstLine="0"/>
              <w:jc w:val="center"/>
              <w:textAlignment w:val="auto"/>
              <w:rPr>
                <w:rFonts w:hint="default" w:ascii="Times New Roman" w:hAnsi="Times New Roman" w:eastAsia="宋体" w:cs="Times New Roman"/>
                <w:b/>
                <w:color w:val="auto"/>
                <w:kern w:val="0"/>
                <w:sz w:val="24"/>
                <w:szCs w:val="20"/>
                <w:lang w:val="zh-CN" w:eastAsia="zh-CN" w:bidi="ar-SA"/>
              </w:rPr>
            </w:pPr>
            <w:r>
              <w:rPr>
                <w:rFonts w:hint="default" w:ascii="Times New Roman" w:hAnsi="Times New Roman" w:eastAsia="宋体" w:cs="Times New Roman"/>
                <w:b/>
                <w:color w:val="auto"/>
                <w:kern w:val="0"/>
                <w:sz w:val="24"/>
                <w:szCs w:val="20"/>
                <w:lang w:val="zh-CN" w:eastAsia="zh-CN" w:bidi="ar-SA"/>
              </w:rPr>
              <w:t>表1-</w:t>
            </w:r>
            <w:r>
              <w:rPr>
                <w:rFonts w:hint="default" w:ascii="Times New Roman" w:hAnsi="Times New Roman" w:eastAsia="宋体" w:cs="Times New Roman"/>
                <w:b/>
                <w:color w:val="auto"/>
                <w:kern w:val="0"/>
                <w:sz w:val="24"/>
                <w:szCs w:val="20"/>
                <w:lang w:val="en-US" w:eastAsia="zh-CN" w:bidi="ar-SA"/>
              </w:rPr>
              <w:t>1</w:t>
            </w:r>
            <w:r>
              <w:rPr>
                <w:rFonts w:hint="eastAsia" w:ascii="Times New Roman" w:hAnsi="Times New Roman" w:eastAsia="宋体" w:cs="Times New Roman"/>
                <w:b/>
                <w:color w:val="auto"/>
                <w:kern w:val="0"/>
                <w:sz w:val="24"/>
                <w:szCs w:val="20"/>
                <w:lang w:val="en-US" w:eastAsia="zh-CN" w:bidi="ar-SA"/>
              </w:rPr>
              <w:t>3</w:t>
            </w:r>
            <w:r>
              <w:rPr>
                <w:rFonts w:hint="default" w:ascii="Times New Roman" w:hAnsi="Times New Roman" w:eastAsia="宋体" w:cs="Times New Roman"/>
                <w:b/>
                <w:color w:val="auto"/>
                <w:kern w:val="0"/>
                <w:sz w:val="24"/>
                <w:szCs w:val="20"/>
                <w:lang w:val="en-US" w:eastAsia="zh-CN" w:bidi="ar-SA"/>
              </w:rPr>
              <w:t xml:space="preserve">  </w:t>
            </w:r>
            <w:r>
              <w:rPr>
                <w:rFonts w:hint="default" w:ascii="Times New Roman" w:hAnsi="Times New Roman" w:eastAsia="宋体" w:cs="Times New Roman"/>
                <w:b/>
                <w:color w:val="auto"/>
                <w:kern w:val="0"/>
                <w:sz w:val="24"/>
                <w:szCs w:val="20"/>
                <w:lang w:val="zh-CN" w:eastAsia="zh-CN" w:bidi="ar-SA"/>
              </w:rPr>
              <w:t>《挥发性有机物无组织排放控制标准》相符性分析</w:t>
            </w:r>
          </w:p>
          <w:tbl>
            <w:tblPr>
              <w:tblStyle w:val="6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79"/>
              <w:gridCol w:w="2199"/>
              <w:gridCol w:w="1015"/>
            </w:tblGrid>
            <w:tr w14:paraId="18899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1" w:type="pct"/>
                  <w:noWrap w:val="0"/>
                  <w:vAlign w:val="center"/>
                </w:tcPr>
                <w:p w14:paraId="6CFA5755">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文件内容</w:t>
                  </w:r>
                </w:p>
              </w:tc>
              <w:tc>
                <w:tcPr>
                  <w:tcW w:w="1572" w:type="pct"/>
                  <w:noWrap w:val="0"/>
                  <w:vAlign w:val="center"/>
                </w:tcPr>
                <w:p w14:paraId="1E84FF5E">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本项目建设情况</w:t>
                  </w:r>
                </w:p>
              </w:tc>
              <w:tc>
                <w:tcPr>
                  <w:tcW w:w="725" w:type="pct"/>
                  <w:noWrap w:val="0"/>
                  <w:vAlign w:val="center"/>
                </w:tcPr>
                <w:p w14:paraId="1B488B27">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相符性</w:t>
                  </w:r>
                </w:p>
              </w:tc>
            </w:tr>
            <w:tr w14:paraId="4CA7E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1" w:type="pct"/>
                  <w:noWrap w:val="0"/>
                  <w:vAlign w:val="center"/>
                </w:tcPr>
                <w:p w14:paraId="5663E8D9">
                  <w:pPr>
                    <w:widowControl/>
                    <w:jc w:val="left"/>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1、VOCs 物料应储存于密闭的容器、包装袋、储罐、储库、料仓中。</w:t>
                  </w:r>
                </w:p>
                <w:p w14:paraId="5239BC8E">
                  <w:pPr>
                    <w:widowControl/>
                    <w:jc w:val="left"/>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2、盛装VOCs 物料的容器或包装袋应存放于室内，或存放于设置有雨棚、遮阳和防渗设施的专用场地。盛装VOCs 物料的容器或包装袋在非取用状态时应加盖、封口，保持密闭。</w:t>
                  </w:r>
                </w:p>
              </w:tc>
              <w:tc>
                <w:tcPr>
                  <w:tcW w:w="1572" w:type="pct"/>
                  <w:noWrap w:val="0"/>
                  <w:vAlign w:val="center"/>
                </w:tcPr>
                <w:p w14:paraId="51C852AB">
                  <w:pPr>
                    <w:widowControl/>
                    <w:jc w:val="left"/>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本项目</w:t>
                  </w:r>
                  <w:r>
                    <w:rPr>
                      <w:rFonts w:hint="default" w:ascii="Times New Roman" w:hAnsi="Times New Roman" w:cs="Times New Roman"/>
                      <w:bCs/>
                      <w:color w:val="auto"/>
                      <w:sz w:val="21"/>
                      <w:szCs w:val="21"/>
                      <w:lang w:val="en-US" w:eastAsia="zh-CN"/>
                    </w:rPr>
                    <w:t>使用的</w:t>
                  </w:r>
                  <w:r>
                    <w:rPr>
                      <w:rFonts w:hint="eastAsia" w:ascii="Times New Roman" w:hAnsi="Times New Roman" w:eastAsia="宋体" w:cs="Times New Roman"/>
                      <w:color w:val="auto"/>
                      <w:szCs w:val="21"/>
                      <w:highlight w:val="none"/>
                      <w:lang w:val="en-US" w:eastAsia="zh-CN"/>
                    </w:rPr>
                    <w:t>水性脱模剂、水性淬火液</w:t>
                  </w:r>
                  <w:r>
                    <w:rPr>
                      <w:rFonts w:hint="default" w:ascii="Times New Roman" w:hAnsi="Times New Roman" w:cs="Times New Roman"/>
                      <w:bCs/>
                      <w:color w:val="auto"/>
                      <w:sz w:val="21"/>
                      <w:szCs w:val="21"/>
                      <w:lang w:val="en-US" w:eastAsia="zh-CN"/>
                    </w:rPr>
                    <w:t>等化学品均</w:t>
                  </w:r>
                  <w:r>
                    <w:rPr>
                      <w:rFonts w:hint="default" w:ascii="Times New Roman" w:hAnsi="Times New Roman" w:eastAsia="宋体" w:cs="Times New Roman"/>
                      <w:color w:val="auto"/>
                      <w:kern w:val="0"/>
                      <w:szCs w:val="21"/>
                    </w:rPr>
                    <w:t>储存于密封的包装</w:t>
                  </w:r>
                  <w:r>
                    <w:rPr>
                      <w:rFonts w:hint="default" w:ascii="Times New Roman" w:hAnsi="Times New Roman" w:eastAsia="宋体" w:cs="Times New Roman"/>
                      <w:color w:val="auto"/>
                      <w:kern w:val="0"/>
                      <w:szCs w:val="21"/>
                      <w:lang w:eastAsia="zh-CN"/>
                    </w:rPr>
                    <w:t>桶、瓶</w:t>
                  </w:r>
                  <w:r>
                    <w:rPr>
                      <w:rFonts w:hint="default" w:ascii="Times New Roman" w:hAnsi="Times New Roman" w:eastAsia="宋体" w:cs="Times New Roman"/>
                      <w:color w:val="auto"/>
                      <w:kern w:val="0"/>
                      <w:szCs w:val="21"/>
                    </w:rPr>
                    <w:t>中，在非取用状态时封口，保持密闭。</w:t>
                  </w:r>
                </w:p>
              </w:tc>
              <w:tc>
                <w:tcPr>
                  <w:tcW w:w="725" w:type="pct"/>
                  <w:noWrap w:val="0"/>
                  <w:vAlign w:val="center"/>
                </w:tcPr>
                <w:p w14:paraId="4941F9F5">
                  <w:pPr>
                    <w:widowControl/>
                    <w:jc w:val="center"/>
                    <w:rPr>
                      <w:rFonts w:hint="default" w:ascii="Times New Roman" w:hAnsi="Times New Roman" w:cs="Times New Roman"/>
                      <w:color w:val="auto"/>
                      <w:kern w:val="0"/>
                      <w:szCs w:val="21"/>
                    </w:rPr>
                  </w:pPr>
                  <w:r>
                    <w:rPr>
                      <w:rFonts w:hint="default" w:ascii="Times New Roman" w:hAnsi="Times New Roman" w:eastAsia="宋体" w:cs="Times New Roman"/>
                      <w:color w:val="auto"/>
                      <w:sz w:val="21"/>
                      <w:szCs w:val="21"/>
                      <w:lang w:val="en-US" w:eastAsia="zh-CN"/>
                    </w:rPr>
                    <w:t>符合</w:t>
                  </w:r>
                </w:p>
              </w:tc>
            </w:tr>
            <w:tr w14:paraId="5C4F6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1" w:type="pct"/>
                  <w:noWrap w:val="0"/>
                  <w:vAlign w:val="center"/>
                </w:tcPr>
                <w:p w14:paraId="13F02A19">
                  <w:pPr>
                    <w:widowControl/>
                    <w:jc w:val="left"/>
                    <w:rPr>
                      <w:rFonts w:hint="default" w:ascii="Times New Roman" w:hAnsi="Times New Roman" w:eastAsia="宋体" w:cs="Times New Roman"/>
                      <w:color w:val="auto"/>
                      <w:szCs w:val="21"/>
                      <w:shd w:val="clear" w:color="auto" w:fill="FFFFFF"/>
                    </w:rPr>
                  </w:pPr>
                  <w:r>
                    <w:rPr>
                      <w:rFonts w:hint="default" w:ascii="Times New Roman" w:hAnsi="Times New Roman" w:eastAsia="宋体" w:cs="Times New Roman"/>
                      <w:color w:val="auto"/>
                      <w:szCs w:val="21"/>
                      <w:shd w:val="clear" w:color="auto" w:fill="FFFFFF"/>
                    </w:rPr>
                    <w:t>1、液态VOCs 物料应采用密闭管道输送。采用非管道输送方式转移液态VOCs 物料时，应采用密闭容器、罐车。</w:t>
                  </w:r>
                </w:p>
                <w:p w14:paraId="2BB2015D">
                  <w:pPr>
                    <w:widowControl/>
                    <w:jc w:val="left"/>
                    <w:rPr>
                      <w:rFonts w:hint="default" w:ascii="Times New Roman" w:hAnsi="Times New Roman" w:eastAsia="宋体" w:cs="Times New Roman"/>
                      <w:color w:val="auto"/>
                      <w:szCs w:val="21"/>
                      <w:shd w:val="clear" w:color="auto" w:fill="FFFFFF"/>
                    </w:rPr>
                  </w:pPr>
                  <w:r>
                    <w:rPr>
                      <w:rFonts w:hint="default" w:ascii="Times New Roman" w:hAnsi="Times New Roman" w:eastAsia="宋体" w:cs="Times New Roman"/>
                      <w:color w:val="auto"/>
                      <w:szCs w:val="21"/>
                      <w:shd w:val="clear" w:color="auto" w:fill="FFFFFF"/>
                    </w:rPr>
                    <w:t>2、粉状、粒状VOCs 物料应采用气力输送设备、管状带式输送机、螺旋输送机等密闭输送方式，或者采用密闭的包装袋、容器或罐车进行物料转移。</w:t>
                  </w:r>
                </w:p>
              </w:tc>
              <w:tc>
                <w:tcPr>
                  <w:tcW w:w="1572" w:type="pct"/>
                  <w:noWrap w:val="0"/>
                  <w:vAlign w:val="center"/>
                </w:tcPr>
                <w:p w14:paraId="752A6A81">
                  <w:pPr>
                    <w:widowControl/>
                    <w:jc w:val="left"/>
                    <w:rPr>
                      <w:rFonts w:hint="default" w:ascii="Times New Roman" w:hAnsi="Times New Roman" w:eastAsia="宋体" w:cs="Times New Roman"/>
                      <w:color w:val="auto"/>
                      <w:szCs w:val="21"/>
                      <w:shd w:val="clear" w:color="auto" w:fill="FFFFFF"/>
                    </w:rPr>
                  </w:pPr>
                  <w:r>
                    <w:rPr>
                      <w:rFonts w:hint="default" w:ascii="Times New Roman" w:hAnsi="Times New Roman" w:eastAsia="宋体" w:cs="Times New Roman"/>
                      <w:color w:val="auto"/>
                      <w:szCs w:val="21"/>
                      <w:shd w:val="clear" w:color="auto" w:fill="FFFFFF"/>
                    </w:rPr>
                    <w:t>本项目</w:t>
                  </w:r>
                  <w:r>
                    <w:rPr>
                      <w:rFonts w:hint="default" w:ascii="Times New Roman" w:hAnsi="Times New Roman" w:eastAsia="宋体" w:cs="Times New Roman"/>
                      <w:color w:val="auto"/>
                      <w:szCs w:val="21"/>
                      <w:shd w:val="clear" w:color="auto" w:fill="FFFFFF"/>
                      <w:lang w:val="en-US" w:eastAsia="zh-CN"/>
                    </w:rPr>
                    <w:t>使用的</w:t>
                  </w:r>
                  <w:r>
                    <w:rPr>
                      <w:rFonts w:hint="eastAsia" w:ascii="Times New Roman" w:hAnsi="Times New Roman" w:eastAsia="宋体" w:cs="Times New Roman"/>
                      <w:color w:val="auto"/>
                      <w:szCs w:val="21"/>
                      <w:shd w:val="clear" w:color="auto" w:fill="FFFFFF"/>
                      <w:lang w:val="en-US" w:eastAsia="zh-CN"/>
                    </w:rPr>
                    <w:t>水性脱模剂、水性淬火液</w:t>
                  </w:r>
                  <w:r>
                    <w:rPr>
                      <w:rFonts w:hint="default" w:ascii="Times New Roman" w:hAnsi="Times New Roman" w:eastAsia="宋体" w:cs="Times New Roman"/>
                      <w:color w:val="auto"/>
                      <w:szCs w:val="21"/>
                      <w:shd w:val="clear" w:color="auto" w:fill="FFFFFF"/>
                      <w:lang w:val="en-US" w:eastAsia="zh-CN"/>
                    </w:rPr>
                    <w:t>等化学品均</w:t>
                  </w:r>
                  <w:r>
                    <w:rPr>
                      <w:rFonts w:hint="default" w:ascii="Times New Roman" w:hAnsi="Times New Roman" w:eastAsia="宋体" w:cs="Times New Roman"/>
                      <w:color w:val="auto"/>
                      <w:szCs w:val="21"/>
                      <w:shd w:val="clear" w:color="auto" w:fill="FFFFFF"/>
                      <w:lang w:eastAsia="zh-CN"/>
                    </w:rPr>
                    <w:t>采用密闭桶装进行物料转移</w:t>
                  </w:r>
                  <w:r>
                    <w:rPr>
                      <w:rFonts w:hint="default" w:ascii="Times New Roman" w:hAnsi="Times New Roman" w:eastAsia="宋体" w:cs="Times New Roman"/>
                      <w:color w:val="auto"/>
                      <w:szCs w:val="21"/>
                      <w:shd w:val="clear" w:color="auto" w:fill="FFFFFF"/>
                    </w:rPr>
                    <w:t>。</w:t>
                  </w:r>
                </w:p>
              </w:tc>
              <w:tc>
                <w:tcPr>
                  <w:tcW w:w="725" w:type="pct"/>
                  <w:noWrap w:val="0"/>
                  <w:vAlign w:val="center"/>
                </w:tcPr>
                <w:p w14:paraId="0CCD62A6">
                  <w:pPr>
                    <w:widowControl/>
                    <w:jc w:val="center"/>
                    <w:rPr>
                      <w:rFonts w:hint="default" w:ascii="Times New Roman" w:hAnsi="Times New Roman" w:cs="Times New Roman"/>
                      <w:color w:val="auto"/>
                      <w:kern w:val="0"/>
                      <w:szCs w:val="21"/>
                    </w:rPr>
                  </w:pPr>
                  <w:r>
                    <w:rPr>
                      <w:rFonts w:hint="default" w:ascii="Times New Roman" w:hAnsi="Times New Roman" w:eastAsia="宋体" w:cs="Times New Roman"/>
                      <w:color w:val="auto"/>
                      <w:sz w:val="21"/>
                      <w:szCs w:val="21"/>
                      <w:lang w:val="en-US" w:eastAsia="zh-CN"/>
                    </w:rPr>
                    <w:t>符合</w:t>
                  </w:r>
                </w:p>
              </w:tc>
            </w:tr>
            <w:tr w14:paraId="62A4A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1" w:type="pct"/>
                  <w:noWrap w:val="0"/>
                  <w:vAlign w:val="center"/>
                </w:tcPr>
                <w:p w14:paraId="367F89A9">
                  <w:pPr>
                    <w:widowControl/>
                    <w:jc w:val="left"/>
                    <w:rPr>
                      <w:rFonts w:hint="default" w:ascii="Times New Roman" w:hAnsi="Times New Roman" w:cs="Times New Roman"/>
                      <w:color w:val="auto"/>
                      <w:szCs w:val="21"/>
                      <w:shd w:val="clear" w:color="auto" w:fill="FFFFFF"/>
                    </w:rPr>
                  </w:pPr>
                  <w:r>
                    <w:rPr>
                      <w:rFonts w:hint="default" w:ascii="Times New Roman" w:hAnsi="Times New Roman" w:cs="Times New Roman"/>
                      <w:color w:val="auto"/>
                      <w:szCs w:val="21"/>
                      <w:shd w:val="clear" w:color="auto" w:fill="FFFFFF"/>
                    </w:rPr>
                    <w:t>1、液态VOCs 物料应采用密闭管道输送方式或采用高位槽（罐）、桶泵等给料方式密闭投加。无法密闭投加的，应在密闭空间内操作，或进行局部气体收集，废气应排至VOCs 废气收集处理系统。</w:t>
                  </w:r>
                </w:p>
                <w:p w14:paraId="6C6BB836">
                  <w:pPr>
                    <w:widowControl/>
                    <w:jc w:val="left"/>
                    <w:rPr>
                      <w:rFonts w:hint="default" w:ascii="Times New Roman" w:hAnsi="Times New Roman" w:cs="Times New Roman"/>
                      <w:color w:val="auto"/>
                      <w:szCs w:val="21"/>
                      <w:shd w:val="clear" w:color="auto" w:fill="FFFFFF"/>
                    </w:rPr>
                  </w:pPr>
                  <w:r>
                    <w:rPr>
                      <w:rFonts w:hint="default" w:ascii="Times New Roman" w:hAnsi="Times New Roman" w:cs="Times New Roman"/>
                      <w:color w:val="auto"/>
                      <w:szCs w:val="21"/>
                      <w:shd w:val="clear" w:color="auto" w:fill="FFFFFF"/>
                    </w:rPr>
                    <w:t>2、粉状、粒状VOCs 物料应采用气力输送方式或采用密闭固体投料器等给料方式密闭投加。无法密闭投加的，应在密闭空间内操作，或进行局部气体收集，废气应排至除尘设施、VOCs 废气收集处理系统。</w:t>
                  </w:r>
                </w:p>
              </w:tc>
              <w:tc>
                <w:tcPr>
                  <w:tcW w:w="1572" w:type="pct"/>
                  <w:noWrap w:val="0"/>
                  <w:vAlign w:val="center"/>
                </w:tcPr>
                <w:p w14:paraId="4028AE37">
                  <w:pPr>
                    <w:widowControl/>
                    <w:rPr>
                      <w:rFonts w:hint="default" w:ascii="Times New Roman" w:hAnsi="Times New Roman" w:cs="Times New Roman"/>
                      <w:color w:val="auto"/>
                      <w:kern w:val="0"/>
                      <w:szCs w:val="21"/>
                    </w:rPr>
                  </w:pPr>
                  <w:r>
                    <w:rPr>
                      <w:rFonts w:hint="default" w:ascii="Times New Roman" w:hAnsi="Times New Roman" w:cs="Times New Roman"/>
                      <w:color w:val="auto"/>
                      <w:szCs w:val="21"/>
                      <w:shd w:val="clear" w:color="auto" w:fill="FFFFFF"/>
                    </w:rPr>
                    <w:t>本项目</w:t>
                  </w:r>
                  <w:r>
                    <w:rPr>
                      <w:rFonts w:hint="default" w:ascii="Times New Roman" w:hAnsi="Times New Roman" w:eastAsia="宋体" w:cs="Times New Roman"/>
                      <w:color w:val="auto"/>
                      <w:szCs w:val="21"/>
                      <w:shd w:val="clear" w:color="auto" w:fill="FFFFFF"/>
                    </w:rPr>
                    <w:t>产生的有机废气通过</w:t>
                  </w:r>
                  <w:r>
                    <w:rPr>
                      <w:rFonts w:hint="default" w:ascii="Times New Roman" w:hAnsi="Times New Roman" w:cs="Times New Roman"/>
                      <w:color w:val="auto"/>
                      <w:szCs w:val="21"/>
                      <w:lang w:eastAsia="zh-CN"/>
                    </w:rPr>
                    <w:t>静电</w:t>
                  </w:r>
                  <w:r>
                    <w:rPr>
                      <w:rFonts w:hint="default" w:ascii="Times New Roman" w:hAnsi="Times New Roman" w:cs="Times New Roman"/>
                      <w:color w:val="auto"/>
                      <w:szCs w:val="21"/>
                      <w:lang w:val="en-US" w:eastAsia="zh-CN"/>
                    </w:rPr>
                    <w:t>式</w:t>
                  </w:r>
                  <w:r>
                    <w:rPr>
                      <w:rFonts w:hint="default" w:ascii="Times New Roman" w:hAnsi="Times New Roman" w:cs="Times New Roman"/>
                      <w:color w:val="auto"/>
                      <w:szCs w:val="21"/>
                      <w:lang w:eastAsia="zh-CN"/>
                    </w:rPr>
                    <w:t>油雾净化</w:t>
                  </w:r>
                  <w:r>
                    <w:rPr>
                      <w:rFonts w:hint="default" w:ascii="Times New Roman" w:hAnsi="Times New Roman" w:cs="Times New Roman"/>
                      <w:color w:val="auto"/>
                      <w:szCs w:val="21"/>
                      <w:lang w:val="en-US" w:eastAsia="zh-CN"/>
                    </w:rPr>
                    <w:t>器</w:t>
                  </w:r>
                  <w:r>
                    <w:rPr>
                      <w:rFonts w:hint="eastAsia" w:ascii="Times New Roman" w:hAnsi="Times New Roman" w:cs="Times New Roman"/>
                      <w:color w:val="auto"/>
                      <w:szCs w:val="21"/>
                      <w:lang w:val="en-US" w:eastAsia="zh-CN"/>
                    </w:rPr>
                    <w:t>+</w:t>
                  </w:r>
                  <w:r>
                    <w:rPr>
                      <w:rFonts w:hint="default" w:ascii="Times New Roman" w:hAnsi="Times New Roman" w:eastAsia="宋体" w:cs="Times New Roman"/>
                      <w:color w:val="auto"/>
                      <w:szCs w:val="21"/>
                      <w:shd w:val="clear" w:color="auto" w:fill="FFFFFF"/>
                    </w:rPr>
                    <w:t>两级活性炭吸附装置处理后达标排放。</w:t>
                  </w:r>
                </w:p>
              </w:tc>
              <w:tc>
                <w:tcPr>
                  <w:tcW w:w="725" w:type="pct"/>
                  <w:noWrap w:val="0"/>
                  <w:vAlign w:val="center"/>
                </w:tcPr>
                <w:p w14:paraId="0B933DDB">
                  <w:pPr>
                    <w:widowControl/>
                    <w:jc w:val="center"/>
                    <w:rPr>
                      <w:rFonts w:hint="default" w:ascii="Times New Roman" w:hAnsi="Times New Roman" w:cs="Times New Roman"/>
                      <w:color w:val="auto"/>
                      <w:kern w:val="0"/>
                      <w:szCs w:val="21"/>
                    </w:rPr>
                  </w:pPr>
                  <w:r>
                    <w:rPr>
                      <w:rFonts w:hint="default" w:ascii="Times New Roman" w:hAnsi="Times New Roman" w:eastAsia="宋体" w:cs="Times New Roman"/>
                      <w:color w:val="auto"/>
                      <w:sz w:val="21"/>
                      <w:szCs w:val="21"/>
                      <w:lang w:val="en-US" w:eastAsia="zh-CN"/>
                    </w:rPr>
                    <w:t>符合</w:t>
                  </w:r>
                </w:p>
              </w:tc>
            </w:tr>
          </w:tbl>
          <w:p w14:paraId="4FA71AD3">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综上所述，项目建设符合《挥发性有机物无组织排放控制标准》（GB37822-2019）的要求。</w:t>
            </w:r>
          </w:p>
          <w:p w14:paraId="28122954">
            <w:pPr>
              <w:spacing w:line="360" w:lineRule="auto"/>
              <w:ind w:firstLine="482" w:firstLineChars="200"/>
              <w:rPr>
                <w:rFonts w:hint="default" w:ascii="Times New Roman" w:hAnsi="Times New Roman" w:eastAsia="宋体"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15、与《安徽省低挥发性有机物含量原辅材料替代工作方案》</w:t>
            </w:r>
            <w:r>
              <w:rPr>
                <w:rFonts w:hint="default" w:ascii="Times New Roman" w:hAnsi="Times New Roman" w:cs="Times New Roman"/>
                <w:b/>
                <w:bCs/>
                <w:color w:val="auto"/>
                <w:sz w:val="24"/>
                <w:szCs w:val="24"/>
              </w:rPr>
              <w:t>（皖环发[202</w:t>
            </w:r>
            <w:r>
              <w:rPr>
                <w:rFonts w:hint="default" w:ascii="Times New Roman" w:hAnsi="Times New Roman" w:cs="Times New Roman"/>
                <w:b/>
                <w:bCs/>
                <w:color w:val="auto"/>
                <w:sz w:val="24"/>
                <w:szCs w:val="24"/>
                <w:lang w:val="en-US" w:eastAsia="zh-CN"/>
              </w:rPr>
              <w:t>4</w:t>
            </w:r>
            <w:r>
              <w:rPr>
                <w:rFonts w:hint="default" w:ascii="Times New Roman" w:hAnsi="Times New Roman" w:cs="Times New Roman"/>
                <w:b/>
                <w:bCs/>
                <w:color w:val="auto"/>
                <w:sz w:val="24"/>
                <w:szCs w:val="24"/>
              </w:rPr>
              <w:t>]1号）</w:t>
            </w:r>
            <w:r>
              <w:rPr>
                <w:rFonts w:hint="default" w:ascii="Times New Roman" w:hAnsi="Times New Roman" w:cs="Times New Roman"/>
                <w:b/>
                <w:bCs/>
                <w:color w:val="auto"/>
                <w:sz w:val="24"/>
                <w:szCs w:val="24"/>
                <w:lang w:val="en-US" w:eastAsia="zh-CN"/>
              </w:rPr>
              <w:t>的符合性</w:t>
            </w:r>
          </w:p>
          <w:p w14:paraId="0F30D018">
            <w:pPr>
              <w:pStyle w:val="374"/>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kern w:val="0"/>
                <w:sz w:val="24"/>
                <w:szCs w:val="20"/>
                <w:lang w:val="en-US" w:eastAsia="zh-CN" w:bidi="ar-SA"/>
              </w:rPr>
            </w:pPr>
            <w:r>
              <w:rPr>
                <w:rFonts w:hint="default" w:ascii="Times New Roman" w:hAnsi="Times New Roman" w:eastAsia="宋体" w:cs="Times New Roman"/>
                <w:b/>
                <w:color w:val="auto"/>
                <w:kern w:val="0"/>
                <w:sz w:val="24"/>
                <w:szCs w:val="20"/>
                <w:lang w:val="en-US" w:eastAsia="zh-CN" w:bidi="ar-SA"/>
              </w:rPr>
              <w:t>表1-1</w:t>
            </w:r>
            <w:r>
              <w:rPr>
                <w:rFonts w:hint="eastAsia" w:ascii="Times New Roman" w:hAnsi="Times New Roman" w:eastAsia="宋体" w:cs="Times New Roman"/>
                <w:b/>
                <w:color w:val="auto"/>
                <w:kern w:val="0"/>
                <w:sz w:val="24"/>
                <w:szCs w:val="20"/>
                <w:lang w:val="en-US" w:eastAsia="zh-CN" w:bidi="ar-SA"/>
              </w:rPr>
              <w:t>4</w:t>
            </w:r>
            <w:r>
              <w:rPr>
                <w:rFonts w:hint="default" w:ascii="Times New Roman" w:hAnsi="Times New Roman" w:eastAsia="宋体" w:cs="Times New Roman"/>
                <w:b/>
                <w:color w:val="auto"/>
                <w:kern w:val="0"/>
                <w:sz w:val="24"/>
                <w:szCs w:val="20"/>
                <w:lang w:val="en-US" w:eastAsia="zh-CN" w:bidi="ar-SA"/>
              </w:rPr>
              <w:t xml:space="preserve">  与《安徽省低挥发性有机物含量原辅材料替代工作方案》符合性分析一览表</w:t>
            </w:r>
          </w:p>
          <w:tbl>
            <w:tblPr>
              <w:tblStyle w:val="63"/>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020"/>
              <w:gridCol w:w="2136"/>
              <w:gridCol w:w="830"/>
            </w:tblGrid>
            <w:tr w14:paraId="2FB3E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876" w:type="pct"/>
                  <w:noWrap w:val="0"/>
                  <w:vAlign w:val="center"/>
                </w:tcPr>
                <w:p w14:paraId="1B65EC9D">
                  <w:pPr>
                    <w:pStyle w:val="188"/>
                    <w:spacing w:line="240" w:lineRule="auto"/>
                    <w:ind w:firstLine="0"/>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要求</w:t>
                  </w:r>
                </w:p>
              </w:tc>
              <w:tc>
                <w:tcPr>
                  <w:tcW w:w="1528" w:type="pct"/>
                  <w:noWrap w:val="0"/>
                  <w:vAlign w:val="center"/>
                </w:tcPr>
                <w:p w14:paraId="3A2202CE">
                  <w:pPr>
                    <w:pStyle w:val="188"/>
                    <w:spacing w:line="240" w:lineRule="auto"/>
                    <w:ind w:firstLine="0"/>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本项目</w:t>
                  </w:r>
                </w:p>
              </w:tc>
              <w:tc>
                <w:tcPr>
                  <w:tcW w:w="594" w:type="pct"/>
                  <w:noWrap w:val="0"/>
                  <w:vAlign w:val="center"/>
                </w:tcPr>
                <w:p w14:paraId="4F8543E8">
                  <w:pPr>
                    <w:pStyle w:val="188"/>
                    <w:spacing w:line="240" w:lineRule="auto"/>
                    <w:ind w:firstLine="0"/>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符合性</w:t>
                  </w:r>
                </w:p>
              </w:tc>
            </w:tr>
            <w:tr w14:paraId="65691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atLeast"/>
              </w:trPr>
              <w:tc>
                <w:tcPr>
                  <w:tcW w:w="2876" w:type="pct"/>
                  <w:noWrap w:val="0"/>
                  <w:vAlign w:val="center"/>
                </w:tcPr>
                <w:p w14:paraId="2471B658">
                  <w:pPr>
                    <w:pStyle w:val="188"/>
                    <w:spacing w:line="240" w:lineRule="auto"/>
                    <w:ind w:firstLine="0"/>
                    <w:jc w:val="both"/>
                    <w:rPr>
                      <w:rFonts w:hint="default" w:ascii="Times New Roman" w:hAnsi="Times New Roman" w:eastAsia="宋体" w:cs="Times New Roman"/>
                      <w:color w:val="auto"/>
                      <w:sz w:val="21"/>
                      <w:szCs w:val="21"/>
                    </w:rPr>
                  </w:pPr>
                  <w:r>
                    <w:rPr>
                      <w:rFonts w:hint="default" w:ascii="Times New Roman" w:hAnsi="Times New Roman" w:cs="Times New Roman"/>
                      <w:b/>
                      <w:bCs/>
                      <w:color w:val="auto"/>
                      <w:sz w:val="21"/>
                      <w:szCs w:val="21"/>
                      <w:lang w:eastAsia="zh-CN"/>
                    </w:rPr>
                    <w:t>加强替代管理。</w:t>
                  </w:r>
                  <w:r>
                    <w:rPr>
                      <w:rFonts w:hint="default" w:ascii="Times New Roman" w:hAnsi="Times New Roman" w:eastAsia="宋体" w:cs="Times New Roman"/>
                      <w:color w:val="auto"/>
                      <w:kern w:val="2"/>
                      <w:sz w:val="21"/>
                      <w:szCs w:val="21"/>
                      <w:lang w:val="en-US" w:eastAsia="zh-CN" w:bidi="ar-SA"/>
                    </w:rPr>
                    <w:t>工业涂装、包装印刷、竹木加工、家具制造、汽车修理与维护、鞋和皮革制品制造等重点行业企业，要按照《低挥发性有机物含量原辅材料源头替代技术指引(试行)》(附件3)要求，开展低VOCs原辅材料和生产方式替代，优化管控台账及档案管理，持续提升环境管理水平。各地要根据《关于深入开展挥发性有机物污染治理工作的通知》(皖大气办[2021]4号)要求，在认真梳理2021至2023年度VOCs源头削减治理项目清单基础上，对涉VOCs重点行业和使用溶剂型涂料、油墨、胶粘剂、清洗剂以及涉及有机化工生产的产业集群进行再排查，将含VOCs原辅材料使用企业全面纳入源头替代企业排查台账(附件2)，对具备替代条件的，加强调度指导</w:t>
                  </w:r>
                  <w:r>
                    <w:rPr>
                      <w:rFonts w:hint="default" w:ascii="Times New Roman" w:hAnsi="Times New Roman" w:cs="Times New Roman"/>
                      <w:color w:val="auto"/>
                      <w:kern w:val="2"/>
                      <w:sz w:val="21"/>
                      <w:szCs w:val="21"/>
                      <w:lang w:val="en-US" w:eastAsia="zh-CN" w:bidi="ar-SA"/>
                    </w:rPr>
                    <w:t>；</w:t>
                  </w:r>
                  <w:r>
                    <w:rPr>
                      <w:rFonts w:hint="default" w:ascii="Times New Roman" w:hAnsi="Times New Roman" w:eastAsia="宋体" w:cs="Times New Roman"/>
                      <w:color w:val="auto"/>
                      <w:kern w:val="2"/>
                      <w:sz w:val="21"/>
                      <w:szCs w:val="21"/>
                      <w:lang w:val="en-US" w:eastAsia="zh-CN" w:bidi="ar-SA"/>
                    </w:rPr>
                    <w:t>对无法替代的，要开展论证核实，严格把关并逐一说明。</w:t>
                  </w:r>
                </w:p>
              </w:tc>
              <w:tc>
                <w:tcPr>
                  <w:tcW w:w="1528" w:type="pct"/>
                  <w:shd w:val="clear" w:color="auto" w:fill="auto"/>
                  <w:noWrap w:val="0"/>
                  <w:vAlign w:val="center"/>
                </w:tcPr>
                <w:p w14:paraId="4F6D820F">
                  <w:pP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highlight w:val="none"/>
                    </w:rPr>
                    <w:t>项目运营期不使用溶剂型涂料、油墨、粘合剂等</w:t>
                  </w:r>
                  <w:r>
                    <w:rPr>
                      <w:rFonts w:hint="default" w:ascii="Times New Roman" w:hAnsi="Times New Roman" w:cs="Times New Roman"/>
                      <w:color w:val="auto"/>
                      <w:lang w:eastAsia="zh-CN"/>
                    </w:rPr>
                    <w:t>。</w:t>
                  </w:r>
                </w:p>
              </w:tc>
              <w:tc>
                <w:tcPr>
                  <w:tcW w:w="594" w:type="pct"/>
                  <w:noWrap w:val="0"/>
                  <w:vAlign w:val="center"/>
                </w:tcPr>
                <w:p w14:paraId="7A205BDE">
                  <w:pPr>
                    <w:pStyle w:val="188"/>
                    <w:spacing w:line="240" w:lineRule="auto"/>
                    <w:ind w:firstLine="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满足</w:t>
                  </w:r>
                </w:p>
              </w:tc>
            </w:tr>
          </w:tbl>
          <w:p w14:paraId="6150D1F7">
            <w:pPr>
              <w:adjustRightInd w:val="0"/>
              <w:snapToGrid w:val="0"/>
              <w:spacing w:line="360" w:lineRule="auto"/>
              <w:ind w:firstLine="482" w:firstLineChars="200"/>
              <w:jc w:val="left"/>
              <w:rPr>
                <w:rFonts w:ascii="Times New Roman" w:hAnsi="Times New Roman"/>
                <w:bCs/>
                <w:color w:val="auto"/>
                <w:sz w:val="24"/>
              </w:rPr>
            </w:pPr>
            <w:r>
              <w:rPr>
                <w:rFonts w:hint="eastAsia"/>
                <w:b/>
                <w:bCs/>
                <w:color w:val="auto"/>
                <w:sz w:val="24"/>
                <w:lang w:val="en-US" w:eastAsia="zh-CN"/>
              </w:rPr>
              <w:t>16、</w:t>
            </w:r>
            <w:r>
              <w:rPr>
                <w:rFonts w:ascii="Times New Roman" w:hAnsi="Times New Roman"/>
                <w:b/>
                <w:bCs/>
                <w:color w:val="auto"/>
                <w:sz w:val="24"/>
              </w:rPr>
              <w:t>与《安徽省人民政府关于加快实施“三线一单”生态环境分区管控的通知》相符性分析</w:t>
            </w:r>
          </w:p>
          <w:p w14:paraId="444AB83E">
            <w:pPr>
              <w:spacing w:line="360" w:lineRule="auto"/>
              <w:ind w:firstLine="480" w:firstLineChars="200"/>
              <w:rPr>
                <w:rFonts w:ascii="Times New Roman" w:hAnsi="Times New Roman"/>
                <w:color w:val="auto"/>
                <w:sz w:val="24"/>
              </w:rPr>
            </w:pPr>
            <w:r>
              <w:rPr>
                <w:rFonts w:ascii="Times New Roman" w:hAnsi="Times New Roman"/>
                <w:color w:val="auto"/>
                <w:sz w:val="24"/>
              </w:rPr>
              <w:t>安徽省共划定1002个生态环境管控单元，分为优先保护、重点管控和一般管控3类。</w:t>
            </w:r>
          </w:p>
          <w:p w14:paraId="7CD897CE">
            <w:pPr>
              <w:spacing w:line="360" w:lineRule="auto"/>
              <w:ind w:firstLine="480" w:firstLineChars="200"/>
              <w:rPr>
                <w:rFonts w:ascii="Times New Roman" w:hAnsi="Times New Roman"/>
                <w:color w:val="auto"/>
                <w:sz w:val="24"/>
              </w:rPr>
            </w:pPr>
            <w:r>
              <w:rPr>
                <w:rFonts w:ascii="Times New Roman" w:hAnsi="Times New Roman"/>
                <w:color w:val="auto"/>
                <w:sz w:val="24"/>
              </w:rPr>
              <w:t>（一）优先保护单元。共545个，面积42519.24平方公里，占全省国土面积的30.33%，包含生态保护红线、自然保护地、集中式饮用水水源保护区等生态功能重要区和生态环境敏感区，主要分布在皖南山区、皖西大别山区、巢湖湖区等重点生态功能区域。该区域突出空间用途管控，以严格保护生态环境为导向，依法禁止或限制大规模、高强度的工业开发和城镇建设，确保生态环境功能不降低。</w:t>
            </w:r>
          </w:p>
          <w:p w14:paraId="51BBC795">
            <w:pPr>
              <w:spacing w:line="360" w:lineRule="auto"/>
              <w:ind w:firstLine="480" w:firstLineChars="200"/>
              <w:rPr>
                <w:rFonts w:ascii="Times New Roman" w:hAnsi="Times New Roman"/>
                <w:color w:val="auto"/>
                <w:sz w:val="24"/>
              </w:rPr>
            </w:pPr>
            <w:r>
              <w:rPr>
                <w:rFonts w:ascii="Times New Roman" w:hAnsi="Times New Roman"/>
                <w:color w:val="auto"/>
                <w:sz w:val="24"/>
              </w:rPr>
              <w:t>（二）重点管控单元。共354个，面积25011.43平方公里，占全省国土面积的17.84%，包含城镇规划边界、省级及以上开发区等开发强度高、污染物排放强度大的区域，以及环境问题相对集中的区域，主要分布在沿江、沿淮等重点发展区域。该区域突出污染物排放控制和环境风险防控，以守住环境质量底线、积极发展社会经济为导向，强化环境质量改善目标约束。</w:t>
            </w:r>
          </w:p>
          <w:p w14:paraId="46C60144">
            <w:pPr>
              <w:spacing w:line="360" w:lineRule="auto"/>
              <w:ind w:firstLine="480" w:firstLineChars="200"/>
              <w:rPr>
                <w:rFonts w:ascii="Times New Roman" w:hAnsi="Times New Roman"/>
                <w:color w:val="auto"/>
                <w:sz w:val="24"/>
              </w:rPr>
            </w:pPr>
            <w:r>
              <w:rPr>
                <w:rFonts w:ascii="Times New Roman" w:hAnsi="Times New Roman"/>
                <w:color w:val="auto"/>
                <w:sz w:val="24"/>
              </w:rPr>
              <w:t>（三）一般管控单元。共103个，面积72643.72平方公里，占全省国土面积的51.83%，优先保护单元、重点管控单元之外为一般管控单元。该区域以经济社会可持续发展为导向，执行区域生态环境保护的基本要求。</w:t>
            </w:r>
          </w:p>
          <w:p w14:paraId="71D8783A">
            <w:pPr>
              <w:spacing w:line="360" w:lineRule="auto"/>
              <w:ind w:firstLine="480" w:firstLineChars="200"/>
              <w:rPr>
                <w:rFonts w:ascii="Times New Roman" w:hAnsi="Times New Roman"/>
                <w:color w:val="auto"/>
                <w:sz w:val="24"/>
              </w:rPr>
            </w:pPr>
            <w:r>
              <w:rPr>
                <w:rFonts w:ascii="Times New Roman" w:hAnsi="Times New Roman"/>
                <w:color w:val="auto"/>
                <w:sz w:val="24"/>
              </w:rPr>
              <w:t>对照安徽省生态环境厅发布的安徽省“三线一单”公众服务平台（http://39.145.8.156:1509/ah/public/#/home），经与“三线一单”成果数据分析，拟建项目与1个环境管控单元存在交叠，其中优先保护类0个，重点管控类1个，一般管控类0个，环境管控单元编码为ZH34020720019。</w:t>
            </w:r>
          </w:p>
          <w:p w14:paraId="38F93A32">
            <w:pPr>
              <w:spacing w:line="360" w:lineRule="auto"/>
              <w:ind w:firstLine="480" w:firstLineChars="200"/>
              <w:rPr>
                <w:rFonts w:ascii="Times New Roman" w:hAnsi="Times New Roman"/>
                <w:color w:val="auto"/>
                <w:sz w:val="24"/>
              </w:rPr>
            </w:pPr>
            <w:r>
              <w:rPr>
                <w:rFonts w:ascii="Times New Roman" w:hAnsi="Times New Roman"/>
                <w:color w:val="auto"/>
                <w:sz w:val="24"/>
              </w:rPr>
              <w:t>本项目废气可达标排放；</w:t>
            </w:r>
            <w:r>
              <w:rPr>
                <w:rFonts w:hint="eastAsia" w:ascii="Times New Roman" w:hAnsi="Times New Roman"/>
                <w:color w:val="auto"/>
                <w:sz w:val="24"/>
                <w:lang w:val="en-US" w:eastAsia="zh-CN"/>
              </w:rPr>
              <w:t>项目无生产废水外排，</w:t>
            </w:r>
            <w:r>
              <w:rPr>
                <w:rFonts w:hint="default" w:ascii="Times New Roman" w:hAnsi="Times New Roman"/>
                <w:color w:val="auto"/>
                <w:sz w:val="24"/>
                <w:lang w:val="en-US" w:eastAsia="zh-CN"/>
              </w:rPr>
              <w:t>项目</w:t>
            </w:r>
            <w:r>
              <w:rPr>
                <w:rFonts w:hint="eastAsia" w:ascii="Times New Roman" w:hAnsi="Times New Roman"/>
                <w:color w:val="auto"/>
                <w:sz w:val="24"/>
                <w:lang w:val="en-US" w:eastAsia="zh-CN"/>
              </w:rPr>
              <w:t>水性脱模剂</w:t>
            </w:r>
            <w:r>
              <w:rPr>
                <w:rFonts w:hint="default" w:ascii="Times New Roman" w:hAnsi="Times New Roman"/>
                <w:color w:val="auto"/>
                <w:sz w:val="24"/>
                <w:lang w:val="en-US" w:eastAsia="zh-CN"/>
              </w:rPr>
              <w:t>配比水、切削液配比水蒸发损耗不外排；</w:t>
            </w:r>
            <w:r>
              <w:rPr>
                <w:rFonts w:hint="eastAsia" w:ascii="Times New Roman" w:hAnsi="Times New Roman"/>
                <w:color w:val="auto"/>
                <w:sz w:val="24"/>
                <w:lang w:val="en-US" w:eastAsia="zh-CN"/>
              </w:rPr>
              <w:t>淬火废水在淬火槽循环使用，不外排，定期补充，定期捞渣；湿式磨削废水经沉淀池处理后回用，不外排，定期补充，定期捞渣；循环冷却水循环使用，定期补充，不外排；</w:t>
            </w:r>
            <w:r>
              <w:rPr>
                <w:rFonts w:hint="default" w:ascii="Times New Roman" w:hAnsi="Times New Roman"/>
                <w:color w:val="auto"/>
                <w:sz w:val="24"/>
                <w:lang w:val="en-US" w:eastAsia="zh-CN"/>
              </w:rPr>
              <w:t>生活污水经化粪池处理后经市政污水管网排入</w:t>
            </w:r>
            <w:r>
              <w:rPr>
                <w:rFonts w:hint="eastAsia" w:ascii="Times New Roman" w:hAnsi="Times New Roman"/>
                <w:color w:val="auto"/>
                <w:sz w:val="24"/>
                <w:lang w:val="en-US" w:eastAsia="zh-CN"/>
              </w:rPr>
              <w:t>芜湖县新芜开发区城东污水处理厂</w:t>
            </w:r>
            <w:r>
              <w:rPr>
                <w:rFonts w:hint="default" w:ascii="Times New Roman" w:hAnsi="Times New Roman"/>
                <w:color w:val="auto"/>
                <w:sz w:val="24"/>
                <w:lang w:val="en-US" w:eastAsia="zh-CN"/>
              </w:rPr>
              <w:t>，达标后排入</w:t>
            </w:r>
            <w:r>
              <w:rPr>
                <w:rFonts w:hint="eastAsia" w:ascii="Times New Roman" w:hAnsi="Times New Roman"/>
                <w:color w:val="auto"/>
                <w:sz w:val="24"/>
                <w:lang w:val="en-US" w:eastAsia="zh-CN"/>
              </w:rPr>
              <w:t>汪溪坝撇洪沟后汇入裘公河</w:t>
            </w:r>
            <w:r>
              <w:rPr>
                <w:rFonts w:hint="eastAsia"/>
                <w:color w:val="auto"/>
                <w:sz w:val="24"/>
                <w:lang w:val="en-US" w:eastAsia="zh-CN"/>
              </w:rPr>
              <w:t>；</w:t>
            </w:r>
            <w:r>
              <w:rPr>
                <w:rFonts w:ascii="Times New Roman" w:hAnsi="Times New Roman"/>
                <w:color w:val="auto"/>
                <w:sz w:val="24"/>
              </w:rPr>
              <w:t>生活垃圾经垃圾桶收集，由环卫部门每天清运处置。各类污染物均可达标排放，不会突破环境质量底线。</w:t>
            </w:r>
          </w:p>
          <w:p w14:paraId="7EBA11EE">
            <w:pPr>
              <w:spacing w:line="360" w:lineRule="auto"/>
              <w:rPr>
                <w:rFonts w:ascii="Times New Roman" w:hAnsi="Times New Roman"/>
                <w:color w:val="auto"/>
                <w:sz w:val="24"/>
              </w:rPr>
            </w:pPr>
            <w:r>
              <w:rPr>
                <w:color w:val="auto"/>
              </w:rPr>
              <w:drawing>
                <wp:inline distT="0" distB="0" distL="114300" distR="114300">
                  <wp:extent cx="5234305" cy="2725420"/>
                  <wp:effectExtent l="0" t="0" r="4445" b="17780"/>
                  <wp:docPr id="2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7"/>
                          <pic:cNvPicPr>
                            <a:picLocks noChangeAspect="1"/>
                          </pic:cNvPicPr>
                        </pic:nvPicPr>
                        <pic:blipFill>
                          <a:blip r:embed="rId8"/>
                          <a:stretch>
                            <a:fillRect/>
                          </a:stretch>
                        </pic:blipFill>
                        <pic:spPr>
                          <a:xfrm>
                            <a:off x="0" y="0"/>
                            <a:ext cx="5234305" cy="2725420"/>
                          </a:xfrm>
                          <a:prstGeom prst="rect">
                            <a:avLst/>
                          </a:prstGeom>
                          <a:noFill/>
                          <a:ln>
                            <a:noFill/>
                          </a:ln>
                        </pic:spPr>
                      </pic:pic>
                    </a:graphicData>
                  </a:graphic>
                </wp:inline>
              </w:drawing>
            </w:r>
          </w:p>
          <w:p w14:paraId="00144C24">
            <w:pPr>
              <w:pStyle w:val="24"/>
              <w:jc w:val="center"/>
              <w:rPr>
                <w:rFonts w:hint="default"/>
                <w:color w:val="auto"/>
                <w:lang w:val="en-US" w:eastAsia="zh-CN"/>
              </w:rPr>
            </w:pPr>
            <w:r>
              <w:rPr>
                <w:rFonts w:ascii="Times New Roman" w:hAnsi="Times New Roman"/>
                <w:b/>
                <w:bCs/>
                <w:color w:val="auto"/>
                <w:sz w:val="24"/>
              </w:rPr>
              <w:t>图1-1  与安徽省"三线一单"公众服务平台套图</w:t>
            </w:r>
          </w:p>
          <w:p w14:paraId="76EAD339">
            <w:pPr>
              <w:pStyle w:val="31"/>
              <w:ind w:left="0" w:leftChars="0" w:firstLine="0" w:firstLineChars="0"/>
              <w:rPr>
                <w:rFonts w:hint="default" w:ascii="Times New Roman" w:hAnsi="Times New Roman" w:eastAsia="宋体" w:cs="Times New Roman"/>
                <w:b/>
                <w:bCs/>
                <w:color w:val="auto"/>
                <w:sz w:val="24"/>
                <w:lang w:val="en-US" w:eastAsia="zh-CN"/>
              </w:rPr>
            </w:pPr>
          </w:p>
        </w:tc>
      </w:tr>
    </w:tbl>
    <w:p w14:paraId="22D3FCAC">
      <w:pPr>
        <w:spacing w:line="360" w:lineRule="auto"/>
        <w:outlineLvl w:val="0"/>
        <w:rPr>
          <w:rFonts w:hint="default" w:ascii="Times New Roman" w:hAnsi="Times New Roman" w:cs="Times New Roman"/>
          <w:color w:val="auto"/>
          <w:sz w:val="30"/>
        </w:rPr>
        <w:sectPr>
          <w:footerReference r:id="rId4" w:type="default"/>
          <w:pgSz w:w="11906" w:h="16838"/>
          <w:pgMar w:top="1701" w:right="1531" w:bottom="1701" w:left="1531" w:header="851" w:footer="1077" w:gutter="0"/>
          <w:pgNumType w:start="1"/>
          <w:cols w:space="720" w:num="1"/>
          <w:docGrid w:linePitch="312" w:charSpace="0"/>
        </w:sectPr>
      </w:pPr>
    </w:p>
    <w:p w14:paraId="244892E0">
      <w:pPr>
        <w:pStyle w:val="59"/>
        <w:spacing w:before="0" w:beforeAutospacing="0" w:after="0" w:afterAutospacing="0"/>
        <w:jc w:val="center"/>
        <w:outlineLvl w:val="0"/>
        <w:rPr>
          <w:rFonts w:hint="default" w:ascii="Times New Roman" w:hAnsi="Times New Roman" w:cs="Times New Roman"/>
          <w:b/>
          <w:snapToGrid w:val="0"/>
          <w:color w:val="auto"/>
          <w:sz w:val="30"/>
          <w:szCs w:val="30"/>
        </w:rPr>
      </w:pPr>
      <w:r>
        <w:rPr>
          <w:rFonts w:hint="default" w:ascii="Times New Roman" w:hAnsi="Times New Roman" w:cs="Times New Roman"/>
          <w:b/>
          <w:snapToGrid w:val="0"/>
          <w:color w:val="auto"/>
          <w:sz w:val="30"/>
          <w:szCs w:val="30"/>
        </w:rPr>
        <w:t>二、建设项目工程分析</w:t>
      </w:r>
    </w:p>
    <w:tbl>
      <w:tblPr>
        <w:tblStyle w:val="63"/>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88"/>
        <w:gridCol w:w="8572"/>
      </w:tblGrid>
      <w:tr w14:paraId="4E8DCA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92" w:hRule="atLeast"/>
          <w:jc w:val="center"/>
        </w:trPr>
        <w:tc>
          <w:tcPr>
            <w:tcW w:w="488" w:type="dxa"/>
            <w:vAlign w:val="center"/>
          </w:tcPr>
          <w:p w14:paraId="2731E2A1">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建设内容</w:t>
            </w:r>
          </w:p>
        </w:tc>
        <w:tc>
          <w:tcPr>
            <w:tcW w:w="8572" w:type="dxa"/>
          </w:tcPr>
          <w:p w14:paraId="3FF94C05">
            <w:pPr>
              <w:spacing w:before="100" w:beforeAutospacing="1" w:line="360" w:lineRule="auto"/>
              <w:ind w:firstLine="482" w:firstLineChars="200"/>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1、项目由来</w:t>
            </w:r>
          </w:p>
          <w:p w14:paraId="208B303B">
            <w:pPr>
              <w:spacing w:line="360" w:lineRule="auto"/>
              <w:ind w:firstLine="480" w:firstLineChars="200"/>
              <w:jc w:val="left"/>
              <w:rPr>
                <w:rFonts w:hint="default" w:ascii="Times New Roman" w:hAnsi="Times New Roman" w:eastAsia="宋体" w:cs="Times New Roman"/>
                <w:bCs/>
                <w:color w:val="auto"/>
                <w:sz w:val="24"/>
                <w:szCs w:val="24"/>
                <w:lang w:eastAsia="zh-CN"/>
              </w:rPr>
            </w:pPr>
            <w:r>
              <w:rPr>
                <w:rFonts w:hint="eastAsia" w:cs="Times New Roman"/>
                <w:color w:val="auto"/>
                <w:kern w:val="0"/>
                <w:sz w:val="24"/>
                <w:lang w:eastAsia="zh-CN"/>
              </w:rPr>
              <w:t>安徽众金机械科技有限公司</w:t>
            </w:r>
            <w:r>
              <w:rPr>
                <w:rFonts w:hint="default" w:ascii="Times New Roman" w:hAnsi="Times New Roman" w:cs="Times New Roman"/>
                <w:color w:val="auto"/>
                <w:kern w:val="0"/>
                <w:sz w:val="24"/>
              </w:rPr>
              <w:t>拟投资</w:t>
            </w:r>
            <w:r>
              <w:rPr>
                <w:rFonts w:hint="eastAsia" w:cs="Times New Roman"/>
                <w:color w:val="auto"/>
                <w:kern w:val="0"/>
                <w:sz w:val="24"/>
                <w:lang w:val="en-US" w:eastAsia="zh-CN"/>
              </w:rPr>
              <w:t>11000</w:t>
            </w:r>
            <w:r>
              <w:rPr>
                <w:rFonts w:hint="default" w:ascii="Times New Roman" w:hAnsi="Times New Roman" w:cs="Times New Roman"/>
                <w:color w:val="auto"/>
                <w:kern w:val="0"/>
                <w:sz w:val="24"/>
              </w:rPr>
              <w:t>万元</w:t>
            </w:r>
            <w:r>
              <w:rPr>
                <w:rFonts w:hint="eastAsia" w:cs="Times New Roman"/>
                <w:color w:val="auto"/>
                <w:kern w:val="0"/>
                <w:sz w:val="24"/>
                <w:lang w:eastAsia="zh-CN"/>
              </w:rPr>
              <w:t>于</w:t>
            </w:r>
            <w:r>
              <w:rPr>
                <w:rFonts w:hint="eastAsia" w:cs="Times New Roman"/>
                <w:color w:val="auto"/>
                <w:sz w:val="24"/>
                <w:lang w:eastAsia="zh-CN"/>
              </w:rPr>
              <w:t>芜湖市湾沚区安徽新芜经济开发区西支六路222号</w:t>
            </w:r>
            <w:r>
              <w:rPr>
                <w:rFonts w:hint="default" w:cs="Times New Roman"/>
                <w:color w:val="auto"/>
                <w:sz w:val="24"/>
                <w:lang w:eastAsia="zh-CN"/>
              </w:rPr>
              <w:t>新建</w:t>
            </w:r>
            <w:r>
              <w:rPr>
                <w:rFonts w:hint="eastAsia" w:cs="Times New Roman"/>
                <w:color w:val="auto"/>
                <w:sz w:val="24"/>
                <w:lang w:eastAsia="zh-CN"/>
              </w:rPr>
              <w:t>“汽车轮毂单元生产项目”</w:t>
            </w:r>
            <w:r>
              <w:rPr>
                <w:rFonts w:hint="default" w:ascii="Times New Roman" w:hAnsi="Times New Roman" w:cs="Times New Roman"/>
                <w:color w:val="auto"/>
                <w:sz w:val="24"/>
              </w:rPr>
              <w:t>。该项目已于202</w:t>
            </w:r>
            <w:r>
              <w:rPr>
                <w:rFonts w:hint="eastAsia" w:cs="Times New Roman"/>
                <w:color w:val="auto"/>
                <w:sz w:val="24"/>
                <w:lang w:val="en-US" w:eastAsia="zh-CN"/>
              </w:rPr>
              <w:t>5</w:t>
            </w:r>
            <w:r>
              <w:rPr>
                <w:rFonts w:hint="default" w:ascii="Times New Roman" w:hAnsi="Times New Roman" w:cs="Times New Roman"/>
                <w:color w:val="auto"/>
                <w:sz w:val="24"/>
              </w:rPr>
              <w:t>年</w:t>
            </w:r>
            <w:r>
              <w:rPr>
                <w:rFonts w:hint="eastAsia" w:cs="Times New Roman"/>
                <w:color w:val="auto"/>
                <w:sz w:val="24"/>
                <w:lang w:val="en-US" w:eastAsia="zh-CN"/>
              </w:rPr>
              <w:t>5</w:t>
            </w:r>
            <w:r>
              <w:rPr>
                <w:rFonts w:hint="default" w:ascii="Times New Roman" w:hAnsi="Times New Roman" w:cs="Times New Roman"/>
                <w:color w:val="auto"/>
                <w:sz w:val="24"/>
              </w:rPr>
              <w:t>月</w:t>
            </w:r>
            <w:r>
              <w:rPr>
                <w:rFonts w:hint="eastAsia" w:cs="Times New Roman"/>
                <w:color w:val="auto"/>
                <w:sz w:val="24"/>
                <w:lang w:val="en-US" w:eastAsia="zh-CN"/>
              </w:rPr>
              <w:t>13</w:t>
            </w:r>
            <w:r>
              <w:rPr>
                <w:rFonts w:hint="default" w:ascii="Times New Roman" w:hAnsi="Times New Roman" w:cs="Times New Roman"/>
                <w:color w:val="auto"/>
                <w:sz w:val="24"/>
              </w:rPr>
              <w:t>日获得了</w:t>
            </w:r>
            <w:r>
              <w:rPr>
                <w:rFonts w:hint="eastAsia" w:cs="Times New Roman"/>
                <w:color w:val="auto"/>
                <w:sz w:val="24"/>
                <w:lang w:eastAsia="zh-CN"/>
              </w:rPr>
              <w:t>芜湖市湾沚区发展和改革委员会</w:t>
            </w:r>
            <w:r>
              <w:rPr>
                <w:rFonts w:hint="eastAsia" w:cs="Times New Roman"/>
                <w:color w:val="auto"/>
                <w:sz w:val="24"/>
                <w:lang w:val="en-US" w:eastAsia="zh-CN"/>
              </w:rPr>
              <w:t>出具的</w:t>
            </w:r>
            <w:r>
              <w:rPr>
                <w:rFonts w:hint="default" w:ascii="Times New Roman" w:hAnsi="Times New Roman" w:cs="Times New Roman"/>
                <w:color w:val="auto"/>
                <w:sz w:val="24"/>
              </w:rPr>
              <w:t>备案</w:t>
            </w:r>
            <w:r>
              <w:rPr>
                <w:rFonts w:hint="eastAsia" w:cs="Times New Roman"/>
                <w:color w:val="auto"/>
                <w:sz w:val="24"/>
                <w:lang w:val="en-US" w:eastAsia="zh-CN"/>
              </w:rPr>
              <w:t>文件</w:t>
            </w:r>
            <w:r>
              <w:rPr>
                <w:rFonts w:hint="default" w:ascii="Times New Roman" w:hAnsi="Times New Roman" w:cs="Times New Roman"/>
                <w:color w:val="auto"/>
                <w:sz w:val="24"/>
                <w:lang w:eastAsia="zh-CN"/>
              </w:rPr>
              <w:t>，</w:t>
            </w:r>
            <w:r>
              <w:rPr>
                <w:rFonts w:hint="eastAsia" w:cs="Times New Roman"/>
                <w:color w:val="auto"/>
                <w:sz w:val="24"/>
                <w:lang w:val="en-US" w:eastAsia="zh-CN"/>
              </w:rPr>
              <w:t>项目审批文号为</w:t>
            </w:r>
            <w:r>
              <w:rPr>
                <w:rFonts w:hint="eastAsia" w:ascii="Times New Roman" w:hAnsi="Times New Roman" w:eastAsia="宋体" w:cs="Times New Roman"/>
                <w:color w:val="auto"/>
                <w:sz w:val="24"/>
                <w:lang w:val="en-US" w:eastAsia="zh-CN"/>
              </w:rPr>
              <w:t>湾发改备【2025】</w:t>
            </w:r>
            <w:r>
              <w:rPr>
                <w:rFonts w:hint="eastAsia" w:cs="Times New Roman"/>
                <w:color w:val="auto"/>
                <w:sz w:val="24"/>
                <w:lang w:val="en-US" w:eastAsia="zh-CN"/>
              </w:rPr>
              <w:t>216号</w:t>
            </w:r>
            <w:r>
              <w:rPr>
                <w:rFonts w:hint="eastAsia" w:ascii="Times New Roman" w:hAnsi="Times New Roman" w:eastAsia="宋体" w:cs="Times New Roman"/>
                <w:color w:val="auto"/>
                <w:sz w:val="24"/>
                <w:lang w:val="en-US" w:eastAsia="zh-CN"/>
              </w:rPr>
              <w:t>，</w:t>
            </w:r>
            <w:r>
              <w:rPr>
                <w:rFonts w:hint="default" w:ascii="Times New Roman" w:hAnsi="Times New Roman" w:eastAsia="宋体" w:cs="Times New Roman"/>
                <w:bCs/>
                <w:color w:val="auto"/>
                <w:sz w:val="24"/>
                <w:szCs w:val="24"/>
                <w:lang w:eastAsia="zh-CN"/>
              </w:rPr>
              <w:t>项目</w:t>
            </w:r>
            <w:r>
              <w:rPr>
                <w:rFonts w:hint="default" w:ascii="Times New Roman" w:hAnsi="Times New Roman" w:eastAsia="宋体" w:cs="Times New Roman"/>
                <w:bCs/>
                <w:color w:val="auto"/>
                <w:sz w:val="24"/>
                <w:szCs w:val="24"/>
                <w:lang w:val="en-US" w:eastAsia="zh-CN"/>
              </w:rPr>
              <w:t>代码</w:t>
            </w:r>
            <w:r>
              <w:rPr>
                <w:rFonts w:hint="default" w:ascii="Times New Roman" w:hAnsi="Times New Roman" w:eastAsia="宋体" w:cs="Times New Roman"/>
                <w:bCs/>
                <w:color w:val="auto"/>
                <w:sz w:val="24"/>
                <w:szCs w:val="24"/>
                <w:lang w:eastAsia="zh-CN"/>
              </w:rPr>
              <w:t>为</w:t>
            </w:r>
            <w:r>
              <w:rPr>
                <w:rFonts w:hint="default" w:ascii="Times New Roman" w:hAnsi="Times New Roman" w:eastAsia="宋体" w:cs="Times New Roman"/>
                <w:color w:val="auto"/>
                <w:sz w:val="24"/>
                <w:lang w:val="en-US" w:eastAsia="zh-CN"/>
              </w:rPr>
              <w:t>2505-340221-04-01-619703。</w:t>
            </w:r>
          </w:p>
          <w:p w14:paraId="6EB24D3D">
            <w:pPr>
              <w:spacing w:line="360" w:lineRule="auto"/>
              <w:ind w:firstLine="480" w:firstLineChars="200"/>
              <w:jc w:val="left"/>
              <w:rPr>
                <w:color w:val="auto"/>
                <w:sz w:val="24"/>
              </w:rPr>
            </w:pPr>
            <w:r>
              <w:rPr>
                <w:rFonts w:hint="default" w:ascii="Times New Roman" w:hAnsi="Times New Roman" w:cs="Times New Roman" w:eastAsiaTheme="minorEastAsia"/>
                <w:color w:val="auto"/>
                <w:sz w:val="24"/>
              </w:rPr>
              <w:t>根据《中华人民共和国环境影响评价法》和《建设项目环境保护管理条例》等有关规定，建设单位必须就本项目办理环保相关手续。</w:t>
            </w:r>
            <w:r>
              <w:rPr>
                <w:rFonts w:hint="default" w:ascii="Times New Roman" w:hAnsi="Times New Roman" w:eastAsia="宋体" w:cs="Times New Roman"/>
                <w:color w:val="auto"/>
                <w:sz w:val="24"/>
                <w:szCs w:val="24"/>
              </w:rPr>
              <w:t>对照《建设项目环境影响评价分类管理名录（2021年版）》（2021年1月1日实施），</w:t>
            </w:r>
            <w:r>
              <w:rPr>
                <w:rFonts w:hint="eastAsia" w:cs="Times New Roman"/>
                <w:color w:val="auto"/>
                <w:sz w:val="24"/>
                <w:szCs w:val="24"/>
                <w:lang w:eastAsia="zh-CN"/>
              </w:rPr>
              <w:t>本项目属于</w:t>
            </w:r>
            <w:r>
              <w:rPr>
                <w:rFonts w:hint="eastAsia"/>
                <w:color w:val="auto"/>
                <w:sz w:val="24"/>
              </w:rPr>
              <w:t>三十三</w:t>
            </w:r>
            <w:r>
              <w:rPr>
                <w:color w:val="auto"/>
                <w:sz w:val="24"/>
              </w:rPr>
              <w:t>、</w:t>
            </w:r>
            <w:r>
              <w:rPr>
                <w:rFonts w:hint="eastAsia"/>
                <w:color w:val="auto"/>
                <w:sz w:val="24"/>
              </w:rPr>
              <w:t>汽车制造业36</w:t>
            </w:r>
            <w:r>
              <w:rPr>
                <w:color w:val="auto"/>
                <w:sz w:val="24"/>
              </w:rPr>
              <w:t>——</w:t>
            </w:r>
            <w:r>
              <w:rPr>
                <w:rFonts w:hint="eastAsia"/>
                <w:color w:val="auto"/>
                <w:sz w:val="24"/>
              </w:rPr>
              <w:t>71</w:t>
            </w:r>
            <w:r>
              <w:rPr>
                <w:color w:val="auto"/>
                <w:sz w:val="24"/>
              </w:rPr>
              <w:t>、</w:t>
            </w:r>
            <w:r>
              <w:rPr>
                <w:rFonts w:hint="eastAsia"/>
                <w:color w:val="auto"/>
                <w:sz w:val="24"/>
              </w:rPr>
              <w:t>汽车零部件及配件制造367</w:t>
            </w:r>
            <w:r>
              <w:rPr>
                <w:color w:val="auto"/>
                <w:sz w:val="24"/>
              </w:rPr>
              <w:t>类中的其他（年用非溶剂型低VOCs含量涂料10吨以下的除外）</w:t>
            </w:r>
            <w:r>
              <w:rPr>
                <w:rFonts w:hint="eastAsia" w:ascii="Times New Roman" w:hAnsi="Times New Roman" w:eastAsia="宋体" w:cs="Times New Roman"/>
                <w:color w:val="auto"/>
                <w:sz w:val="24"/>
                <w:szCs w:val="24"/>
                <w:lang w:val="en-US" w:eastAsia="zh-CN"/>
              </w:rPr>
              <w:t>，</w:t>
            </w:r>
            <w:r>
              <w:rPr>
                <w:color w:val="auto"/>
                <w:sz w:val="24"/>
              </w:rPr>
              <w:t>因此，该项目应编制环境影响报告表。</w:t>
            </w:r>
          </w:p>
          <w:p w14:paraId="0EC57CFD">
            <w:pPr>
              <w:spacing w:line="360" w:lineRule="auto"/>
              <w:ind w:firstLine="480" w:firstLineChars="200"/>
              <w:jc w:val="left"/>
              <w:rPr>
                <w:rFonts w:hint="default" w:ascii="Times New Roman" w:hAnsi="Times New Roman" w:cs="Times New Roman"/>
                <w:color w:val="auto"/>
                <w:sz w:val="24"/>
              </w:rPr>
            </w:pPr>
            <w:r>
              <w:rPr>
                <w:rFonts w:hint="eastAsia" w:cs="Times New Roman"/>
                <w:color w:val="auto"/>
                <w:kern w:val="0"/>
                <w:sz w:val="24"/>
                <w:lang w:eastAsia="zh-CN"/>
              </w:rPr>
              <w:t>安徽众金机械科技有限公司</w:t>
            </w:r>
            <w:r>
              <w:rPr>
                <w:rFonts w:hint="default" w:ascii="Times New Roman" w:hAnsi="Times New Roman" w:cs="Times New Roman"/>
                <w:color w:val="auto"/>
                <w:sz w:val="24"/>
              </w:rPr>
              <w:t>202</w:t>
            </w:r>
            <w:r>
              <w:rPr>
                <w:rFonts w:hint="eastAsia" w:cs="Times New Roman"/>
                <w:color w:val="auto"/>
                <w:sz w:val="24"/>
                <w:lang w:val="en-US" w:eastAsia="zh-CN"/>
              </w:rPr>
              <w:t>5</w:t>
            </w:r>
            <w:r>
              <w:rPr>
                <w:rFonts w:hint="default" w:ascii="Times New Roman" w:hAnsi="Times New Roman" w:cs="Times New Roman"/>
                <w:color w:val="auto"/>
                <w:sz w:val="24"/>
              </w:rPr>
              <w:t>年</w:t>
            </w:r>
            <w:r>
              <w:rPr>
                <w:rFonts w:hint="eastAsia" w:cs="Times New Roman"/>
                <w:color w:val="auto"/>
                <w:sz w:val="24"/>
                <w:lang w:val="en-US" w:eastAsia="zh-CN"/>
              </w:rPr>
              <w:t>5</w:t>
            </w:r>
            <w:r>
              <w:rPr>
                <w:rFonts w:hint="default" w:ascii="Times New Roman" w:hAnsi="Times New Roman" w:cs="Times New Roman"/>
                <w:color w:val="auto"/>
                <w:sz w:val="24"/>
              </w:rPr>
              <w:t>月</w:t>
            </w:r>
            <w:r>
              <w:rPr>
                <w:rFonts w:hint="eastAsia" w:cs="Times New Roman"/>
                <w:color w:val="auto"/>
                <w:sz w:val="24"/>
                <w:lang w:val="en-US" w:eastAsia="zh-CN"/>
              </w:rPr>
              <w:t>22</w:t>
            </w:r>
            <w:r>
              <w:rPr>
                <w:rFonts w:hint="default" w:ascii="Times New Roman" w:hAnsi="Times New Roman" w:cs="Times New Roman"/>
                <w:color w:val="auto"/>
                <w:sz w:val="24"/>
              </w:rPr>
              <w:t>日委托我公司承担其环境影响评价工作。接受委托后，我公司立即组织有关技术人员进行现场勘探、收集资料，依据国家有关法规文件和环境影响评价导则，编制了该项目环境影响报告表。</w:t>
            </w:r>
          </w:p>
          <w:p w14:paraId="67D08A43">
            <w:pPr>
              <w:spacing w:line="360" w:lineRule="auto"/>
              <w:ind w:firstLine="480" w:firstLineChars="200"/>
              <w:jc w:val="left"/>
              <w:rPr>
                <w:rFonts w:hint="default" w:ascii="Times New Roman" w:hAnsi="Times New Roman" w:cs="Times New Roman" w:eastAsiaTheme="minorEastAsia"/>
                <w:color w:val="auto"/>
                <w:sz w:val="24"/>
              </w:rPr>
            </w:pPr>
            <w:r>
              <w:rPr>
                <w:rFonts w:hint="default" w:ascii="Times New Roman" w:hAnsi="Times New Roman" w:eastAsia="宋体" w:cs="Times New Roman"/>
                <w:color w:val="auto"/>
                <w:sz w:val="24"/>
                <w:szCs w:val="24"/>
              </w:rPr>
              <w:t>本项目环境影响评价类别判定情况见下表：</w:t>
            </w:r>
          </w:p>
          <w:p w14:paraId="46BBFE76">
            <w:pPr>
              <w:pStyle w:val="374"/>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kern w:val="0"/>
                <w:sz w:val="24"/>
                <w:szCs w:val="20"/>
                <w:lang w:val="en-US" w:eastAsia="zh-CN" w:bidi="ar-SA"/>
              </w:rPr>
            </w:pPr>
            <w:r>
              <w:rPr>
                <w:rFonts w:hint="default" w:ascii="Times New Roman" w:hAnsi="Times New Roman" w:eastAsia="宋体" w:cs="Times New Roman"/>
                <w:b/>
                <w:color w:val="auto"/>
                <w:kern w:val="0"/>
                <w:sz w:val="24"/>
                <w:szCs w:val="20"/>
                <w:lang w:val="en-US" w:eastAsia="zh-CN" w:bidi="ar-SA"/>
              </w:rPr>
              <w:t>表2-1  项目环评类别判定情况表</w:t>
            </w:r>
          </w:p>
          <w:tbl>
            <w:tblPr>
              <w:tblStyle w:val="6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1" w:type="dxa"/>
                <w:bottom w:w="0" w:type="dxa"/>
                <w:right w:w="11" w:type="dxa"/>
              </w:tblCellMar>
            </w:tblPr>
            <w:tblGrid>
              <w:gridCol w:w="1371"/>
              <w:gridCol w:w="1961"/>
              <w:gridCol w:w="2243"/>
              <w:gridCol w:w="677"/>
              <w:gridCol w:w="2091"/>
            </w:tblGrid>
            <w:tr w14:paraId="1DFE0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3" w:hRule="atLeast"/>
                <w:jc w:val="center"/>
              </w:trPr>
              <w:tc>
                <w:tcPr>
                  <w:tcW w:w="822" w:type="pct"/>
                  <w:vMerge w:val="restart"/>
                  <w:tcBorders>
                    <w:right w:val="single" w:color="auto" w:sz="4" w:space="0"/>
                    <w:tl2br w:val="single" w:color="auto" w:sz="4" w:space="0"/>
                  </w:tcBorders>
                  <w:noWrap w:val="0"/>
                  <w:vAlign w:val="center"/>
                </w:tcPr>
                <w:p w14:paraId="125C9851">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b/>
                      <w:color w:val="auto"/>
                      <w:sz w:val="21"/>
                      <w:szCs w:val="21"/>
                    </w:rPr>
                  </w:pPr>
                  <w:r>
                    <w:rPr>
                      <w:rFonts w:hint="eastAsia" w:cs="Times New Roman"/>
                      <w:b/>
                      <w:color w:val="auto"/>
                      <w:sz w:val="21"/>
                      <w:szCs w:val="21"/>
                      <w:lang w:val="en-US" w:eastAsia="zh-CN"/>
                    </w:rPr>
                    <w:t xml:space="preserve">   </w:t>
                  </w:r>
                  <w:r>
                    <w:rPr>
                      <w:rFonts w:hint="default" w:ascii="Times New Roman" w:hAnsi="Times New Roman" w:eastAsia="宋体" w:cs="Times New Roman"/>
                      <w:b/>
                      <w:color w:val="auto"/>
                      <w:sz w:val="21"/>
                      <w:szCs w:val="21"/>
                    </w:rPr>
                    <w:t>环评类别</w:t>
                  </w:r>
                </w:p>
                <w:p w14:paraId="7E0EDB0C">
                  <w:pPr>
                    <w:keepNext w:val="0"/>
                    <w:keepLines w:val="0"/>
                    <w:pageBreakBefore w:val="0"/>
                    <w:widowControl w:val="0"/>
                    <w:kinsoku/>
                    <w:wordWrap/>
                    <w:overflowPunct/>
                    <w:topLinePunct w:val="0"/>
                    <w:autoSpaceDE/>
                    <w:autoSpaceDN/>
                    <w:bidi w:val="0"/>
                    <w:adjustRightInd w:val="0"/>
                    <w:snapToGrid w:val="0"/>
                    <w:spacing w:line="340" w:lineRule="exact"/>
                    <w:jc w:val="both"/>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项目类别</w:t>
                  </w:r>
                </w:p>
              </w:tc>
              <w:tc>
                <w:tcPr>
                  <w:tcW w:w="2925" w:type="pct"/>
                  <w:gridSpan w:val="3"/>
                  <w:tcBorders>
                    <w:left w:val="single" w:color="auto" w:sz="4" w:space="0"/>
                    <w:bottom w:val="single" w:color="auto" w:sz="4" w:space="0"/>
                  </w:tcBorders>
                  <w:noWrap w:val="0"/>
                  <w:vAlign w:val="center"/>
                </w:tcPr>
                <w:p w14:paraId="688B02AA">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环境影响评价类别</w:t>
                  </w:r>
                </w:p>
              </w:tc>
              <w:tc>
                <w:tcPr>
                  <w:tcW w:w="1251" w:type="pct"/>
                  <w:vMerge w:val="restart"/>
                  <w:tcBorders>
                    <w:left w:val="single" w:color="auto" w:sz="4" w:space="0"/>
                  </w:tcBorders>
                  <w:noWrap w:val="0"/>
                  <w:vAlign w:val="center"/>
                </w:tcPr>
                <w:p w14:paraId="1517765A">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Times New Roman" w:hAnsi="Times New Roman" w:eastAsia="宋体" w:cs="Times New Roman"/>
                      <w:b/>
                      <w:color w:val="auto"/>
                      <w:sz w:val="21"/>
                      <w:szCs w:val="21"/>
                      <w:lang w:eastAsia="zh-CN"/>
                    </w:rPr>
                  </w:pPr>
                  <w:r>
                    <w:rPr>
                      <w:rFonts w:hint="eastAsia" w:cs="Times New Roman"/>
                      <w:b/>
                      <w:color w:val="auto"/>
                      <w:sz w:val="21"/>
                      <w:szCs w:val="21"/>
                      <w:lang w:eastAsia="zh-CN"/>
                    </w:rPr>
                    <w:t>本项目</w:t>
                  </w:r>
                </w:p>
              </w:tc>
            </w:tr>
            <w:tr w14:paraId="0E4BD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20" w:hRule="atLeast"/>
                <w:jc w:val="center"/>
              </w:trPr>
              <w:tc>
                <w:tcPr>
                  <w:tcW w:w="822" w:type="pct"/>
                  <w:vMerge w:val="continue"/>
                  <w:tcBorders>
                    <w:bottom w:val="single" w:color="auto" w:sz="4" w:space="0"/>
                    <w:right w:val="single" w:color="auto" w:sz="4" w:space="0"/>
                    <w:tl2br w:val="single" w:color="auto" w:sz="4" w:space="0"/>
                  </w:tcBorders>
                  <w:shd w:val="clear" w:color="auto" w:fill="auto"/>
                  <w:noWrap w:val="0"/>
                  <w:vAlign w:val="center"/>
                </w:tcPr>
                <w:p w14:paraId="42FDD075">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b/>
                      <w:color w:val="auto"/>
                      <w:sz w:val="21"/>
                      <w:szCs w:val="21"/>
                    </w:rPr>
                  </w:pPr>
                </w:p>
              </w:tc>
              <w:tc>
                <w:tcPr>
                  <w:tcW w:w="1175"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5EFD604">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报告书</w:t>
                  </w:r>
                </w:p>
              </w:tc>
              <w:tc>
                <w:tcPr>
                  <w:tcW w:w="1344" w:type="pct"/>
                  <w:tcBorders>
                    <w:left w:val="single" w:color="auto" w:sz="4" w:space="0"/>
                    <w:bottom w:val="single" w:color="auto" w:sz="4" w:space="0"/>
                    <w:right w:val="single" w:color="auto" w:sz="4" w:space="0"/>
                  </w:tcBorders>
                  <w:shd w:val="clear" w:color="auto" w:fill="D7D7D7"/>
                  <w:noWrap w:val="0"/>
                  <w:vAlign w:val="center"/>
                </w:tcPr>
                <w:p w14:paraId="4E3A1EB8">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报告表</w:t>
                  </w:r>
                </w:p>
              </w:tc>
              <w:tc>
                <w:tcPr>
                  <w:tcW w:w="405" w:type="pct"/>
                  <w:tcBorders>
                    <w:left w:val="single" w:color="auto" w:sz="4" w:space="0"/>
                    <w:bottom w:val="single" w:color="auto" w:sz="4" w:space="0"/>
                  </w:tcBorders>
                  <w:noWrap w:val="0"/>
                  <w:vAlign w:val="center"/>
                </w:tcPr>
                <w:p w14:paraId="54830157">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登记表</w:t>
                  </w:r>
                </w:p>
              </w:tc>
              <w:tc>
                <w:tcPr>
                  <w:tcW w:w="1251" w:type="pct"/>
                  <w:vMerge w:val="continue"/>
                  <w:tcBorders>
                    <w:left w:val="single" w:color="auto" w:sz="4" w:space="0"/>
                    <w:bottom w:val="single" w:color="auto" w:sz="4" w:space="0"/>
                  </w:tcBorders>
                  <w:noWrap w:val="0"/>
                  <w:vAlign w:val="center"/>
                </w:tcPr>
                <w:p w14:paraId="78D52B27">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b/>
                      <w:color w:val="auto"/>
                      <w:sz w:val="21"/>
                      <w:szCs w:val="21"/>
                    </w:rPr>
                  </w:pPr>
                </w:p>
              </w:tc>
            </w:tr>
            <w:tr w14:paraId="79EFD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3" w:hRule="atLeast"/>
                <w:jc w:val="center"/>
              </w:trPr>
              <w:tc>
                <w:tcPr>
                  <w:tcW w:w="5000" w:type="pct"/>
                  <w:gridSpan w:val="5"/>
                  <w:tcBorders>
                    <w:top w:val="single" w:color="auto" w:sz="4" w:space="0"/>
                    <w:bottom w:val="single" w:color="auto" w:sz="4" w:space="0"/>
                  </w:tcBorders>
                  <w:shd w:val="clear" w:color="auto" w:fill="auto"/>
                  <w:noWrap w:val="0"/>
                  <w:vAlign w:val="center"/>
                </w:tcPr>
                <w:p w14:paraId="1CC44020">
                  <w:pPr>
                    <w:keepNext w:val="0"/>
                    <w:keepLines w:val="0"/>
                    <w:pageBreakBefore w:val="0"/>
                    <w:widowControl w:val="0"/>
                    <w:kinsoku/>
                    <w:wordWrap/>
                    <w:overflowPunct/>
                    <w:topLinePunct w:val="0"/>
                    <w:autoSpaceDE/>
                    <w:autoSpaceDN/>
                    <w:bidi w:val="0"/>
                    <w:adjustRightInd w:val="0"/>
                    <w:snapToGrid w:val="0"/>
                    <w:spacing w:line="340" w:lineRule="exact"/>
                    <w:jc w:val="left"/>
                    <w:textAlignment w:val="auto"/>
                    <w:rPr>
                      <w:rFonts w:hint="default" w:cs="Times New Roman"/>
                      <w:b/>
                      <w:bCs w:val="0"/>
                      <w:color w:val="auto"/>
                      <w:kern w:val="2"/>
                      <w:sz w:val="21"/>
                      <w:szCs w:val="21"/>
                      <w:lang w:val="en-US" w:eastAsia="zh-CN" w:bidi="ar-SA"/>
                    </w:rPr>
                  </w:pPr>
                  <w:r>
                    <w:rPr>
                      <w:rFonts w:hint="eastAsia" w:cs="Times New Roman"/>
                      <w:b/>
                      <w:bCs w:val="0"/>
                      <w:color w:val="auto"/>
                      <w:kern w:val="2"/>
                      <w:sz w:val="21"/>
                      <w:szCs w:val="21"/>
                      <w:lang w:val="en-US" w:eastAsia="zh-CN" w:bidi="ar-SA"/>
                    </w:rPr>
                    <w:t>三十三、汽车制造业36</w:t>
                  </w:r>
                </w:p>
              </w:tc>
            </w:tr>
            <w:tr w14:paraId="51D9E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3" w:hRule="atLeast"/>
                <w:jc w:val="center"/>
              </w:trPr>
              <w:tc>
                <w:tcPr>
                  <w:tcW w:w="822" w:type="pct"/>
                  <w:tcBorders>
                    <w:top w:val="single" w:color="auto" w:sz="4" w:space="0"/>
                    <w:bottom w:val="single" w:color="auto" w:sz="4" w:space="0"/>
                  </w:tcBorders>
                  <w:shd w:val="clear" w:color="auto" w:fill="auto"/>
                  <w:noWrap w:val="0"/>
                  <w:vAlign w:val="center"/>
                </w:tcPr>
                <w:p w14:paraId="77A8414D">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sz w:val="21"/>
                      <w:szCs w:val="21"/>
                      <w:lang w:val="en-US" w:eastAsia="zh-CN"/>
                    </w:rPr>
                    <w:t>71、汽车零部件及配件制造367</w:t>
                  </w:r>
                </w:p>
              </w:tc>
              <w:tc>
                <w:tcPr>
                  <w:tcW w:w="1175" w:type="pct"/>
                  <w:tcBorders>
                    <w:top w:val="single" w:color="auto" w:sz="4" w:space="0"/>
                    <w:bottom w:val="single" w:color="auto" w:sz="4" w:space="0"/>
                  </w:tcBorders>
                  <w:shd w:val="clear" w:color="auto" w:fill="auto"/>
                  <w:noWrap w:val="0"/>
                  <w:vAlign w:val="center"/>
                </w:tcPr>
                <w:p w14:paraId="348541CD">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 xml:space="preserve">汽车整车制造（仅组装的除外）；汽车用 </w:t>
                  </w:r>
                </w:p>
                <w:p w14:paraId="0156EF74">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 xml:space="preserve">发动机制造（仅组装的除外）；有电镀工 </w:t>
                  </w:r>
                </w:p>
                <w:p w14:paraId="26A4F987">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 xml:space="preserve">艺的；年用溶剂型涂料（含稀释剂）10 </w:t>
                  </w:r>
                </w:p>
                <w:p w14:paraId="1CF0D5C3">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吨及以上的</w:t>
                  </w:r>
                </w:p>
              </w:tc>
              <w:tc>
                <w:tcPr>
                  <w:tcW w:w="1344" w:type="pct"/>
                  <w:tcBorders>
                    <w:top w:val="single" w:color="auto" w:sz="4" w:space="0"/>
                    <w:bottom w:val="single" w:color="auto" w:sz="4" w:space="0"/>
                  </w:tcBorders>
                  <w:shd w:val="clear" w:color="auto" w:fill="D7D7D7" w:themeFill="background1" w:themeFillShade="D8"/>
                  <w:noWrap w:val="0"/>
                  <w:vAlign w:val="center"/>
                </w:tcPr>
                <w:p w14:paraId="3BDDF8F2">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其他（年用非溶剂型低VOCs含量涂料10吨以下的除外）</w:t>
                  </w:r>
                </w:p>
              </w:tc>
              <w:tc>
                <w:tcPr>
                  <w:tcW w:w="405" w:type="pct"/>
                  <w:tcBorders>
                    <w:top w:val="single" w:color="auto" w:sz="4" w:space="0"/>
                    <w:bottom w:val="single" w:color="auto" w:sz="4" w:space="0"/>
                  </w:tcBorders>
                  <w:shd w:val="clear" w:color="auto" w:fill="auto"/>
                  <w:noWrap w:val="0"/>
                  <w:vAlign w:val="center"/>
                </w:tcPr>
                <w:p w14:paraId="5CA79E00">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rPr>
                    <w:t>/</w:t>
                  </w:r>
                </w:p>
              </w:tc>
              <w:tc>
                <w:tcPr>
                  <w:tcW w:w="1251" w:type="pct"/>
                  <w:tcBorders>
                    <w:top w:val="single" w:color="auto" w:sz="4" w:space="0"/>
                    <w:bottom w:val="single" w:color="auto" w:sz="4" w:space="0"/>
                  </w:tcBorders>
                  <w:shd w:val="clear" w:color="auto" w:fill="auto"/>
                  <w:noWrap w:val="0"/>
                  <w:vAlign w:val="center"/>
                </w:tcPr>
                <w:p w14:paraId="0B57A2CC">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bCs/>
                      <w:color w:val="auto"/>
                      <w:sz w:val="21"/>
                      <w:szCs w:val="21"/>
                      <w:lang w:val="en-US"/>
                    </w:rPr>
                  </w:pPr>
                  <w:r>
                    <w:rPr>
                      <w:rFonts w:hint="eastAsia" w:cs="Times New Roman"/>
                      <w:bCs/>
                      <w:color w:val="auto"/>
                      <w:sz w:val="21"/>
                      <w:szCs w:val="21"/>
                      <w:lang w:val="en-US" w:eastAsia="zh-CN"/>
                    </w:rPr>
                    <w:t>项</w:t>
                  </w:r>
                  <w:r>
                    <w:rPr>
                      <w:rFonts w:hint="eastAsia" w:ascii="Times New Roman" w:hAnsi="Times New Roman" w:eastAsia="宋体" w:cs="Times New Roman"/>
                      <w:bCs/>
                      <w:color w:val="auto"/>
                      <w:sz w:val="21"/>
                      <w:szCs w:val="21"/>
                      <w:lang w:val="en-US" w:eastAsia="zh-CN"/>
                    </w:rPr>
                    <w:t>目涉及C3670汽车零部件及配件制造，不涉及溶剂型涂料，</w:t>
                  </w:r>
                  <w:r>
                    <w:rPr>
                      <w:rFonts w:hint="eastAsia" w:cs="Times New Roman"/>
                      <w:bCs/>
                      <w:color w:val="auto"/>
                      <w:sz w:val="21"/>
                      <w:szCs w:val="21"/>
                      <w:lang w:val="en-US" w:eastAsia="zh-CN"/>
                    </w:rPr>
                    <w:t>无电镀工艺，</w:t>
                  </w:r>
                  <w:r>
                    <w:rPr>
                      <w:rFonts w:hint="eastAsia" w:ascii="Times New Roman" w:hAnsi="Times New Roman" w:eastAsia="宋体" w:cs="Times New Roman"/>
                      <w:bCs/>
                      <w:color w:val="auto"/>
                      <w:sz w:val="21"/>
                      <w:szCs w:val="21"/>
                      <w:lang w:val="en-US" w:eastAsia="zh-CN"/>
                    </w:rPr>
                    <w:t>属于该类别中“其他”，需要编制环评报告表</w:t>
                  </w:r>
                </w:p>
              </w:tc>
            </w:tr>
          </w:tbl>
          <w:p w14:paraId="405C1ACF">
            <w:pPr>
              <w:adjustRightInd w:val="0"/>
              <w:snapToGrid w:val="0"/>
              <w:spacing w:line="360" w:lineRule="auto"/>
              <w:ind w:firstLine="480" w:firstLineChars="200"/>
              <w:rPr>
                <w:rFonts w:hint="default" w:ascii="Times New Roman" w:hAnsi="Times New Roman" w:cs="Times New Roman" w:eastAsiaTheme="minorEastAsia"/>
                <w:color w:val="auto"/>
                <w:sz w:val="24"/>
              </w:rPr>
            </w:pPr>
            <w:r>
              <w:rPr>
                <w:rFonts w:hint="eastAsia"/>
                <w:color w:val="auto"/>
                <w:sz w:val="24"/>
                <w:lang w:val="en-US" w:eastAsia="zh-CN"/>
              </w:rPr>
              <w:t>本项目属于</w:t>
            </w:r>
            <w:r>
              <w:rPr>
                <w:rFonts w:hint="eastAsia"/>
                <w:color w:val="auto"/>
                <w:sz w:val="24"/>
              </w:rPr>
              <w:t>C3670汽车零部件及配件制造</w:t>
            </w:r>
            <w:r>
              <w:rPr>
                <w:rFonts w:hint="eastAsia"/>
                <w:color w:val="auto"/>
                <w:sz w:val="24"/>
                <w:lang w:eastAsia="zh-CN"/>
              </w:rPr>
              <w:t>，</w:t>
            </w:r>
            <w:r>
              <w:rPr>
                <w:rFonts w:hint="default" w:ascii="Times New Roman" w:hAnsi="Times New Roman" w:cs="Times New Roman" w:eastAsiaTheme="minorEastAsia"/>
                <w:color w:val="auto"/>
                <w:sz w:val="24"/>
              </w:rPr>
              <w:t>对照《固定污染源排污许可分类管理名录》（2019年版）中相关内容，内容如下：</w:t>
            </w:r>
          </w:p>
          <w:p w14:paraId="7C475557">
            <w:pPr>
              <w:pStyle w:val="374"/>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kern w:val="0"/>
                <w:sz w:val="24"/>
                <w:szCs w:val="20"/>
                <w:lang w:val="en-US" w:eastAsia="zh-CN" w:bidi="ar-SA"/>
              </w:rPr>
            </w:pPr>
            <w:r>
              <w:rPr>
                <w:rFonts w:hint="default" w:ascii="Times New Roman" w:hAnsi="Times New Roman" w:eastAsia="宋体" w:cs="Times New Roman"/>
                <w:b/>
                <w:color w:val="auto"/>
                <w:kern w:val="0"/>
                <w:sz w:val="24"/>
                <w:szCs w:val="20"/>
                <w:lang w:val="en-US" w:eastAsia="zh-CN" w:bidi="ar-SA"/>
              </w:rPr>
              <w:t>表2-2  固定污染源排污许可分类管理名录对照表</w:t>
            </w:r>
          </w:p>
          <w:tbl>
            <w:tblPr>
              <w:tblStyle w:val="6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1" w:type="dxa"/>
                <w:bottom w:w="0" w:type="dxa"/>
                <w:right w:w="11" w:type="dxa"/>
              </w:tblCellMar>
            </w:tblPr>
            <w:tblGrid>
              <w:gridCol w:w="261"/>
              <w:gridCol w:w="626"/>
              <w:gridCol w:w="842"/>
              <w:gridCol w:w="3500"/>
              <w:gridCol w:w="466"/>
              <w:gridCol w:w="2651"/>
            </w:tblGrid>
            <w:tr w14:paraId="46FCC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74" w:hRule="atLeast"/>
              </w:trPr>
              <w:tc>
                <w:tcPr>
                  <w:tcW w:w="261" w:type="dxa"/>
                  <w:shd w:val="clear" w:color="auto" w:fill="auto"/>
                  <w:vAlign w:val="center"/>
                </w:tcPr>
                <w:p w14:paraId="6EF1C401">
                  <w:pPr>
                    <w:adjustRightInd w:val="0"/>
                    <w:snapToGrid w:val="0"/>
                    <w:jc w:val="center"/>
                    <w:rPr>
                      <w:rFonts w:hint="default" w:ascii="Times New Roman" w:hAnsi="Times New Roman" w:cs="Times New Roman" w:eastAsiaTheme="minorEastAsia"/>
                      <w:b/>
                      <w:color w:val="auto"/>
                      <w:szCs w:val="21"/>
                    </w:rPr>
                  </w:pPr>
                  <w:r>
                    <w:rPr>
                      <w:rFonts w:hint="default" w:ascii="Times New Roman" w:hAnsi="Times New Roman" w:cs="Times New Roman" w:eastAsiaTheme="minorEastAsia"/>
                      <w:b/>
                      <w:color w:val="auto"/>
                      <w:szCs w:val="21"/>
                    </w:rPr>
                    <w:t>序号</w:t>
                  </w:r>
                </w:p>
              </w:tc>
              <w:tc>
                <w:tcPr>
                  <w:tcW w:w="626" w:type="dxa"/>
                  <w:shd w:val="clear" w:color="auto" w:fill="auto"/>
                  <w:vAlign w:val="center"/>
                </w:tcPr>
                <w:p w14:paraId="14EBE0E4">
                  <w:pPr>
                    <w:adjustRightInd w:val="0"/>
                    <w:snapToGrid w:val="0"/>
                    <w:jc w:val="center"/>
                    <w:rPr>
                      <w:rFonts w:hint="default" w:ascii="Times New Roman" w:hAnsi="Times New Roman" w:cs="Times New Roman" w:eastAsiaTheme="minorEastAsia"/>
                      <w:b/>
                      <w:color w:val="auto"/>
                      <w:szCs w:val="21"/>
                    </w:rPr>
                  </w:pPr>
                  <w:r>
                    <w:rPr>
                      <w:rFonts w:hint="default" w:ascii="Times New Roman" w:hAnsi="Times New Roman" w:cs="Times New Roman" w:eastAsiaTheme="minorEastAsia"/>
                      <w:b/>
                      <w:color w:val="auto"/>
                      <w:szCs w:val="21"/>
                    </w:rPr>
                    <w:t>行业类别</w:t>
                  </w:r>
                </w:p>
              </w:tc>
              <w:tc>
                <w:tcPr>
                  <w:tcW w:w="842" w:type="dxa"/>
                  <w:shd w:val="clear" w:color="auto" w:fill="auto"/>
                  <w:vAlign w:val="center"/>
                </w:tcPr>
                <w:p w14:paraId="507C4FEA">
                  <w:pPr>
                    <w:adjustRightInd w:val="0"/>
                    <w:snapToGrid w:val="0"/>
                    <w:jc w:val="center"/>
                    <w:rPr>
                      <w:rFonts w:hint="default" w:ascii="Times New Roman" w:hAnsi="Times New Roman" w:cs="Times New Roman" w:eastAsiaTheme="minorEastAsia"/>
                      <w:b/>
                      <w:color w:val="auto"/>
                      <w:szCs w:val="21"/>
                    </w:rPr>
                  </w:pPr>
                  <w:r>
                    <w:rPr>
                      <w:rFonts w:hint="default" w:ascii="Times New Roman" w:hAnsi="Times New Roman" w:cs="Times New Roman" w:eastAsiaTheme="minorEastAsia"/>
                      <w:b/>
                      <w:color w:val="auto"/>
                      <w:szCs w:val="21"/>
                    </w:rPr>
                    <w:t>重点管理</w:t>
                  </w:r>
                </w:p>
              </w:tc>
              <w:tc>
                <w:tcPr>
                  <w:tcW w:w="3500" w:type="dxa"/>
                  <w:shd w:val="clear" w:color="auto" w:fill="auto"/>
                  <w:vAlign w:val="center"/>
                </w:tcPr>
                <w:p w14:paraId="6FCE9E84">
                  <w:pPr>
                    <w:adjustRightInd w:val="0"/>
                    <w:snapToGrid w:val="0"/>
                    <w:jc w:val="center"/>
                    <w:rPr>
                      <w:rFonts w:hint="default" w:ascii="Times New Roman" w:hAnsi="Times New Roman" w:cs="Times New Roman" w:eastAsiaTheme="minorEastAsia"/>
                      <w:b/>
                      <w:color w:val="auto"/>
                      <w:szCs w:val="21"/>
                    </w:rPr>
                  </w:pPr>
                  <w:r>
                    <w:rPr>
                      <w:rFonts w:hint="default" w:ascii="Times New Roman" w:hAnsi="Times New Roman" w:cs="Times New Roman" w:eastAsiaTheme="minorEastAsia"/>
                      <w:b/>
                      <w:color w:val="auto"/>
                      <w:szCs w:val="21"/>
                    </w:rPr>
                    <w:t>简化管理</w:t>
                  </w:r>
                </w:p>
              </w:tc>
              <w:tc>
                <w:tcPr>
                  <w:tcW w:w="466" w:type="dxa"/>
                  <w:shd w:val="clear" w:color="auto" w:fill="D7D7D7" w:themeFill="background1" w:themeFillShade="D8"/>
                  <w:vAlign w:val="center"/>
                </w:tcPr>
                <w:p w14:paraId="15879248">
                  <w:pPr>
                    <w:adjustRightInd w:val="0"/>
                    <w:snapToGrid w:val="0"/>
                    <w:jc w:val="center"/>
                    <w:rPr>
                      <w:rFonts w:hint="default" w:ascii="Times New Roman" w:hAnsi="Times New Roman" w:cs="Times New Roman" w:eastAsiaTheme="minorEastAsia"/>
                      <w:b/>
                      <w:color w:val="auto"/>
                      <w:szCs w:val="21"/>
                      <w:shd w:val="pct10" w:color="auto" w:fill="FFFFFF"/>
                    </w:rPr>
                  </w:pPr>
                  <w:r>
                    <w:rPr>
                      <w:rFonts w:hint="default" w:ascii="Times New Roman" w:hAnsi="Times New Roman" w:cs="Times New Roman" w:eastAsiaTheme="minorEastAsia"/>
                      <w:b/>
                      <w:color w:val="auto"/>
                      <w:szCs w:val="21"/>
                    </w:rPr>
                    <w:t>登记管理</w:t>
                  </w:r>
                </w:p>
              </w:tc>
              <w:tc>
                <w:tcPr>
                  <w:tcW w:w="2651" w:type="dxa"/>
                  <w:shd w:val="clear" w:color="auto" w:fill="D7D7D7" w:themeFill="background1" w:themeFillShade="D8"/>
                  <w:vAlign w:val="center"/>
                </w:tcPr>
                <w:p w14:paraId="4D54E66B">
                  <w:pPr>
                    <w:adjustRightInd w:val="0"/>
                    <w:snapToGrid w:val="0"/>
                    <w:jc w:val="center"/>
                    <w:rPr>
                      <w:rFonts w:hint="default" w:ascii="Times New Roman" w:hAnsi="Times New Roman" w:cs="Times New Roman" w:eastAsiaTheme="minorEastAsia"/>
                      <w:b/>
                      <w:color w:val="auto"/>
                      <w:szCs w:val="21"/>
                      <w:lang w:eastAsia="zh-CN"/>
                    </w:rPr>
                  </w:pPr>
                  <w:r>
                    <w:rPr>
                      <w:rFonts w:hint="default" w:ascii="Times New Roman" w:hAnsi="Times New Roman" w:cs="Times New Roman" w:eastAsiaTheme="minorEastAsia"/>
                      <w:b/>
                      <w:color w:val="auto"/>
                      <w:szCs w:val="21"/>
                      <w:lang w:eastAsia="zh-CN"/>
                    </w:rPr>
                    <w:t>本项目</w:t>
                  </w:r>
                </w:p>
              </w:tc>
            </w:tr>
            <w:tr w14:paraId="4FBC0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132" w:hRule="atLeast"/>
              </w:trPr>
              <w:tc>
                <w:tcPr>
                  <w:tcW w:w="8346" w:type="dxa"/>
                  <w:gridSpan w:val="6"/>
                  <w:shd w:val="clear" w:color="auto" w:fill="auto"/>
                  <w:vAlign w:val="center"/>
                </w:tcPr>
                <w:p w14:paraId="2275C252">
                  <w:pPr>
                    <w:snapToGrid w:val="0"/>
                    <w:jc w:val="left"/>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1"/>
                      <w:szCs w:val="21"/>
                      <w:lang w:val="en-US" w:eastAsia="zh-CN" w:bidi="ar-SA"/>
                    </w:rPr>
                    <w:t>三十一、汽车制造业31</w:t>
                  </w:r>
                </w:p>
              </w:tc>
            </w:tr>
            <w:tr w14:paraId="34518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132" w:hRule="atLeast"/>
              </w:trPr>
              <w:tc>
                <w:tcPr>
                  <w:tcW w:w="261" w:type="dxa"/>
                  <w:shd w:val="clear" w:color="auto" w:fill="auto"/>
                  <w:vAlign w:val="center"/>
                </w:tcPr>
                <w:p w14:paraId="75C9FE42">
                  <w:pPr>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cs="Times New Roman"/>
                      <w:color w:val="auto"/>
                      <w:lang w:val="en-US" w:eastAsia="zh-CN"/>
                    </w:rPr>
                    <w:t>85</w:t>
                  </w:r>
                </w:p>
              </w:tc>
              <w:tc>
                <w:tcPr>
                  <w:tcW w:w="626" w:type="dxa"/>
                  <w:shd w:val="clear" w:color="auto" w:fill="auto"/>
                  <w:vAlign w:val="center"/>
                </w:tcPr>
                <w:p w14:paraId="572931ED">
                  <w:pPr>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cs="Times New Roman"/>
                      <w:bCs/>
                      <w:color w:val="auto"/>
                      <w:sz w:val="21"/>
                      <w:szCs w:val="21"/>
                      <w:lang w:val="en-US" w:eastAsia="zh-CN"/>
                    </w:rPr>
                    <w:t>汽车零部件及配件制造367</w:t>
                  </w:r>
                </w:p>
              </w:tc>
              <w:tc>
                <w:tcPr>
                  <w:tcW w:w="842" w:type="dxa"/>
                  <w:shd w:val="clear" w:color="auto" w:fill="auto"/>
                  <w:vAlign w:val="center"/>
                </w:tcPr>
                <w:p w14:paraId="342FE73B">
                  <w:pPr>
                    <w:keepNext w:val="0"/>
                    <w:keepLines w:val="0"/>
                    <w:widowControl/>
                    <w:suppressLineNumbers w:val="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0"/>
                      <w:sz w:val="21"/>
                      <w:szCs w:val="21"/>
                      <w:lang w:val="en-US" w:eastAsia="zh-CN" w:bidi="ar"/>
                    </w:rPr>
                    <w:t>纳入重点排污单位名录的</w:t>
                  </w:r>
                </w:p>
              </w:tc>
              <w:tc>
                <w:tcPr>
                  <w:tcW w:w="3500" w:type="dxa"/>
                  <w:shd w:val="clear" w:color="auto" w:fill="auto"/>
                  <w:vAlign w:val="center"/>
                </w:tcPr>
                <w:p w14:paraId="1C386566">
                  <w:pPr>
                    <w:keepNext w:val="0"/>
                    <w:keepLines w:val="0"/>
                    <w:widowControl/>
                    <w:suppressLineNumbers w:val="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0"/>
                      <w:sz w:val="21"/>
                      <w:szCs w:val="21"/>
                      <w:lang w:val="en-US" w:eastAsia="zh-CN" w:bidi="ar"/>
                    </w:rPr>
                    <w:t>除重点管理以外的汽车整车制造361，除重点管理以外的年使用10吨及以上溶剂型涂料或者胶粘剂（含稀释剂、固化剂、清洗溶剂）的汽车用发动机制造 362、改装汽车制造363、低速汽车制造 364、电车制造365、汽车车身、挂车制造 366、汽车零部件及配件制造 367</w:t>
                  </w:r>
                </w:p>
              </w:tc>
              <w:tc>
                <w:tcPr>
                  <w:tcW w:w="466" w:type="dxa"/>
                  <w:shd w:val="clear" w:color="auto" w:fill="D7D7D7" w:themeFill="background1" w:themeFillShade="D8"/>
                  <w:vAlign w:val="center"/>
                </w:tcPr>
                <w:p w14:paraId="56B17CEC">
                  <w:pPr>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cs="Times New Roman"/>
                      <w:color w:val="auto"/>
                      <w:lang w:val="en-US" w:eastAsia="zh-CN"/>
                    </w:rPr>
                    <w:t>其他</w:t>
                  </w:r>
                </w:p>
              </w:tc>
              <w:tc>
                <w:tcPr>
                  <w:tcW w:w="2651" w:type="dxa"/>
                  <w:shd w:val="clear" w:color="auto" w:fill="D7D7D7" w:themeFill="background1" w:themeFillShade="D8"/>
                  <w:vAlign w:val="center"/>
                </w:tcPr>
                <w:p w14:paraId="42F5687D">
                  <w:pPr>
                    <w:jc w:val="center"/>
                    <w:rPr>
                      <w:rFonts w:hint="default" w:ascii="Times New Roman" w:hAnsi="Times New Roman" w:cs="Times New Roman"/>
                      <w:color w:val="auto"/>
                      <w:lang w:val="en-US" w:eastAsia="zh-CN"/>
                    </w:rPr>
                  </w:pPr>
                  <w:r>
                    <w:rPr>
                      <w:rFonts w:hint="default" w:ascii="Times New Roman" w:hAnsi="Times New Roman" w:cs="Times New Roman"/>
                      <w:bCs/>
                      <w:color w:val="auto"/>
                      <w:sz w:val="21"/>
                      <w:szCs w:val="21"/>
                      <w:lang w:val="en-US" w:eastAsia="zh-CN"/>
                    </w:rPr>
                    <w:t>项</w:t>
                  </w:r>
                  <w:r>
                    <w:rPr>
                      <w:rFonts w:hint="default" w:ascii="Times New Roman" w:hAnsi="Times New Roman" w:eastAsia="宋体" w:cs="Times New Roman"/>
                      <w:bCs/>
                      <w:color w:val="auto"/>
                      <w:sz w:val="21"/>
                      <w:szCs w:val="21"/>
                      <w:lang w:val="en-US" w:eastAsia="zh-CN"/>
                    </w:rPr>
                    <w:t>目涉及C3670汽车零部件及配件制造，</w:t>
                  </w:r>
                  <w:r>
                    <w:rPr>
                      <w:rFonts w:hint="default" w:ascii="Times New Roman" w:hAnsi="Times New Roman" w:cs="Times New Roman"/>
                      <w:bCs/>
                      <w:color w:val="auto"/>
                      <w:sz w:val="21"/>
                      <w:szCs w:val="21"/>
                      <w:lang w:val="en-US" w:eastAsia="zh-CN"/>
                    </w:rPr>
                    <w:t>为新建项目未纳入重点排污单位名录，不涉及溶剂型涂料或者</w:t>
                  </w:r>
                  <w:r>
                    <w:rPr>
                      <w:rFonts w:hint="default" w:ascii="Times New Roman" w:hAnsi="Times New Roman" w:eastAsia="宋体" w:cs="Times New Roman"/>
                      <w:color w:val="auto"/>
                      <w:kern w:val="0"/>
                      <w:sz w:val="21"/>
                      <w:szCs w:val="21"/>
                      <w:lang w:val="en-US" w:eastAsia="zh-CN" w:bidi="ar"/>
                    </w:rPr>
                    <w:t>胶粘剂（含稀释剂、固化剂、清洗溶剂）</w:t>
                  </w:r>
                  <w:r>
                    <w:rPr>
                      <w:rFonts w:hint="eastAsia" w:cs="Times New Roman"/>
                      <w:color w:val="auto"/>
                      <w:kern w:val="0"/>
                      <w:sz w:val="21"/>
                      <w:szCs w:val="21"/>
                      <w:lang w:val="en-US" w:eastAsia="zh-CN" w:bidi="ar"/>
                    </w:rPr>
                    <w:t>，</w:t>
                  </w:r>
                  <w:r>
                    <w:rPr>
                      <w:rFonts w:hint="default" w:ascii="Times New Roman" w:hAnsi="Times New Roman" w:eastAsia="宋体" w:cs="Times New Roman"/>
                      <w:bCs/>
                      <w:color w:val="auto"/>
                      <w:sz w:val="21"/>
                      <w:szCs w:val="21"/>
                      <w:lang w:val="en-US" w:eastAsia="zh-CN"/>
                    </w:rPr>
                    <w:t>属于该类别中“其他”，为登记管理</w:t>
                  </w:r>
                </w:p>
              </w:tc>
            </w:tr>
          </w:tbl>
          <w:p w14:paraId="05FE923F">
            <w:pPr>
              <w:spacing w:line="360" w:lineRule="auto"/>
              <w:ind w:firstLine="480" w:firstLineChars="200"/>
              <w:rPr>
                <w:rFonts w:hint="default" w:ascii="Times New Roman" w:hAnsi="Times New Roman" w:cs="Times New Roman"/>
                <w:color w:val="auto"/>
              </w:rPr>
            </w:pPr>
            <w:r>
              <w:rPr>
                <w:rFonts w:hint="default" w:ascii="Times New Roman" w:hAnsi="Times New Roman" w:cs="Times New Roman"/>
                <w:color w:val="auto"/>
                <w:sz w:val="24"/>
              </w:rPr>
              <w:t>对照上表内容，本项目属于排污许可中</w:t>
            </w:r>
            <w:r>
              <w:rPr>
                <w:rFonts w:hint="eastAsia" w:cs="Times New Roman"/>
                <w:color w:val="auto"/>
                <w:sz w:val="24"/>
                <w:lang w:eastAsia="zh-CN"/>
              </w:rPr>
              <w:t>“</w:t>
            </w:r>
            <w:r>
              <w:rPr>
                <w:rFonts w:hint="eastAsia" w:cs="Times New Roman"/>
                <w:color w:val="auto"/>
                <w:sz w:val="24"/>
                <w:lang w:val="en-US" w:eastAsia="zh-CN"/>
              </w:rPr>
              <w:t>登记</w:t>
            </w:r>
            <w:r>
              <w:rPr>
                <w:rFonts w:hint="default" w:ascii="Times New Roman" w:hAnsi="Times New Roman" w:cs="Times New Roman"/>
                <w:color w:val="auto"/>
                <w:sz w:val="24"/>
              </w:rPr>
              <w:t>管理</w:t>
            </w:r>
            <w:r>
              <w:rPr>
                <w:rFonts w:hint="eastAsia" w:cs="Times New Roman"/>
                <w:color w:val="auto"/>
                <w:sz w:val="24"/>
                <w:lang w:eastAsia="zh-CN"/>
              </w:rPr>
              <w:t>”</w:t>
            </w:r>
            <w:r>
              <w:rPr>
                <w:rFonts w:hint="default" w:ascii="Times New Roman" w:hAnsi="Times New Roman" w:eastAsia="宋体" w:cs="Times New Roman"/>
                <w:color w:val="auto"/>
                <w:sz w:val="24"/>
                <w:szCs w:val="24"/>
                <w:lang w:val="en-US" w:eastAsia="zh-CN"/>
              </w:rPr>
              <w:t>，</w:t>
            </w:r>
            <w:r>
              <w:rPr>
                <w:rFonts w:hint="default" w:ascii="Times New Roman" w:hAnsi="Times New Roman" w:cs="Times New Roman"/>
                <w:color w:val="auto"/>
                <w:sz w:val="24"/>
              </w:rPr>
              <w:t>根据安徽省生态环境厅《关于统筹做好固定污染源排污许可日常监管工作的通知》（皖环发[2021]7号），属于现行《固定污染源排污许可分类管理名录》内重点管理和简化管理的行业，建设单位在组织编制建设项目环境影响报告书</w:t>
            </w:r>
            <w:r>
              <w:rPr>
                <w:rFonts w:hint="eastAsia" w:cs="Times New Roman"/>
                <w:color w:val="auto"/>
                <w:sz w:val="24"/>
                <w:lang w:eastAsia="zh-CN"/>
              </w:rPr>
              <w:t>（</w:t>
            </w:r>
            <w:r>
              <w:rPr>
                <w:rFonts w:hint="default" w:ascii="Times New Roman" w:hAnsi="Times New Roman" w:cs="Times New Roman"/>
                <w:color w:val="auto"/>
                <w:sz w:val="24"/>
              </w:rPr>
              <w:t>表</w:t>
            </w:r>
            <w:r>
              <w:rPr>
                <w:rFonts w:hint="eastAsia" w:cs="Times New Roman"/>
                <w:color w:val="auto"/>
                <w:sz w:val="24"/>
                <w:lang w:eastAsia="zh-CN"/>
              </w:rPr>
              <w:t>）</w:t>
            </w:r>
            <w:r>
              <w:rPr>
                <w:rFonts w:hint="default" w:ascii="Times New Roman" w:hAnsi="Times New Roman" w:cs="Times New Roman"/>
                <w:color w:val="auto"/>
                <w:sz w:val="24"/>
              </w:rPr>
              <w:t>时，可结合相应行业排污许可证申请与核发技术规范，在环评文件中一并明确“建设项目环境影响评价与排污许可联动内容”和《建设项目排污许可申请与填报信息表》。由于本项目属于现行《固定污染源排污许可分类管理名录》里“</w:t>
            </w:r>
            <w:r>
              <w:rPr>
                <w:rFonts w:hint="eastAsia" w:cs="Times New Roman"/>
                <w:color w:val="auto"/>
                <w:sz w:val="24"/>
                <w:lang w:val="en-US" w:eastAsia="zh-CN"/>
              </w:rPr>
              <w:t>登记</w:t>
            </w:r>
            <w:r>
              <w:rPr>
                <w:rFonts w:hint="default" w:ascii="Times New Roman" w:hAnsi="Times New Roman" w:cs="Times New Roman"/>
                <w:color w:val="auto"/>
                <w:sz w:val="24"/>
              </w:rPr>
              <w:t>管理”，</w:t>
            </w:r>
            <w:r>
              <w:rPr>
                <w:rFonts w:hint="eastAsia" w:cs="Times New Roman"/>
                <w:color w:val="auto"/>
                <w:sz w:val="24"/>
                <w:lang w:val="en-US" w:eastAsia="zh-CN"/>
              </w:rPr>
              <w:t>无</w:t>
            </w:r>
            <w:r>
              <w:rPr>
                <w:rFonts w:hint="eastAsia" w:cs="Times New Roman"/>
                <w:color w:val="auto"/>
                <w:sz w:val="24"/>
                <w:lang w:eastAsia="zh-CN"/>
              </w:rPr>
              <w:t>需</w:t>
            </w:r>
            <w:r>
              <w:rPr>
                <w:rFonts w:hint="default" w:ascii="Times New Roman" w:hAnsi="Times New Roman" w:cs="Times New Roman"/>
                <w:color w:val="auto"/>
                <w:sz w:val="24"/>
              </w:rPr>
              <w:t>填报“建设项目环境影响评价与排污许可联动内容”和《建设项目排污许可申请与填报信息表》。</w:t>
            </w:r>
          </w:p>
          <w:p w14:paraId="5B9CE498">
            <w:pPr>
              <w:keepNext w:val="0"/>
              <w:keepLines w:val="0"/>
              <w:pageBreakBefore w:val="0"/>
              <w:widowControl/>
              <w:kinsoku/>
              <w:wordWrap/>
              <w:overflowPunct/>
              <w:topLinePunct w:val="0"/>
              <w:autoSpaceDE/>
              <w:autoSpaceDN/>
              <w:bidi w:val="0"/>
              <w:adjustRightInd/>
              <w:snapToGrid/>
              <w:spacing w:beforeAutospacing="0" w:line="360" w:lineRule="auto"/>
              <w:ind w:firstLine="482" w:firstLineChars="200"/>
              <w:jc w:val="left"/>
              <w:textAlignment w:val="auto"/>
              <w:rPr>
                <w:rFonts w:hint="default" w:ascii="Times New Roman" w:hAnsi="Times New Roman" w:cs="Times New Roman"/>
                <w:b/>
                <w:color w:val="auto"/>
                <w:kern w:val="0"/>
                <w:sz w:val="24"/>
              </w:rPr>
            </w:pPr>
            <w:r>
              <w:rPr>
                <w:rFonts w:hint="default" w:ascii="Times New Roman" w:hAnsi="Times New Roman" w:cs="Times New Roman"/>
                <w:b/>
                <w:color w:val="auto"/>
                <w:kern w:val="0"/>
                <w:sz w:val="24"/>
                <w:szCs w:val="20"/>
                <w:lang w:val="en-US" w:eastAsia="zh-CN"/>
              </w:rPr>
              <w:t>2</w:t>
            </w:r>
            <w:r>
              <w:rPr>
                <w:rFonts w:hint="default" w:ascii="Times New Roman" w:hAnsi="Times New Roman" w:cs="Times New Roman"/>
                <w:b/>
                <w:color w:val="auto"/>
                <w:kern w:val="0"/>
                <w:sz w:val="24"/>
                <w:szCs w:val="20"/>
              </w:rPr>
              <w:t>、</w:t>
            </w:r>
            <w:r>
              <w:rPr>
                <w:rFonts w:hint="default" w:ascii="Times New Roman" w:hAnsi="Times New Roman" w:cs="Times New Roman"/>
                <w:b/>
                <w:color w:val="auto"/>
                <w:kern w:val="0"/>
                <w:sz w:val="24"/>
              </w:rPr>
              <w:t>项目建设内容</w:t>
            </w:r>
          </w:p>
          <w:p w14:paraId="21E6FD32">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本项目建设具体内容见</w:t>
            </w:r>
            <w:r>
              <w:rPr>
                <w:rFonts w:hint="default" w:ascii="Times New Roman" w:hAnsi="Times New Roman" w:cs="Times New Roman"/>
                <w:color w:val="auto"/>
                <w:sz w:val="24"/>
                <w:lang w:eastAsia="zh-CN"/>
              </w:rPr>
              <w:t>下</w:t>
            </w:r>
            <w:r>
              <w:rPr>
                <w:rFonts w:hint="default" w:ascii="Times New Roman" w:hAnsi="Times New Roman" w:cs="Times New Roman"/>
                <w:color w:val="auto"/>
                <w:sz w:val="24"/>
              </w:rPr>
              <w:t>表。</w:t>
            </w:r>
          </w:p>
          <w:p w14:paraId="043D35DC">
            <w:pPr>
              <w:pStyle w:val="374"/>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kern w:val="0"/>
                <w:sz w:val="24"/>
                <w:szCs w:val="20"/>
                <w:lang w:val="en-US" w:eastAsia="zh-CN" w:bidi="ar-SA"/>
              </w:rPr>
            </w:pPr>
            <w:r>
              <w:rPr>
                <w:rFonts w:hint="default" w:ascii="Times New Roman" w:hAnsi="Times New Roman" w:eastAsia="宋体" w:cs="Times New Roman"/>
                <w:b/>
                <w:color w:val="auto"/>
                <w:kern w:val="0"/>
                <w:sz w:val="24"/>
                <w:szCs w:val="20"/>
                <w:lang w:val="en-US" w:eastAsia="zh-CN" w:bidi="ar-SA"/>
              </w:rPr>
              <w:t>表2-3  建设项目组成内容一览表</w:t>
            </w:r>
          </w:p>
          <w:tbl>
            <w:tblPr>
              <w:tblStyle w:val="6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0"/>
              <w:gridCol w:w="675"/>
              <w:gridCol w:w="1018"/>
              <w:gridCol w:w="1119"/>
              <w:gridCol w:w="2679"/>
              <w:gridCol w:w="1316"/>
              <w:gridCol w:w="1059"/>
            </w:tblGrid>
            <w:tr w14:paraId="378C4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80" w:type="dxa"/>
                  <w:vAlign w:val="center"/>
                </w:tcPr>
                <w:p w14:paraId="04FF43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hint="default" w:ascii="Times New Roman" w:hAnsi="Times New Roman" w:cs="Times New Roman"/>
                      <w:b/>
                      <w:color w:val="auto"/>
                      <w:szCs w:val="21"/>
                    </w:rPr>
                  </w:pPr>
                  <w:r>
                    <w:rPr>
                      <w:rFonts w:hint="default" w:ascii="Times New Roman" w:hAnsi="Times New Roman" w:cs="Times New Roman"/>
                      <w:b/>
                      <w:color w:val="auto"/>
                      <w:szCs w:val="21"/>
                    </w:rPr>
                    <w:t>序号</w:t>
                  </w:r>
                </w:p>
              </w:tc>
              <w:tc>
                <w:tcPr>
                  <w:tcW w:w="675" w:type="dxa"/>
                  <w:vAlign w:val="center"/>
                </w:tcPr>
                <w:p w14:paraId="2B64630A">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类别</w:t>
                  </w:r>
                </w:p>
              </w:tc>
              <w:tc>
                <w:tcPr>
                  <w:tcW w:w="1018" w:type="dxa"/>
                  <w:vAlign w:val="center"/>
                </w:tcPr>
                <w:p w14:paraId="162EF2FA">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工程</w:t>
                  </w:r>
                </w:p>
                <w:p w14:paraId="5F4A3A27">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名称</w:t>
                  </w:r>
                </w:p>
              </w:tc>
              <w:tc>
                <w:tcPr>
                  <w:tcW w:w="5114" w:type="dxa"/>
                  <w:gridSpan w:val="3"/>
                  <w:vAlign w:val="center"/>
                </w:tcPr>
                <w:p w14:paraId="104A6CD2">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工程规模和内容</w:t>
                  </w:r>
                </w:p>
              </w:tc>
              <w:tc>
                <w:tcPr>
                  <w:tcW w:w="1059" w:type="dxa"/>
                  <w:vAlign w:val="center"/>
                </w:tcPr>
                <w:p w14:paraId="2D8BFA70">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备注</w:t>
                  </w:r>
                </w:p>
              </w:tc>
            </w:tr>
            <w:tr w14:paraId="24C9B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80" w:type="dxa"/>
                  <w:vMerge w:val="restart"/>
                  <w:vAlign w:val="center"/>
                </w:tcPr>
                <w:p w14:paraId="41C3A229">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675" w:type="dxa"/>
                  <w:vMerge w:val="restart"/>
                  <w:vAlign w:val="center"/>
                </w:tcPr>
                <w:p w14:paraId="5311E57F">
                  <w:pPr>
                    <w:jc w:val="center"/>
                    <w:rPr>
                      <w:rFonts w:hint="default" w:ascii="Times New Roman" w:hAnsi="Times New Roman" w:cs="Times New Roman"/>
                      <w:color w:val="auto"/>
                      <w:szCs w:val="21"/>
                    </w:rPr>
                  </w:pPr>
                  <w:r>
                    <w:rPr>
                      <w:rFonts w:hint="default" w:ascii="Times New Roman" w:hAnsi="Times New Roman" w:cs="Times New Roman"/>
                      <w:color w:val="auto"/>
                      <w:szCs w:val="21"/>
                    </w:rPr>
                    <w:t>主体工程</w:t>
                  </w:r>
                </w:p>
              </w:tc>
              <w:tc>
                <w:tcPr>
                  <w:tcW w:w="1018" w:type="dxa"/>
                  <w:vAlign w:val="center"/>
                </w:tcPr>
                <w:p w14:paraId="70569141">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1#厂房</w:t>
                  </w:r>
                </w:p>
              </w:tc>
              <w:tc>
                <w:tcPr>
                  <w:tcW w:w="3798" w:type="dxa"/>
                  <w:gridSpan w:val="2"/>
                  <w:vAlign w:val="center"/>
                </w:tcPr>
                <w:p w14:paraId="1793F1F4">
                  <w:pPr>
                    <w:widowControl/>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w:t>
                  </w:r>
                  <w:r>
                    <w:rPr>
                      <w:rFonts w:hint="default" w:ascii="Times New Roman" w:hAnsi="Times New Roman" w:eastAsia="宋体" w:cs="Times New Roman"/>
                      <w:color w:val="auto"/>
                      <w:lang w:val="en-US" w:eastAsia="zh-CN"/>
                    </w:rPr>
                    <w:t>F，高</w:t>
                  </w:r>
                  <w:r>
                    <w:rPr>
                      <w:rFonts w:hint="eastAsia" w:ascii="Times New Roman" w:hAnsi="Times New Roman" w:eastAsia="宋体" w:cs="Times New Roman"/>
                      <w:color w:val="auto"/>
                      <w:lang w:val="en-US" w:eastAsia="zh-CN"/>
                    </w:rPr>
                    <w:t>12.5</w:t>
                  </w:r>
                  <w:r>
                    <w:rPr>
                      <w:rFonts w:hint="default" w:ascii="Times New Roman" w:hAnsi="Times New Roman" w:eastAsia="宋体" w:cs="Times New Roman"/>
                      <w:color w:val="auto"/>
                      <w:lang w:val="en-US" w:eastAsia="zh-CN"/>
                    </w:rPr>
                    <w:t>m</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lang w:val="en-US" w:eastAsia="zh-CN"/>
                    </w:rPr>
                    <w:t>建筑面积</w:t>
                  </w:r>
                  <w:r>
                    <w:rPr>
                      <w:rFonts w:hint="eastAsia" w:ascii="Times New Roman" w:hAnsi="Times New Roman" w:eastAsia="宋体" w:cs="Times New Roman"/>
                      <w:color w:val="auto"/>
                      <w:lang w:val="en-US" w:eastAsia="zh-CN"/>
                    </w:rPr>
                    <w:t>6079.24</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default" w:ascii="Times New Roman" w:hAnsi="Times New Roman" w:eastAsia="宋体" w:cs="Times New Roman"/>
                      <w:color w:val="auto"/>
                      <w:lang w:val="en-US" w:eastAsia="zh-CN"/>
                    </w:rPr>
                    <w:t>，设有</w:t>
                  </w:r>
                  <w:r>
                    <w:rPr>
                      <w:rFonts w:hint="eastAsia" w:cs="Times New Roman"/>
                      <w:color w:val="auto"/>
                      <w:lang w:val="en-US" w:eastAsia="zh-CN"/>
                    </w:rPr>
                    <w:t>锻压区、感应加热区、湿式磨削区、下料区、抛丸区、成品区、原料区</w:t>
                  </w:r>
                  <w:r>
                    <w:rPr>
                      <w:rFonts w:hint="default" w:ascii="Times New Roman" w:hAnsi="Times New Roman" w:eastAsia="宋体" w:cs="Times New Roman"/>
                      <w:color w:val="auto"/>
                      <w:lang w:val="en-US" w:eastAsia="zh-CN"/>
                    </w:rPr>
                    <w:t>等</w:t>
                  </w:r>
                  <w:r>
                    <w:rPr>
                      <w:rFonts w:hint="eastAsia" w:ascii="Times New Roman" w:hAnsi="Times New Roman" w:eastAsia="宋体" w:cs="Times New Roman"/>
                      <w:color w:val="auto"/>
                      <w:lang w:val="en-US" w:eastAsia="zh-CN"/>
                    </w:rPr>
                    <w:t>。</w:t>
                  </w:r>
                </w:p>
              </w:tc>
              <w:tc>
                <w:tcPr>
                  <w:tcW w:w="1316" w:type="dxa"/>
                  <w:vMerge w:val="restart"/>
                  <w:vAlign w:val="center"/>
                </w:tcPr>
                <w:p w14:paraId="71426FF0">
                  <w:pPr>
                    <w:widowControl/>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达到</w:t>
                  </w:r>
                  <w:r>
                    <w:rPr>
                      <w:rFonts w:hint="default" w:ascii="Times New Roman" w:hAnsi="Times New Roman" w:eastAsia="宋体" w:cs="Times New Roman"/>
                      <w:color w:val="auto"/>
                      <w:lang w:val="en-US" w:eastAsia="zh-CN"/>
                    </w:rPr>
                    <w:t>年产</w:t>
                  </w:r>
                  <w:r>
                    <w:rPr>
                      <w:rFonts w:hint="eastAsia" w:ascii="Times New Roman" w:hAnsi="Times New Roman" w:eastAsia="宋体" w:cs="Times New Roman"/>
                      <w:color w:val="auto"/>
                      <w:lang w:val="en-US" w:eastAsia="zh-CN"/>
                    </w:rPr>
                    <w:t>汽车轮毂系列产品900万套的生产规模</w:t>
                  </w:r>
                </w:p>
              </w:tc>
              <w:tc>
                <w:tcPr>
                  <w:tcW w:w="1059" w:type="dxa"/>
                  <w:vMerge w:val="restart"/>
                  <w:vAlign w:val="center"/>
                </w:tcPr>
                <w:p w14:paraId="7617DCF0">
                  <w:pPr>
                    <w:jc w:val="center"/>
                    <w:rPr>
                      <w:rFonts w:hint="eastAsia" w:ascii="Times New Roman" w:hAnsi="Times New Roman" w:eastAsia="宋体" w:cs="Times New Roman"/>
                      <w:color w:val="auto"/>
                      <w:szCs w:val="21"/>
                      <w:lang w:eastAsia="zh-CN"/>
                    </w:rPr>
                  </w:pPr>
                  <w:r>
                    <w:rPr>
                      <w:rFonts w:hint="default" w:ascii="Times New Roman" w:hAnsi="Times New Roman" w:cs="Times New Roman"/>
                      <w:color w:val="auto"/>
                      <w:szCs w:val="21"/>
                    </w:rPr>
                    <w:t>依托现有租赁方</w:t>
                  </w:r>
                  <w:r>
                    <w:rPr>
                      <w:rFonts w:hint="eastAsia" w:ascii="Times New Roman" w:hAnsi="Times New Roman" w:cs="Times New Roman"/>
                      <w:color w:val="auto"/>
                      <w:szCs w:val="21"/>
                      <w:lang w:eastAsia="zh-CN"/>
                    </w:rPr>
                    <w:t>，购置安装生产设备</w:t>
                  </w:r>
                </w:p>
              </w:tc>
            </w:tr>
            <w:tr w14:paraId="0A206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80" w:type="dxa"/>
                  <w:vMerge w:val="continue"/>
                  <w:vAlign w:val="center"/>
                </w:tcPr>
                <w:p w14:paraId="73A6F119">
                  <w:pPr>
                    <w:jc w:val="center"/>
                    <w:rPr>
                      <w:rFonts w:hint="default" w:ascii="Times New Roman" w:hAnsi="Times New Roman" w:cs="Times New Roman"/>
                      <w:color w:val="auto"/>
                      <w:szCs w:val="21"/>
                    </w:rPr>
                  </w:pPr>
                </w:p>
              </w:tc>
              <w:tc>
                <w:tcPr>
                  <w:tcW w:w="675" w:type="dxa"/>
                  <w:vMerge w:val="continue"/>
                  <w:vAlign w:val="center"/>
                </w:tcPr>
                <w:p w14:paraId="563F7B16">
                  <w:pPr>
                    <w:jc w:val="center"/>
                    <w:rPr>
                      <w:rFonts w:hint="default" w:ascii="Times New Roman" w:hAnsi="Times New Roman" w:cs="Times New Roman"/>
                      <w:color w:val="auto"/>
                      <w:szCs w:val="21"/>
                    </w:rPr>
                  </w:pPr>
                </w:p>
              </w:tc>
              <w:tc>
                <w:tcPr>
                  <w:tcW w:w="1018" w:type="dxa"/>
                  <w:vAlign w:val="center"/>
                </w:tcPr>
                <w:p w14:paraId="7E2F7066">
                  <w:pPr>
                    <w:jc w:val="center"/>
                    <w:rPr>
                      <w:rFonts w:hint="default" w:cs="Times New Roman"/>
                      <w:color w:val="auto"/>
                      <w:szCs w:val="21"/>
                      <w:lang w:val="en-US" w:eastAsia="zh-CN"/>
                    </w:rPr>
                  </w:pPr>
                  <w:r>
                    <w:rPr>
                      <w:rFonts w:hint="eastAsia" w:cs="Times New Roman"/>
                      <w:color w:val="auto"/>
                      <w:szCs w:val="21"/>
                      <w:lang w:val="en-US" w:eastAsia="zh-CN"/>
                    </w:rPr>
                    <w:t>2#厂房</w:t>
                  </w:r>
                </w:p>
              </w:tc>
              <w:tc>
                <w:tcPr>
                  <w:tcW w:w="3798" w:type="dxa"/>
                  <w:gridSpan w:val="2"/>
                  <w:vAlign w:val="center"/>
                </w:tcPr>
                <w:p w14:paraId="75873766">
                  <w:pPr>
                    <w:widowControl/>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w:t>
                  </w:r>
                  <w:r>
                    <w:rPr>
                      <w:rFonts w:hint="default" w:ascii="Times New Roman" w:hAnsi="Times New Roman" w:eastAsia="宋体" w:cs="Times New Roman"/>
                      <w:color w:val="auto"/>
                      <w:lang w:val="en-US" w:eastAsia="zh-CN"/>
                    </w:rPr>
                    <w:t>F，高</w:t>
                  </w:r>
                  <w:r>
                    <w:rPr>
                      <w:rFonts w:hint="eastAsia" w:ascii="Times New Roman" w:hAnsi="Times New Roman" w:eastAsia="宋体" w:cs="Times New Roman"/>
                      <w:color w:val="auto"/>
                      <w:lang w:val="en-US" w:eastAsia="zh-CN"/>
                    </w:rPr>
                    <w:t>12.5，</w:t>
                  </w:r>
                  <w:r>
                    <w:rPr>
                      <w:rFonts w:hint="default" w:ascii="Times New Roman" w:hAnsi="Times New Roman" w:eastAsia="宋体" w:cs="Times New Roman"/>
                      <w:color w:val="auto"/>
                      <w:lang w:val="en-US" w:eastAsia="zh-CN"/>
                    </w:rPr>
                    <w:t>建筑面积</w:t>
                  </w:r>
                  <w:r>
                    <w:rPr>
                      <w:rFonts w:hint="eastAsia" w:ascii="Times New Roman" w:hAnsi="Times New Roman" w:eastAsia="宋体" w:cs="Times New Roman"/>
                      <w:color w:val="auto"/>
                      <w:lang w:val="en-US" w:eastAsia="zh-CN"/>
                    </w:rPr>
                    <w:t>6079.24</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default" w:ascii="Times New Roman" w:hAnsi="Times New Roman" w:eastAsia="宋体" w:cs="Times New Roman"/>
                      <w:color w:val="auto"/>
                      <w:lang w:val="en-US" w:eastAsia="zh-CN"/>
                    </w:rPr>
                    <w:t>，设有</w:t>
                  </w:r>
                  <w:r>
                    <w:rPr>
                      <w:rFonts w:hint="eastAsia" w:ascii="Times New Roman" w:hAnsi="Times New Roman" w:eastAsia="宋体" w:cs="Times New Roman"/>
                      <w:color w:val="auto"/>
                      <w:lang w:val="en-US" w:eastAsia="zh-CN"/>
                    </w:rPr>
                    <w:t>淬火区、回火区、粗</w:t>
                  </w:r>
                  <w:r>
                    <w:rPr>
                      <w:rFonts w:hint="eastAsia" w:cs="Times New Roman"/>
                      <w:color w:val="auto"/>
                      <w:lang w:val="en-US" w:eastAsia="zh-CN"/>
                    </w:rPr>
                    <w:t>、精</w:t>
                  </w:r>
                  <w:r>
                    <w:rPr>
                      <w:rFonts w:hint="eastAsia" w:ascii="Times New Roman" w:hAnsi="Times New Roman" w:eastAsia="宋体" w:cs="Times New Roman"/>
                      <w:color w:val="auto"/>
                      <w:lang w:val="en-US" w:eastAsia="zh-CN"/>
                    </w:rPr>
                    <w:t>加工</w:t>
                  </w:r>
                  <w:r>
                    <w:rPr>
                      <w:rFonts w:hint="eastAsia" w:cs="Times New Roman"/>
                      <w:color w:val="auto"/>
                      <w:lang w:val="en-US" w:eastAsia="zh-CN"/>
                    </w:rPr>
                    <w:t>、半成品区</w:t>
                  </w:r>
                  <w:r>
                    <w:rPr>
                      <w:rFonts w:hint="default" w:ascii="Times New Roman" w:hAnsi="Times New Roman" w:eastAsia="宋体" w:cs="Times New Roman"/>
                      <w:color w:val="auto"/>
                      <w:lang w:val="en-US" w:eastAsia="zh-CN"/>
                    </w:rPr>
                    <w:t>等</w:t>
                  </w:r>
                  <w:r>
                    <w:rPr>
                      <w:rFonts w:hint="eastAsia" w:ascii="Times New Roman" w:hAnsi="Times New Roman" w:eastAsia="宋体" w:cs="Times New Roman"/>
                      <w:color w:val="auto"/>
                      <w:lang w:val="en-US" w:eastAsia="zh-CN"/>
                    </w:rPr>
                    <w:t>。</w:t>
                  </w:r>
                </w:p>
              </w:tc>
              <w:tc>
                <w:tcPr>
                  <w:tcW w:w="1316" w:type="dxa"/>
                  <w:vMerge w:val="continue"/>
                  <w:vAlign w:val="center"/>
                </w:tcPr>
                <w:p w14:paraId="5DCBC9DF">
                  <w:pPr>
                    <w:widowControl/>
                    <w:jc w:val="center"/>
                    <w:rPr>
                      <w:rFonts w:hint="eastAsia" w:ascii="Times New Roman" w:hAnsi="Times New Roman" w:eastAsia="宋体" w:cs="Times New Roman"/>
                      <w:color w:val="auto"/>
                      <w:lang w:val="en-US" w:eastAsia="zh-CN"/>
                    </w:rPr>
                  </w:pPr>
                </w:p>
              </w:tc>
              <w:tc>
                <w:tcPr>
                  <w:tcW w:w="1059" w:type="dxa"/>
                  <w:vMerge w:val="continue"/>
                  <w:vAlign w:val="center"/>
                </w:tcPr>
                <w:p w14:paraId="79B1D51A">
                  <w:pPr>
                    <w:jc w:val="center"/>
                    <w:rPr>
                      <w:rFonts w:hint="default" w:ascii="Times New Roman" w:hAnsi="Times New Roman" w:cs="Times New Roman"/>
                      <w:color w:val="auto"/>
                      <w:szCs w:val="21"/>
                    </w:rPr>
                  </w:pPr>
                </w:p>
              </w:tc>
            </w:tr>
            <w:tr w14:paraId="26A30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80" w:type="dxa"/>
                  <w:vAlign w:val="center"/>
                </w:tcPr>
                <w:p w14:paraId="339BF749">
                  <w:pPr>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675" w:type="dxa"/>
                  <w:vAlign w:val="center"/>
                </w:tcPr>
                <w:p w14:paraId="2589C7BC">
                  <w:pPr>
                    <w:jc w:val="center"/>
                    <w:rPr>
                      <w:rFonts w:hint="default" w:ascii="Times New Roman" w:hAnsi="Times New Roman" w:cs="Times New Roman"/>
                      <w:color w:val="auto"/>
                      <w:szCs w:val="21"/>
                    </w:rPr>
                  </w:pPr>
                  <w:r>
                    <w:rPr>
                      <w:rFonts w:hint="default" w:ascii="Times New Roman" w:hAnsi="Times New Roman" w:cs="Times New Roman"/>
                      <w:color w:val="auto"/>
                      <w:szCs w:val="21"/>
                    </w:rPr>
                    <w:t>辅助工程</w:t>
                  </w:r>
                </w:p>
              </w:tc>
              <w:tc>
                <w:tcPr>
                  <w:tcW w:w="1018" w:type="dxa"/>
                  <w:vAlign w:val="center"/>
                </w:tcPr>
                <w:p w14:paraId="1ACA04BB">
                  <w:pPr>
                    <w:widowControl/>
                    <w:jc w:val="center"/>
                    <w:rPr>
                      <w:rFonts w:hint="default" w:ascii="Times New Roman" w:hAnsi="Times New Roman" w:eastAsia="宋体" w:cs="Times New Roman"/>
                      <w:color w:val="auto"/>
                      <w:kern w:val="0"/>
                      <w:sz w:val="24"/>
                      <w:lang w:val="en-US" w:eastAsia="zh-CN"/>
                    </w:rPr>
                  </w:pPr>
                  <w:r>
                    <w:rPr>
                      <w:rFonts w:hint="eastAsia" w:cs="Times New Roman"/>
                      <w:color w:val="auto"/>
                      <w:kern w:val="0"/>
                      <w:szCs w:val="21"/>
                      <w:lang w:val="en-US" w:eastAsia="zh-CN"/>
                    </w:rPr>
                    <w:t>办公楼</w:t>
                  </w:r>
                </w:p>
              </w:tc>
              <w:tc>
                <w:tcPr>
                  <w:tcW w:w="5114" w:type="dxa"/>
                  <w:gridSpan w:val="3"/>
                  <w:vAlign w:val="center"/>
                </w:tcPr>
                <w:p w14:paraId="1D1513E1">
                  <w:pPr>
                    <w:widowControl/>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共4F，总高13m，</w:t>
                  </w:r>
                  <w:r>
                    <w:rPr>
                      <w:rFonts w:hint="default" w:ascii="Times New Roman" w:hAnsi="Times New Roman" w:eastAsia="宋体" w:cs="Times New Roman"/>
                      <w:color w:val="auto"/>
                      <w:lang w:val="en-US" w:eastAsia="zh-CN"/>
                    </w:rPr>
                    <w:t>位于</w:t>
                  </w:r>
                  <w:r>
                    <w:rPr>
                      <w:rFonts w:hint="eastAsia" w:ascii="Times New Roman" w:hAnsi="Times New Roman" w:eastAsia="宋体" w:cs="Times New Roman"/>
                      <w:color w:val="auto"/>
                      <w:lang w:val="en-US" w:eastAsia="zh-CN"/>
                    </w:rPr>
                    <w:t>2#</w:t>
                  </w:r>
                  <w:r>
                    <w:rPr>
                      <w:rFonts w:hint="default" w:ascii="Times New Roman" w:hAnsi="Times New Roman" w:eastAsia="宋体" w:cs="Times New Roman"/>
                      <w:color w:val="auto"/>
                      <w:lang w:val="en-US" w:eastAsia="zh-CN"/>
                    </w:rPr>
                    <w:t>厂房</w:t>
                  </w:r>
                  <w:r>
                    <w:rPr>
                      <w:rFonts w:hint="eastAsia" w:cs="Times New Roman"/>
                      <w:color w:val="auto"/>
                      <w:lang w:val="en-US" w:eastAsia="zh-CN"/>
                    </w:rPr>
                    <w:t>外</w:t>
                  </w:r>
                  <w:r>
                    <w:rPr>
                      <w:rFonts w:hint="eastAsia" w:ascii="Times New Roman" w:hAnsi="Times New Roman" w:eastAsia="宋体" w:cs="Times New Roman"/>
                      <w:color w:val="auto"/>
                      <w:lang w:val="en-US" w:eastAsia="zh-CN"/>
                    </w:rPr>
                    <w:t>南侧</w:t>
                  </w:r>
                  <w:r>
                    <w:rPr>
                      <w:rFonts w:hint="default" w:ascii="Times New Roman" w:hAnsi="Times New Roman" w:eastAsia="宋体" w:cs="Times New Roman"/>
                      <w:color w:val="auto"/>
                      <w:lang w:val="en-US" w:eastAsia="zh-CN"/>
                    </w:rPr>
                    <w:t>，</w:t>
                  </w:r>
                  <w:r>
                    <w:rPr>
                      <w:rFonts w:hint="eastAsia" w:ascii="Times New Roman" w:hAnsi="Times New Roman" w:eastAsia="宋体" w:cs="Times New Roman"/>
                      <w:color w:val="auto"/>
                      <w:lang w:val="en-US" w:eastAsia="zh-CN"/>
                    </w:rPr>
                    <w:t>建筑面积2592.34</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2</w:t>
                  </w:r>
                  <w:r>
                    <w:rPr>
                      <w:rFonts w:hint="default" w:ascii="Times New Roman" w:hAnsi="Times New Roman" w:eastAsia="宋体" w:cs="Times New Roman"/>
                      <w:color w:val="auto"/>
                      <w:lang w:val="en-US" w:eastAsia="zh-CN"/>
                    </w:rPr>
                    <w:t>，用于员工办公</w:t>
                  </w:r>
                </w:p>
              </w:tc>
              <w:tc>
                <w:tcPr>
                  <w:tcW w:w="1059" w:type="dxa"/>
                  <w:vAlign w:val="center"/>
                </w:tcPr>
                <w:p w14:paraId="6F78165E">
                  <w:pPr>
                    <w:jc w:val="center"/>
                    <w:rPr>
                      <w:rFonts w:hint="default" w:ascii="Times New Roman" w:hAnsi="Times New Roman" w:cs="Times New Roman"/>
                      <w:bCs/>
                      <w:color w:val="auto"/>
                      <w:szCs w:val="21"/>
                    </w:rPr>
                  </w:pPr>
                  <w:r>
                    <w:rPr>
                      <w:rFonts w:hint="default" w:ascii="Times New Roman" w:hAnsi="Times New Roman" w:cs="Times New Roman"/>
                      <w:color w:val="auto"/>
                      <w:szCs w:val="21"/>
                    </w:rPr>
                    <w:t>依托现有租赁方</w:t>
                  </w:r>
                </w:p>
              </w:tc>
            </w:tr>
            <w:tr w14:paraId="19D43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80" w:type="dxa"/>
                  <w:vMerge w:val="restart"/>
                  <w:vAlign w:val="center"/>
                </w:tcPr>
                <w:p w14:paraId="6D9D67BC">
                  <w:pPr>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675" w:type="dxa"/>
                  <w:vMerge w:val="restart"/>
                  <w:vAlign w:val="center"/>
                </w:tcPr>
                <w:p w14:paraId="282D156E">
                  <w:pPr>
                    <w:jc w:val="center"/>
                    <w:rPr>
                      <w:rFonts w:hint="default" w:ascii="Times New Roman" w:hAnsi="Times New Roman" w:cs="Times New Roman"/>
                      <w:color w:val="auto"/>
                      <w:szCs w:val="21"/>
                    </w:rPr>
                  </w:pPr>
                  <w:r>
                    <w:rPr>
                      <w:rFonts w:hint="default" w:ascii="Times New Roman" w:hAnsi="Times New Roman" w:cs="Times New Roman"/>
                      <w:color w:val="auto"/>
                      <w:szCs w:val="21"/>
                    </w:rPr>
                    <w:t>储运工程</w:t>
                  </w:r>
                </w:p>
              </w:tc>
              <w:tc>
                <w:tcPr>
                  <w:tcW w:w="1018" w:type="dxa"/>
                  <w:vAlign w:val="center"/>
                </w:tcPr>
                <w:p w14:paraId="7D1A050B">
                  <w:pPr>
                    <w:ind w:left="40" w:hanging="39" w:hangingChars="19"/>
                    <w:jc w:val="center"/>
                    <w:rPr>
                      <w:rFonts w:hint="default" w:ascii="Times New Roman" w:hAnsi="Times New Roman" w:cs="Times New Roman"/>
                      <w:color w:val="auto"/>
                      <w:szCs w:val="21"/>
                    </w:rPr>
                  </w:pPr>
                  <w:r>
                    <w:rPr>
                      <w:rFonts w:hint="default" w:ascii="Times New Roman" w:hAnsi="Times New Roman" w:cs="Times New Roman"/>
                      <w:color w:val="auto"/>
                      <w:szCs w:val="21"/>
                    </w:rPr>
                    <w:t>成品区</w:t>
                  </w:r>
                </w:p>
              </w:tc>
              <w:tc>
                <w:tcPr>
                  <w:tcW w:w="5114" w:type="dxa"/>
                  <w:gridSpan w:val="3"/>
                  <w:vAlign w:val="center"/>
                </w:tcPr>
                <w:p w14:paraId="2F974500">
                  <w:pPr>
                    <w:widowControl/>
                    <w:jc w:val="center"/>
                    <w:rPr>
                      <w:rFonts w:hint="default" w:ascii="Times New Roman" w:hAnsi="Times New Roman" w:cs="Times New Roman"/>
                      <w:bCs/>
                      <w:color w:val="auto"/>
                      <w:szCs w:val="21"/>
                    </w:rPr>
                  </w:pPr>
                  <w:r>
                    <w:rPr>
                      <w:rFonts w:hint="default" w:ascii="Times New Roman" w:hAnsi="Times New Roman" w:cs="Times New Roman"/>
                      <w:color w:val="auto"/>
                      <w:kern w:val="0"/>
                      <w:szCs w:val="21"/>
                    </w:rPr>
                    <w:t>位于</w:t>
                  </w:r>
                  <w:r>
                    <w:rPr>
                      <w:rFonts w:hint="eastAsia" w:cs="Times New Roman"/>
                      <w:color w:val="auto"/>
                      <w:kern w:val="0"/>
                      <w:szCs w:val="21"/>
                      <w:lang w:val="en-US" w:eastAsia="zh-CN"/>
                    </w:rPr>
                    <w:t>1#</w:t>
                  </w:r>
                  <w:r>
                    <w:rPr>
                      <w:rFonts w:hint="default" w:ascii="Times New Roman" w:hAnsi="Times New Roman" w:cs="Times New Roman"/>
                      <w:color w:val="auto"/>
                      <w:kern w:val="0"/>
                      <w:szCs w:val="21"/>
                    </w:rPr>
                    <w:t>厂房</w:t>
                  </w:r>
                  <w:r>
                    <w:rPr>
                      <w:rFonts w:hint="eastAsia" w:cs="Times New Roman"/>
                      <w:color w:val="auto"/>
                      <w:kern w:val="0"/>
                      <w:szCs w:val="21"/>
                      <w:lang w:val="en-US" w:eastAsia="zh-CN"/>
                    </w:rPr>
                    <w:t>南</w:t>
                  </w:r>
                  <w:r>
                    <w:rPr>
                      <w:rFonts w:hint="eastAsia" w:cs="Times New Roman"/>
                      <w:color w:val="auto"/>
                      <w:kern w:val="0"/>
                      <w:szCs w:val="21"/>
                      <w:lang w:eastAsia="zh-CN"/>
                    </w:rPr>
                    <w:t>侧</w:t>
                  </w:r>
                  <w:r>
                    <w:rPr>
                      <w:rFonts w:hint="default" w:ascii="Times New Roman" w:hAnsi="Times New Roman" w:cs="Times New Roman"/>
                      <w:color w:val="auto"/>
                      <w:kern w:val="0"/>
                      <w:szCs w:val="21"/>
                    </w:rPr>
                    <w:t>，</w:t>
                  </w:r>
                  <w:r>
                    <w:rPr>
                      <w:rFonts w:hint="default" w:ascii="Times New Roman" w:hAnsi="Times New Roman" w:cs="Times New Roman"/>
                      <w:color w:val="auto"/>
                      <w:szCs w:val="21"/>
                    </w:rPr>
                    <w:t>占地面积约</w:t>
                  </w:r>
                  <w:r>
                    <w:rPr>
                      <w:rFonts w:hint="eastAsia" w:cs="Times New Roman"/>
                      <w:color w:val="auto"/>
                      <w:szCs w:val="21"/>
                      <w:lang w:val="en-US" w:eastAsia="zh-CN"/>
                    </w:rPr>
                    <w:t>2000</w:t>
                  </w:r>
                  <w:r>
                    <w:rPr>
                      <w:rFonts w:hint="default" w:ascii="Times New Roman" w:hAnsi="Times New Roman" w:cs="Times New Roman"/>
                      <w:snapToGrid w:val="0"/>
                      <w:color w:val="auto"/>
                      <w:szCs w:val="21"/>
                    </w:rPr>
                    <w:t>m</w:t>
                  </w:r>
                  <w:r>
                    <w:rPr>
                      <w:rFonts w:hint="default" w:ascii="Times New Roman" w:hAnsi="Times New Roman" w:cs="Times New Roman"/>
                      <w:snapToGrid w:val="0"/>
                      <w:color w:val="auto"/>
                      <w:szCs w:val="21"/>
                      <w:vertAlign w:val="superscript"/>
                    </w:rPr>
                    <w:t>2</w:t>
                  </w:r>
                  <w:r>
                    <w:rPr>
                      <w:rFonts w:hint="default" w:ascii="Times New Roman" w:hAnsi="Times New Roman" w:cs="Times New Roman"/>
                      <w:snapToGrid w:val="0"/>
                      <w:color w:val="auto"/>
                      <w:szCs w:val="21"/>
                    </w:rPr>
                    <w:t>，</w:t>
                  </w:r>
                  <w:r>
                    <w:rPr>
                      <w:rFonts w:hint="default" w:ascii="Times New Roman" w:hAnsi="Times New Roman" w:cs="Times New Roman"/>
                      <w:color w:val="auto"/>
                      <w:kern w:val="0"/>
                      <w:szCs w:val="21"/>
                    </w:rPr>
                    <w:t>用于存放成品</w:t>
                  </w:r>
                </w:p>
              </w:tc>
              <w:tc>
                <w:tcPr>
                  <w:tcW w:w="1059" w:type="dxa"/>
                  <w:vAlign w:val="center"/>
                </w:tcPr>
                <w:p w14:paraId="6072B885">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新建</w:t>
                  </w:r>
                </w:p>
              </w:tc>
            </w:tr>
            <w:tr w14:paraId="1DEF3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80" w:type="dxa"/>
                  <w:vMerge w:val="continue"/>
                  <w:vAlign w:val="center"/>
                </w:tcPr>
                <w:p w14:paraId="69256D1B">
                  <w:pPr>
                    <w:jc w:val="center"/>
                    <w:rPr>
                      <w:rFonts w:hint="default" w:ascii="Times New Roman" w:hAnsi="Times New Roman" w:cs="Times New Roman"/>
                      <w:color w:val="auto"/>
                      <w:szCs w:val="21"/>
                    </w:rPr>
                  </w:pPr>
                </w:p>
              </w:tc>
              <w:tc>
                <w:tcPr>
                  <w:tcW w:w="675" w:type="dxa"/>
                  <w:vMerge w:val="continue"/>
                  <w:vAlign w:val="center"/>
                </w:tcPr>
                <w:p w14:paraId="1F10DEF2">
                  <w:pPr>
                    <w:jc w:val="center"/>
                    <w:rPr>
                      <w:rFonts w:hint="default" w:ascii="Times New Roman" w:hAnsi="Times New Roman" w:cs="Times New Roman"/>
                      <w:color w:val="auto"/>
                      <w:szCs w:val="21"/>
                    </w:rPr>
                  </w:pPr>
                </w:p>
              </w:tc>
              <w:tc>
                <w:tcPr>
                  <w:tcW w:w="1018" w:type="dxa"/>
                  <w:vAlign w:val="center"/>
                </w:tcPr>
                <w:p w14:paraId="1D1DC0F9">
                  <w:pPr>
                    <w:ind w:left="40" w:hanging="39" w:hangingChars="19"/>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半成品区</w:t>
                  </w:r>
                </w:p>
              </w:tc>
              <w:tc>
                <w:tcPr>
                  <w:tcW w:w="5114" w:type="dxa"/>
                  <w:gridSpan w:val="3"/>
                  <w:vAlign w:val="center"/>
                </w:tcPr>
                <w:p w14:paraId="7E4CBF3C">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位于</w:t>
                  </w:r>
                  <w:r>
                    <w:rPr>
                      <w:rFonts w:hint="eastAsia" w:cs="Times New Roman"/>
                      <w:color w:val="auto"/>
                      <w:kern w:val="0"/>
                      <w:szCs w:val="21"/>
                      <w:lang w:val="en-US" w:eastAsia="zh-CN"/>
                    </w:rPr>
                    <w:t>2#</w:t>
                  </w:r>
                  <w:r>
                    <w:rPr>
                      <w:rFonts w:hint="default" w:ascii="Times New Roman" w:hAnsi="Times New Roman" w:cs="Times New Roman"/>
                      <w:color w:val="auto"/>
                      <w:kern w:val="0"/>
                      <w:szCs w:val="21"/>
                    </w:rPr>
                    <w:t>厂房</w:t>
                  </w:r>
                  <w:r>
                    <w:rPr>
                      <w:rFonts w:hint="eastAsia" w:cs="Times New Roman"/>
                      <w:color w:val="auto"/>
                      <w:kern w:val="0"/>
                      <w:szCs w:val="21"/>
                      <w:lang w:val="en-US" w:eastAsia="zh-CN"/>
                    </w:rPr>
                    <w:t>西南</w:t>
                  </w:r>
                  <w:r>
                    <w:rPr>
                      <w:rFonts w:hint="eastAsia" w:cs="Times New Roman"/>
                      <w:color w:val="auto"/>
                      <w:kern w:val="0"/>
                      <w:szCs w:val="21"/>
                      <w:lang w:eastAsia="zh-CN"/>
                    </w:rPr>
                    <w:t>侧</w:t>
                  </w:r>
                  <w:r>
                    <w:rPr>
                      <w:rFonts w:hint="default" w:ascii="Times New Roman" w:hAnsi="Times New Roman" w:cs="Times New Roman"/>
                      <w:color w:val="auto"/>
                      <w:kern w:val="0"/>
                      <w:szCs w:val="21"/>
                    </w:rPr>
                    <w:t>，</w:t>
                  </w:r>
                  <w:r>
                    <w:rPr>
                      <w:rFonts w:hint="default" w:ascii="Times New Roman" w:hAnsi="Times New Roman" w:cs="Times New Roman"/>
                      <w:color w:val="auto"/>
                      <w:szCs w:val="21"/>
                    </w:rPr>
                    <w:t>占地面积约</w:t>
                  </w:r>
                  <w:r>
                    <w:rPr>
                      <w:rFonts w:hint="eastAsia" w:cs="Times New Roman"/>
                      <w:color w:val="auto"/>
                      <w:szCs w:val="21"/>
                      <w:lang w:val="en-US" w:eastAsia="zh-CN"/>
                    </w:rPr>
                    <w:t>500</w:t>
                  </w:r>
                  <w:r>
                    <w:rPr>
                      <w:rFonts w:hint="default" w:ascii="Times New Roman" w:hAnsi="Times New Roman" w:cs="Times New Roman"/>
                      <w:snapToGrid w:val="0"/>
                      <w:color w:val="auto"/>
                      <w:szCs w:val="21"/>
                    </w:rPr>
                    <w:t>m</w:t>
                  </w:r>
                  <w:r>
                    <w:rPr>
                      <w:rFonts w:hint="default" w:ascii="Times New Roman" w:hAnsi="Times New Roman" w:cs="Times New Roman"/>
                      <w:snapToGrid w:val="0"/>
                      <w:color w:val="auto"/>
                      <w:szCs w:val="21"/>
                      <w:vertAlign w:val="superscript"/>
                    </w:rPr>
                    <w:t>2</w:t>
                  </w:r>
                  <w:r>
                    <w:rPr>
                      <w:rFonts w:hint="default" w:ascii="Times New Roman" w:hAnsi="Times New Roman" w:cs="Times New Roman"/>
                      <w:snapToGrid w:val="0"/>
                      <w:color w:val="auto"/>
                      <w:szCs w:val="21"/>
                    </w:rPr>
                    <w:t>，</w:t>
                  </w:r>
                  <w:r>
                    <w:rPr>
                      <w:rFonts w:hint="default" w:ascii="Times New Roman" w:hAnsi="Times New Roman" w:cs="Times New Roman"/>
                      <w:color w:val="auto"/>
                      <w:kern w:val="0"/>
                      <w:szCs w:val="21"/>
                    </w:rPr>
                    <w:t>用于存放</w:t>
                  </w:r>
                  <w:r>
                    <w:rPr>
                      <w:rFonts w:hint="eastAsia" w:cs="Times New Roman"/>
                      <w:color w:val="auto"/>
                      <w:kern w:val="0"/>
                      <w:szCs w:val="21"/>
                      <w:lang w:val="en-US" w:eastAsia="zh-CN"/>
                    </w:rPr>
                    <w:t>半</w:t>
                  </w:r>
                  <w:r>
                    <w:rPr>
                      <w:rFonts w:hint="default" w:ascii="Times New Roman" w:hAnsi="Times New Roman" w:cs="Times New Roman"/>
                      <w:color w:val="auto"/>
                      <w:kern w:val="0"/>
                      <w:szCs w:val="21"/>
                    </w:rPr>
                    <w:t>成品</w:t>
                  </w:r>
                </w:p>
              </w:tc>
              <w:tc>
                <w:tcPr>
                  <w:tcW w:w="1059" w:type="dxa"/>
                  <w:vAlign w:val="center"/>
                </w:tcPr>
                <w:p w14:paraId="561FB1A3">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新建</w:t>
                  </w:r>
                </w:p>
              </w:tc>
            </w:tr>
            <w:tr w14:paraId="70D17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480" w:type="dxa"/>
                  <w:vMerge w:val="continue"/>
                  <w:vAlign w:val="center"/>
                </w:tcPr>
                <w:p w14:paraId="128F929B">
                  <w:pPr>
                    <w:jc w:val="center"/>
                    <w:rPr>
                      <w:rFonts w:hint="default" w:ascii="Times New Roman" w:hAnsi="Times New Roman" w:cs="Times New Roman"/>
                      <w:color w:val="auto"/>
                      <w:szCs w:val="21"/>
                    </w:rPr>
                  </w:pPr>
                </w:p>
              </w:tc>
              <w:tc>
                <w:tcPr>
                  <w:tcW w:w="675" w:type="dxa"/>
                  <w:vMerge w:val="continue"/>
                  <w:vAlign w:val="center"/>
                </w:tcPr>
                <w:p w14:paraId="2CEEC738">
                  <w:pPr>
                    <w:jc w:val="center"/>
                    <w:rPr>
                      <w:rFonts w:hint="default" w:ascii="Times New Roman" w:hAnsi="Times New Roman" w:cs="Times New Roman"/>
                      <w:color w:val="auto"/>
                      <w:szCs w:val="21"/>
                    </w:rPr>
                  </w:pPr>
                </w:p>
              </w:tc>
              <w:tc>
                <w:tcPr>
                  <w:tcW w:w="1018" w:type="dxa"/>
                  <w:vAlign w:val="center"/>
                </w:tcPr>
                <w:p w14:paraId="199CA91E">
                  <w:pPr>
                    <w:ind w:left="40" w:hanging="39" w:hangingChars="19"/>
                    <w:jc w:val="center"/>
                    <w:rPr>
                      <w:rFonts w:hint="default" w:ascii="Times New Roman" w:hAnsi="Times New Roman" w:cs="Times New Roman"/>
                      <w:color w:val="auto"/>
                      <w:szCs w:val="21"/>
                    </w:rPr>
                  </w:pPr>
                  <w:r>
                    <w:rPr>
                      <w:rFonts w:hint="default" w:ascii="Times New Roman" w:hAnsi="Times New Roman" w:cs="Times New Roman"/>
                      <w:color w:val="auto"/>
                      <w:szCs w:val="21"/>
                    </w:rPr>
                    <w:t>原料区</w:t>
                  </w:r>
                </w:p>
              </w:tc>
              <w:tc>
                <w:tcPr>
                  <w:tcW w:w="5114" w:type="dxa"/>
                  <w:gridSpan w:val="3"/>
                  <w:vAlign w:val="center"/>
                </w:tcPr>
                <w:p w14:paraId="2AF0D3D7">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位于</w:t>
                  </w:r>
                  <w:r>
                    <w:rPr>
                      <w:rFonts w:hint="eastAsia" w:cs="Times New Roman"/>
                      <w:color w:val="auto"/>
                      <w:kern w:val="0"/>
                      <w:szCs w:val="21"/>
                      <w:lang w:val="en-US" w:eastAsia="zh-CN"/>
                    </w:rPr>
                    <w:t>1#</w:t>
                  </w:r>
                  <w:r>
                    <w:rPr>
                      <w:rFonts w:hint="eastAsia" w:cs="Times New Roman"/>
                      <w:color w:val="auto"/>
                      <w:kern w:val="0"/>
                      <w:szCs w:val="21"/>
                      <w:lang w:eastAsia="zh-CN"/>
                    </w:rPr>
                    <w:t>厂房</w:t>
                  </w:r>
                  <w:r>
                    <w:rPr>
                      <w:rFonts w:hint="eastAsia" w:cs="Times New Roman"/>
                      <w:color w:val="auto"/>
                      <w:kern w:val="0"/>
                      <w:szCs w:val="21"/>
                      <w:lang w:val="en-US" w:eastAsia="zh-CN"/>
                    </w:rPr>
                    <w:t>西</w:t>
                  </w:r>
                  <w:r>
                    <w:rPr>
                      <w:rFonts w:hint="eastAsia" w:cs="Times New Roman"/>
                      <w:color w:val="auto"/>
                      <w:kern w:val="0"/>
                      <w:szCs w:val="21"/>
                      <w:lang w:eastAsia="zh-CN"/>
                    </w:rPr>
                    <w:t>侧</w:t>
                  </w:r>
                  <w:r>
                    <w:rPr>
                      <w:rFonts w:hint="default" w:ascii="Times New Roman" w:hAnsi="Times New Roman" w:cs="Times New Roman"/>
                      <w:color w:val="auto"/>
                      <w:kern w:val="0"/>
                      <w:szCs w:val="21"/>
                    </w:rPr>
                    <w:t>，</w:t>
                  </w:r>
                  <w:r>
                    <w:rPr>
                      <w:rFonts w:hint="default" w:ascii="Times New Roman" w:hAnsi="Times New Roman" w:cs="Times New Roman"/>
                      <w:color w:val="auto"/>
                      <w:szCs w:val="21"/>
                    </w:rPr>
                    <w:t>占地面积约</w:t>
                  </w:r>
                  <w:r>
                    <w:rPr>
                      <w:rFonts w:hint="eastAsia" w:cs="Times New Roman"/>
                      <w:color w:val="auto"/>
                      <w:szCs w:val="21"/>
                      <w:lang w:val="en-US" w:eastAsia="zh-CN"/>
                    </w:rPr>
                    <w:t>200</w:t>
                  </w:r>
                  <w:r>
                    <w:rPr>
                      <w:rFonts w:hint="default" w:ascii="Times New Roman" w:hAnsi="Times New Roman" w:cs="Times New Roman"/>
                      <w:snapToGrid w:val="0"/>
                      <w:color w:val="auto"/>
                      <w:szCs w:val="21"/>
                    </w:rPr>
                    <w:t>m</w:t>
                  </w:r>
                  <w:r>
                    <w:rPr>
                      <w:rFonts w:hint="default" w:ascii="Times New Roman" w:hAnsi="Times New Roman" w:cs="Times New Roman"/>
                      <w:snapToGrid w:val="0"/>
                      <w:color w:val="auto"/>
                      <w:szCs w:val="21"/>
                      <w:vertAlign w:val="superscript"/>
                    </w:rPr>
                    <w:t>2</w:t>
                  </w:r>
                  <w:r>
                    <w:rPr>
                      <w:rFonts w:hint="default" w:ascii="Times New Roman" w:hAnsi="Times New Roman" w:cs="Times New Roman"/>
                      <w:snapToGrid w:val="0"/>
                      <w:color w:val="auto"/>
                      <w:szCs w:val="21"/>
                    </w:rPr>
                    <w:t>，</w:t>
                  </w:r>
                  <w:r>
                    <w:rPr>
                      <w:rFonts w:hint="default" w:ascii="Times New Roman" w:hAnsi="Times New Roman" w:cs="Times New Roman"/>
                      <w:bCs/>
                      <w:snapToGrid w:val="0"/>
                      <w:color w:val="auto"/>
                      <w:szCs w:val="21"/>
                    </w:rPr>
                    <w:t>用于</w:t>
                  </w:r>
                  <w:r>
                    <w:rPr>
                      <w:rFonts w:hint="eastAsia" w:cs="Times New Roman"/>
                      <w:bCs/>
                      <w:snapToGrid w:val="0"/>
                      <w:color w:val="auto"/>
                      <w:szCs w:val="21"/>
                      <w:lang w:val="en-US" w:eastAsia="zh-CN"/>
                    </w:rPr>
                    <w:t>钢件毛坯、钢丸、砂轮</w:t>
                  </w:r>
                  <w:r>
                    <w:rPr>
                      <w:rFonts w:hint="default" w:ascii="Times New Roman" w:hAnsi="Times New Roman" w:cs="Times New Roman"/>
                      <w:bCs/>
                      <w:snapToGrid w:val="0"/>
                      <w:color w:val="auto"/>
                      <w:szCs w:val="21"/>
                      <w:lang w:val="en-US" w:eastAsia="zh-CN"/>
                    </w:rPr>
                    <w:t>等</w:t>
                  </w:r>
                  <w:r>
                    <w:rPr>
                      <w:rFonts w:hint="default" w:ascii="Times New Roman" w:hAnsi="Times New Roman" w:cs="Times New Roman"/>
                      <w:bCs/>
                      <w:snapToGrid w:val="0"/>
                      <w:color w:val="auto"/>
                      <w:szCs w:val="21"/>
                    </w:rPr>
                    <w:t>存放</w:t>
                  </w:r>
                </w:p>
              </w:tc>
              <w:tc>
                <w:tcPr>
                  <w:tcW w:w="1059" w:type="dxa"/>
                  <w:vAlign w:val="center"/>
                </w:tcPr>
                <w:p w14:paraId="49C7CB33">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新建</w:t>
                  </w:r>
                </w:p>
              </w:tc>
            </w:tr>
            <w:tr w14:paraId="0778D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480" w:type="dxa"/>
                  <w:vMerge w:val="continue"/>
                  <w:vAlign w:val="center"/>
                </w:tcPr>
                <w:p w14:paraId="033A6B85">
                  <w:pPr>
                    <w:jc w:val="center"/>
                    <w:rPr>
                      <w:rFonts w:hint="default" w:ascii="Times New Roman" w:hAnsi="Times New Roman" w:cs="Times New Roman"/>
                      <w:color w:val="auto"/>
                      <w:szCs w:val="21"/>
                    </w:rPr>
                  </w:pPr>
                </w:p>
              </w:tc>
              <w:tc>
                <w:tcPr>
                  <w:tcW w:w="675" w:type="dxa"/>
                  <w:vMerge w:val="continue"/>
                  <w:vAlign w:val="center"/>
                </w:tcPr>
                <w:p w14:paraId="3A535A5D">
                  <w:pPr>
                    <w:jc w:val="center"/>
                    <w:rPr>
                      <w:rFonts w:hint="default" w:ascii="Times New Roman" w:hAnsi="Times New Roman" w:cs="Times New Roman"/>
                      <w:color w:val="auto"/>
                      <w:szCs w:val="21"/>
                    </w:rPr>
                  </w:pPr>
                </w:p>
              </w:tc>
              <w:tc>
                <w:tcPr>
                  <w:tcW w:w="1018" w:type="dxa"/>
                  <w:vAlign w:val="center"/>
                </w:tcPr>
                <w:p w14:paraId="6E43FA7C">
                  <w:pPr>
                    <w:ind w:left="40" w:hanging="39" w:hangingChars="19"/>
                    <w:jc w:val="center"/>
                    <w:rPr>
                      <w:rFonts w:hint="default" w:ascii="Times New Roman" w:hAnsi="Times New Roman" w:eastAsia="宋体" w:cs="Times New Roman"/>
                      <w:bCs/>
                      <w:snapToGrid w:val="0"/>
                      <w:color w:val="auto"/>
                      <w:szCs w:val="21"/>
                      <w:lang w:eastAsia="zh-CN"/>
                    </w:rPr>
                  </w:pPr>
                  <w:r>
                    <w:rPr>
                      <w:rFonts w:hint="eastAsia" w:cs="Times New Roman"/>
                      <w:bCs/>
                      <w:snapToGrid w:val="0"/>
                      <w:color w:val="auto"/>
                      <w:szCs w:val="21"/>
                      <w:lang w:val="en-US" w:eastAsia="zh-CN"/>
                    </w:rPr>
                    <w:t>辅料区</w:t>
                  </w:r>
                </w:p>
              </w:tc>
              <w:tc>
                <w:tcPr>
                  <w:tcW w:w="5114" w:type="dxa"/>
                  <w:gridSpan w:val="3"/>
                  <w:vAlign w:val="center"/>
                </w:tcPr>
                <w:p w14:paraId="7E756816">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位于</w:t>
                  </w:r>
                  <w:r>
                    <w:rPr>
                      <w:rFonts w:hint="eastAsia" w:cs="Times New Roman"/>
                      <w:color w:val="auto"/>
                      <w:kern w:val="0"/>
                      <w:szCs w:val="21"/>
                      <w:lang w:val="en-US" w:eastAsia="zh-CN"/>
                    </w:rPr>
                    <w:t>1#</w:t>
                  </w:r>
                  <w:r>
                    <w:rPr>
                      <w:rFonts w:hint="eastAsia" w:cs="Times New Roman"/>
                      <w:color w:val="auto"/>
                      <w:kern w:val="0"/>
                      <w:szCs w:val="21"/>
                      <w:lang w:eastAsia="zh-CN"/>
                    </w:rPr>
                    <w:t>厂房</w:t>
                  </w:r>
                  <w:r>
                    <w:rPr>
                      <w:rFonts w:hint="eastAsia" w:cs="Times New Roman"/>
                      <w:color w:val="auto"/>
                      <w:kern w:val="0"/>
                      <w:szCs w:val="21"/>
                      <w:lang w:val="en-US" w:eastAsia="zh-CN"/>
                    </w:rPr>
                    <w:t>西</w:t>
                  </w:r>
                  <w:r>
                    <w:rPr>
                      <w:rFonts w:hint="eastAsia" w:cs="Times New Roman"/>
                      <w:color w:val="auto"/>
                      <w:kern w:val="0"/>
                      <w:szCs w:val="21"/>
                      <w:lang w:eastAsia="zh-CN"/>
                    </w:rPr>
                    <w:t>侧</w:t>
                  </w:r>
                  <w:r>
                    <w:rPr>
                      <w:rFonts w:hint="default" w:ascii="Times New Roman" w:hAnsi="Times New Roman" w:cs="Times New Roman"/>
                      <w:color w:val="auto"/>
                      <w:kern w:val="0"/>
                      <w:szCs w:val="21"/>
                    </w:rPr>
                    <w:t>，</w:t>
                  </w:r>
                  <w:r>
                    <w:rPr>
                      <w:rFonts w:hint="default" w:ascii="Times New Roman" w:hAnsi="Times New Roman" w:cs="Times New Roman"/>
                      <w:color w:val="auto"/>
                      <w:szCs w:val="21"/>
                    </w:rPr>
                    <w:t>占地面积约</w:t>
                  </w:r>
                  <w:r>
                    <w:rPr>
                      <w:rFonts w:hint="eastAsia" w:cs="Times New Roman"/>
                      <w:color w:val="auto"/>
                      <w:szCs w:val="21"/>
                      <w:lang w:val="en-US" w:eastAsia="zh-CN"/>
                    </w:rPr>
                    <w:t>200</w:t>
                  </w:r>
                  <w:r>
                    <w:rPr>
                      <w:rFonts w:hint="default" w:ascii="Times New Roman" w:hAnsi="Times New Roman" w:cs="Times New Roman"/>
                      <w:snapToGrid w:val="0"/>
                      <w:color w:val="auto"/>
                      <w:szCs w:val="21"/>
                    </w:rPr>
                    <w:t>m</w:t>
                  </w:r>
                  <w:r>
                    <w:rPr>
                      <w:rFonts w:hint="default" w:ascii="Times New Roman" w:hAnsi="Times New Roman" w:cs="Times New Roman"/>
                      <w:snapToGrid w:val="0"/>
                      <w:color w:val="auto"/>
                      <w:szCs w:val="21"/>
                      <w:vertAlign w:val="superscript"/>
                    </w:rPr>
                    <w:t>2</w:t>
                  </w:r>
                  <w:r>
                    <w:rPr>
                      <w:rFonts w:hint="default" w:ascii="Times New Roman" w:hAnsi="Times New Roman" w:cs="Times New Roman"/>
                      <w:snapToGrid w:val="0"/>
                      <w:color w:val="auto"/>
                      <w:szCs w:val="21"/>
                    </w:rPr>
                    <w:t>，</w:t>
                  </w:r>
                  <w:r>
                    <w:rPr>
                      <w:rFonts w:hint="default" w:ascii="Times New Roman" w:hAnsi="Times New Roman" w:cs="Times New Roman"/>
                      <w:bCs/>
                      <w:snapToGrid w:val="0"/>
                      <w:color w:val="auto"/>
                      <w:szCs w:val="21"/>
                    </w:rPr>
                    <w:t>用于</w:t>
                  </w:r>
                  <w:r>
                    <w:rPr>
                      <w:rFonts w:hint="eastAsia" w:cs="Times New Roman"/>
                      <w:bCs/>
                      <w:snapToGrid w:val="0"/>
                      <w:color w:val="auto"/>
                      <w:szCs w:val="21"/>
                      <w:lang w:val="en-US" w:eastAsia="zh-CN"/>
                    </w:rPr>
                    <w:t>切削液、水性水性磨削液、水性淬火液、水性脱模剂</w:t>
                  </w:r>
                  <w:r>
                    <w:rPr>
                      <w:rFonts w:hint="default" w:ascii="Times New Roman" w:hAnsi="Times New Roman" w:cs="Times New Roman"/>
                      <w:bCs/>
                      <w:snapToGrid w:val="0"/>
                      <w:color w:val="auto"/>
                      <w:szCs w:val="21"/>
                      <w:lang w:val="en-US" w:eastAsia="zh-CN"/>
                    </w:rPr>
                    <w:t>等</w:t>
                  </w:r>
                  <w:r>
                    <w:rPr>
                      <w:rFonts w:hint="default" w:ascii="Times New Roman" w:hAnsi="Times New Roman" w:cs="Times New Roman"/>
                      <w:bCs/>
                      <w:snapToGrid w:val="0"/>
                      <w:color w:val="auto"/>
                      <w:szCs w:val="21"/>
                    </w:rPr>
                    <w:t>存放</w:t>
                  </w:r>
                </w:p>
              </w:tc>
              <w:tc>
                <w:tcPr>
                  <w:tcW w:w="1059" w:type="dxa"/>
                  <w:vAlign w:val="center"/>
                </w:tcPr>
                <w:p w14:paraId="76AA6579">
                  <w:pPr>
                    <w:jc w:val="center"/>
                    <w:rPr>
                      <w:rFonts w:hint="eastAsia" w:ascii="Times New Roman" w:hAnsi="Times New Roman" w:eastAsia="宋体" w:cs="Times New Roman"/>
                      <w:color w:val="auto"/>
                      <w:szCs w:val="21"/>
                      <w:lang w:eastAsia="zh-CN"/>
                    </w:rPr>
                  </w:pPr>
                  <w:r>
                    <w:rPr>
                      <w:rFonts w:hint="eastAsia" w:cs="Times New Roman"/>
                      <w:color w:val="auto"/>
                      <w:szCs w:val="21"/>
                      <w:lang w:eastAsia="zh-CN"/>
                    </w:rPr>
                    <w:t>新建</w:t>
                  </w:r>
                </w:p>
              </w:tc>
            </w:tr>
            <w:tr w14:paraId="70B33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480" w:type="dxa"/>
                  <w:vMerge w:val="restart"/>
                  <w:vAlign w:val="center"/>
                </w:tcPr>
                <w:p w14:paraId="6C062228">
                  <w:pPr>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675" w:type="dxa"/>
                  <w:vMerge w:val="restart"/>
                  <w:vAlign w:val="center"/>
                </w:tcPr>
                <w:p w14:paraId="2331BB28">
                  <w:pPr>
                    <w:autoSpaceDE w:val="0"/>
                    <w:adjustRightInd w:val="0"/>
                    <w:spacing w:line="330" w:lineRule="exact"/>
                    <w:jc w:val="center"/>
                    <w:rPr>
                      <w:rFonts w:hint="default" w:ascii="Times New Roman" w:hAnsi="Times New Roman" w:cs="Times New Roman"/>
                      <w:color w:val="auto"/>
                      <w:szCs w:val="21"/>
                    </w:rPr>
                  </w:pPr>
                  <w:r>
                    <w:rPr>
                      <w:rFonts w:hint="default" w:ascii="Times New Roman" w:hAnsi="Times New Roman" w:eastAsia="宋体" w:cs="Times New Roman"/>
                      <w:color w:val="auto"/>
                      <w:szCs w:val="21"/>
                    </w:rPr>
                    <w:t>公用</w:t>
                  </w:r>
                  <w:r>
                    <w:rPr>
                      <w:rFonts w:hint="default" w:ascii="Times New Roman" w:hAnsi="Times New Roman" w:cs="Times New Roman"/>
                      <w:color w:val="auto"/>
                      <w:szCs w:val="21"/>
                    </w:rPr>
                    <w:t>工程</w:t>
                  </w:r>
                </w:p>
              </w:tc>
              <w:tc>
                <w:tcPr>
                  <w:tcW w:w="1018" w:type="dxa"/>
                  <w:vAlign w:val="center"/>
                </w:tcPr>
                <w:p w14:paraId="39ED9805">
                  <w:pPr>
                    <w:autoSpaceDE w:val="0"/>
                    <w:adjustRightInd w:val="0"/>
                    <w:spacing w:line="33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供电</w:t>
                  </w:r>
                </w:p>
              </w:tc>
              <w:tc>
                <w:tcPr>
                  <w:tcW w:w="5114" w:type="dxa"/>
                  <w:gridSpan w:val="3"/>
                  <w:vAlign w:val="center"/>
                </w:tcPr>
                <w:p w14:paraId="77779362">
                  <w:pPr>
                    <w:adjustRightInd w:val="0"/>
                    <w:spacing w:line="330" w:lineRule="exact"/>
                    <w:jc w:val="center"/>
                    <w:rPr>
                      <w:rFonts w:hint="default" w:ascii="Times New Roman" w:hAnsi="Times New Roman" w:cs="Times New Roman"/>
                      <w:bCs/>
                      <w:color w:val="auto"/>
                      <w:szCs w:val="21"/>
                    </w:rPr>
                  </w:pPr>
                  <w:r>
                    <w:rPr>
                      <w:rFonts w:hint="default" w:ascii="Times New Roman" w:hAnsi="Times New Roman" w:cs="Times New Roman"/>
                      <w:color w:val="auto"/>
                      <w:szCs w:val="21"/>
                    </w:rPr>
                    <w:t>由开发区供电系统供给</w:t>
                  </w:r>
                </w:p>
              </w:tc>
              <w:tc>
                <w:tcPr>
                  <w:tcW w:w="1059" w:type="dxa"/>
                  <w:vAlign w:val="center"/>
                </w:tcPr>
                <w:p w14:paraId="39381E78">
                  <w:pPr>
                    <w:widowControl/>
                    <w:jc w:val="center"/>
                    <w:rPr>
                      <w:rFonts w:hint="default" w:ascii="Times New Roman" w:hAnsi="Times New Roman" w:cs="Times New Roman"/>
                      <w:color w:val="auto"/>
                      <w:szCs w:val="21"/>
                    </w:rPr>
                  </w:pPr>
                  <w:r>
                    <w:rPr>
                      <w:color w:val="auto"/>
                      <w:szCs w:val="21"/>
                    </w:rPr>
                    <w:t>依托租赁方</w:t>
                  </w:r>
                  <w:r>
                    <w:rPr>
                      <w:rFonts w:hint="eastAsia"/>
                      <w:color w:val="auto"/>
                      <w:szCs w:val="21"/>
                      <w:lang w:eastAsia="zh-CN"/>
                    </w:rPr>
                    <w:t>市政供电管网</w:t>
                  </w:r>
                </w:p>
              </w:tc>
            </w:tr>
            <w:tr w14:paraId="68A8B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80" w:type="dxa"/>
                  <w:vMerge w:val="continue"/>
                  <w:vAlign w:val="center"/>
                </w:tcPr>
                <w:p w14:paraId="76D12ABA">
                  <w:pPr>
                    <w:jc w:val="center"/>
                    <w:rPr>
                      <w:rFonts w:hint="default" w:ascii="Times New Roman" w:hAnsi="Times New Roman" w:cs="Times New Roman"/>
                      <w:color w:val="auto"/>
                      <w:szCs w:val="21"/>
                    </w:rPr>
                  </w:pPr>
                </w:p>
              </w:tc>
              <w:tc>
                <w:tcPr>
                  <w:tcW w:w="675" w:type="dxa"/>
                  <w:vMerge w:val="continue"/>
                  <w:vAlign w:val="center"/>
                </w:tcPr>
                <w:p w14:paraId="0BD8EC0B">
                  <w:pPr>
                    <w:jc w:val="center"/>
                    <w:rPr>
                      <w:rFonts w:hint="default" w:ascii="Times New Roman" w:hAnsi="Times New Roman" w:cs="Times New Roman"/>
                      <w:color w:val="auto"/>
                      <w:szCs w:val="21"/>
                    </w:rPr>
                  </w:pPr>
                </w:p>
              </w:tc>
              <w:tc>
                <w:tcPr>
                  <w:tcW w:w="1018" w:type="dxa"/>
                  <w:vAlign w:val="center"/>
                </w:tcPr>
                <w:p w14:paraId="51A11FD3">
                  <w:pPr>
                    <w:autoSpaceDE w:val="0"/>
                    <w:adjustRightInd w:val="0"/>
                    <w:spacing w:line="33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供水</w:t>
                  </w:r>
                </w:p>
              </w:tc>
              <w:tc>
                <w:tcPr>
                  <w:tcW w:w="5114" w:type="dxa"/>
                  <w:gridSpan w:val="3"/>
                  <w:vAlign w:val="center"/>
                </w:tcPr>
                <w:p w14:paraId="29D49059">
                  <w:pPr>
                    <w:adjustRightInd w:val="0"/>
                    <w:spacing w:line="330" w:lineRule="exact"/>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由开发区给水管网直接供给</w:t>
                  </w:r>
                </w:p>
              </w:tc>
              <w:tc>
                <w:tcPr>
                  <w:tcW w:w="1059" w:type="dxa"/>
                  <w:vAlign w:val="center"/>
                </w:tcPr>
                <w:p w14:paraId="5952DEC5">
                  <w:pPr>
                    <w:widowControl/>
                    <w:jc w:val="center"/>
                    <w:rPr>
                      <w:rFonts w:hint="default" w:ascii="Times New Roman" w:hAnsi="Times New Roman" w:cs="Times New Roman"/>
                      <w:color w:val="auto"/>
                      <w:szCs w:val="21"/>
                    </w:rPr>
                  </w:pPr>
                  <w:r>
                    <w:rPr>
                      <w:color w:val="auto"/>
                      <w:szCs w:val="21"/>
                    </w:rPr>
                    <w:t>依托租赁方</w:t>
                  </w:r>
                  <w:r>
                    <w:rPr>
                      <w:rFonts w:hint="eastAsia"/>
                      <w:color w:val="auto"/>
                      <w:szCs w:val="21"/>
                      <w:lang w:eastAsia="zh-CN"/>
                    </w:rPr>
                    <w:t>市政供水管网</w:t>
                  </w:r>
                </w:p>
              </w:tc>
            </w:tr>
            <w:tr w14:paraId="1E74B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80" w:type="dxa"/>
                  <w:vMerge w:val="continue"/>
                  <w:vAlign w:val="center"/>
                </w:tcPr>
                <w:p w14:paraId="6945697F">
                  <w:pPr>
                    <w:jc w:val="center"/>
                    <w:rPr>
                      <w:rFonts w:hint="default" w:ascii="Times New Roman" w:hAnsi="Times New Roman" w:cs="Times New Roman"/>
                      <w:color w:val="auto"/>
                      <w:szCs w:val="21"/>
                    </w:rPr>
                  </w:pPr>
                </w:p>
              </w:tc>
              <w:tc>
                <w:tcPr>
                  <w:tcW w:w="675" w:type="dxa"/>
                  <w:vMerge w:val="continue"/>
                  <w:vAlign w:val="center"/>
                </w:tcPr>
                <w:p w14:paraId="21C1B240">
                  <w:pPr>
                    <w:jc w:val="center"/>
                    <w:rPr>
                      <w:rFonts w:hint="default" w:ascii="Times New Roman" w:hAnsi="Times New Roman" w:cs="Times New Roman"/>
                      <w:color w:val="auto"/>
                      <w:szCs w:val="21"/>
                    </w:rPr>
                  </w:pPr>
                </w:p>
              </w:tc>
              <w:tc>
                <w:tcPr>
                  <w:tcW w:w="1018" w:type="dxa"/>
                  <w:vAlign w:val="center"/>
                </w:tcPr>
                <w:p w14:paraId="64193262">
                  <w:pPr>
                    <w:autoSpaceDE w:val="0"/>
                    <w:adjustRightInd w:val="0"/>
                    <w:spacing w:line="33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排水</w:t>
                  </w:r>
                </w:p>
              </w:tc>
              <w:tc>
                <w:tcPr>
                  <w:tcW w:w="5114" w:type="dxa"/>
                  <w:gridSpan w:val="3"/>
                  <w:vAlign w:val="center"/>
                </w:tcPr>
                <w:p w14:paraId="3FF395BA">
                  <w:pPr>
                    <w:widowControl/>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排水系统采用雨污分流制，雨水进入雨水管网。</w:t>
                  </w:r>
                  <w:r>
                    <w:rPr>
                      <w:rFonts w:hint="eastAsia" w:cs="Times New Roman"/>
                      <w:color w:val="auto"/>
                      <w:szCs w:val="21"/>
                      <w:lang w:val="en-US" w:eastAsia="zh-CN"/>
                    </w:rPr>
                    <w:t>项</w:t>
                  </w:r>
                  <w:r>
                    <w:rPr>
                      <w:rFonts w:hint="eastAsia" w:ascii="Times New Roman" w:hAnsi="Times New Roman" w:eastAsia="宋体" w:cs="Times New Roman"/>
                      <w:color w:val="auto"/>
                      <w:szCs w:val="21"/>
                      <w:lang w:val="en-US" w:eastAsia="zh-CN"/>
                    </w:rPr>
                    <w:t>目无生产废水外排，</w:t>
                  </w:r>
                  <w:r>
                    <w:rPr>
                      <w:rFonts w:hint="default" w:ascii="Times New Roman" w:hAnsi="Times New Roman" w:eastAsia="宋体" w:cs="Times New Roman"/>
                      <w:color w:val="auto"/>
                      <w:szCs w:val="21"/>
                      <w:lang w:val="en-US" w:eastAsia="zh-CN"/>
                    </w:rPr>
                    <w:t>项目</w:t>
                  </w:r>
                  <w:r>
                    <w:rPr>
                      <w:rFonts w:hint="eastAsia" w:cs="Times New Roman"/>
                      <w:color w:val="auto"/>
                      <w:szCs w:val="21"/>
                      <w:lang w:val="en-US" w:eastAsia="zh-CN"/>
                    </w:rPr>
                    <w:t>水性脱模剂</w:t>
                  </w:r>
                  <w:r>
                    <w:rPr>
                      <w:rFonts w:hint="default" w:ascii="Times New Roman" w:hAnsi="Times New Roman" w:eastAsia="宋体" w:cs="Times New Roman"/>
                      <w:color w:val="auto"/>
                      <w:szCs w:val="21"/>
                      <w:lang w:val="en-US" w:eastAsia="zh-CN"/>
                    </w:rPr>
                    <w:t>配比水、切削液配比水蒸发损耗不外排；</w:t>
                  </w:r>
                  <w:r>
                    <w:rPr>
                      <w:rFonts w:hint="eastAsia" w:ascii="Times New Roman" w:hAnsi="Times New Roman" w:eastAsia="宋体" w:cs="Times New Roman"/>
                      <w:color w:val="auto"/>
                      <w:szCs w:val="21"/>
                      <w:lang w:val="en-US" w:eastAsia="zh-CN"/>
                    </w:rPr>
                    <w:t>淬火废水在淬火槽循环使用，不外排，定期补充，定期捞渣；湿式磨削废水经沉淀池处理后回用，不外排，定期补充，定期捞渣；循环冷却水循环使用，定期补充，不外排；</w:t>
                  </w:r>
                  <w:r>
                    <w:rPr>
                      <w:rFonts w:hint="default" w:ascii="Times New Roman" w:hAnsi="Times New Roman" w:eastAsia="宋体" w:cs="Times New Roman"/>
                      <w:color w:val="auto"/>
                      <w:szCs w:val="21"/>
                      <w:lang w:val="en-US" w:eastAsia="zh-CN"/>
                    </w:rPr>
                    <w:t>生活污水经化粪池处理后经市政污水管网排入</w:t>
                  </w:r>
                  <w:r>
                    <w:rPr>
                      <w:rFonts w:hint="eastAsia" w:ascii="Times New Roman" w:hAnsi="Times New Roman" w:eastAsia="宋体" w:cs="Times New Roman"/>
                      <w:color w:val="auto"/>
                      <w:szCs w:val="21"/>
                      <w:lang w:val="en-US" w:eastAsia="zh-CN"/>
                    </w:rPr>
                    <w:t>芜湖县新芜开</w:t>
                  </w:r>
                  <w:r>
                    <w:rPr>
                      <w:rFonts w:hint="eastAsia" w:cs="Times New Roman"/>
                      <w:color w:val="auto"/>
                      <w:szCs w:val="21"/>
                      <w:lang w:val="en-US" w:eastAsia="zh-CN"/>
                    </w:rPr>
                    <w:t>发区城东污水处理厂</w:t>
                  </w:r>
                  <w:r>
                    <w:rPr>
                      <w:rFonts w:hint="default" w:ascii="Times New Roman" w:hAnsi="Times New Roman" w:eastAsia="宋体" w:cs="Times New Roman"/>
                      <w:color w:val="auto"/>
                      <w:szCs w:val="21"/>
                      <w:lang w:val="en-US" w:eastAsia="zh-CN"/>
                    </w:rPr>
                    <w:t>，达标后排入</w:t>
                  </w:r>
                  <w:r>
                    <w:rPr>
                      <w:rFonts w:hint="eastAsia" w:cs="Times New Roman"/>
                      <w:color w:val="auto"/>
                      <w:szCs w:val="21"/>
                      <w:lang w:val="en-US" w:eastAsia="zh-CN"/>
                    </w:rPr>
                    <w:t>汪溪坝撇洪沟后汇入裘公河</w:t>
                  </w:r>
                </w:p>
              </w:tc>
              <w:tc>
                <w:tcPr>
                  <w:tcW w:w="1059" w:type="dxa"/>
                  <w:vAlign w:val="center"/>
                </w:tcPr>
                <w:p w14:paraId="69AE2A02">
                  <w:pPr>
                    <w:jc w:val="center"/>
                    <w:rPr>
                      <w:rFonts w:hint="default" w:ascii="Times New Roman" w:hAnsi="Times New Roman" w:cs="Times New Roman"/>
                      <w:color w:val="auto"/>
                      <w:szCs w:val="21"/>
                    </w:rPr>
                  </w:pPr>
                  <w:r>
                    <w:rPr>
                      <w:rFonts w:hint="default" w:ascii="Times New Roman" w:hAnsi="Times New Roman" w:cs="Times New Roman"/>
                      <w:color w:val="auto"/>
                      <w:szCs w:val="21"/>
                    </w:rPr>
                    <w:t>化粪池依托现有租赁方</w:t>
                  </w:r>
                  <w:r>
                    <w:rPr>
                      <w:rFonts w:hint="eastAsia"/>
                      <w:color w:val="auto"/>
                      <w:szCs w:val="21"/>
                      <w:lang w:eastAsia="zh-CN"/>
                    </w:rPr>
                    <w:t>市政雨污管网</w:t>
                  </w:r>
                </w:p>
              </w:tc>
            </w:tr>
            <w:tr w14:paraId="678A2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0" w:type="dxa"/>
                  <w:vMerge w:val="restart"/>
                  <w:vAlign w:val="center"/>
                </w:tcPr>
                <w:p w14:paraId="2BE3C1F6">
                  <w:pPr>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c>
                <w:tcPr>
                  <w:tcW w:w="675" w:type="dxa"/>
                  <w:vMerge w:val="restart"/>
                  <w:vAlign w:val="center"/>
                </w:tcPr>
                <w:p w14:paraId="40A3886D">
                  <w:pPr>
                    <w:jc w:val="center"/>
                    <w:rPr>
                      <w:rFonts w:hint="default" w:ascii="Times New Roman" w:hAnsi="Times New Roman" w:cs="Times New Roman"/>
                      <w:color w:val="auto"/>
                      <w:szCs w:val="21"/>
                    </w:rPr>
                  </w:pPr>
                  <w:r>
                    <w:rPr>
                      <w:rFonts w:hint="default" w:ascii="Times New Roman" w:hAnsi="Times New Roman" w:cs="Times New Roman"/>
                      <w:color w:val="auto"/>
                      <w:szCs w:val="21"/>
                    </w:rPr>
                    <w:t>环保工程</w:t>
                  </w:r>
                </w:p>
              </w:tc>
              <w:tc>
                <w:tcPr>
                  <w:tcW w:w="1018" w:type="dxa"/>
                  <w:vMerge w:val="restart"/>
                  <w:vAlign w:val="center"/>
                </w:tcPr>
                <w:p w14:paraId="20F310D6">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废气</w:t>
                  </w:r>
                </w:p>
                <w:p w14:paraId="34159787">
                  <w:pPr>
                    <w:jc w:val="center"/>
                    <w:rPr>
                      <w:rFonts w:hint="default" w:ascii="Times New Roman" w:hAnsi="Times New Roman" w:cs="Times New Roman"/>
                      <w:color w:val="auto"/>
                      <w:szCs w:val="21"/>
                    </w:rPr>
                  </w:pPr>
                  <w:r>
                    <w:rPr>
                      <w:rFonts w:hint="default" w:ascii="Times New Roman" w:hAnsi="Times New Roman" w:cs="Times New Roman"/>
                      <w:color w:val="auto"/>
                      <w:szCs w:val="21"/>
                    </w:rPr>
                    <w:t>处理</w:t>
                  </w:r>
                </w:p>
              </w:tc>
              <w:tc>
                <w:tcPr>
                  <w:tcW w:w="1119" w:type="dxa"/>
                  <w:vAlign w:val="center"/>
                </w:tcPr>
                <w:p w14:paraId="463AFC4C">
                  <w:pPr>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抛丸粉尘</w:t>
                  </w:r>
                </w:p>
              </w:tc>
              <w:tc>
                <w:tcPr>
                  <w:tcW w:w="3995" w:type="dxa"/>
                  <w:gridSpan w:val="2"/>
                  <w:vAlign w:val="center"/>
                </w:tcPr>
                <w:p w14:paraId="5BAF5886">
                  <w:pPr>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经设</w:t>
                  </w:r>
                  <w:r>
                    <w:rPr>
                      <w:rFonts w:hint="eastAsia" w:ascii="Times New Roman" w:hAnsi="Times New Roman" w:eastAsia="宋体" w:cs="Times New Roman"/>
                      <w:color w:val="auto"/>
                      <w:szCs w:val="21"/>
                      <w:lang w:val="en-US" w:eastAsia="zh-CN"/>
                    </w:rPr>
                    <w:t>备密闭+集</w:t>
                  </w:r>
                  <w:r>
                    <w:rPr>
                      <w:rFonts w:hint="eastAsia" w:ascii="Times New Roman" w:hAnsi="Times New Roman" w:cs="Times New Roman"/>
                      <w:color w:val="auto"/>
                      <w:szCs w:val="21"/>
                      <w:lang w:val="en-US" w:eastAsia="zh-CN"/>
                    </w:rPr>
                    <w:t>气管道收集后进入自带的布袋除尘器处理后通过1根</w:t>
                  </w:r>
                  <w:r>
                    <w:rPr>
                      <w:rFonts w:hint="eastAsia" w:cs="Times New Roman"/>
                      <w:color w:val="auto"/>
                      <w:szCs w:val="21"/>
                      <w:lang w:val="en-US" w:eastAsia="zh-CN"/>
                    </w:rPr>
                    <w:t>18m</w:t>
                  </w:r>
                  <w:r>
                    <w:rPr>
                      <w:rFonts w:hint="eastAsia" w:ascii="Times New Roman" w:hAnsi="Times New Roman" w:cs="Times New Roman"/>
                      <w:color w:val="auto"/>
                      <w:szCs w:val="21"/>
                      <w:lang w:val="en-US" w:eastAsia="zh-CN"/>
                    </w:rPr>
                    <w:t>高的排气筒（DA001）排放</w:t>
                  </w:r>
                </w:p>
              </w:tc>
              <w:tc>
                <w:tcPr>
                  <w:tcW w:w="1059" w:type="dxa"/>
                  <w:vAlign w:val="center"/>
                </w:tcPr>
                <w:p w14:paraId="5A7E62C3">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新建</w:t>
                  </w:r>
                </w:p>
              </w:tc>
            </w:tr>
            <w:tr w14:paraId="5CDB7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0" w:type="dxa"/>
                  <w:vMerge w:val="continue"/>
                  <w:vAlign w:val="center"/>
                </w:tcPr>
                <w:p w14:paraId="32F52CA4">
                  <w:pPr>
                    <w:jc w:val="center"/>
                    <w:rPr>
                      <w:rFonts w:hint="default" w:ascii="Times New Roman" w:hAnsi="Times New Roman" w:cs="Times New Roman"/>
                      <w:color w:val="auto"/>
                      <w:szCs w:val="21"/>
                    </w:rPr>
                  </w:pPr>
                </w:p>
              </w:tc>
              <w:tc>
                <w:tcPr>
                  <w:tcW w:w="675" w:type="dxa"/>
                  <w:vMerge w:val="continue"/>
                  <w:vAlign w:val="center"/>
                </w:tcPr>
                <w:p w14:paraId="58D81042">
                  <w:pPr>
                    <w:jc w:val="center"/>
                    <w:rPr>
                      <w:rFonts w:hint="default" w:ascii="Times New Roman" w:hAnsi="Times New Roman" w:cs="Times New Roman"/>
                      <w:color w:val="auto"/>
                      <w:szCs w:val="21"/>
                    </w:rPr>
                  </w:pPr>
                </w:p>
              </w:tc>
              <w:tc>
                <w:tcPr>
                  <w:tcW w:w="1018" w:type="dxa"/>
                  <w:vMerge w:val="continue"/>
                  <w:vAlign w:val="center"/>
                </w:tcPr>
                <w:p w14:paraId="010B868B">
                  <w:pPr>
                    <w:jc w:val="center"/>
                    <w:rPr>
                      <w:rFonts w:hint="default" w:ascii="Times New Roman" w:hAnsi="Times New Roman" w:cs="Times New Roman"/>
                      <w:color w:val="auto"/>
                      <w:szCs w:val="21"/>
                    </w:rPr>
                  </w:pPr>
                </w:p>
              </w:tc>
              <w:tc>
                <w:tcPr>
                  <w:tcW w:w="1119" w:type="dxa"/>
                  <w:vAlign w:val="center"/>
                </w:tcPr>
                <w:p w14:paraId="40D06B69">
                  <w:pPr>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锻压脱模</w:t>
                  </w:r>
                </w:p>
                <w:p w14:paraId="157A2E11">
                  <w:pPr>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废气</w:t>
                  </w:r>
                </w:p>
              </w:tc>
              <w:tc>
                <w:tcPr>
                  <w:tcW w:w="3995" w:type="dxa"/>
                  <w:gridSpan w:val="2"/>
                  <w:vAlign w:val="center"/>
                </w:tcPr>
                <w:p w14:paraId="1A61CB0F">
                  <w:pPr>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经</w:t>
                  </w:r>
                  <w:r>
                    <w:rPr>
                      <w:rFonts w:hint="eastAsia" w:cs="Times New Roman"/>
                      <w:color w:val="auto"/>
                      <w:szCs w:val="21"/>
                      <w:lang w:val="en-US" w:eastAsia="zh-CN"/>
                    </w:rPr>
                    <w:t>集气罩</w:t>
                  </w:r>
                  <w:r>
                    <w:rPr>
                      <w:rFonts w:hint="eastAsia" w:ascii="Times New Roman" w:hAnsi="Times New Roman" w:cs="Times New Roman"/>
                      <w:color w:val="auto"/>
                      <w:szCs w:val="21"/>
                      <w:lang w:val="en-US" w:eastAsia="zh-CN"/>
                    </w:rPr>
                    <w:t>收集后</w:t>
                  </w:r>
                  <w:r>
                    <w:rPr>
                      <w:rFonts w:hint="eastAsia" w:cs="Times New Roman"/>
                      <w:color w:val="auto"/>
                      <w:szCs w:val="21"/>
                      <w:lang w:val="en-US" w:eastAsia="zh-CN"/>
                    </w:rPr>
                    <w:t>经</w:t>
                  </w:r>
                  <w:r>
                    <w:rPr>
                      <w:rFonts w:hint="default" w:ascii="Times New Roman" w:hAnsi="Times New Roman" w:cs="Times New Roman"/>
                      <w:color w:val="auto"/>
                      <w:szCs w:val="21"/>
                      <w:lang w:eastAsia="zh-CN"/>
                    </w:rPr>
                    <w:t>静电</w:t>
                  </w:r>
                  <w:r>
                    <w:rPr>
                      <w:rFonts w:hint="default" w:ascii="Times New Roman" w:hAnsi="Times New Roman" w:cs="Times New Roman"/>
                      <w:color w:val="auto"/>
                      <w:szCs w:val="21"/>
                      <w:lang w:val="en-US" w:eastAsia="zh-CN"/>
                    </w:rPr>
                    <w:t>式</w:t>
                  </w:r>
                  <w:r>
                    <w:rPr>
                      <w:rFonts w:hint="default" w:ascii="Times New Roman" w:hAnsi="Times New Roman" w:cs="Times New Roman"/>
                      <w:color w:val="auto"/>
                      <w:szCs w:val="21"/>
                      <w:lang w:eastAsia="zh-CN"/>
                    </w:rPr>
                    <w:t>油雾净化</w:t>
                  </w:r>
                  <w:r>
                    <w:rPr>
                      <w:rFonts w:hint="default" w:ascii="Times New Roman" w:hAnsi="Times New Roman" w:cs="Times New Roman"/>
                      <w:color w:val="auto"/>
                      <w:szCs w:val="21"/>
                      <w:lang w:val="en-US" w:eastAsia="zh-CN"/>
                    </w:rPr>
                    <w:t>器+</w:t>
                  </w:r>
                  <w:r>
                    <w:rPr>
                      <w:rFonts w:hint="eastAsia" w:ascii="Times New Roman" w:hAnsi="Times New Roman" w:cs="Times New Roman"/>
                      <w:color w:val="auto"/>
                      <w:szCs w:val="21"/>
                      <w:lang w:val="en-US" w:eastAsia="zh-CN"/>
                    </w:rPr>
                    <w:t>两级活性炭吸附装置处理后通过1根</w:t>
                  </w:r>
                  <w:r>
                    <w:rPr>
                      <w:rFonts w:hint="eastAsia" w:cs="Times New Roman"/>
                      <w:color w:val="auto"/>
                      <w:szCs w:val="21"/>
                      <w:lang w:val="en-US" w:eastAsia="zh-CN"/>
                    </w:rPr>
                    <w:t>18m</w:t>
                  </w:r>
                  <w:r>
                    <w:rPr>
                      <w:rFonts w:hint="eastAsia" w:ascii="Times New Roman" w:hAnsi="Times New Roman" w:cs="Times New Roman"/>
                      <w:color w:val="auto"/>
                      <w:szCs w:val="21"/>
                      <w:lang w:val="en-US" w:eastAsia="zh-CN"/>
                    </w:rPr>
                    <w:t>高的排气筒（DA002）排放</w:t>
                  </w:r>
                </w:p>
              </w:tc>
              <w:tc>
                <w:tcPr>
                  <w:tcW w:w="1059" w:type="dxa"/>
                  <w:vAlign w:val="center"/>
                </w:tcPr>
                <w:p w14:paraId="084555EE">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新建</w:t>
                  </w:r>
                </w:p>
              </w:tc>
            </w:tr>
            <w:tr w14:paraId="64ADF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0" w:type="dxa"/>
                  <w:vMerge w:val="continue"/>
                  <w:vAlign w:val="center"/>
                </w:tcPr>
                <w:p w14:paraId="7A42C26B">
                  <w:pPr>
                    <w:jc w:val="center"/>
                    <w:rPr>
                      <w:rFonts w:hint="default" w:ascii="Times New Roman" w:hAnsi="Times New Roman" w:cs="Times New Roman"/>
                      <w:color w:val="auto"/>
                      <w:szCs w:val="21"/>
                    </w:rPr>
                  </w:pPr>
                </w:p>
              </w:tc>
              <w:tc>
                <w:tcPr>
                  <w:tcW w:w="675" w:type="dxa"/>
                  <w:vMerge w:val="continue"/>
                  <w:vAlign w:val="center"/>
                </w:tcPr>
                <w:p w14:paraId="37EF0685">
                  <w:pPr>
                    <w:jc w:val="center"/>
                    <w:rPr>
                      <w:rFonts w:hint="default" w:ascii="Times New Roman" w:hAnsi="Times New Roman" w:cs="Times New Roman"/>
                      <w:color w:val="auto"/>
                      <w:szCs w:val="21"/>
                    </w:rPr>
                  </w:pPr>
                </w:p>
              </w:tc>
              <w:tc>
                <w:tcPr>
                  <w:tcW w:w="1018" w:type="dxa"/>
                  <w:vMerge w:val="continue"/>
                  <w:vAlign w:val="center"/>
                </w:tcPr>
                <w:p w14:paraId="3225ABE3">
                  <w:pPr>
                    <w:jc w:val="center"/>
                    <w:rPr>
                      <w:rFonts w:hint="default" w:ascii="Times New Roman" w:hAnsi="Times New Roman" w:cs="Times New Roman"/>
                      <w:color w:val="auto"/>
                      <w:szCs w:val="21"/>
                    </w:rPr>
                  </w:pPr>
                </w:p>
              </w:tc>
              <w:tc>
                <w:tcPr>
                  <w:tcW w:w="1119" w:type="dxa"/>
                  <w:vAlign w:val="center"/>
                </w:tcPr>
                <w:p w14:paraId="287329E3">
                  <w:pPr>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淬火废气</w:t>
                  </w:r>
                </w:p>
              </w:tc>
              <w:tc>
                <w:tcPr>
                  <w:tcW w:w="3995" w:type="dxa"/>
                  <w:gridSpan w:val="2"/>
                  <w:vAlign w:val="center"/>
                </w:tcPr>
                <w:p w14:paraId="34BDA5C8">
                  <w:pPr>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经设备密闭+集气管道收集后无组织排放</w:t>
                  </w:r>
                </w:p>
              </w:tc>
              <w:tc>
                <w:tcPr>
                  <w:tcW w:w="1059" w:type="dxa"/>
                  <w:vAlign w:val="center"/>
                </w:tcPr>
                <w:p w14:paraId="66ED0EB0">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新建</w:t>
                  </w:r>
                </w:p>
              </w:tc>
            </w:tr>
            <w:tr w14:paraId="6BC8A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80" w:type="dxa"/>
                  <w:vMerge w:val="continue"/>
                  <w:vAlign w:val="center"/>
                </w:tcPr>
                <w:p w14:paraId="095D485A">
                  <w:pPr>
                    <w:jc w:val="center"/>
                    <w:rPr>
                      <w:rFonts w:hint="default" w:ascii="Times New Roman" w:hAnsi="Times New Roman" w:cs="Times New Roman"/>
                      <w:color w:val="auto"/>
                      <w:szCs w:val="21"/>
                    </w:rPr>
                  </w:pPr>
                </w:p>
              </w:tc>
              <w:tc>
                <w:tcPr>
                  <w:tcW w:w="675" w:type="dxa"/>
                  <w:vMerge w:val="continue"/>
                  <w:vAlign w:val="center"/>
                </w:tcPr>
                <w:p w14:paraId="3E0A3FAA">
                  <w:pPr>
                    <w:jc w:val="center"/>
                    <w:rPr>
                      <w:rFonts w:hint="default" w:ascii="Times New Roman" w:hAnsi="Times New Roman" w:cs="Times New Roman"/>
                      <w:color w:val="auto"/>
                      <w:szCs w:val="21"/>
                    </w:rPr>
                  </w:pPr>
                </w:p>
              </w:tc>
              <w:tc>
                <w:tcPr>
                  <w:tcW w:w="1018" w:type="dxa"/>
                  <w:tcBorders>
                    <w:top w:val="single" w:color="auto" w:sz="4" w:space="0"/>
                  </w:tcBorders>
                  <w:vAlign w:val="center"/>
                </w:tcPr>
                <w:p w14:paraId="256A1CEE">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废水</w:t>
                  </w:r>
                </w:p>
                <w:p w14:paraId="5E097BBE">
                  <w:pPr>
                    <w:jc w:val="center"/>
                    <w:rPr>
                      <w:rFonts w:hint="default" w:ascii="Times New Roman" w:hAnsi="Times New Roman" w:cs="Times New Roman"/>
                      <w:color w:val="auto"/>
                      <w:szCs w:val="21"/>
                    </w:rPr>
                  </w:pPr>
                  <w:r>
                    <w:rPr>
                      <w:rFonts w:hint="default" w:ascii="Times New Roman" w:hAnsi="Times New Roman" w:cs="Times New Roman"/>
                      <w:color w:val="auto"/>
                      <w:szCs w:val="21"/>
                    </w:rPr>
                    <w:t>处理</w:t>
                  </w:r>
                </w:p>
              </w:tc>
              <w:tc>
                <w:tcPr>
                  <w:tcW w:w="5114" w:type="dxa"/>
                  <w:gridSpan w:val="3"/>
                  <w:shd w:val="clear" w:color="auto" w:fill="auto"/>
                  <w:vAlign w:val="center"/>
                </w:tcPr>
                <w:p w14:paraId="3271EF36">
                  <w:pPr>
                    <w:widowControl/>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排水系统采用雨污分流制，雨水进入雨水管网。</w:t>
                  </w:r>
                  <w:r>
                    <w:rPr>
                      <w:rFonts w:hint="eastAsia" w:cs="Times New Roman"/>
                      <w:color w:val="auto"/>
                      <w:szCs w:val="21"/>
                      <w:lang w:val="en-US" w:eastAsia="zh-CN"/>
                    </w:rPr>
                    <w:t>项</w:t>
                  </w:r>
                  <w:r>
                    <w:rPr>
                      <w:rFonts w:hint="eastAsia" w:ascii="Times New Roman" w:hAnsi="Times New Roman" w:eastAsia="宋体" w:cs="Times New Roman"/>
                      <w:color w:val="auto"/>
                      <w:szCs w:val="21"/>
                      <w:lang w:val="en-US" w:eastAsia="zh-CN"/>
                    </w:rPr>
                    <w:t>目无生产废水外排，</w:t>
                  </w:r>
                  <w:r>
                    <w:rPr>
                      <w:rFonts w:hint="default" w:ascii="Times New Roman" w:hAnsi="Times New Roman" w:eastAsia="宋体" w:cs="Times New Roman"/>
                      <w:color w:val="auto"/>
                      <w:szCs w:val="21"/>
                      <w:lang w:val="en-US" w:eastAsia="zh-CN"/>
                    </w:rPr>
                    <w:t>项目</w:t>
                  </w:r>
                  <w:r>
                    <w:rPr>
                      <w:rFonts w:hint="eastAsia" w:cs="Times New Roman"/>
                      <w:color w:val="auto"/>
                      <w:szCs w:val="21"/>
                      <w:lang w:val="en-US" w:eastAsia="zh-CN"/>
                    </w:rPr>
                    <w:t>水性脱模剂</w:t>
                  </w:r>
                  <w:r>
                    <w:rPr>
                      <w:rFonts w:hint="default" w:ascii="Times New Roman" w:hAnsi="Times New Roman" w:eastAsia="宋体" w:cs="Times New Roman"/>
                      <w:color w:val="auto"/>
                      <w:szCs w:val="21"/>
                      <w:lang w:val="en-US" w:eastAsia="zh-CN"/>
                    </w:rPr>
                    <w:t>配比水、切削液配比水蒸发损耗不外排；</w:t>
                  </w:r>
                  <w:r>
                    <w:rPr>
                      <w:rFonts w:hint="eastAsia" w:ascii="Times New Roman" w:hAnsi="Times New Roman" w:eastAsia="宋体" w:cs="Times New Roman"/>
                      <w:color w:val="auto"/>
                      <w:szCs w:val="21"/>
                      <w:lang w:val="en-US" w:eastAsia="zh-CN"/>
                    </w:rPr>
                    <w:t>淬火废水在淬火槽循环使用，不外排，定期补充，定期捞渣；湿式磨削废水经沉淀池处理后回用，不外排，定期补充，定期捞渣；循环冷却水循环使用，定期补充，不外排；</w:t>
                  </w:r>
                  <w:r>
                    <w:rPr>
                      <w:rFonts w:hint="default" w:ascii="Times New Roman" w:hAnsi="Times New Roman" w:eastAsia="宋体" w:cs="Times New Roman"/>
                      <w:color w:val="auto"/>
                      <w:szCs w:val="21"/>
                      <w:lang w:val="en-US" w:eastAsia="zh-CN"/>
                    </w:rPr>
                    <w:t>生活污水经化粪池处理后经市政污水管网排入</w:t>
                  </w:r>
                  <w:r>
                    <w:rPr>
                      <w:rFonts w:hint="eastAsia" w:ascii="Times New Roman" w:hAnsi="Times New Roman" w:eastAsia="宋体" w:cs="Times New Roman"/>
                      <w:color w:val="auto"/>
                      <w:szCs w:val="21"/>
                      <w:lang w:val="en-US" w:eastAsia="zh-CN"/>
                    </w:rPr>
                    <w:t>芜湖县新芜开</w:t>
                  </w:r>
                  <w:r>
                    <w:rPr>
                      <w:rFonts w:hint="eastAsia" w:cs="Times New Roman"/>
                      <w:color w:val="auto"/>
                      <w:szCs w:val="21"/>
                      <w:lang w:val="en-US" w:eastAsia="zh-CN"/>
                    </w:rPr>
                    <w:t>发区城东污水处理厂</w:t>
                  </w:r>
                  <w:r>
                    <w:rPr>
                      <w:rFonts w:hint="default" w:ascii="Times New Roman" w:hAnsi="Times New Roman" w:eastAsia="宋体" w:cs="Times New Roman"/>
                      <w:color w:val="auto"/>
                      <w:szCs w:val="21"/>
                      <w:lang w:val="en-US" w:eastAsia="zh-CN"/>
                    </w:rPr>
                    <w:t>，达标后排入</w:t>
                  </w:r>
                  <w:r>
                    <w:rPr>
                      <w:rFonts w:hint="eastAsia" w:cs="Times New Roman"/>
                      <w:color w:val="auto"/>
                      <w:szCs w:val="21"/>
                      <w:lang w:val="en-US" w:eastAsia="zh-CN"/>
                    </w:rPr>
                    <w:t>汪溪坝撇洪沟后汇入裘公河</w:t>
                  </w:r>
                </w:p>
              </w:tc>
              <w:tc>
                <w:tcPr>
                  <w:tcW w:w="1059" w:type="dxa"/>
                  <w:vAlign w:val="center"/>
                </w:tcPr>
                <w:p w14:paraId="3C770E8C">
                  <w:pPr>
                    <w:jc w:val="center"/>
                    <w:rPr>
                      <w:rFonts w:hint="default" w:ascii="Times New Roman" w:hAnsi="Times New Roman" w:cs="Times New Roman"/>
                      <w:color w:val="auto"/>
                      <w:szCs w:val="21"/>
                    </w:rPr>
                  </w:pPr>
                  <w:r>
                    <w:rPr>
                      <w:rFonts w:hint="default" w:ascii="Times New Roman" w:hAnsi="Times New Roman" w:cs="Times New Roman"/>
                      <w:color w:val="auto"/>
                      <w:szCs w:val="21"/>
                    </w:rPr>
                    <w:t>化粪池依托现有租赁方</w:t>
                  </w:r>
                </w:p>
              </w:tc>
            </w:tr>
            <w:tr w14:paraId="2793B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80" w:type="dxa"/>
                  <w:vMerge w:val="continue"/>
                  <w:vAlign w:val="center"/>
                </w:tcPr>
                <w:p w14:paraId="3A8AC125">
                  <w:pPr>
                    <w:jc w:val="center"/>
                    <w:rPr>
                      <w:rFonts w:hint="default" w:ascii="Times New Roman" w:hAnsi="Times New Roman" w:cs="Times New Roman"/>
                      <w:color w:val="auto"/>
                      <w:szCs w:val="21"/>
                    </w:rPr>
                  </w:pPr>
                </w:p>
              </w:tc>
              <w:tc>
                <w:tcPr>
                  <w:tcW w:w="675" w:type="dxa"/>
                  <w:vMerge w:val="continue"/>
                  <w:vAlign w:val="center"/>
                </w:tcPr>
                <w:p w14:paraId="18AB616F">
                  <w:pPr>
                    <w:jc w:val="center"/>
                    <w:rPr>
                      <w:rFonts w:hint="default" w:ascii="Times New Roman" w:hAnsi="Times New Roman" w:cs="Times New Roman"/>
                      <w:color w:val="auto"/>
                      <w:szCs w:val="21"/>
                    </w:rPr>
                  </w:pPr>
                </w:p>
              </w:tc>
              <w:tc>
                <w:tcPr>
                  <w:tcW w:w="1018" w:type="dxa"/>
                  <w:vAlign w:val="center"/>
                </w:tcPr>
                <w:p w14:paraId="26A4B3CE">
                  <w:pPr>
                    <w:jc w:val="center"/>
                    <w:rPr>
                      <w:rFonts w:hint="default" w:ascii="Times New Roman" w:hAnsi="Times New Roman" w:cs="Times New Roman"/>
                      <w:color w:val="auto"/>
                      <w:szCs w:val="21"/>
                    </w:rPr>
                  </w:pPr>
                  <w:r>
                    <w:rPr>
                      <w:rFonts w:hint="default" w:ascii="Times New Roman" w:hAnsi="Times New Roman" w:cs="Times New Roman"/>
                      <w:color w:val="auto"/>
                      <w:szCs w:val="21"/>
                    </w:rPr>
                    <w:t>噪声</w:t>
                  </w:r>
                </w:p>
                <w:p w14:paraId="4659F7BC">
                  <w:pPr>
                    <w:jc w:val="center"/>
                    <w:rPr>
                      <w:rFonts w:hint="default" w:ascii="Times New Roman" w:hAnsi="Times New Roman" w:cs="Times New Roman"/>
                      <w:color w:val="auto"/>
                      <w:szCs w:val="21"/>
                    </w:rPr>
                  </w:pPr>
                  <w:r>
                    <w:rPr>
                      <w:rFonts w:hint="default" w:ascii="Times New Roman" w:hAnsi="Times New Roman" w:cs="Times New Roman"/>
                      <w:color w:val="auto"/>
                      <w:szCs w:val="21"/>
                    </w:rPr>
                    <w:t>治理</w:t>
                  </w:r>
                </w:p>
              </w:tc>
              <w:tc>
                <w:tcPr>
                  <w:tcW w:w="5114" w:type="dxa"/>
                  <w:gridSpan w:val="3"/>
                  <w:vAlign w:val="center"/>
                </w:tcPr>
                <w:p w14:paraId="703D82A7">
                  <w:pPr>
                    <w:jc w:val="center"/>
                    <w:rPr>
                      <w:rFonts w:hint="default" w:ascii="Times New Roman" w:hAnsi="Times New Roman" w:cs="Times New Roman"/>
                      <w:color w:val="auto"/>
                    </w:rPr>
                  </w:pPr>
                  <w:r>
                    <w:rPr>
                      <w:rFonts w:hint="default" w:ascii="Times New Roman" w:hAnsi="Times New Roman" w:cs="Times New Roman"/>
                      <w:color w:val="auto"/>
                      <w:szCs w:val="21"/>
                      <w:lang w:bidi="ar"/>
                    </w:rPr>
                    <w:t>选用低噪音设备，设备基础减振，隔声消声降噪；风机进、出风管加设消音器，基础下加设减振器</w:t>
                  </w:r>
                  <w:r>
                    <w:rPr>
                      <w:rFonts w:hint="default" w:ascii="Times New Roman" w:hAnsi="Times New Roman" w:cs="Times New Roman"/>
                      <w:color w:val="auto"/>
                      <w:szCs w:val="21"/>
                      <w:lang w:val="zh-CN"/>
                    </w:rPr>
                    <w:t>等</w:t>
                  </w:r>
                </w:p>
              </w:tc>
              <w:tc>
                <w:tcPr>
                  <w:tcW w:w="1059" w:type="dxa"/>
                  <w:vAlign w:val="center"/>
                </w:tcPr>
                <w:p w14:paraId="5C1C3C68">
                  <w:pPr>
                    <w:jc w:val="center"/>
                    <w:rPr>
                      <w:rFonts w:hint="default" w:ascii="Times New Roman" w:hAnsi="Times New Roman" w:cs="Times New Roman"/>
                      <w:color w:val="auto"/>
                    </w:rPr>
                  </w:pPr>
                  <w:r>
                    <w:rPr>
                      <w:rFonts w:hint="default" w:ascii="Times New Roman" w:hAnsi="Times New Roman" w:cs="Times New Roman"/>
                      <w:color w:val="auto"/>
                      <w:szCs w:val="21"/>
                    </w:rPr>
                    <w:t>新建</w:t>
                  </w:r>
                </w:p>
              </w:tc>
            </w:tr>
            <w:tr w14:paraId="0E147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jc w:val="center"/>
              </w:trPr>
              <w:tc>
                <w:tcPr>
                  <w:tcW w:w="480" w:type="dxa"/>
                  <w:vMerge w:val="continue"/>
                  <w:vAlign w:val="center"/>
                </w:tcPr>
                <w:p w14:paraId="5B143287">
                  <w:pPr>
                    <w:jc w:val="center"/>
                    <w:rPr>
                      <w:rFonts w:hint="default" w:ascii="Times New Roman" w:hAnsi="Times New Roman" w:cs="Times New Roman"/>
                      <w:color w:val="auto"/>
                      <w:szCs w:val="21"/>
                    </w:rPr>
                  </w:pPr>
                </w:p>
              </w:tc>
              <w:tc>
                <w:tcPr>
                  <w:tcW w:w="675" w:type="dxa"/>
                  <w:vMerge w:val="continue"/>
                  <w:vAlign w:val="center"/>
                </w:tcPr>
                <w:p w14:paraId="233BDBD2">
                  <w:pPr>
                    <w:jc w:val="center"/>
                    <w:rPr>
                      <w:rFonts w:hint="default" w:ascii="Times New Roman" w:hAnsi="Times New Roman" w:cs="Times New Roman"/>
                      <w:color w:val="auto"/>
                      <w:szCs w:val="21"/>
                    </w:rPr>
                  </w:pPr>
                </w:p>
              </w:tc>
              <w:tc>
                <w:tcPr>
                  <w:tcW w:w="1018" w:type="dxa"/>
                  <w:vMerge w:val="restart"/>
                  <w:vAlign w:val="center"/>
                </w:tcPr>
                <w:p w14:paraId="510369BE">
                  <w:pPr>
                    <w:jc w:val="center"/>
                    <w:rPr>
                      <w:rFonts w:hint="default" w:ascii="Times New Roman" w:hAnsi="Times New Roman" w:cs="Times New Roman"/>
                      <w:color w:val="auto"/>
                      <w:szCs w:val="21"/>
                    </w:rPr>
                  </w:pPr>
                  <w:r>
                    <w:rPr>
                      <w:rFonts w:hint="default" w:ascii="Times New Roman" w:hAnsi="Times New Roman" w:cs="Times New Roman"/>
                      <w:color w:val="auto"/>
                      <w:szCs w:val="21"/>
                    </w:rPr>
                    <w:t>固废</w:t>
                  </w:r>
                </w:p>
                <w:p w14:paraId="38EF6871">
                  <w:pPr>
                    <w:jc w:val="center"/>
                    <w:rPr>
                      <w:rFonts w:hint="default" w:ascii="Times New Roman" w:hAnsi="Times New Roman" w:cs="Times New Roman"/>
                      <w:color w:val="auto"/>
                      <w:szCs w:val="21"/>
                    </w:rPr>
                  </w:pPr>
                  <w:r>
                    <w:rPr>
                      <w:rFonts w:hint="default" w:ascii="Times New Roman" w:hAnsi="Times New Roman" w:cs="Times New Roman"/>
                      <w:color w:val="auto"/>
                      <w:szCs w:val="21"/>
                    </w:rPr>
                    <w:t>处理</w:t>
                  </w:r>
                </w:p>
              </w:tc>
              <w:tc>
                <w:tcPr>
                  <w:tcW w:w="1119" w:type="dxa"/>
                  <w:vAlign w:val="center"/>
                </w:tcPr>
                <w:p w14:paraId="5FD5594B">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生活垃圾</w:t>
                  </w:r>
                </w:p>
              </w:tc>
              <w:tc>
                <w:tcPr>
                  <w:tcW w:w="3995" w:type="dxa"/>
                  <w:gridSpan w:val="2"/>
                  <w:vAlign w:val="center"/>
                </w:tcPr>
                <w:p w14:paraId="382F61C0">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交由环卫部门进行处理，厂内设有垃圾桶</w:t>
                  </w:r>
                </w:p>
              </w:tc>
              <w:tc>
                <w:tcPr>
                  <w:tcW w:w="1059" w:type="dxa"/>
                  <w:vMerge w:val="restart"/>
                  <w:vAlign w:val="center"/>
                </w:tcPr>
                <w:p w14:paraId="44539960">
                  <w:pPr>
                    <w:jc w:val="center"/>
                    <w:rPr>
                      <w:rFonts w:hint="default" w:ascii="Times New Roman" w:hAnsi="Times New Roman" w:cs="Times New Roman"/>
                      <w:color w:val="auto"/>
                      <w:szCs w:val="21"/>
                    </w:rPr>
                  </w:pPr>
                  <w:r>
                    <w:rPr>
                      <w:rFonts w:hint="default" w:ascii="Times New Roman" w:hAnsi="Times New Roman" w:cs="Times New Roman"/>
                      <w:color w:val="auto"/>
                      <w:szCs w:val="21"/>
                    </w:rPr>
                    <w:t>新建</w:t>
                  </w:r>
                </w:p>
              </w:tc>
            </w:tr>
            <w:tr w14:paraId="01151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0" w:type="dxa"/>
                  <w:vMerge w:val="continue"/>
                  <w:vAlign w:val="center"/>
                </w:tcPr>
                <w:p w14:paraId="03BCB9D8">
                  <w:pPr>
                    <w:widowControl/>
                    <w:jc w:val="center"/>
                    <w:rPr>
                      <w:rFonts w:hint="default" w:ascii="Times New Roman" w:hAnsi="Times New Roman" w:cs="Times New Roman"/>
                      <w:color w:val="auto"/>
                    </w:rPr>
                  </w:pPr>
                </w:p>
              </w:tc>
              <w:tc>
                <w:tcPr>
                  <w:tcW w:w="675" w:type="dxa"/>
                  <w:vMerge w:val="continue"/>
                  <w:vAlign w:val="center"/>
                </w:tcPr>
                <w:p w14:paraId="1686BBB3">
                  <w:pPr>
                    <w:widowControl/>
                    <w:jc w:val="center"/>
                    <w:rPr>
                      <w:rFonts w:hint="default" w:ascii="Times New Roman" w:hAnsi="Times New Roman" w:cs="Times New Roman"/>
                      <w:color w:val="auto"/>
                    </w:rPr>
                  </w:pPr>
                </w:p>
              </w:tc>
              <w:tc>
                <w:tcPr>
                  <w:tcW w:w="1018" w:type="dxa"/>
                  <w:vMerge w:val="continue"/>
                  <w:vAlign w:val="center"/>
                </w:tcPr>
                <w:p w14:paraId="7C38D6FF">
                  <w:pPr>
                    <w:widowControl/>
                    <w:jc w:val="center"/>
                    <w:rPr>
                      <w:rFonts w:hint="default" w:ascii="Times New Roman" w:hAnsi="Times New Roman" w:cs="Times New Roman"/>
                      <w:color w:val="auto"/>
                    </w:rPr>
                  </w:pPr>
                </w:p>
              </w:tc>
              <w:tc>
                <w:tcPr>
                  <w:tcW w:w="1119" w:type="dxa"/>
                  <w:vAlign w:val="center"/>
                </w:tcPr>
                <w:p w14:paraId="42D88065">
                  <w:pPr>
                    <w:widowControl/>
                    <w:jc w:val="center"/>
                    <w:rPr>
                      <w:rFonts w:hint="default" w:ascii="Times New Roman" w:hAnsi="Times New Roman" w:cs="Times New Roman"/>
                      <w:color w:val="auto"/>
                      <w:szCs w:val="21"/>
                      <w:lang w:eastAsia="zh-CN"/>
                    </w:rPr>
                  </w:pPr>
                  <w:r>
                    <w:rPr>
                      <w:rFonts w:hint="default" w:ascii="Times New Roman" w:hAnsi="Times New Roman" w:cs="Times New Roman"/>
                      <w:color w:val="auto"/>
                      <w:szCs w:val="21"/>
                    </w:rPr>
                    <w:t>一般</w:t>
                  </w:r>
                  <w:r>
                    <w:rPr>
                      <w:rFonts w:hint="default" w:ascii="Times New Roman" w:hAnsi="Times New Roman" w:cs="Times New Roman"/>
                      <w:color w:val="auto"/>
                      <w:szCs w:val="21"/>
                      <w:lang w:eastAsia="zh-CN"/>
                    </w:rPr>
                    <w:t>工业</w:t>
                  </w:r>
                </w:p>
                <w:p w14:paraId="11B94D6F">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lang w:eastAsia="zh-CN"/>
                    </w:rPr>
                    <w:t>固</w:t>
                  </w:r>
                  <w:r>
                    <w:rPr>
                      <w:rFonts w:hint="default" w:ascii="Times New Roman" w:hAnsi="Times New Roman" w:cs="Times New Roman"/>
                      <w:color w:val="auto"/>
                      <w:szCs w:val="21"/>
                    </w:rPr>
                    <w:t>废</w:t>
                  </w:r>
                </w:p>
              </w:tc>
              <w:tc>
                <w:tcPr>
                  <w:tcW w:w="3995" w:type="dxa"/>
                  <w:gridSpan w:val="2"/>
                  <w:vAlign w:val="center"/>
                </w:tcPr>
                <w:p w14:paraId="04DBF339">
                  <w:pPr>
                    <w:widowControl/>
                    <w:jc w:val="center"/>
                    <w:rPr>
                      <w:rFonts w:hint="default" w:ascii="Times New Roman" w:hAnsi="Times New Roman" w:cs="Times New Roman"/>
                      <w:color w:val="auto"/>
                    </w:rPr>
                  </w:pPr>
                  <w:r>
                    <w:rPr>
                      <w:rFonts w:hint="eastAsia" w:ascii="Times New Roman" w:hAnsi="Times New Roman" w:cs="Times New Roman"/>
                      <w:color w:val="auto"/>
                      <w:szCs w:val="21"/>
                      <w:lang w:eastAsia="zh-CN"/>
                    </w:rPr>
                    <w:t>不合格品、废包装材料、布袋除尘器收集的粉尘、废</w:t>
                  </w:r>
                  <w:r>
                    <w:rPr>
                      <w:rFonts w:hint="eastAsia" w:ascii="Times New Roman" w:hAnsi="Times New Roman" w:cs="Times New Roman"/>
                      <w:color w:val="auto"/>
                      <w:szCs w:val="21"/>
                      <w:lang w:val="en-US" w:eastAsia="zh-CN"/>
                    </w:rPr>
                    <w:t>钢丸</w:t>
                  </w:r>
                  <w:r>
                    <w:rPr>
                      <w:rFonts w:hint="eastAsia" w:ascii="Times New Roman" w:hAnsi="Times New Roman" w:cs="Times New Roman"/>
                      <w:color w:val="auto"/>
                      <w:szCs w:val="21"/>
                      <w:lang w:eastAsia="zh-CN"/>
                    </w:rPr>
                    <w:t>、</w:t>
                  </w:r>
                  <w:r>
                    <w:rPr>
                      <w:rFonts w:hint="eastAsia" w:ascii="Times New Roman" w:hAnsi="Times New Roman" w:cs="Times New Roman"/>
                      <w:color w:val="auto"/>
                      <w:szCs w:val="21"/>
                      <w:lang w:val="en-US" w:eastAsia="zh-CN"/>
                    </w:rPr>
                    <w:t>废金属屑及边角料</w:t>
                  </w:r>
                  <w:r>
                    <w:rPr>
                      <w:rFonts w:hint="eastAsia" w:ascii="Times New Roman" w:hAnsi="Times New Roman" w:cs="Times New Roman"/>
                      <w:color w:val="auto"/>
                      <w:szCs w:val="21"/>
                      <w:lang w:eastAsia="zh-CN"/>
                    </w:rPr>
                    <w:t>、</w:t>
                  </w:r>
                  <w:r>
                    <w:rPr>
                      <w:rFonts w:hint="eastAsia" w:ascii="Times New Roman" w:hAnsi="Times New Roman" w:cs="Times New Roman"/>
                      <w:color w:val="auto"/>
                      <w:szCs w:val="21"/>
                      <w:lang w:val="en-US" w:eastAsia="zh-CN"/>
                    </w:rPr>
                    <w:t>废砂轮、沉淀池沉渣、淬火槽槽渣</w:t>
                  </w:r>
                  <w:r>
                    <w:rPr>
                      <w:rFonts w:hint="default" w:ascii="Times New Roman" w:hAnsi="Times New Roman" w:cs="Times New Roman"/>
                      <w:color w:val="auto"/>
                      <w:szCs w:val="21"/>
                    </w:rPr>
                    <w:t>收集后外售</w:t>
                  </w:r>
                </w:p>
              </w:tc>
              <w:tc>
                <w:tcPr>
                  <w:tcW w:w="1059" w:type="dxa"/>
                  <w:vMerge w:val="continue"/>
                  <w:vAlign w:val="center"/>
                </w:tcPr>
                <w:p w14:paraId="20604757">
                  <w:pPr>
                    <w:widowControl/>
                    <w:jc w:val="center"/>
                    <w:rPr>
                      <w:rFonts w:hint="default" w:ascii="Times New Roman" w:hAnsi="Times New Roman" w:cs="Times New Roman"/>
                      <w:color w:val="auto"/>
                    </w:rPr>
                  </w:pPr>
                </w:p>
              </w:tc>
            </w:tr>
            <w:tr w14:paraId="68724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0" w:type="dxa"/>
                  <w:vMerge w:val="continue"/>
                  <w:vAlign w:val="center"/>
                </w:tcPr>
                <w:p w14:paraId="010327BA">
                  <w:pPr>
                    <w:widowControl/>
                    <w:jc w:val="center"/>
                    <w:rPr>
                      <w:rFonts w:hint="default" w:ascii="Times New Roman" w:hAnsi="Times New Roman" w:cs="Times New Roman"/>
                      <w:color w:val="auto"/>
                    </w:rPr>
                  </w:pPr>
                </w:p>
              </w:tc>
              <w:tc>
                <w:tcPr>
                  <w:tcW w:w="675" w:type="dxa"/>
                  <w:vMerge w:val="continue"/>
                  <w:vAlign w:val="center"/>
                </w:tcPr>
                <w:p w14:paraId="27662B44">
                  <w:pPr>
                    <w:widowControl/>
                    <w:jc w:val="center"/>
                    <w:rPr>
                      <w:rFonts w:hint="default" w:ascii="Times New Roman" w:hAnsi="Times New Roman" w:cs="Times New Roman"/>
                      <w:color w:val="auto"/>
                    </w:rPr>
                  </w:pPr>
                </w:p>
              </w:tc>
              <w:tc>
                <w:tcPr>
                  <w:tcW w:w="1018" w:type="dxa"/>
                  <w:vMerge w:val="continue"/>
                  <w:vAlign w:val="center"/>
                </w:tcPr>
                <w:p w14:paraId="420268A9">
                  <w:pPr>
                    <w:widowControl/>
                    <w:jc w:val="center"/>
                    <w:rPr>
                      <w:rFonts w:hint="default" w:ascii="Times New Roman" w:hAnsi="Times New Roman" w:cs="Times New Roman"/>
                      <w:color w:val="auto"/>
                    </w:rPr>
                  </w:pPr>
                </w:p>
              </w:tc>
              <w:tc>
                <w:tcPr>
                  <w:tcW w:w="1119" w:type="dxa"/>
                  <w:vAlign w:val="center"/>
                </w:tcPr>
                <w:p w14:paraId="17353A9D">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危险</w:t>
                  </w:r>
                </w:p>
                <w:p w14:paraId="00E33489">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废物</w:t>
                  </w:r>
                </w:p>
              </w:tc>
              <w:tc>
                <w:tcPr>
                  <w:tcW w:w="3995" w:type="dxa"/>
                  <w:gridSpan w:val="2"/>
                  <w:vAlign w:val="center"/>
                </w:tcPr>
                <w:p w14:paraId="3A4D7695">
                  <w:pPr>
                    <w:jc w:val="center"/>
                    <w:rPr>
                      <w:rFonts w:hint="default" w:ascii="Times New Roman" w:hAnsi="Times New Roman" w:cs="Times New Roman"/>
                      <w:color w:val="auto"/>
                      <w:szCs w:val="21"/>
                      <w:lang w:eastAsia="zh-CN"/>
                    </w:rPr>
                  </w:pPr>
                  <w:r>
                    <w:rPr>
                      <w:rFonts w:hint="eastAsia" w:cs="Times New Roman"/>
                      <w:bCs/>
                      <w:color w:val="auto"/>
                      <w:sz w:val="21"/>
                      <w:szCs w:val="21"/>
                      <w:lang w:eastAsia="zh-CN"/>
                    </w:rPr>
                    <w:t>废化学品包装桶、</w:t>
                  </w:r>
                  <w:r>
                    <w:rPr>
                      <w:rFonts w:hint="eastAsia" w:cs="Times New Roman"/>
                      <w:bCs/>
                      <w:color w:val="auto"/>
                      <w:sz w:val="21"/>
                      <w:szCs w:val="21"/>
                      <w:lang w:val="en-US" w:eastAsia="zh-CN"/>
                    </w:rPr>
                    <w:t>废切削液、废润滑油、含油金属屑、废水性脱模剂、废活性炭、</w:t>
                  </w:r>
                  <w:r>
                    <w:rPr>
                      <w:rFonts w:hint="eastAsia" w:cs="Times New Roman"/>
                      <w:bCs/>
                      <w:color w:val="auto"/>
                      <w:sz w:val="21"/>
                      <w:szCs w:val="21"/>
                      <w:lang w:val="en-US" w:eastAsia="zh-CN"/>
                    </w:rPr>
                    <w:t>油雾净化器收集的废油</w:t>
                  </w:r>
                  <w:r>
                    <w:rPr>
                      <w:rFonts w:hint="default" w:ascii="Times New Roman" w:hAnsi="Times New Roman" w:cs="Times New Roman"/>
                      <w:color w:val="auto"/>
                      <w:szCs w:val="21"/>
                    </w:rPr>
                    <w:t>收集后暂存于危险废物暂存库，定期委托有危废处理资质单位处置</w:t>
                  </w:r>
                  <w:r>
                    <w:rPr>
                      <w:rFonts w:hint="default" w:ascii="Times New Roman" w:hAnsi="Times New Roman" w:cs="Times New Roman"/>
                      <w:color w:val="auto"/>
                      <w:szCs w:val="21"/>
                      <w:lang w:eastAsia="zh-CN"/>
                    </w:rPr>
                    <w:t>；</w:t>
                  </w:r>
                </w:p>
                <w:p w14:paraId="2D17FF69">
                  <w:pPr>
                    <w:widowControl/>
                    <w:jc w:val="center"/>
                    <w:rPr>
                      <w:rFonts w:hint="eastAsia" w:ascii="Times New Roman" w:hAnsi="Times New Roman" w:eastAsia="宋体" w:cs="Times New Roman"/>
                      <w:color w:val="auto"/>
                      <w:lang w:eastAsia="zh-CN"/>
                    </w:rPr>
                  </w:pPr>
                  <w:r>
                    <w:rPr>
                      <w:rFonts w:hint="eastAsia" w:cs="Times New Roman"/>
                      <w:color w:val="auto"/>
                      <w:szCs w:val="21"/>
                      <w:lang w:val="en-US" w:eastAsia="zh-CN"/>
                    </w:rPr>
                    <w:t>办公楼东</w:t>
                  </w:r>
                  <w:r>
                    <w:rPr>
                      <w:rFonts w:hint="default" w:ascii="Times New Roman" w:hAnsi="Times New Roman" w:cs="Times New Roman"/>
                      <w:color w:val="auto"/>
                      <w:szCs w:val="21"/>
                    </w:rPr>
                    <w:t>侧设有危废库1座，面积约为</w:t>
                  </w:r>
                  <w:r>
                    <w:rPr>
                      <w:rFonts w:hint="eastAsia" w:cs="Times New Roman"/>
                      <w:color w:val="auto"/>
                      <w:szCs w:val="21"/>
                      <w:lang w:val="en-US" w:eastAsia="zh-CN"/>
                    </w:rPr>
                    <w:t>15m</w:t>
                  </w:r>
                  <w:r>
                    <w:rPr>
                      <w:rFonts w:hint="default" w:ascii="Times New Roman" w:hAnsi="Times New Roman" w:cs="Times New Roman"/>
                      <w:color w:val="auto"/>
                      <w:szCs w:val="21"/>
                      <w:vertAlign w:val="superscript"/>
                    </w:rPr>
                    <w:t>2</w:t>
                  </w:r>
                  <w:r>
                    <w:rPr>
                      <w:rFonts w:hint="default" w:ascii="Times New Roman" w:hAnsi="Times New Roman" w:cs="Times New Roman"/>
                      <w:color w:val="auto"/>
                      <w:szCs w:val="21"/>
                    </w:rPr>
                    <w:t>，危废库设有</w:t>
                  </w:r>
                  <w:r>
                    <w:rPr>
                      <w:color w:val="auto"/>
                      <w:kern w:val="0"/>
                      <w:sz w:val="21"/>
                      <w:szCs w:val="21"/>
                      <w:highlight w:val="none"/>
                    </w:rPr>
                    <w:t>防风、防晒、防雨、防漏、防渗、防腐</w:t>
                  </w:r>
                  <w:r>
                    <w:rPr>
                      <w:rFonts w:hint="default" w:ascii="Times New Roman" w:hAnsi="Times New Roman" w:cs="Times New Roman"/>
                      <w:color w:val="auto"/>
                      <w:szCs w:val="21"/>
                    </w:rPr>
                    <w:t>等措施</w:t>
                  </w:r>
                </w:p>
              </w:tc>
              <w:tc>
                <w:tcPr>
                  <w:tcW w:w="1059" w:type="dxa"/>
                  <w:vMerge w:val="continue"/>
                  <w:vAlign w:val="center"/>
                </w:tcPr>
                <w:p w14:paraId="23C371C9">
                  <w:pPr>
                    <w:widowControl/>
                    <w:jc w:val="center"/>
                    <w:rPr>
                      <w:rFonts w:hint="default" w:ascii="Times New Roman" w:hAnsi="Times New Roman" w:cs="Times New Roman"/>
                      <w:color w:val="auto"/>
                    </w:rPr>
                  </w:pPr>
                </w:p>
              </w:tc>
            </w:tr>
            <w:tr w14:paraId="5D464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jc w:val="center"/>
              </w:trPr>
              <w:tc>
                <w:tcPr>
                  <w:tcW w:w="480" w:type="dxa"/>
                  <w:vMerge w:val="continue"/>
                  <w:vAlign w:val="center"/>
                </w:tcPr>
                <w:p w14:paraId="5813F078">
                  <w:pPr>
                    <w:widowControl/>
                    <w:jc w:val="center"/>
                    <w:rPr>
                      <w:rFonts w:hint="default" w:ascii="Times New Roman" w:hAnsi="Times New Roman" w:cs="Times New Roman"/>
                      <w:color w:val="auto"/>
                    </w:rPr>
                  </w:pPr>
                </w:p>
              </w:tc>
              <w:tc>
                <w:tcPr>
                  <w:tcW w:w="675" w:type="dxa"/>
                  <w:vMerge w:val="continue"/>
                  <w:vAlign w:val="center"/>
                </w:tcPr>
                <w:p w14:paraId="3329E795">
                  <w:pPr>
                    <w:widowControl/>
                    <w:jc w:val="center"/>
                    <w:rPr>
                      <w:rFonts w:hint="default" w:ascii="Times New Roman" w:hAnsi="Times New Roman" w:cs="Times New Roman"/>
                      <w:color w:val="auto"/>
                    </w:rPr>
                  </w:pPr>
                </w:p>
              </w:tc>
              <w:tc>
                <w:tcPr>
                  <w:tcW w:w="1018" w:type="dxa"/>
                  <w:vAlign w:val="center"/>
                </w:tcPr>
                <w:p w14:paraId="2B31D344">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土壤及</w:t>
                  </w:r>
                  <w:r>
                    <w:rPr>
                      <w:rFonts w:hint="default" w:ascii="Times New Roman" w:hAnsi="Times New Roman" w:eastAsia="宋体" w:cs="Times New Roman"/>
                      <w:color w:val="auto"/>
                      <w:sz w:val="21"/>
                      <w:szCs w:val="21"/>
                    </w:rPr>
                    <w:t>地下水</w:t>
                  </w:r>
                  <w:r>
                    <w:rPr>
                      <w:rFonts w:hint="default" w:ascii="Times New Roman" w:hAnsi="Times New Roman" w:eastAsia="宋体" w:cs="Times New Roman"/>
                      <w:color w:val="auto"/>
                      <w:sz w:val="21"/>
                      <w:szCs w:val="21"/>
                      <w:lang w:eastAsia="zh-CN"/>
                    </w:rPr>
                    <w:t>防治</w:t>
                  </w:r>
                </w:p>
              </w:tc>
              <w:tc>
                <w:tcPr>
                  <w:tcW w:w="5114" w:type="dxa"/>
                  <w:gridSpan w:val="3"/>
                  <w:vAlign w:val="center"/>
                </w:tcPr>
                <w:p w14:paraId="739A8C48">
                  <w:pPr>
                    <w:pStyle w:val="28"/>
                    <w:keepNext w:val="0"/>
                    <w:keepLines w:val="0"/>
                    <w:pageBreakBefore w:val="0"/>
                    <w:kinsoku/>
                    <w:wordWrap/>
                    <w:overflowPunct/>
                    <w:topLinePunct w:val="0"/>
                    <w:autoSpaceDE/>
                    <w:autoSpaceDN/>
                    <w:bidi w:val="0"/>
                    <w:adjustRightInd/>
                    <w:spacing w:before="0" w:after="0" w:line="240" w:lineRule="auto"/>
                    <w:ind w:right="0"/>
                    <w:jc w:val="center"/>
                    <w:textAlignment w:val="auto"/>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lang w:eastAsia="zh-CN"/>
                    </w:rPr>
                    <w:t>重点防渗：危废暂存库、</w:t>
                  </w:r>
                  <w:r>
                    <w:rPr>
                      <w:rFonts w:hint="eastAsia" w:ascii="Times New Roman" w:hAnsi="Times New Roman" w:eastAsia="宋体" w:cs="Times New Roman"/>
                      <w:color w:val="auto"/>
                      <w:kern w:val="0"/>
                      <w:sz w:val="21"/>
                      <w:szCs w:val="21"/>
                      <w:lang w:val="en-US" w:eastAsia="zh-CN"/>
                    </w:rPr>
                    <w:t>辅料区</w:t>
                  </w:r>
                  <w:r>
                    <w:rPr>
                      <w:rFonts w:hint="default" w:ascii="Times New Roman" w:hAnsi="Times New Roman" w:eastAsia="宋体" w:cs="Times New Roman"/>
                      <w:color w:val="auto"/>
                      <w:kern w:val="0"/>
                      <w:sz w:val="21"/>
                      <w:szCs w:val="21"/>
                      <w:lang w:eastAsia="zh-CN"/>
                    </w:rPr>
                    <w:t>、</w:t>
                  </w:r>
                  <w:r>
                    <w:rPr>
                      <w:rFonts w:hint="eastAsia" w:cs="Times New Roman"/>
                      <w:color w:val="auto"/>
                      <w:kern w:val="0"/>
                      <w:sz w:val="21"/>
                      <w:szCs w:val="21"/>
                      <w:lang w:val="en-US" w:eastAsia="zh-CN"/>
                    </w:rPr>
                    <w:t>沉淀池、淬火区、脱模区；</w:t>
                  </w:r>
                  <w:r>
                    <w:rPr>
                      <w:rFonts w:hint="default" w:ascii="Times New Roman" w:hAnsi="Times New Roman" w:eastAsia="宋体" w:cs="Times New Roman"/>
                      <w:color w:val="auto"/>
                      <w:kern w:val="0"/>
                      <w:sz w:val="21"/>
                      <w:szCs w:val="21"/>
                      <w:lang w:val="en-US" w:eastAsia="zh-CN"/>
                    </w:rPr>
                    <w:t>防渗措施：</w:t>
                  </w:r>
                  <w:r>
                    <w:rPr>
                      <w:rFonts w:hint="default" w:ascii="Times New Roman" w:hAnsi="Times New Roman" w:eastAsia="宋体" w:cs="Times New Roman"/>
                      <w:color w:val="auto"/>
                      <w:sz w:val="21"/>
                      <w:szCs w:val="21"/>
                    </w:rPr>
                    <w:t>在混凝土硬化上方涂刷环氧树脂涂料；等效黏土防渗层Mb≥6.0m，K≤1×10</w:t>
                  </w:r>
                  <w:r>
                    <w:rPr>
                      <w:rFonts w:hint="default" w:ascii="Times New Roman" w:hAnsi="Times New Roman" w:eastAsia="宋体" w:cs="Times New Roman"/>
                      <w:color w:val="auto"/>
                      <w:sz w:val="21"/>
                      <w:szCs w:val="21"/>
                      <w:vertAlign w:val="superscript"/>
                    </w:rPr>
                    <w:t>-7</w:t>
                  </w:r>
                  <w:r>
                    <w:rPr>
                      <w:rFonts w:hint="default" w:ascii="Times New Roman" w:hAnsi="Times New Roman" w:eastAsia="宋体" w:cs="Times New Roman"/>
                      <w:color w:val="auto"/>
                      <w:sz w:val="21"/>
                      <w:szCs w:val="21"/>
                    </w:rPr>
                    <w:t>cm/s</w:t>
                  </w:r>
                  <w:r>
                    <w:rPr>
                      <w:rFonts w:hint="default" w:ascii="Times New Roman" w:hAnsi="Times New Roman" w:eastAsia="宋体" w:cs="Times New Roman"/>
                      <w:color w:val="auto"/>
                      <w:sz w:val="21"/>
                      <w:szCs w:val="21"/>
                      <w:lang w:eastAsia="zh-CN"/>
                    </w:rPr>
                    <w:t>；</w:t>
                  </w:r>
                  <w:r>
                    <w:rPr>
                      <w:rFonts w:hint="eastAsia" w:cs="Times New Roman"/>
                      <w:color w:val="auto"/>
                      <w:sz w:val="21"/>
                      <w:szCs w:val="21"/>
                      <w:lang w:eastAsia="zh-CN"/>
                    </w:rPr>
                    <w:t>其中危废暂存库按照《危险废物贮存污染控制标准》（GB18597-2023），至少1m厚黏土层（渗透系数不大于10</w:t>
                  </w:r>
                  <w:r>
                    <w:rPr>
                      <w:rFonts w:hint="eastAsia" w:cs="Times New Roman"/>
                      <w:color w:val="auto"/>
                      <w:sz w:val="21"/>
                      <w:szCs w:val="21"/>
                      <w:vertAlign w:val="superscript"/>
                      <w:lang w:eastAsia="zh-CN"/>
                    </w:rPr>
                    <w:t>-7</w:t>
                  </w:r>
                  <w:r>
                    <w:rPr>
                      <w:rFonts w:hint="eastAsia" w:cs="Times New Roman"/>
                      <w:color w:val="auto"/>
                      <w:sz w:val="21"/>
                      <w:szCs w:val="21"/>
                      <w:lang w:eastAsia="zh-CN"/>
                    </w:rPr>
                    <w:t>cm/s）；或至少2mm厚高密度聚乙烯膜等人工防渗材料（渗透系数不大于10</w:t>
                  </w:r>
                  <w:r>
                    <w:rPr>
                      <w:rFonts w:hint="eastAsia" w:cs="Times New Roman"/>
                      <w:color w:val="auto"/>
                      <w:sz w:val="21"/>
                      <w:szCs w:val="21"/>
                      <w:vertAlign w:val="superscript"/>
                      <w:lang w:eastAsia="zh-CN"/>
                    </w:rPr>
                    <w:t>-10</w:t>
                  </w:r>
                  <w:r>
                    <w:rPr>
                      <w:rFonts w:hint="eastAsia" w:cs="Times New Roman"/>
                      <w:color w:val="auto"/>
                      <w:sz w:val="21"/>
                      <w:szCs w:val="21"/>
                      <w:lang w:eastAsia="zh-CN"/>
                    </w:rPr>
                    <w:t>cm/s）；</w:t>
                  </w:r>
                </w:p>
                <w:p w14:paraId="3A35CFAA">
                  <w:pPr>
                    <w:keepNext w:val="0"/>
                    <w:keepLines w:val="0"/>
                    <w:pageBreakBefore w:val="0"/>
                    <w:kinsoku/>
                    <w:wordWrap/>
                    <w:overflowPunct/>
                    <w:topLinePunct w:val="0"/>
                    <w:autoSpaceDE/>
                    <w:autoSpaceDN/>
                    <w:bidi w:val="0"/>
                    <w:adjustRightInd/>
                    <w:spacing w:line="240"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一般防渗区：</w:t>
                  </w:r>
                  <w:r>
                    <w:rPr>
                      <w:rFonts w:hint="default" w:ascii="Times New Roman" w:hAnsi="Times New Roman" w:cs="Times New Roman" w:eastAsiaTheme="minorEastAsia"/>
                      <w:color w:val="auto"/>
                      <w:szCs w:val="21"/>
                    </w:rPr>
                    <w:t>生产车间、一般固废暂存场所</w:t>
                  </w:r>
                  <w:r>
                    <w:rPr>
                      <w:rFonts w:hint="default" w:ascii="Times New Roman" w:hAnsi="Times New Roman" w:cs="Times New Roman" w:eastAsiaTheme="minorEastAsia"/>
                      <w:color w:val="auto"/>
                      <w:szCs w:val="21"/>
                      <w:lang w:eastAsia="zh-CN"/>
                    </w:rPr>
                    <w:t>、厂区道路、化粪池</w:t>
                  </w:r>
                  <w:r>
                    <w:rPr>
                      <w:rFonts w:hint="default" w:ascii="Times New Roman" w:hAnsi="Times New Roman" w:eastAsia="宋体" w:cs="Times New Roman"/>
                      <w:color w:val="auto"/>
                      <w:kern w:val="0"/>
                      <w:sz w:val="21"/>
                      <w:szCs w:val="21"/>
                      <w:lang w:val="en-US" w:eastAsia="zh-CN"/>
                    </w:rPr>
                    <w:t>；防渗措施：</w:t>
                  </w:r>
                  <w:r>
                    <w:rPr>
                      <w:rFonts w:hint="default" w:ascii="Times New Roman" w:hAnsi="Times New Roman" w:eastAsia="宋体" w:cs="Times New Roman"/>
                      <w:color w:val="auto"/>
                      <w:sz w:val="21"/>
                      <w:szCs w:val="21"/>
                    </w:rPr>
                    <w:t>采用防渗混凝土硬化，</w:t>
                  </w:r>
                  <w:r>
                    <w:rPr>
                      <w:rFonts w:hint="default" w:ascii="Times New Roman" w:hAnsi="Times New Roman" w:eastAsia="宋体" w:cs="Times New Roman"/>
                      <w:color w:val="auto"/>
                      <w:sz w:val="21"/>
                      <w:szCs w:val="21"/>
                      <w:lang w:val="en-US" w:eastAsia="zh-CN"/>
                    </w:rPr>
                    <w:t>满足</w:t>
                  </w:r>
                  <w:r>
                    <w:rPr>
                      <w:rFonts w:hint="default" w:ascii="Times New Roman" w:hAnsi="Times New Roman" w:eastAsia="宋体" w:cs="Times New Roman"/>
                      <w:color w:val="auto"/>
                      <w:sz w:val="21"/>
                      <w:szCs w:val="21"/>
                    </w:rPr>
                    <w:t>等效黏土防渗层Mb≥1.5m，K≤1×10</w:t>
                  </w:r>
                  <w:r>
                    <w:rPr>
                      <w:rFonts w:hint="default" w:ascii="Times New Roman" w:hAnsi="Times New Roman" w:eastAsia="宋体" w:cs="Times New Roman"/>
                      <w:color w:val="auto"/>
                      <w:sz w:val="21"/>
                      <w:szCs w:val="21"/>
                      <w:vertAlign w:val="superscript"/>
                    </w:rPr>
                    <w:t>-7</w:t>
                  </w:r>
                  <w:r>
                    <w:rPr>
                      <w:rFonts w:hint="default" w:ascii="Times New Roman" w:hAnsi="Times New Roman" w:eastAsia="宋体" w:cs="Times New Roman"/>
                      <w:color w:val="auto"/>
                      <w:sz w:val="21"/>
                      <w:szCs w:val="21"/>
                    </w:rPr>
                    <w:t>cm/s</w:t>
                  </w:r>
                  <w:r>
                    <w:rPr>
                      <w:rFonts w:hint="default" w:ascii="Times New Roman" w:hAnsi="Times New Roman" w:eastAsia="宋体" w:cs="Times New Roman"/>
                      <w:color w:val="auto"/>
                      <w:sz w:val="21"/>
                      <w:szCs w:val="21"/>
                      <w:lang w:eastAsia="zh-CN"/>
                    </w:rPr>
                    <w:t>；</w:t>
                  </w:r>
                </w:p>
                <w:p w14:paraId="6A1B3D47">
                  <w:pPr>
                    <w:widowControl/>
                    <w:jc w:val="center"/>
                    <w:rPr>
                      <w:rFonts w:hint="default" w:ascii="Times New Roman" w:hAnsi="Times New Roman" w:cs="Times New Roman"/>
                      <w:color w:val="auto"/>
                      <w:szCs w:val="21"/>
                    </w:rPr>
                  </w:pPr>
                  <w:r>
                    <w:rPr>
                      <w:rFonts w:hint="default" w:ascii="Times New Roman" w:hAnsi="Times New Roman" w:eastAsia="宋体" w:cs="Times New Roman"/>
                      <w:color w:val="auto"/>
                      <w:kern w:val="0"/>
                      <w:sz w:val="21"/>
                      <w:szCs w:val="21"/>
                      <w:lang w:val="en-US" w:eastAsia="zh-CN"/>
                    </w:rPr>
                    <w:t>简单防渗：</w:t>
                  </w:r>
                  <w:r>
                    <w:rPr>
                      <w:rFonts w:hint="default" w:ascii="Times New Roman" w:hAnsi="Times New Roman" w:cs="Times New Roman" w:eastAsiaTheme="minorEastAsia"/>
                      <w:color w:val="auto"/>
                      <w:kern w:val="0"/>
                      <w:sz w:val="21"/>
                      <w:szCs w:val="21"/>
                    </w:rPr>
                    <w:t>重点、一般污染防治区之外的区域</w:t>
                  </w:r>
                  <w:r>
                    <w:rPr>
                      <w:rFonts w:hint="default" w:ascii="Times New Roman" w:hAnsi="Times New Roman" w:eastAsia="宋体" w:cs="Times New Roman"/>
                      <w:color w:val="auto"/>
                      <w:kern w:val="0"/>
                      <w:sz w:val="21"/>
                      <w:szCs w:val="21"/>
                      <w:lang w:val="en-US" w:eastAsia="zh-CN"/>
                    </w:rPr>
                    <w:t>等；防渗措施：</w:t>
                  </w:r>
                  <w:r>
                    <w:rPr>
                      <w:rFonts w:hint="default" w:ascii="Times New Roman" w:hAnsi="Times New Roman" w:eastAsia="宋体" w:cs="Times New Roman"/>
                      <w:color w:val="auto"/>
                      <w:sz w:val="21"/>
                      <w:szCs w:val="21"/>
                    </w:rPr>
                    <w:t>采用普通水泥硬化</w:t>
                  </w:r>
                </w:p>
              </w:tc>
              <w:tc>
                <w:tcPr>
                  <w:tcW w:w="1059" w:type="dxa"/>
                  <w:vAlign w:val="center"/>
                </w:tcPr>
                <w:p w14:paraId="573F7A14">
                  <w:pPr>
                    <w:widowControl/>
                    <w:jc w:val="center"/>
                    <w:rPr>
                      <w:rFonts w:hint="default" w:ascii="Times New Roman" w:hAnsi="Times New Roman" w:cs="Times New Roman"/>
                      <w:color w:val="auto"/>
                    </w:rPr>
                  </w:pPr>
                  <w:r>
                    <w:rPr>
                      <w:rFonts w:hint="default" w:ascii="Times New Roman" w:hAnsi="Times New Roman" w:cs="Times New Roman"/>
                      <w:color w:val="auto"/>
                      <w:szCs w:val="21"/>
                    </w:rPr>
                    <w:t>新建</w:t>
                  </w:r>
                </w:p>
              </w:tc>
            </w:tr>
            <w:tr w14:paraId="30EAE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480" w:type="dxa"/>
                  <w:vMerge w:val="continue"/>
                  <w:vAlign w:val="center"/>
                </w:tcPr>
                <w:p w14:paraId="3063F2C7">
                  <w:pPr>
                    <w:widowControl/>
                    <w:jc w:val="center"/>
                    <w:rPr>
                      <w:rFonts w:hint="default" w:ascii="Times New Roman" w:hAnsi="Times New Roman" w:cs="Times New Roman"/>
                      <w:color w:val="auto"/>
                    </w:rPr>
                  </w:pPr>
                </w:p>
              </w:tc>
              <w:tc>
                <w:tcPr>
                  <w:tcW w:w="675" w:type="dxa"/>
                  <w:vMerge w:val="continue"/>
                  <w:vAlign w:val="center"/>
                </w:tcPr>
                <w:p w14:paraId="5B490F3C">
                  <w:pPr>
                    <w:widowControl/>
                    <w:jc w:val="center"/>
                    <w:rPr>
                      <w:rFonts w:hint="default" w:ascii="Times New Roman" w:hAnsi="Times New Roman" w:cs="Times New Roman"/>
                      <w:color w:val="auto"/>
                    </w:rPr>
                  </w:pPr>
                </w:p>
              </w:tc>
              <w:tc>
                <w:tcPr>
                  <w:tcW w:w="1018" w:type="dxa"/>
                  <w:vAlign w:val="center"/>
                </w:tcPr>
                <w:p w14:paraId="0096EA3F">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环境</w:t>
                  </w:r>
                  <w:r>
                    <w:rPr>
                      <w:rFonts w:hint="default" w:ascii="Times New Roman" w:hAnsi="Times New Roman" w:eastAsia="宋体" w:cs="Times New Roman"/>
                      <w:color w:val="auto"/>
                      <w:sz w:val="21"/>
                      <w:szCs w:val="21"/>
                      <w:lang w:val="zh-CN"/>
                    </w:rPr>
                    <w:t>风险防范措施</w:t>
                  </w:r>
                </w:p>
              </w:tc>
              <w:tc>
                <w:tcPr>
                  <w:tcW w:w="5114" w:type="dxa"/>
                  <w:gridSpan w:val="3"/>
                  <w:vAlign w:val="center"/>
                </w:tcPr>
                <w:p w14:paraId="459EB1E7">
                  <w:pPr>
                    <w:widowControl/>
                    <w:jc w:val="center"/>
                    <w:rPr>
                      <w:rFonts w:hint="default" w:ascii="Times New Roman" w:hAnsi="Times New Roman" w:cs="Times New Roman"/>
                      <w:color w:val="auto"/>
                      <w:szCs w:val="21"/>
                    </w:rPr>
                  </w:pPr>
                  <w:r>
                    <w:rPr>
                      <w:rFonts w:hint="default" w:ascii="Times New Roman" w:hAnsi="Times New Roman" w:cs="Times New Roman"/>
                      <w:color w:val="auto"/>
                      <w:lang w:val="zh-CN"/>
                    </w:rPr>
                    <w:t>加强环境风险管理，严格遵守有关防爆、防火规章制度，加强岗位责任制，避免失误操作，进一步完善事故风险防范措施，并备有应急响应所需的物资；加强废气污染处理设施的运行和管理，保证其正常运行，杜绝事故性排放。</w:t>
                  </w:r>
                  <w:r>
                    <w:rPr>
                      <w:rFonts w:hint="eastAsia" w:cs="Times New Roman"/>
                      <w:color w:val="auto"/>
                      <w:lang w:val="zh-CN"/>
                    </w:rPr>
                    <w:t>化学品仓库</w:t>
                  </w:r>
                  <w:r>
                    <w:rPr>
                      <w:rFonts w:hint="default" w:ascii="Times New Roman" w:hAnsi="Times New Roman" w:cs="Times New Roman"/>
                      <w:color w:val="auto"/>
                      <w:lang w:val="zh-CN"/>
                    </w:rPr>
                    <w:t>、危废暂存间设置围堰、导流沟及收集池，油品存放配备防泄漏托盘</w:t>
                  </w:r>
                  <w:r>
                    <w:rPr>
                      <w:rFonts w:hint="eastAsia" w:cs="Times New Roman"/>
                      <w:color w:val="auto"/>
                      <w:lang w:val="zh-CN"/>
                    </w:rPr>
                    <w:t>。</w:t>
                  </w:r>
                </w:p>
              </w:tc>
              <w:tc>
                <w:tcPr>
                  <w:tcW w:w="1059" w:type="dxa"/>
                  <w:vAlign w:val="center"/>
                </w:tcPr>
                <w:p w14:paraId="1506A89A">
                  <w:pPr>
                    <w:widowControl/>
                    <w:jc w:val="center"/>
                    <w:rPr>
                      <w:rFonts w:hint="default" w:ascii="Times New Roman" w:hAnsi="Times New Roman" w:cs="Times New Roman"/>
                      <w:color w:val="auto"/>
                    </w:rPr>
                  </w:pPr>
                  <w:r>
                    <w:rPr>
                      <w:rFonts w:hint="default" w:ascii="Times New Roman" w:hAnsi="Times New Roman" w:cs="Times New Roman"/>
                      <w:color w:val="auto"/>
                      <w:szCs w:val="21"/>
                    </w:rPr>
                    <w:t>新建</w:t>
                  </w:r>
                </w:p>
              </w:tc>
            </w:tr>
          </w:tbl>
          <w:p w14:paraId="5B6C170B">
            <w:pPr>
              <w:spacing w:line="360" w:lineRule="auto"/>
              <w:ind w:firstLine="482" w:firstLineChars="200"/>
              <w:rPr>
                <w:rFonts w:hint="default" w:ascii="Times New Roman" w:hAnsi="Times New Roman" w:cs="Times New Roman"/>
                <w:b/>
                <w:color w:val="auto"/>
                <w:kern w:val="0"/>
                <w:sz w:val="24"/>
              </w:rPr>
            </w:pPr>
            <w:r>
              <w:rPr>
                <w:rFonts w:hint="default" w:ascii="Times New Roman" w:hAnsi="Times New Roman" w:cs="Times New Roman"/>
                <w:b/>
                <w:color w:val="auto"/>
                <w:kern w:val="0"/>
                <w:sz w:val="24"/>
                <w:lang w:val="en-US" w:eastAsia="zh-CN"/>
              </w:rPr>
              <w:t>3</w:t>
            </w:r>
            <w:r>
              <w:rPr>
                <w:rFonts w:hint="default" w:ascii="Times New Roman" w:hAnsi="Times New Roman" w:cs="Times New Roman"/>
                <w:b/>
                <w:color w:val="auto"/>
                <w:kern w:val="0"/>
                <w:sz w:val="24"/>
              </w:rPr>
              <w:t>、产品方案</w:t>
            </w:r>
          </w:p>
          <w:p w14:paraId="794C042F">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产品方案见下表。</w:t>
            </w:r>
          </w:p>
          <w:p w14:paraId="6E671528">
            <w:pPr>
              <w:pStyle w:val="374"/>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kern w:val="0"/>
                <w:sz w:val="24"/>
                <w:szCs w:val="20"/>
                <w:lang w:val="en-US" w:eastAsia="zh-CN" w:bidi="ar-SA"/>
              </w:rPr>
            </w:pPr>
            <w:r>
              <w:rPr>
                <w:rFonts w:hint="default" w:ascii="Times New Roman" w:hAnsi="Times New Roman" w:eastAsia="宋体" w:cs="Times New Roman"/>
                <w:b/>
                <w:color w:val="auto"/>
                <w:kern w:val="0"/>
                <w:sz w:val="24"/>
                <w:szCs w:val="20"/>
                <w:lang w:val="en-US" w:eastAsia="zh-CN" w:bidi="ar-SA"/>
              </w:rPr>
              <w:t>表2-4  建设项目产品方案一览表</w:t>
            </w:r>
          </w:p>
          <w:tbl>
            <w:tblPr>
              <w:tblStyle w:val="6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5"/>
              <w:gridCol w:w="1354"/>
              <w:gridCol w:w="1399"/>
              <w:gridCol w:w="2250"/>
              <w:gridCol w:w="2055"/>
            </w:tblGrid>
            <w:tr w14:paraId="19FB7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81" w:type="pct"/>
                  <w:gridSpan w:val="2"/>
                  <w:noWrap w:val="0"/>
                  <w:vAlign w:val="center"/>
                </w:tcPr>
                <w:p w14:paraId="3B8F255E">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产品名称</w:t>
                  </w:r>
                </w:p>
              </w:tc>
              <w:tc>
                <w:tcPr>
                  <w:tcW w:w="838" w:type="pct"/>
                  <w:noWrap w:val="0"/>
                  <w:vAlign w:val="center"/>
                </w:tcPr>
                <w:p w14:paraId="2A723264">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年产量</w:t>
                  </w:r>
                </w:p>
              </w:tc>
              <w:tc>
                <w:tcPr>
                  <w:tcW w:w="1348" w:type="pct"/>
                  <w:noWrap w:val="0"/>
                  <w:vAlign w:val="center"/>
                </w:tcPr>
                <w:p w14:paraId="2FD472FE">
                  <w:pPr>
                    <w:jc w:val="center"/>
                    <w:rPr>
                      <w:rFonts w:hint="default" w:ascii="Times New Roman" w:hAnsi="Times New Roman" w:eastAsia="宋体" w:cs="Times New Roman"/>
                      <w:b/>
                      <w:bCs/>
                      <w:color w:val="auto"/>
                      <w:szCs w:val="21"/>
                      <w:lang w:val="en-US" w:eastAsia="zh-CN"/>
                    </w:rPr>
                  </w:pPr>
                  <w:r>
                    <w:rPr>
                      <w:rFonts w:hint="eastAsia" w:cs="Times New Roman"/>
                      <w:b/>
                      <w:bCs/>
                      <w:color w:val="auto"/>
                      <w:szCs w:val="21"/>
                      <w:lang w:eastAsia="zh-CN"/>
                    </w:rPr>
                    <w:t>单位</w:t>
                  </w:r>
                </w:p>
              </w:tc>
              <w:tc>
                <w:tcPr>
                  <w:tcW w:w="1231" w:type="pct"/>
                  <w:noWrap w:val="0"/>
                  <w:vAlign w:val="center"/>
                </w:tcPr>
                <w:p w14:paraId="749E6A4F">
                  <w:pPr>
                    <w:jc w:val="center"/>
                    <w:rPr>
                      <w:rFonts w:hint="default" w:cs="Times New Roman"/>
                      <w:b/>
                      <w:bCs/>
                      <w:color w:val="auto"/>
                      <w:szCs w:val="21"/>
                      <w:lang w:val="en-US" w:eastAsia="zh-CN"/>
                    </w:rPr>
                  </w:pPr>
                  <w:r>
                    <w:rPr>
                      <w:rFonts w:hint="eastAsia" w:cs="Times New Roman"/>
                      <w:b/>
                      <w:bCs/>
                      <w:color w:val="auto"/>
                      <w:szCs w:val="21"/>
                      <w:lang w:val="en-US" w:eastAsia="zh-CN"/>
                    </w:rPr>
                    <w:t>产品重量</w:t>
                  </w:r>
                </w:p>
              </w:tc>
            </w:tr>
            <w:tr w14:paraId="719FD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70" w:type="pct"/>
                  <w:vMerge w:val="restart"/>
                  <w:shd w:val="clear" w:color="auto" w:fill="auto"/>
                  <w:noWrap w:val="0"/>
                  <w:vAlign w:val="center"/>
                </w:tcPr>
                <w:p w14:paraId="0867D93E">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汽车轮毂系列产品</w:t>
                  </w:r>
                </w:p>
              </w:tc>
              <w:tc>
                <w:tcPr>
                  <w:tcW w:w="810" w:type="pct"/>
                  <w:shd w:val="clear" w:color="auto" w:fill="auto"/>
                  <w:noWrap w:val="0"/>
                  <w:vAlign w:val="center"/>
                </w:tcPr>
                <w:p w14:paraId="77D3AA6D">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1055#</w:t>
                  </w:r>
                </w:p>
              </w:tc>
              <w:tc>
                <w:tcPr>
                  <w:tcW w:w="838" w:type="pct"/>
                  <w:shd w:val="clear" w:color="auto" w:fill="auto"/>
                  <w:noWrap w:val="0"/>
                  <w:vAlign w:val="center"/>
                </w:tcPr>
                <w:p w14:paraId="2AD07844">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450</w:t>
                  </w:r>
                </w:p>
              </w:tc>
              <w:tc>
                <w:tcPr>
                  <w:tcW w:w="1348" w:type="pct"/>
                  <w:noWrap w:val="0"/>
                  <w:vAlign w:val="center"/>
                </w:tcPr>
                <w:p w14:paraId="31225EE0">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万套/年</w:t>
                  </w:r>
                </w:p>
              </w:tc>
              <w:tc>
                <w:tcPr>
                  <w:tcW w:w="1231" w:type="pct"/>
                  <w:noWrap w:val="0"/>
                  <w:vAlign w:val="center"/>
                </w:tcPr>
                <w:p w14:paraId="235F3143">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单个重量2.5kg</w:t>
                  </w:r>
                </w:p>
              </w:tc>
            </w:tr>
            <w:tr w14:paraId="23B80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770" w:type="pct"/>
                  <w:vMerge w:val="continue"/>
                  <w:shd w:val="clear" w:color="auto" w:fill="auto"/>
                  <w:noWrap w:val="0"/>
                  <w:vAlign w:val="center"/>
                </w:tcPr>
                <w:p w14:paraId="456FA52E">
                  <w:pPr>
                    <w:jc w:val="center"/>
                    <w:rPr>
                      <w:rFonts w:hint="eastAsia" w:ascii="Times New Roman" w:hAnsi="Times New Roman" w:eastAsia="宋体" w:cs="Times New Roman"/>
                      <w:color w:val="auto"/>
                      <w:sz w:val="21"/>
                      <w:szCs w:val="21"/>
                      <w:lang w:val="en-US" w:eastAsia="zh-CN"/>
                    </w:rPr>
                  </w:pPr>
                </w:p>
              </w:tc>
              <w:tc>
                <w:tcPr>
                  <w:tcW w:w="810" w:type="pct"/>
                  <w:shd w:val="clear" w:color="auto" w:fill="auto"/>
                  <w:noWrap w:val="0"/>
                  <w:vAlign w:val="center"/>
                </w:tcPr>
                <w:p w14:paraId="34384B9E">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65MN</w:t>
                  </w:r>
                </w:p>
              </w:tc>
              <w:tc>
                <w:tcPr>
                  <w:tcW w:w="838" w:type="pct"/>
                  <w:shd w:val="clear" w:color="auto" w:fill="auto"/>
                  <w:noWrap w:val="0"/>
                  <w:vAlign w:val="center"/>
                </w:tcPr>
                <w:p w14:paraId="2801C2B2">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450</w:t>
                  </w:r>
                </w:p>
              </w:tc>
              <w:tc>
                <w:tcPr>
                  <w:tcW w:w="1348" w:type="pct"/>
                  <w:noWrap w:val="0"/>
                  <w:vAlign w:val="center"/>
                </w:tcPr>
                <w:p w14:paraId="6BA22467">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万套/年</w:t>
                  </w:r>
                </w:p>
              </w:tc>
              <w:tc>
                <w:tcPr>
                  <w:tcW w:w="1231" w:type="pct"/>
                  <w:noWrap w:val="0"/>
                  <w:vAlign w:val="center"/>
                </w:tcPr>
                <w:p w14:paraId="364C3D8D">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单个重量2.5kg</w:t>
                  </w:r>
                </w:p>
              </w:tc>
            </w:tr>
            <w:tr w14:paraId="248FA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81" w:type="pct"/>
                  <w:gridSpan w:val="2"/>
                  <w:shd w:val="clear" w:color="auto" w:fill="auto"/>
                  <w:noWrap w:val="0"/>
                  <w:vAlign w:val="center"/>
                </w:tcPr>
                <w:p w14:paraId="2D2868C8">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合计</w:t>
                  </w:r>
                </w:p>
              </w:tc>
              <w:tc>
                <w:tcPr>
                  <w:tcW w:w="838" w:type="pct"/>
                  <w:shd w:val="clear" w:color="auto" w:fill="auto"/>
                  <w:noWrap w:val="0"/>
                  <w:vAlign w:val="center"/>
                </w:tcPr>
                <w:p w14:paraId="6B446225">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900</w:t>
                  </w:r>
                </w:p>
              </w:tc>
              <w:tc>
                <w:tcPr>
                  <w:tcW w:w="1348" w:type="pct"/>
                  <w:noWrap w:val="0"/>
                  <w:vAlign w:val="center"/>
                </w:tcPr>
                <w:p w14:paraId="289720FE">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万套/年</w:t>
                  </w:r>
                </w:p>
              </w:tc>
              <w:tc>
                <w:tcPr>
                  <w:tcW w:w="1231" w:type="pct"/>
                  <w:noWrap w:val="0"/>
                  <w:vAlign w:val="center"/>
                </w:tcPr>
                <w:p w14:paraId="432D59A9">
                  <w:pPr>
                    <w:jc w:val="center"/>
                    <w:rPr>
                      <w:rFonts w:hint="default"/>
                      <w:color w:val="auto"/>
                      <w:lang w:val="en-US" w:eastAsia="zh-CN"/>
                    </w:rPr>
                  </w:pPr>
                  <w:r>
                    <w:rPr>
                      <w:rFonts w:hint="eastAsia"/>
                      <w:color w:val="auto"/>
                      <w:lang w:val="en-US" w:eastAsia="zh-CN"/>
                    </w:rPr>
                    <w:t>/</w:t>
                  </w:r>
                </w:p>
              </w:tc>
            </w:tr>
          </w:tbl>
          <w:p w14:paraId="7BDCDE2A">
            <w:pPr>
              <w:keepNext w:val="0"/>
              <w:keepLines w:val="0"/>
              <w:pageBreakBefore w:val="0"/>
              <w:widowControl/>
              <w:kinsoku/>
              <w:wordWrap/>
              <w:overflowPunct/>
              <w:topLinePunct w:val="0"/>
              <w:autoSpaceDE/>
              <w:autoSpaceDN/>
              <w:bidi w:val="0"/>
              <w:adjustRightInd/>
              <w:snapToGrid/>
              <w:spacing w:beforeAutospacing="0" w:line="240" w:lineRule="auto"/>
              <w:ind w:firstLine="420" w:firstLineChars="200"/>
              <w:jc w:val="left"/>
              <w:textAlignment w:val="auto"/>
              <w:rPr>
                <w:rFonts w:hint="default" w:ascii="Times New Roman" w:hAnsi="Times New Roman" w:eastAsia="宋体" w:cs="Times New Roman"/>
                <w:b w:val="0"/>
                <w:bCs/>
                <w:color w:val="auto"/>
                <w:kern w:val="0"/>
                <w:sz w:val="21"/>
                <w:szCs w:val="21"/>
                <w:lang w:eastAsia="zh-CN"/>
              </w:rPr>
            </w:pPr>
            <w:r>
              <w:rPr>
                <w:rFonts w:hint="default" w:ascii="Times New Roman" w:hAnsi="Times New Roman" w:eastAsia="宋体" w:cs="Times New Roman"/>
                <w:color w:val="auto"/>
                <w:sz w:val="21"/>
                <w:szCs w:val="21"/>
              </w:rPr>
              <w:t>经查《产业结构调整指导目录（20</w:t>
            </w:r>
            <w:r>
              <w:rPr>
                <w:rFonts w:hint="default" w:ascii="Times New Roman" w:hAnsi="Times New Roman" w:eastAsia="宋体" w:cs="Times New Roman"/>
                <w:color w:val="auto"/>
                <w:sz w:val="21"/>
                <w:szCs w:val="21"/>
                <w:lang w:val="en-US" w:eastAsia="zh-CN"/>
              </w:rPr>
              <w:t>24</w:t>
            </w:r>
            <w:r>
              <w:rPr>
                <w:rFonts w:hint="default" w:ascii="Times New Roman" w:hAnsi="Times New Roman" w:eastAsia="宋体" w:cs="Times New Roman"/>
                <w:color w:val="auto"/>
                <w:sz w:val="21"/>
                <w:szCs w:val="21"/>
              </w:rPr>
              <w:t>年本）》，</w:t>
            </w:r>
            <w:r>
              <w:rPr>
                <w:rFonts w:hint="default" w:ascii="Times New Roman" w:hAnsi="Times New Roman" w:eastAsia="宋体" w:cs="Times New Roman"/>
                <w:color w:val="auto"/>
                <w:kern w:val="0"/>
                <w:sz w:val="21"/>
                <w:szCs w:val="21"/>
              </w:rPr>
              <w:t>上述产品均不属于“限制类”和“淘汰类”产品。</w:t>
            </w:r>
          </w:p>
          <w:p w14:paraId="10EE4A3C">
            <w:pPr>
              <w:tabs>
                <w:tab w:val="center" w:pos="4436"/>
              </w:tabs>
              <w:spacing w:before="100" w:beforeAutospacing="1" w:line="360" w:lineRule="auto"/>
              <w:ind w:firstLine="482" w:firstLineChars="200"/>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4、主要生产设备</w:t>
            </w:r>
          </w:p>
          <w:p w14:paraId="36B733F4">
            <w:pPr>
              <w:spacing w:line="360" w:lineRule="auto"/>
              <w:ind w:firstLine="480" w:firstLineChars="200"/>
              <w:rPr>
                <w:rFonts w:hint="default" w:ascii="Times New Roman" w:hAnsi="Times New Roman" w:cs="Times New Roman"/>
                <w:color w:val="auto"/>
                <w:kern w:val="0"/>
                <w:sz w:val="24"/>
                <w:szCs w:val="20"/>
              </w:rPr>
            </w:pPr>
            <w:r>
              <w:rPr>
                <w:rFonts w:hint="default" w:ascii="Times New Roman" w:hAnsi="Times New Roman" w:cs="Times New Roman"/>
                <w:color w:val="auto"/>
                <w:kern w:val="0"/>
                <w:sz w:val="24"/>
                <w:szCs w:val="20"/>
              </w:rPr>
              <w:t>该项目主要生产设备见</w:t>
            </w:r>
            <w:r>
              <w:rPr>
                <w:rFonts w:hint="default" w:ascii="Times New Roman" w:hAnsi="Times New Roman" w:cs="Times New Roman"/>
                <w:color w:val="auto"/>
                <w:kern w:val="0"/>
                <w:sz w:val="24"/>
                <w:szCs w:val="20"/>
                <w:lang w:eastAsia="zh-CN"/>
              </w:rPr>
              <w:t>下表</w:t>
            </w:r>
            <w:r>
              <w:rPr>
                <w:rFonts w:hint="default" w:ascii="Times New Roman" w:hAnsi="Times New Roman" w:cs="Times New Roman"/>
                <w:color w:val="auto"/>
                <w:kern w:val="0"/>
                <w:sz w:val="24"/>
                <w:szCs w:val="20"/>
              </w:rPr>
              <w:t>。</w:t>
            </w:r>
          </w:p>
          <w:p w14:paraId="490ACEB1">
            <w:pPr>
              <w:pStyle w:val="374"/>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kern w:val="0"/>
                <w:sz w:val="24"/>
                <w:szCs w:val="20"/>
                <w:lang w:val="en-US" w:eastAsia="zh-CN" w:bidi="ar-SA"/>
              </w:rPr>
            </w:pPr>
            <w:r>
              <w:rPr>
                <w:rFonts w:hint="default" w:ascii="Times New Roman" w:hAnsi="Times New Roman" w:eastAsia="宋体" w:cs="Times New Roman"/>
                <w:b/>
                <w:color w:val="auto"/>
                <w:kern w:val="0"/>
                <w:sz w:val="24"/>
                <w:szCs w:val="20"/>
                <w:lang w:val="en-US" w:eastAsia="zh-CN" w:bidi="ar-SA"/>
              </w:rPr>
              <w:t>表2-5  项目主要设备一览表</w:t>
            </w:r>
          </w:p>
          <w:tbl>
            <w:tblPr>
              <w:tblStyle w:val="6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9"/>
              <w:gridCol w:w="1986"/>
              <w:gridCol w:w="1457"/>
              <w:gridCol w:w="1095"/>
              <w:gridCol w:w="1097"/>
              <w:gridCol w:w="1098"/>
              <w:gridCol w:w="1099"/>
            </w:tblGrid>
            <w:tr w14:paraId="3F758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5" w:type="pct"/>
                  <w:noWrap w:val="0"/>
                  <w:vAlign w:val="center"/>
                </w:tcPr>
                <w:p w14:paraId="001E37C5">
                  <w:pPr>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序号</w:t>
                  </w:r>
                </w:p>
              </w:tc>
              <w:tc>
                <w:tcPr>
                  <w:tcW w:w="1190" w:type="pct"/>
                  <w:noWrap w:val="0"/>
                  <w:vAlign w:val="center"/>
                </w:tcPr>
                <w:p w14:paraId="0F02A478">
                  <w:pPr>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设备名称</w:t>
                  </w:r>
                </w:p>
              </w:tc>
              <w:tc>
                <w:tcPr>
                  <w:tcW w:w="873" w:type="pct"/>
                  <w:noWrap w:val="0"/>
                  <w:vAlign w:val="center"/>
                </w:tcPr>
                <w:p w14:paraId="5DCE1576">
                  <w:pPr>
                    <w:jc w:val="center"/>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规格型号</w:t>
                  </w:r>
                </w:p>
              </w:tc>
              <w:tc>
                <w:tcPr>
                  <w:tcW w:w="656" w:type="pct"/>
                  <w:noWrap w:val="0"/>
                  <w:vAlign w:val="center"/>
                </w:tcPr>
                <w:p w14:paraId="69C4FC0B">
                  <w:pPr>
                    <w:jc w:val="center"/>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rPr>
                    <w:t>数量</w:t>
                  </w:r>
                </w:p>
              </w:tc>
              <w:tc>
                <w:tcPr>
                  <w:tcW w:w="657" w:type="pct"/>
                  <w:noWrap w:val="0"/>
                  <w:vAlign w:val="center"/>
                </w:tcPr>
                <w:p w14:paraId="58EC4C04">
                  <w:pPr>
                    <w:jc w:val="center"/>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单位</w:t>
                  </w:r>
                </w:p>
              </w:tc>
              <w:tc>
                <w:tcPr>
                  <w:tcW w:w="658" w:type="pct"/>
                  <w:noWrap w:val="0"/>
                  <w:vAlign w:val="center"/>
                </w:tcPr>
                <w:p w14:paraId="33187500">
                  <w:pPr>
                    <w:jc w:val="center"/>
                    <w:rPr>
                      <w:rFonts w:hint="eastAsia" w:cs="Times New Roman"/>
                      <w:b/>
                      <w:bCs/>
                      <w:color w:val="auto"/>
                      <w:sz w:val="21"/>
                      <w:szCs w:val="21"/>
                      <w:lang w:val="en-US" w:eastAsia="zh-CN"/>
                    </w:rPr>
                  </w:pPr>
                  <w:r>
                    <w:rPr>
                      <w:rFonts w:hint="eastAsia" w:cs="Times New Roman"/>
                      <w:b/>
                      <w:bCs/>
                      <w:color w:val="auto"/>
                      <w:sz w:val="21"/>
                      <w:szCs w:val="21"/>
                      <w:lang w:val="en-US" w:eastAsia="zh-CN"/>
                    </w:rPr>
                    <w:t>车间</w:t>
                  </w:r>
                </w:p>
                <w:p w14:paraId="52074105">
                  <w:pPr>
                    <w:jc w:val="center"/>
                    <w:rPr>
                      <w:rFonts w:hint="default" w:ascii="Times New Roman" w:hAnsi="Times New Roman" w:cs="Times New Roman"/>
                      <w:b/>
                      <w:bCs/>
                      <w:color w:val="auto"/>
                      <w:sz w:val="21"/>
                      <w:szCs w:val="21"/>
                      <w:lang w:val="en-US" w:eastAsia="zh-CN"/>
                    </w:rPr>
                  </w:pPr>
                  <w:r>
                    <w:rPr>
                      <w:rFonts w:hint="eastAsia" w:cs="Times New Roman"/>
                      <w:b/>
                      <w:bCs/>
                      <w:color w:val="auto"/>
                      <w:sz w:val="21"/>
                      <w:szCs w:val="21"/>
                      <w:lang w:val="en-US" w:eastAsia="zh-CN"/>
                    </w:rPr>
                    <w:t>位置</w:t>
                  </w:r>
                </w:p>
              </w:tc>
              <w:tc>
                <w:tcPr>
                  <w:tcW w:w="658" w:type="pct"/>
                  <w:shd w:val="clear" w:color="auto" w:fill="auto"/>
                  <w:noWrap w:val="0"/>
                  <w:vAlign w:val="center"/>
                </w:tcPr>
                <w:p w14:paraId="1045F701">
                  <w:pPr>
                    <w:jc w:val="center"/>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cs="Times New Roman"/>
                      <w:b/>
                      <w:bCs/>
                      <w:color w:val="auto"/>
                      <w:sz w:val="21"/>
                      <w:szCs w:val="21"/>
                      <w:lang w:val="en-US" w:eastAsia="zh-CN"/>
                    </w:rPr>
                    <w:t>生产</w:t>
                  </w:r>
                  <w:r>
                    <w:rPr>
                      <w:rFonts w:hint="default" w:ascii="Times New Roman" w:hAnsi="Times New Roman" w:cs="Times New Roman"/>
                      <w:b/>
                      <w:bCs/>
                      <w:color w:val="auto"/>
                      <w:sz w:val="21"/>
                      <w:szCs w:val="21"/>
                      <w:lang w:eastAsia="zh-CN"/>
                    </w:rPr>
                    <w:t>工序</w:t>
                  </w:r>
                </w:p>
              </w:tc>
            </w:tr>
            <w:tr w14:paraId="41CCE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5" w:type="pct"/>
                  <w:noWrap w:val="0"/>
                  <w:vAlign w:val="center"/>
                </w:tcPr>
                <w:p w14:paraId="718D5A73">
                  <w:pPr>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1</w:t>
                  </w:r>
                </w:p>
              </w:tc>
              <w:tc>
                <w:tcPr>
                  <w:tcW w:w="1190" w:type="pct"/>
                  <w:shd w:val="clear" w:color="auto" w:fill="auto"/>
                  <w:noWrap w:val="0"/>
                  <w:vAlign w:val="center"/>
                </w:tcPr>
                <w:p w14:paraId="668797B8">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圆盘锯切机</w:t>
                  </w:r>
                </w:p>
              </w:tc>
              <w:tc>
                <w:tcPr>
                  <w:tcW w:w="873" w:type="pct"/>
                  <w:noWrap w:val="0"/>
                  <w:vAlign w:val="center"/>
                </w:tcPr>
                <w:p w14:paraId="6F2A343B">
                  <w:pPr>
                    <w:jc w:val="center"/>
                    <w:rPr>
                      <w:rFonts w:hint="default" w:ascii="Times New Roman" w:hAnsi="Times New Roman" w:eastAsia="宋体" w:cs="Times New Roman"/>
                      <w:color w:val="auto"/>
                      <w:sz w:val="21"/>
                      <w:szCs w:val="21"/>
                      <w:lang w:val="en-US" w:eastAsia="en-US"/>
                    </w:rPr>
                  </w:pPr>
                  <w:r>
                    <w:rPr>
                      <w:rFonts w:hint="default" w:ascii="Times New Roman" w:hAnsi="Times New Roman" w:eastAsia="宋体" w:cs="Times New Roman"/>
                      <w:color w:val="auto"/>
                      <w:sz w:val="21"/>
                      <w:szCs w:val="21"/>
                      <w:lang w:val="en-US" w:eastAsia="en-US"/>
                    </w:rPr>
                    <w:t>SK-70A</w:t>
                  </w:r>
                </w:p>
              </w:tc>
              <w:tc>
                <w:tcPr>
                  <w:tcW w:w="656" w:type="pct"/>
                  <w:noWrap w:val="0"/>
                  <w:vAlign w:val="center"/>
                </w:tcPr>
                <w:p w14:paraId="659A96AF">
                  <w:pPr>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w:t>
                  </w:r>
                </w:p>
              </w:tc>
              <w:tc>
                <w:tcPr>
                  <w:tcW w:w="657" w:type="pct"/>
                  <w:noWrap w:val="0"/>
                  <w:vAlign w:val="center"/>
                </w:tcPr>
                <w:p w14:paraId="308C864E">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658" w:type="pct"/>
                  <w:noWrap w:val="0"/>
                  <w:vAlign w:val="center"/>
                </w:tcPr>
                <w:p w14:paraId="7663F31A">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1#厂房</w:t>
                  </w:r>
                </w:p>
              </w:tc>
              <w:tc>
                <w:tcPr>
                  <w:tcW w:w="658" w:type="pct"/>
                  <w:shd w:val="clear" w:color="auto" w:fill="auto"/>
                  <w:noWrap w:val="0"/>
                  <w:vAlign w:val="center"/>
                </w:tcPr>
                <w:p w14:paraId="5525C3D0">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切割下料</w:t>
                  </w:r>
                </w:p>
              </w:tc>
            </w:tr>
            <w:tr w14:paraId="004EE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5" w:type="pct"/>
                  <w:noWrap w:val="0"/>
                  <w:vAlign w:val="center"/>
                </w:tcPr>
                <w:p w14:paraId="17F2EFB0">
                  <w:pPr>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2</w:t>
                  </w:r>
                </w:p>
              </w:tc>
              <w:tc>
                <w:tcPr>
                  <w:tcW w:w="1190" w:type="pct"/>
                  <w:shd w:val="clear" w:color="auto" w:fill="auto"/>
                  <w:noWrap w:val="0"/>
                  <w:vAlign w:val="center"/>
                </w:tcPr>
                <w:p w14:paraId="1D2235BF">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高频炉</w:t>
                  </w:r>
                </w:p>
              </w:tc>
              <w:tc>
                <w:tcPr>
                  <w:tcW w:w="873" w:type="pct"/>
                  <w:noWrap w:val="0"/>
                  <w:vAlign w:val="center"/>
                </w:tcPr>
                <w:p w14:paraId="109FEEED">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ZJ-8</w:t>
                  </w:r>
                </w:p>
              </w:tc>
              <w:tc>
                <w:tcPr>
                  <w:tcW w:w="656" w:type="pct"/>
                  <w:noWrap w:val="0"/>
                  <w:vAlign w:val="center"/>
                </w:tcPr>
                <w:p w14:paraId="2F234A15">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w:t>
                  </w:r>
                </w:p>
              </w:tc>
              <w:tc>
                <w:tcPr>
                  <w:tcW w:w="657" w:type="pct"/>
                  <w:noWrap w:val="0"/>
                  <w:vAlign w:val="center"/>
                </w:tcPr>
                <w:p w14:paraId="19710076">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套</w:t>
                  </w:r>
                </w:p>
              </w:tc>
              <w:tc>
                <w:tcPr>
                  <w:tcW w:w="658" w:type="pct"/>
                  <w:noWrap w:val="0"/>
                  <w:vAlign w:val="center"/>
                </w:tcPr>
                <w:p w14:paraId="21C7BD51">
                  <w:pPr>
                    <w:jc w:val="center"/>
                    <w:rPr>
                      <w:rFonts w:hint="default" w:ascii="Times New Roman" w:hAnsi="Times New Roman" w:cs="Times New Roman"/>
                      <w:color w:val="auto"/>
                      <w:sz w:val="21"/>
                      <w:szCs w:val="21"/>
                      <w:lang w:val="en-US" w:eastAsia="zh-CN"/>
                    </w:rPr>
                  </w:pPr>
                  <w:r>
                    <w:rPr>
                      <w:rFonts w:hint="eastAsia" w:cs="Times New Roman"/>
                      <w:color w:val="auto"/>
                      <w:kern w:val="2"/>
                      <w:sz w:val="21"/>
                      <w:szCs w:val="21"/>
                      <w:lang w:val="en-US" w:eastAsia="zh-CN" w:bidi="ar-SA"/>
                    </w:rPr>
                    <w:t>1#厂房</w:t>
                  </w:r>
                </w:p>
              </w:tc>
              <w:tc>
                <w:tcPr>
                  <w:tcW w:w="658" w:type="pct"/>
                  <w:shd w:val="clear" w:color="auto" w:fill="auto"/>
                  <w:noWrap w:val="0"/>
                  <w:vAlign w:val="center"/>
                </w:tcPr>
                <w:p w14:paraId="2BC71FAB">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感应加热</w:t>
                  </w:r>
                </w:p>
              </w:tc>
            </w:tr>
            <w:tr w14:paraId="63A7F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305" w:type="pct"/>
                  <w:noWrap w:val="0"/>
                  <w:vAlign w:val="center"/>
                </w:tcPr>
                <w:p w14:paraId="36276111">
                  <w:pPr>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3</w:t>
                  </w:r>
                </w:p>
              </w:tc>
              <w:tc>
                <w:tcPr>
                  <w:tcW w:w="1190" w:type="pct"/>
                  <w:shd w:val="clear" w:color="auto" w:fill="auto"/>
                  <w:noWrap w:val="0"/>
                  <w:vAlign w:val="center"/>
                </w:tcPr>
                <w:p w14:paraId="658CD414">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高速锻压机</w:t>
                  </w:r>
                </w:p>
              </w:tc>
              <w:tc>
                <w:tcPr>
                  <w:tcW w:w="873" w:type="pct"/>
                  <w:shd w:val="clear" w:color="auto" w:fill="auto"/>
                  <w:noWrap w:val="0"/>
                  <w:vAlign w:val="center"/>
                </w:tcPr>
                <w:p w14:paraId="46CF8746">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w:t>
                  </w:r>
                </w:p>
              </w:tc>
              <w:tc>
                <w:tcPr>
                  <w:tcW w:w="656" w:type="pct"/>
                  <w:shd w:val="clear" w:color="auto" w:fill="auto"/>
                  <w:noWrap w:val="0"/>
                  <w:vAlign w:val="center"/>
                </w:tcPr>
                <w:p w14:paraId="5E9FD16B">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4</w:t>
                  </w:r>
                </w:p>
              </w:tc>
              <w:tc>
                <w:tcPr>
                  <w:tcW w:w="657" w:type="pct"/>
                  <w:shd w:val="clear" w:color="auto" w:fill="auto"/>
                  <w:noWrap w:val="0"/>
                  <w:vAlign w:val="center"/>
                </w:tcPr>
                <w:p w14:paraId="336197A0">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台</w:t>
                  </w:r>
                </w:p>
              </w:tc>
              <w:tc>
                <w:tcPr>
                  <w:tcW w:w="658" w:type="pct"/>
                  <w:noWrap w:val="0"/>
                  <w:vAlign w:val="center"/>
                </w:tcPr>
                <w:p w14:paraId="0BAC7D9A">
                  <w:pPr>
                    <w:jc w:val="center"/>
                    <w:rPr>
                      <w:rFonts w:hint="default" w:ascii="Times New Roman" w:hAnsi="Times New Roman" w:cs="Times New Roman"/>
                      <w:color w:val="auto"/>
                      <w:sz w:val="21"/>
                      <w:szCs w:val="21"/>
                      <w:lang w:val="en-US" w:eastAsia="zh-CN"/>
                    </w:rPr>
                  </w:pPr>
                  <w:r>
                    <w:rPr>
                      <w:rFonts w:hint="eastAsia" w:cs="Times New Roman"/>
                      <w:color w:val="auto"/>
                      <w:kern w:val="2"/>
                      <w:sz w:val="21"/>
                      <w:szCs w:val="21"/>
                      <w:lang w:val="en-US" w:eastAsia="zh-CN" w:bidi="ar-SA"/>
                    </w:rPr>
                    <w:t>1#厂房</w:t>
                  </w:r>
                </w:p>
              </w:tc>
              <w:tc>
                <w:tcPr>
                  <w:tcW w:w="658" w:type="pct"/>
                  <w:shd w:val="clear" w:color="auto" w:fill="auto"/>
                  <w:noWrap w:val="0"/>
                  <w:vAlign w:val="center"/>
                </w:tcPr>
                <w:p w14:paraId="122B26A8">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锻造</w:t>
                  </w:r>
                </w:p>
              </w:tc>
            </w:tr>
            <w:tr w14:paraId="7B4B1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5" w:type="pct"/>
                  <w:noWrap w:val="0"/>
                  <w:vAlign w:val="center"/>
                </w:tcPr>
                <w:p w14:paraId="7246C7AA">
                  <w:pPr>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4</w:t>
                  </w:r>
                </w:p>
              </w:tc>
              <w:tc>
                <w:tcPr>
                  <w:tcW w:w="1190" w:type="pct"/>
                  <w:shd w:val="clear" w:color="auto" w:fill="auto"/>
                  <w:noWrap w:val="0"/>
                  <w:vAlign w:val="center"/>
                </w:tcPr>
                <w:p w14:paraId="6150F169">
                  <w:pPr>
                    <w:jc w:val="center"/>
                    <w:rPr>
                      <w:rFonts w:hint="default" w:ascii="Times New Roman" w:hAnsi="Times New Roman" w:eastAsia="宋体" w:cs="Times New Roman"/>
                      <w:color w:val="auto"/>
                      <w:kern w:val="2"/>
                      <w:sz w:val="21"/>
                      <w:szCs w:val="21"/>
                      <w:lang w:val="en-US" w:eastAsia="en-US" w:bidi="ar-SA"/>
                    </w:rPr>
                  </w:pPr>
                  <w:r>
                    <w:rPr>
                      <w:rFonts w:hint="default" w:ascii="Times New Roman" w:hAnsi="Times New Roman" w:eastAsia="宋体" w:cs="Times New Roman"/>
                      <w:color w:val="auto"/>
                      <w:sz w:val="21"/>
                      <w:szCs w:val="21"/>
                      <w:lang w:val="en-US" w:eastAsia="zh-CN"/>
                    </w:rPr>
                    <w:t>抛丸机</w:t>
                  </w:r>
                </w:p>
              </w:tc>
              <w:tc>
                <w:tcPr>
                  <w:tcW w:w="873" w:type="pct"/>
                  <w:shd w:val="clear" w:color="auto" w:fill="auto"/>
                  <w:noWrap w:val="0"/>
                  <w:vAlign w:val="center"/>
                </w:tcPr>
                <w:p w14:paraId="67859D2D">
                  <w:pPr>
                    <w:jc w:val="center"/>
                    <w:rPr>
                      <w:rFonts w:hint="default" w:ascii="Times New Roman" w:hAnsi="Times New Roman" w:eastAsia="宋体" w:cs="Times New Roman"/>
                      <w:color w:val="auto"/>
                      <w:kern w:val="2"/>
                      <w:sz w:val="21"/>
                      <w:szCs w:val="21"/>
                      <w:lang w:val="en-US" w:eastAsia="en-US" w:bidi="ar-SA"/>
                    </w:rPr>
                  </w:pPr>
                  <w:r>
                    <w:rPr>
                      <w:rFonts w:hint="default" w:ascii="Times New Roman" w:hAnsi="Times New Roman" w:eastAsia="宋体" w:cs="Times New Roman"/>
                      <w:color w:val="auto"/>
                      <w:sz w:val="21"/>
                      <w:szCs w:val="21"/>
                      <w:lang w:val="en-US" w:eastAsia="zh-CN"/>
                    </w:rPr>
                    <w:t>Q3210</w:t>
                  </w:r>
                </w:p>
              </w:tc>
              <w:tc>
                <w:tcPr>
                  <w:tcW w:w="656" w:type="pct"/>
                  <w:shd w:val="clear" w:color="auto" w:fill="auto"/>
                  <w:noWrap w:val="0"/>
                  <w:vAlign w:val="center"/>
                </w:tcPr>
                <w:p w14:paraId="000B0687">
                  <w:pPr>
                    <w:jc w:val="center"/>
                    <w:rPr>
                      <w:rFonts w:hint="default" w:ascii="Times New Roman" w:hAnsi="Times New Roman" w:eastAsia="宋体" w:cs="Times New Roman"/>
                      <w:color w:val="auto"/>
                      <w:kern w:val="2"/>
                      <w:sz w:val="21"/>
                      <w:szCs w:val="21"/>
                      <w:lang w:val="en-US" w:eastAsia="en-US" w:bidi="ar-SA"/>
                    </w:rPr>
                  </w:pPr>
                  <w:r>
                    <w:rPr>
                      <w:rFonts w:hint="default" w:ascii="Times New Roman" w:hAnsi="Times New Roman" w:eastAsia="宋体" w:cs="Times New Roman"/>
                      <w:color w:val="auto"/>
                      <w:sz w:val="21"/>
                      <w:szCs w:val="21"/>
                      <w:lang w:val="en-US" w:eastAsia="zh-CN"/>
                    </w:rPr>
                    <w:t>2</w:t>
                  </w:r>
                </w:p>
              </w:tc>
              <w:tc>
                <w:tcPr>
                  <w:tcW w:w="657" w:type="pct"/>
                  <w:shd w:val="clear" w:color="auto" w:fill="auto"/>
                  <w:noWrap w:val="0"/>
                  <w:vAlign w:val="center"/>
                </w:tcPr>
                <w:p w14:paraId="22797F40">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台</w:t>
                  </w:r>
                </w:p>
              </w:tc>
              <w:tc>
                <w:tcPr>
                  <w:tcW w:w="658" w:type="pct"/>
                  <w:shd w:val="clear" w:color="auto" w:fill="auto"/>
                  <w:noWrap w:val="0"/>
                  <w:vAlign w:val="center"/>
                </w:tcPr>
                <w:p w14:paraId="4524ED9D">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1#厂房</w:t>
                  </w:r>
                </w:p>
              </w:tc>
              <w:tc>
                <w:tcPr>
                  <w:tcW w:w="658" w:type="pct"/>
                  <w:shd w:val="clear" w:color="auto" w:fill="auto"/>
                  <w:noWrap w:val="0"/>
                  <w:vAlign w:val="center"/>
                </w:tcPr>
                <w:p w14:paraId="77CC50C7">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抛丸</w:t>
                  </w:r>
                </w:p>
              </w:tc>
            </w:tr>
            <w:tr w14:paraId="0A9E6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5" w:type="pct"/>
                  <w:noWrap w:val="0"/>
                  <w:vAlign w:val="center"/>
                </w:tcPr>
                <w:p w14:paraId="41C29AD6">
                  <w:pPr>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5</w:t>
                  </w:r>
                </w:p>
              </w:tc>
              <w:tc>
                <w:tcPr>
                  <w:tcW w:w="1190" w:type="pct"/>
                  <w:shd w:val="clear" w:color="auto" w:fill="auto"/>
                  <w:noWrap w:val="0"/>
                  <w:vAlign w:val="center"/>
                </w:tcPr>
                <w:p w14:paraId="43553DD5">
                  <w:pPr>
                    <w:jc w:val="center"/>
                    <w:rPr>
                      <w:rFonts w:hint="default" w:ascii="Times New Roman" w:hAnsi="Times New Roman" w:eastAsia="宋体" w:cs="Times New Roman"/>
                      <w:color w:val="auto"/>
                      <w:kern w:val="2"/>
                      <w:sz w:val="21"/>
                      <w:szCs w:val="21"/>
                      <w:lang w:val="en-US" w:eastAsia="en-US" w:bidi="ar-SA"/>
                    </w:rPr>
                  </w:pPr>
                  <w:r>
                    <w:rPr>
                      <w:rFonts w:hint="default" w:ascii="Times New Roman" w:hAnsi="Times New Roman" w:eastAsia="宋体" w:cs="Times New Roman"/>
                      <w:color w:val="auto"/>
                      <w:sz w:val="21"/>
                      <w:szCs w:val="21"/>
                      <w:lang w:val="en-US" w:eastAsia="zh-CN"/>
                    </w:rPr>
                    <w:t>数控车床</w:t>
                  </w:r>
                </w:p>
              </w:tc>
              <w:tc>
                <w:tcPr>
                  <w:tcW w:w="873" w:type="pct"/>
                  <w:shd w:val="clear" w:color="auto" w:fill="auto"/>
                  <w:noWrap w:val="0"/>
                  <w:vAlign w:val="center"/>
                </w:tcPr>
                <w:p w14:paraId="7FBAED06">
                  <w:pPr>
                    <w:jc w:val="center"/>
                    <w:rPr>
                      <w:rFonts w:hint="default" w:ascii="Times New Roman" w:hAnsi="Times New Roman" w:eastAsia="宋体" w:cs="Times New Roman"/>
                      <w:color w:val="auto"/>
                      <w:kern w:val="2"/>
                      <w:sz w:val="21"/>
                      <w:szCs w:val="21"/>
                      <w:lang w:val="en-US" w:eastAsia="en-US" w:bidi="ar-SA"/>
                    </w:rPr>
                  </w:pPr>
                  <w:r>
                    <w:rPr>
                      <w:rFonts w:hint="default" w:ascii="Times New Roman" w:hAnsi="Times New Roman" w:eastAsia="宋体" w:cs="Times New Roman"/>
                      <w:color w:val="auto"/>
                      <w:sz w:val="21"/>
                      <w:szCs w:val="21"/>
                      <w:lang w:val="en-US" w:eastAsia="zh-CN"/>
                    </w:rPr>
                    <w:t>MY200P-I</w:t>
                  </w:r>
                </w:p>
              </w:tc>
              <w:tc>
                <w:tcPr>
                  <w:tcW w:w="656" w:type="pct"/>
                  <w:shd w:val="clear" w:color="auto" w:fill="auto"/>
                  <w:noWrap w:val="0"/>
                  <w:vAlign w:val="center"/>
                </w:tcPr>
                <w:p w14:paraId="4EE39FF5">
                  <w:pPr>
                    <w:jc w:val="center"/>
                    <w:rPr>
                      <w:rFonts w:hint="default" w:ascii="Times New Roman" w:hAnsi="Times New Roman" w:eastAsia="宋体" w:cs="Times New Roman"/>
                      <w:color w:val="auto"/>
                      <w:kern w:val="2"/>
                      <w:sz w:val="21"/>
                      <w:szCs w:val="21"/>
                      <w:lang w:val="en-US" w:eastAsia="en-US" w:bidi="ar-SA"/>
                    </w:rPr>
                  </w:pPr>
                  <w:r>
                    <w:rPr>
                      <w:rFonts w:hint="default" w:ascii="Times New Roman" w:hAnsi="Times New Roman" w:eastAsia="宋体" w:cs="Times New Roman"/>
                      <w:color w:val="auto"/>
                      <w:sz w:val="21"/>
                      <w:szCs w:val="21"/>
                      <w:lang w:val="en-US" w:eastAsia="zh-CN"/>
                    </w:rPr>
                    <w:t>80</w:t>
                  </w:r>
                </w:p>
              </w:tc>
              <w:tc>
                <w:tcPr>
                  <w:tcW w:w="657" w:type="pct"/>
                  <w:shd w:val="clear" w:color="auto" w:fill="auto"/>
                  <w:noWrap w:val="0"/>
                  <w:vAlign w:val="center"/>
                </w:tcPr>
                <w:p w14:paraId="674B90AD">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台</w:t>
                  </w:r>
                </w:p>
              </w:tc>
              <w:tc>
                <w:tcPr>
                  <w:tcW w:w="658" w:type="pct"/>
                  <w:shd w:val="clear" w:color="auto" w:fill="auto"/>
                  <w:noWrap w:val="0"/>
                  <w:vAlign w:val="center"/>
                </w:tcPr>
                <w:p w14:paraId="067B7057">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2#厂房</w:t>
                  </w:r>
                </w:p>
              </w:tc>
              <w:tc>
                <w:tcPr>
                  <w:tcW w:w="658" w:type="pct"/>
                  <w:vMerge w:val="restart"/>
                  <w:shd w:val="clear" w:color="auto" w:fill="auto"/>
                  <w:noWrap w:val="0"/>
                  <w:vAlign w:val="center"/>
                </w:tcPr>
                <w:p w14:paraId="1A12C090">
                  <w:pPr>
                    <w:jc w:val="center"/>
                    <w:rPr>
                      <w:rFonts w:hint="eastAsia" w:cs="Times New Roman"/>
                      <w:color w:val="auto"/>
                      <w:sz w:val="21"/>
                      <w:szCs w:val="21"/>
                      <w:lang w:val="en-US" w:eastAsia="zh-CN"/>
                    </w:rPr>
                  </w:pPr>
                  <w:r>
                    <w:rPr>
                      <w:rFonts w:hint="eastAsia" w:cs="Times New Roman"/>
                      <w:color w:val="auto"/>
                      <w:sz w:val="21"/>
                      <w:szCs w:val="21"/>
                      <w:lang w:val="en-US" w:eastAsia="zh-CN"/>
                    </w:rPr>
                    <w:t>精、粗</w:t>
                  </w:r>
                </w:p>
                <w:p w14:paraId="43A2ECFB">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加工</w:t>
                  </w:r>
                </w:p>
              </w:tc>
            </w:tr>
            <w:tr w14:paraId="0D615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5" w:type="pct"/>
                  <w:shd w:val="clear" w:color="auto" w:fill="auto"/>
                  <w:noWrap w:val="0"/>
                  <w:vAlign w:val="center"/>
                </w:tcPr>
                <w:p w14:paraId="4ACD97BF">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6</w:t>
                  </w:r>
                </w:p>
              </w:tc>
              <w:tc>
                <w:tcPr>
                  <w:tcW w:w="1190" w:type="pct"/>
                  <w:shd w:val="clear" w:color="auto" w:fill="auto"/>
                  <w:noWrap w:val="0"/>
                  <w:vAlign w:val="center"/>
                </w:tcPr>
                <w:p w14:paraId="2CD88C0E">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6"/>
                      <w:sz w:val="21"/>
                      <w:szCs w:val="21"/>
                      <w:lang w:val="en-US" w:eastAsia="zh-CN"/>
                    </w:rPr>
                    <w:t>数控</w:t>
                  </w:r>
                  <w:r>
                    <w:rPr>
                      <w:rFonts w:hint="default" w:ascii="Times New Roman" w:hAnsi="Times New Roman" w:eastAsia="宋体" w:cs="Times New Roman"/>
                      <w:color w:val="auto"/>
                      <w:spacing w:val="6"/>
                      <w:sz w:val="21"/>
                      <w:szCs w:val="21"/>
                    </w:rPr>
                    <w:t>加工中心（CNC）</w:t>
                  </w:r>
                </w:p>
              </w:tc>
              <w:tc>
                <w:tcPr>
                  <w:tcW w:w="873" w:type="pct"/>
                  <w:shd w:val="clear" w:color="auto" w:fill="auto"/>
                  <w:noWrap w:val="0"/>
                  <w:vAlign w:val="center"/>
                </w:tcPr>
                <w:p w14:paraId="6D781266">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6"/>
                      <w:sz w:val="21"/>
                      <w:szCs w:val="21"/>
                    </w:rPr>
                    <w:t>V855-2</w:t>
                  </w:r>
                </w:p>
              </w:tc>
              <w:tc>
                <w:tcPr>
                  <w:tcW w:w="656" w:type="pct"/>
                  <w:shd w:val="clear" w:color="auto" w:fill="auto"/>
                  <w:noWrap w:val="0"/>
                  <w:vAlign w:val="center"/>
                </w:tcPr>
                <w:p w14:paraId="302AB0B4">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6"/>
                      <w:sz w:val="21"/>
                      <w:szCs w:val="21"/>
                      <w:lang w:val="en-US" w:eastAsia="zh-CN"/>
                    </w:rPr>
                    <w:t>15</w:t>
                  </w:r>
                </w:p>
              </w:tc>
              <w:tc>
                <w:tcPr>
                  <w:tcW w:w="657" w:type="pct"/>
                  <w:shd w:val="clear" w:color="auto" w:fill="auto"/>
                  <w:noWrap w:val="0"/>
                  <w:vAlign w:val="center"/>
                </w:tcPr>
                <w:p w14:paraId="701CDE1A">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台</w:t>
                  </w:r>
                </w:p>
              </w:tc>
              <w:tc>
                <w:tcPr>
                  <w:tcW w:w="658" w:type="pct"/>
                  <w:shd w:val="clear" w:color="auto" w:fill="auto"/>
                  <w:noWrap w:val="0"/>
                  <w:vAlign w:val="center"/>
                </w:tcPr>
                <w:p w14:paraId="3609899F">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2#厂房</w:t>
                  </w:r>
                </w:p>
              </w:tc>
              <w:tc>
                <w:tcPr>
                  <w:tcW w:w="658" w:type="pct"/>
                  <w:vMerge w:val="continue"/>
                  <w:shd w:val="clear" w:color="auto" w:fill="auto"/>
                  <w:noWrap w:val="0"/>
                  <w:vAlign w:val="center"/>
                </w:tcPr>
                <w:p w14:paraId="354B4E36">
                  <w:pPr>
                    <w:jc w:val="center"/>
                    <w:rPr>
                      <w:rFonts w:hint="default" w:ascii="Times New Roman" w:hAnsi="Times New Roman" w:eastAsia="宋体" w:cs="Times New Roman"/>
                      <w:color w:val="auto"/>
                      <w:kern w:val="2"/>
                      <w:sz w:val="21"/>
                      <w:szCs w:val="21"/>
                      <w:lang w:val="en-US" w:eastAsia="zh-CN" w:bidi="ar-SA"/>
                    </w:rPr>
                  </w:pPr>
                </w:p>
              </w:tc>
            </w:tr>
            <w:tr w14:paraId="7B8D0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305" w:type="pct"/>
                  <w:shd w:val="clear" w:color="auto" w:fill="auto"/>
                  <w:noWrap w:val="0"/>
                  <w:vAlign w:val="center"/>
                </w:tcPr>
                <w:p w14:paraId="5896F6D7">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7</w:t>
                  </w:r>
                </w:p>
              </w:tc>
              <w:tc>
                <w:tcPr>
                  <w:tcW w:w="1190" w:type="pct"/>
                  <w:shd w:val="clear" w:color="auto" w:fill="auto"/>
                  <w:noWrap w:val="0"/>
                  <w:vAlign w:val="center"/>
                </w:tcPr>
                <w:p w14:paraId="5C78EE90">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数控感应淬火机床</w:t>
                  </w:r>
                </w:p>
              </w:tc>
              <w:tc>
                <w:tcPr>
                  <w:tcW w:w="873" w:type="pct"/>
                  <w:shd w:val="clear" w:color="auto" w:fill="auto"/>
                  <w:noWrap w:val="0"/>
                  <w:vAlign w:val="center"/>
                </w:tcPr>
                <w:p w14:paraId="3FB9D075">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GCHB0540</w:t>
                  </w:r>
                </w:p>
              </w:tc>
              <w:tc>
                <w:tcPr>
                  <w:tcW w:w="656" w:type="pct"/>
                  <w:shd w:val="clear" w:color="auto" w:fill="auto"/>
                  <w:noWrap w:val="0"/>
                  <w:vAlign w:val="center"/>
                </w:tcPr>
                <w:p w14:paraId="2119454E">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4</w:t>
                  </w:r>
                </w:p>
              </w:tc>
              <w:tc>
                <w:tcPr>
                  <w:tcW w:w="657" w:type="pct"/>
                  <w:shd w:val="clear" w:color="auto" w:fill="auto"/>
                  <w:noWrap w:val="0"/>
                  <w:vAlign w:val="center"/>
                </w:tcPr>
                <w:p w14:paraId="3CBD8E9D">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套</w:t>
                  </w:r>
                </w:p>
              </w:tc>
              <w:tc>
                <w:tcPr>
                  <w:tcW w:w="658" w:type="pct"/>
                  <w:shd w:val="clear" w:color="auto" w:fill="auto"/>
                  <w:noWrap w:val="0"/>
                  <w:vAlign w:val="center"/>
                </w:tcPr>
                <w:p w14:paraId="043C545C">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2#厂房</w:t>
                  </w:r>
                </w:p>
              </w:tc>
              <w:tc>
                <w:tcPr>
                  <w:tcW w:w="658" w:type="pct"/>
                  <w:shd w:val="clear" w:color="auto" w:fill="auto"/>
                  <w:noWrap w:val="0"/>
                  <w:vAlign w:val="center"/>
                </w:tcPr>
                <w:p w14:paraId="30132688">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淬火</w:t>
                  </w:r>
                </w:p>
              </w:tc>
            </w:tr>
            <w:tr w14:paraId="6247B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305" w:type="pct"/>
                  <w:shd w:val="clear" w:color="auto" w:fill="auto"/>
                  <w:noWrap w:val="0"/>
                  <w:vAlign w:val="center"/>
                </w:tcPr>
                <w:p w14:paraId="182E3566">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8</w:t>
                  </w:r>
                </w:p>
              </w:tc>
              <w:tc>
                <w:tcPr>
                  <w:tcW w:w="1190" w:type="pct"/>
                  <w:shd w:val="clear" w:color="auto" w:fill="auto"/>
                  <w:noWrap w:val="0"/>
                  <w:vAlign w:val="center"/>
                </w:tcPr>
                <w:p w14:paraId="18168E5D">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低温回火炉</w:t>
                  </w:r>
                </w:p>
              </w:tc>
              <w:tc>
                <w:tcPr>
                  <w:tcW w:w="873" w:type="pct"/>
                  <w:shd w:val="clear" w:color="auto" w:fill="auto"/>
                  <w:noWrap w:val="0"/>
                  <w:vAlign w:val="center"/>
                </w:tcPr>
                <w:p w14:paraId="7F08CAAF">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FK011</w:t>
                  </w:r>
                </w:p>
              </w:tc>
              <w:tc>
                <w:tcPr>
                  <w:tcW w:w="656" w:type="pct"/>
                  <w:shd w:val="clear" w:color="auto" w:fill="auto"/>
                  <w:noWrap w:val="0"/>
                  <w:vAlign w:val="center"/>
                </w:tcPr>
                <w:p w14:paraId="28775620">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2</w:t>
                  </w:r>
                </w:p>
              </w:tc>
              <w:tc>
                <w:tcPr>
                  <w:tcW w:w="657" w:type="pct"/>
                  <w:shd w:val="clear" w:color="auto" w:fill="auto"/>
                  <w:noWrap w:val="0"/>
                  <w:vAlign w:val="center"/>
                </w:tcPr>
                <w:p w14:paraId="3A795C6F">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台</w:t>
                  </w:r>
                </w:p>
              </w:tc>
              <w:tc>
                <w:tcPr>
                  <w:tcW w:w="658" w:type="pct"/>
                  <w:shd w:val="clear" w:color="auto" w:fill="auto"/>
                  <w:noWrap w:val="0"/>
                  <w:vAlign w:val="center"/>
                </w:tcPr>
                <w:p w14:paraId="210426E7">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2#厂房</w:t>
                  </w:r>
                </w:p>
              </w:tc>
              <w:tc>
                <w:tcPr>
                  <w:tcW w:w="658" w:type="pct"/>
                  <w:shd w:val="clear" w:color="auto" w:fill="auto"/>
                  <w:noWrap w:val="0"/>
                  <w:vAlign w:val="center"/>
                </w:tcPr>
                <w:p w14:paraId="7063B305">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回火</w:t>
                  </w:r>
                </w:p>
              </w:tc>
            </w:tr>
            <w:tr w14:paraId="79EDC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5" w:type="pct"/>
                  <w:shd w:val="clear" w:color="auto" w:fill="auto"/>
                  <w:noWrap w:val="0"/>
                  <w:vAlign w:val="center"/>
                </w:tcPr>
                <w:p w14:paraId="63D7A648">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9</w:t>
                  </w:r>
                </w:p>
              </w:tc>
              <w:tc>
                <w:tcPr>
                  <w:tcW w:w="1190" w:type="pct"/>
                  <w:shd w:val="clear" w:color="auto" w:fill="auto"/>
                  <w:noWrap w:val="0"/>
                  <w:vAlign w:val="center"/>
                </w:tcPr>
                <w:p w14:paraId="16F65AF8">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磨床</w:t>
                  </w:r>
                </w:p>
              </w:tc>
              <w:tc>
                <w:tcPr>
                  <w:tcW w:w="873" w:type="pct"/>
                  <w:shd w:val="clear" w:color="auto" w:fill="auto"/>
                  <w:noWrap w:val="0"/>
                  <w:vAlign w:val="center"/>
                </w:tcPr>
                <w:p w14:paraId="194A96D9">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M1420</w:t>
                  </w:r>
                </w:p>
              </w:tc>
              <w:tc>
                <w:tcPr>
                  <w:tcW w:w="656" w:type="pct"/>
                  <w:shd w:val="clear" w:color="auto" w:fill="auto"/>
                  <w:noWrap w:val="0"/>
                  <w:vAlign w:val="center"/>
                </w:tcPr>
                <w:p w14:paraId="24087500">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20</w:t>
                  </w:r>
                </w:p>
              </w:tc>
              <w:tc>
                <w:tcPr>
                  <w:tcW w:w="657" w:type="pct"/>
                  <w:shd w:val="clear" w:color="auto" w:fill="auto"/>
                  <w:noWrap w:val="0"/>
                  <w:vAlign w:val="center"/>
                </w:tcPr>
                <w:p w14:paraId="65EC1FC6">
                  <w:pPr>
                    <w:pStyle w:val="1093"/>
                    <w:spacing w:before="65" w:line="228" w:lineRule="auto"/>
                    <w:jc w:val="center"/>
                    <w:rPr>
                      <w:rFonts w:hint="default" w:ascii="Times New Roman" w:hAnsi="Times New Roman" w:eastAsia="宋体" w:cs="Times New Roman"/>
                      <w:color w:val="auto"/>
                      <w:spacing w:val="6"/>
                      <w:kern w:val="2"/>
                      <w:sz w:val="21"/>
                      <w:szCs w:val="21"/>
                      <w:lang w:val="en-US" w:eastAsia="zh-CN" w:bidi="ar-SA"/>
                    </w:rPr>
                  </w:pPr>
                  <w:r>
                    <w:rPr>
                      <w:rFonts w:hint="default" w:ascii="Times New Roman" w:hAnsi="Times New Roman" w:eastAsia="宋体" w:cs="Times New Roman"/>
                      <w:color w:val="auto"/>
                      <w:sz w:val="21"/>
                      <w:szCs w:val="21"/>
                      <w:lang w:val="en-US" w:eastAsia="zh-CN"/>
                    </w:rPr>
                    <w:t>台</w:t>
                  </w:r>
                </w:p>
              </w:tc>
              <w:tc>
                <w:tcPr>
                  <w:tcW w:w="658" w:type="pct"/>
                  <w:shd w:val="clear" w:color="auto" w:fill="auto"/>
                  <w:noWrap w:val="0"/>
                  <w:vAlign w:val="center"/>
                </w:tcPr>
                <w:p w14:paraId="5458CFD7">
                  <w:pPr>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1#厂房</w:t>
                  </w:r>
                </w:p>
              </w:tc>
              <w:tc>
                <w:tcPr>
                  <w:tcW w:w="658" w:type="pct"/>
                  <w:shd w:val="clear" w:color="auto" w:fill="auto"/>
                  <w:noWrap w:val="0"/>
                  <w:vAlign w:val="center"/>
                </w:tcPr>
                <w:p w14:paraId="422FF88F">
                  <w:pPr>
                    <w:pStyle w:val="1093"/>
                    <w:spacing w:before="65" w:line="228" w:lineRule="auto"/>
                    <w:jc w:val="center"/>
                    <w:rPr>
                      <w:rFonts w:hint="default" w:ascii="Times New Roman" w:hAnsi="Times New Roman" w:eastAsia="宋体" w:cs="Times New Roman"/>
                      <w:color w:val="auto"/>
                      <w:spacing w:val="6"/>
                      <w:sz w:val="21"/>
                      <w:szCs w:val="21"/>
                      <w:lang w:val="en-US" w:eastAsia="zh-CN"/>
                    </w:rPr>
                  </w:pPr>
                  <w:r>
                    <w:rPr>
                      <w:rFonts w:hint="default" w:ascii="Times New Roman" w:hAnsi="Times New Roman" w:eastAsia="宋体" w:cs="Times New Roman"/>
                      <w:color w:val="auto"/>
                      <w:spacing w:val="6"/>
                      <w:sz w:val="21"/>
                      <w:szCs w:val="21"/>
                      <w:lang w:val="en-US" w:eastAsia="zh-CN"/>
                    </w:rPr>
                    <w:t>磨削</w:t>
                  </w:r>
                </w:p>
                <w:p w14:paraId="0D64FBDD">
                  <w:pPr>
                    <w:pStyle w:val="1093"/>
                    <w:spacing w:before="65" w:line="228" w:lineRule="auto"/>
                    <w:ind w:firstLine="222" w:firstLineChars="100"/>
                    <w:jc w:val="both"/>
                    <w:rPr>
                      <w:rFonts w:hint="eastAsia" w:ascii="Times New Roman" w:hAnsi="Times New Roman" w:eastAsia="宋体" w:cs="Times New Roman"/>
                      <w:color w:val="auto"/>
                      <w:spacing w:val="6"/>
                      <w:kern w:val="2"/>
                      <w:sz w:val="21"/>
                      <w:szCs w:val="21"/>
                      <w:lang w:val="en-US" w:eastAsia="zh-CN" w:bidi="ar-SA"/>
                    </w:rPr>
                  </w:pPr>
                  <w:r>
                    <w:rPr>
                      <w:rFonts w:hint="default" w:ascii="Times New Roman" w:hAnsi="Times New Roman" w:cs="Times New Roman"/>
                      <w:color w:val="auto"/>
                      <w:spacing w:val="6"/>
                      <w:sz w:val="21"/>
                      <w:szCs w:val="21"/>
                      <w:lang w:val="en-US" w:eastAsia="zh-CN"/>
                    </w:rPr>
                    <w:t>加工</w:t>
                  </w:r>
                </w:p>
              </w:tc>
            </w:tr>
            <w:tr w14:paraId="60FC0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5" w:type="pct"/>
                  <w:shd w:val="clear" w:color="auto" w:fill="auto"/>
                  <w:noWrap w:val="0"/>
                  <w:vAlign w:val="center"/>
                </w:tcPr>
                <w:p w14:paraId="1FF5C103">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10</w:t>
                  </w:r>
                </w:p>
              </w:tc>
              <w:tc>
                <w:tcPr>
                  <w:tcW w:w="1190" w:type="pct"/>
                  <w:shd w:val="clear" w:color="auto" w:fill="auto"/>
                  <w:noWrap w:val="0"/>
                  <w:vAlign w:val="center"/>
                </w:tcPr>
                <w:p w14:paraId="3AC33A44">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6"/>
                      <w:sz w:val="21"/>
                      <w:szCs w:val="21"/>
                    </w:rPr>
                    <w:t>空压机</w:t>
                  </w:r>
                </w:p>
              </w:tc>
              <w:tc>
                <w:tcPr>
                  <w:tcW w:w="873" w:type="pct"/>
                  <w:shd w:val="clear" w:color="auto" w:fill="auto"/>
                  <w:noWrap w:val="0"/>
                  <w:vAlign w:val="center"/>
                </w:tcPr>
                <w:p w14:paraId="025C348E">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6"/>
                      <w:sz w:val="21"/>
                      <w:szCs w:val="21"/>
                    </w:rPr>
                    <w:t>BMVF15</w:t>
                  </w:r>
                </w:p>
              </w:tc>
              <w:tc>
                <w:tcPr>
                  <w:tcW w:w="656" w:type="pct"/>
                  <w:shd w:val="clear" w:color="auto" w:fill="auto"/>
                  <w:noWrap w:val="0"/>
                  <w:vAlign w:val="center"/>
                </w:tcPr>
                <w:p w14:paraId="7A0ED9F9">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w:t>
                  </w:r>
                </w:p>
              </w:tc>
              <w:tc>
                <w:tcPr>
                  <w:tcW w:w="657" w:type="pct"/>
                  <w:shd w:val="clear" w:color="auto" w:fill="auto"/>
                  <w:noWrap w:val="0"/>
                  <w:vAlign w:val="center"/>
                </w:tcPr>
                <w:p w14:paraId="2E9339B3">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台</w:t>
                  </w:r>
                </w:p>
              </w:tc>
              <w:tc>
                <w:tcPr>
                  <w:tcW w:w="658" w:type="pct"/>
                  <w:shd w:val="clear" w:color="auto" w:fill="auto"/>
                  <w:noWrap w:val="0"/>
                  <w:vAlign w:val="center"/>
                </w:tcPr>
                <w:p w14:paraId="73312703">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1#厂房</w:t>
                  </w:r>
                </w:p>
              </w:tc>
              <w:tc>
                <w:tcPr>
                  <w:tcW w:w="658" w:type="pct"/>
                  <w:shd w:val="clear" w:color="auto" w:fill="auto"/>
                  <w:noWrap w:val="0"/>
                  <w:vAlign w:val="center"/>
                </w:tcPr>
                <w:p w14:paraId="0B857DAA">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公辅设备</w:t>
                  </w:r>
                </w:p>
              </w:tc>
            </w:tr>
          </w:tbl>
          <w:p w14:paraId="49DAF403">
            <w:pPr>
              <w:spacing w:line="360" w:lineRule="auto"/>
              <w:ind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经查询《产业结构调整指导目录（20</w:t>
            </w:r>
            <w:r>
              <w:rPr>
                <w:rFonts w:hint="default" w:ascii="Times New Roman" w:hAnsi="Times New Roman" w:eastAsia="宋体" w:cs="Times New Roman"/>
                <w:color w:val="auto"/>
                <w:sz w:val="21"/>
                <w:szCs w:val="21"/>
                <w:lang w:val="en-US" w:eastAsia="zh-CN"/>
              </w:rPr>
              <w:t>24</w:t>
            </w:r>
            <w:r>
              <w:rPr>
                <w:rFonts w:hint="default" w:ascii="Times New Roman" w:hAnsi="Times New Roman" w:eastAsia="宋体" w:cs="Times New Roman"/>
                <w:color w:val="auto"/>
                <w:sz w:val="21"/>
                <w:szCs w:val="21"/>
              </w:rPr>
              <w:t>年本）》，本项目使用的设备均不属于其中淘汰落后设备。</w:t>
            </w:r>
          </w:p>
          <w:p w14:paraId="1C191DFC">
            <w:pPr>
              <w:spacing w:before="100" w:beforeAutospacing="1" w:line="360" w:lineRule="auto"/>
              <w:ind w:firstLine="482" w:firstLineChars="200"/>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5、主要原辅材料及能源消耗</w:t>
            </w:r>
          </w:p>
          <w:p w14:paraId="5B50A807">
            <w:pPr>
              <w:spacing w:line="360" w:lineRule="auto"/>
              <w:ind w:firstLine="600" w:firstLineChars="250"/>
              <w:rPr>
                <w:rFonts w:hint="default" w:ascii="Times New Roman" w:hAnsi="Times New Roman" w:cs="Times New Roman"/>
                <w:color w:val="auto"/>
                <w:kern w:val="0"/>
                <w:sz w:val="24"/>
                <w:szCs w:val="20"/>
              </w:rPr>
            </w:pPr>
            <w:r>
              <w:rPr>
                <w:rFonts w:hint="default" w:ascii="Times New Roman" w:hAnsi="Times New Roman" w:cs="Times New Roman"/>
                <w:color w:val="auto"/>
                <w:kern w:val="0"/>
                <w:sz w:val="24"/>
                <w:szCs w:val="20"/>
              </w:rPr>
              <w:t>项目主要原辅材料及能源消耗见</w:t>
            </w:r>
            <w:r>
              <w:rPr>
                <w:rFonts w:hint="default" w:ascii="Times New Roman" w:hAnsi="Times New Roman" w:cs="Times New Roman"/>
                <w:color w:val="auto"/>
                <w:kern w:val="0"/>
                <w:sz w:val="24"/>
                <w:szCs w:val="20"/>
                <w:lang w:eastAsia="zh-CN"/>
              </w:rPr>
              <w:t>下</w:t>
            </w:r>
            <w:r>
              <w:rPr>
                <w:rFonts w:hint="default" w:ascii="Times New Roman" w:hAnsi="Times New Roman" w:cs="Times New Roman"/>
                <w:color w:val="auto"/>
                <w:kern w:val="0"/>
                <w:sz w:val="24"/>
                <w:szCs w:val="20"/>
              </w:rPr>
              <w:t>表。</w:t>
            </w:r>
          </w:p>
          <w:p w14:paraId="23829288">
            <w:pPr>
              <w:pStyle w:val="374"/>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kern w:val="0"/>
                <w:sz w:val="24"/>
                <w:szCs w:val="20"/>
                <w:lang w:val="en-US" w:eastAsia="zh-CN" w:bidi="ar-SA"/>
              </w:rPr>
            </w:pPr>
            <w:r>
              <w:rPr>
                <w:rFonts w:hint="default" w:ascii="Times New Roman" w:hAnsi="Times New Roman" w:eastAsia="宋体" w:cs="Times New Roman"/>
                <w:b/>
                <w:color w:val="auto"/>
                <w:kern w:val="0"/>
                <w:sz w:val="24"/>
                <w:szCs w:val="20"/>
                <w:lang w:val="en-US" w:eastAsia="zh-CN" w:bidi="ar-SA"/>
              </w:rPr>
              <w:t>表2-</w:t>
            </w:r>
            <w:r>
              <w:rPr>
                <w:rFonts w:hint="eastAsia" w:ascii="Times New Roman" w:hAnsi="Times New Roman" w:eastAsia="宋体" w:cs="Times New Roman"/>
                <w:b/>
                <w:color w:val="auto"/>
                <w:kern w:val="0"/>
                <w:sz w:val="24"/>
                <w:szCs w:val="20"/>
                <w:lang w:val="en-US" w:eastAsia="zh-CN" w:bidi="ar-SA"/>
              </w:rPr>
              <w:t>6</w:t>
            </w:r>
            <w:r>
              <w:rPr>
                <w:rFonts w:hint="default" w:ascii="Times New Roman" w:hAnsi="Times New Roman" w:eastAsia="宋体" w:cs="Times New Roman"/>
                <w:b/>
                <w:color w:val="auto"/>
                <w:kern w:val="0"/>
                <w:sz w:val="24"/>
                <w:szCs w:val="20"/>
                <w:lang w:val="en-US" w:eastAsia="zh-CN" w:bidi="ar-SA"/>
              </w:rPr>
              <w:t xml:space="preserve">  本项目主要原辅材料及能源消耗一览表</w:t>
            </w:r>
          </w:p>
          <w:tbl>
            <w:tblPr>
              <w:tblStyle w:val="6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9"/>
              <w:gridCol w:w="706"/>
              <w:gridCol w:w="644"/>
              <w:gridCol w:w="1023"/>
              <w:gridCol w:w="794"/>
              <w:gridCol w:w="860"/>
              <w:gridCol w:w="438"/>
              <w:gridCol w:w="1100"/>
              <w:gridCol w:w="990"/>
              <w:gridCol w:w="890"/>
              <w:gridCol w:w="427"/>
            </w:tblGrid>
            <w:tr w14:paraId="67833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7" w:type="pct"/>
                  <w:noWrap w:val="0"/>
                  <w:vAlign w:val="center"/>
                </w:tcPr>
                <w:p w14:paraId="6A178776">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序号</w:t>
                  </w:r>
                </w:p>
              </w:tc>
              <w:tc>
                <w:tcPr>
                  <w:tcW w:w="429" w:type="pct"/>
                  <w:noWrap w:val="0"/>
                  <w:vAlign w:val="center"/>
                </w:tcPr>
                <w:p w14:paraId="23417710">
                  <w:pPr>
                    <w:jc w:val="center"/>
                    <w:rPr>
                      <w:rFonts w:hint="default" w:ascii="Times New Roman" w:hAnsi="Times New Roman" w:eastAsia="宋体" w:cs="Times New Roman"/>
                      <w:b/>
                      <w:bCs/>
                      <w:color w:val="auto"/>
                      <w:sz w:val="21"/>
                      <w:szCs w:val="21"/>
                      <w:lang w:val="en-US" w:eastAsia="zh-CN"/>
                    </w:rPr>
                  </w:pPr>
                  <w:r>
                    <w:rPr>
                      <w:rFonts w:hint="eastAsia" w:eastAsia="宋体" w:cs="Times New Roman"/>
                      <w:b/>
                      <w:bCs/>
                      <w:color w:val="auto"/>
                      <w:sz w:val="21"/>
                      <w:szCs w:val="21"/>
                      <w:lang w:val="en-US" w:eastAsia="zh-CN"/>
                    </w:rPr>
                    <w:t>生产工序</w:t>
                  </w:r>
                </w:p>
              </w:tc>
              <w:tc>
                <w:tcPr>
                  <w:tcW w:w="1011" w:type="pct"/>
                  <w:gridSpan w:val="2"/>
                  <w:noWrap w:val="0"/>
                  <w:vAlign w:val="center"/>
                </w:tcPr>
                <w:p w14:paraId="7BCCCB97">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名称</w:t>
                  </w:r>
                </w:p>
              </w:tc>
              <w:tc>
                <w:tcPr>
                  <w:tcW w:w="449" w:type="pct"/>
                  <w:noWrap w:val="0"/>
                  <w:vAlign w:val="center"/>
                </w:tcPr>
                <w:p w14:paraId="7A27BF93">
                  <w:pPr>
                    <w:jc w:val="center"/>
                    <w:rPr>
                      <w:rFonts w:hint="default" w:ascii="Times New Roman" w:hAnsi="Times New Roman" w:eastAsia="宋体" w:cs="Times New Roman"/>
                      <w:b/>
                      <w:bCs/>
                      <w:color w:val="auto"/>
                      <w:sz w:val="21"/>
                      <w:szCs w:val="21"/>
                      <w:lang w:val="en-US" w:eastAsia="zh-CN"/>
                    </w:rPr>
                  </w:pPr>
                  <w:r>
                    <w:rPr>
                      <w:rFonts w:hint="eastAsia" w:eastAsia="宋体" w:cs="Times New Roman"/>
                      <w:b/>
                      <w:bCs/>
                      <w:color w:val="auto"/>
                      <w:sz w:val="21"/>
                      <w:szCs w:val="21"/>
                      <w:lang w:val="en-US" w:eastAsia="zh-CN"/>
                    </w:rPr>
                    <w:t>用</w:t>
                  </w:r>
                  <w:r>
                    <w:rPr>
                      <w:rFonts w:hint="default" w:ascii="Times New Roman" w:hAnsi="Times New Roman" w:eastAsia="宋体" w:cs="Times New Roman"/>
                      <w:b/>
                      <w:bCs/>
                      <w:color w:val="auto"/>
                      <w:sz w:val="21"/>
                      <w:szCs w:val="21"/>
                    </w:rPr>
                    <w:t>量</w:t>
                  </w:r>
                </w:p>
              </w:tc>
              <w:tc>
                <w:tcPr>
                  <w:tcW w:w="521" w:type="pct"/>
                  <w:noWrap w:val="0"/>
                  <w:vAlign w:val="center"/>
                </w:tcPr>
                <w:p w14:paraId="61F3DCFB">
                  <w:pPr>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单位</w:t>
                  </w:r>
                </w:p>
              </w:tc>
              <w:tc>
                <w:tcPr>
                  <w:tcW w:w="242" w:type="pct"/>
                  <w:noWrap w:val="0"/>
                  <w:vAlign w:val="center"/>
                </w:tcPr>
                <w:p w14:paraId="61893FBC">
                  <w:pPr>
                    <w:jc w:val="center"/>
                    <w:rPr>
                      <w:rFonts w:hint="default" w:ascii="Times New Roman" w:hAnsi="Times New Roman" w:eastAsia="宋体" w:cs="Times New Roman"/>
                      <w:b/>
                      <w:bCs/>
                      <w:color w:val="auto"/>
                      <w:sz w:val="21"/>
                      <w:szCs w:val="21"/>
                      <w:lang w:val="en-US" w:eastAsia="zh-CN"/>
                    </w:rPr>
                  </w:pPr>
                  <w:r>
                    <w:rPr>
                      <w:rFonts w:hint="eastAsia" w:eastAsia="宋体" w:cs="Times New Roman"/>
                      <w:b/>
                      <w:bCs/>
                      <w:color w:val="auto"/>
                      <w:sz w:val="21"/>
                      <w:szCs w:val="21"/>
                      <w:lang w:val="en-US" w:eastAsia="zh-CN"/>
                    </w:rPr>
                    <w:t>性状</w:t>
                  </w:r>
                </w:p>
              </w:tc>
              <w:tc>
                <w:tcPr>
                  <w:tcW w:w="665" w:type="pct"/>
                  <w:shd w:val="clear" w:color="auto" w:fill="auto"/>
                  <w:noWrap w:val="0"/>
                  <w:vAlign w:val="center"/>
                </w:tcPr>
                <w:p w14:paraId="6B329D99">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包装</w:t>
                  </w:r>
                </w:p>
                <w:p w14:paraId="174730FF">
                  <w:pPr>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sz w:val="21"/>
                      <w:szCs w:val="21"/>
                    </w:rPr>
                    <w:t>方式</w:t>
                  </w:r>
                </w:p>
              </w:tc>
              <w:tc>
                <w:tcPr>
                  <w:tcW w:w="599" w:type="pct"/>
                  <w:noWrap w:val="0"/>
                  <w:vAlign w:val="center"/>
                </w:tcPr>
                <w:p w14:paraId="5435704A">
                  <w:pPr>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最大</w:t>
                  </w:r>
                </w:p>
                <w:p w14:paraId="34D254CB">
                  <w:pPr>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eastAsia="zh-CN"/>
                    </w:rPr>
                    <w:t>储存量</w:t>
                  </w:r>
                </w:p>
              </w:tc>
              <w:tc>
                <w:tcPr>
                  <w:tcW w:w="539" w:type="pct"/>
                  <w:noWrap w:val="0"/>
                  <w:vAlign w:val="center"/>
                </w:tcPr>
                <w:p w14:paraId="75642869">
                  <w:pPr>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储存</w:t>
                  </w:r>
                </w:p>
                <w:p w14:paraId="15070F56">
                  <w:pPr>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位置</w:t>
                  </w:r>
                </w:p>
              </w:tc>
              <w:tc>
                <w:tcPr>
                  <w:tcW w:w="252" w:type="pct"/>
                  <w:shd w:val="clear" w:color="auto" w:fill="auto"/>
                  <w:noWrap w:val="0"/>
                  <w:vAlign w:val="center"/>
                </w:tcPr>
                <w:p w14:paraId="46EFE377">
                  <w:pPr>
                    <w:jc w:val="center"/>
                    <w:rPr>
                      <w:rFonts w:hint="default" w:ascii="Times New Roman" w:hAnsi="Times New Roman" w:eastAsia="宋体" w:cs="Times New Roman"/>
                      <w:b/>
                      <w:bCs/>
                      <w:color w:val="auto"/>
                      <w:kern w:val="2"/>
                      <w:sz w:val="21"/>
                      <w:szCs w:val="21"/>
                      <w:lang w:val="en-US" w:eastAsia="zh-CN" w:bidi="ar-SA"/>
                    </w:rPr>
                  </w:pPr>
                  <w:r>
                    <w:rPr>
                      <w:rFonts w:hint="eastAsia" w:eastAsia="宋体" w:cs="Times New Roman"/>
                      <w:b/>
                      <w:bCs/>
                      <w:color w:val="auto"/>
                      <w:sz w:val="21"/>
                      <w:szCs w:val="21"/>
                      <w:lang w:val="en-US" w:eastAsia="zh-CN"/>
                    </w:rPr>
                    <w:t>备注</w:t>
                  </w:r>
                </w:p>
              </w:tc>
            </w:tr>
            <w:tr w14:paraId="50D6E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287" w:type="pct"/>
                  <w:vMerge w:val="restart"/>
                  <w:noWrap w:val="0"/>
                  <w:vAlign w:val="center"/>
                </w:tcPr>
                <w:p w14:paraId="0BA2C9D0">
                  <w:pPr>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1</w:t>
                  </w:r>
                </w:p>
              </w:tc>
              <w:tc>
                <w:tcPr>
                  <w:tcW w:w="429" w:type="pct"/>
                  <w:vMerge w:val="restart"/>
                  <w:shd w:val="clear" w:color="auto" w:fill="auto"/>
                  <w:noWrap w:val="0"/>
                  <w:vAlign w:val="center"/>
                </w:tcPr>
                <w:p w14:paraId="5CF2162C">
                  <w:pPr>
                    <w:jc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来料</w:t>
                  </w:r>
                </w:p>
              </w:tc>
              <w:tc>
                <w:tcPr>
                  <w:tcW w:w="392" w:type="pct"/>
                  <w:vMerge w:val="restart"/>
                  <w:noWrap w:val="0"/>
                  <w:vAlign w:val="center"/>
                </w:tcPr>
                <w:p w14:paraId="39EA8D12">
                  <w:pPr>
                    <w:pStyle w:val="1093"/>
                    <w:spacing w:before="65" w:line="228" w:lineRule="auto"/>
                    <w:jc w:val="center"/>
                    <w:rPr>
                      <w:rFonts w:hint="default" w:ascii="Times New Roman" w:hAnsi="Times New Roman" w:eastAsia="宋体" w:cs="Times New Roman"/>
                      <w:color w:val="auto"/>
                      <w:spacing w:val="6"/>
                      <w:kern w:val="2"/>
                      <w:sz w:val="21"/>
                      <w:szCs w:val="21"/>
                      <w:lang w:val="en-US" w:eastAsia="en-US" w:bidi="ar-SA"/>
                    </w:rPr>
                  </w:pPr>
                  <w:r>
                    <w:rPr>
                      <w:rFonts w:hint="default" w:ascii="Times New Roman" w:hAnsi="Times New Roman" w:eastAsia="宋体" w:cs="Times New Roman"/>
                      <w:color w:val="auto"/>
                      <w:spacing w:val="6"/>
                      <w:sz w:val="21"/>
                      <w:szCs w:val="21"/>
                    </w:rPr>
                    <w:t>钢件毛坯</w:t>
                  </w:r>
                </w:p>
              </w:tc>
              <w:tc>
                <w:tcPr>
                  <w:tcW w:w="619" w:type="pct"/>
                  <w:noWrap w:val="0"/>
                  <w:vAlign w:val="center"/>
                </w:tcPr>
                <w:p w14:paraId="3DBB99FB">
                  <w:pPr>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1055#碳素钢</w:t>
                  </w:r>
                </w:p>
              </w:tc>
              <w:tc>
                <w:tcPr>
                  <w:tcW w:w="449" w:type="pct"/>
                  <w:noWrap w:val="0"/>
                  <w:vAlign w:val="center"/>
                </w:tcPr>
                <w:p w14:paraId="021E8C44">
                  <w:pPr>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450</w:t>
                  </w:r>
                </w:p>
              </w:tc>
              <w:tc>
                <w:tcPr>
                  <w:tcW w:w="521" w:type="pct"/>
                  <w:vMerge w:val="restart"/>
                  <w:noWrap w:val="0"/>
                  <w:vAlign w:val="center"/>
                </w:tcPr>
                <w:p w14:paraId="3D851593">
                  <w:pPr>
                    <w:pStyle w:val="1093"/>
                    <w:spacing w:before="65" w:line="228" w:lineRule="auto"/>
                    <w:jc w:val="center"/>
                    <w:rPr>
                      <w:rFonts w:hint="default" w:ascii="Times New Roman" w:hAnsi="Times New Roman" w:eastAsia="宋体" w:cs="Times New Roman"/>
                      <w:color w:val="auto"/>
                      <w:spacing w:val="6"/>
                      <w:sz w:val="21"/>
                      <w:szCs w:val="21"/>
                      <w:lang w:val="en-US" w:eastAsia="en-US"/>
                    </w:rPr>
                  </w:pPr>
                  <w:r>
                    <w:rPr>
                      <w:rFonts w:hint="default" w:ascii="Times New Roman" w:hAnsi="Times New Roman" w:eastAsia="宋体" w:cs="Times New Roman"/>
                      <w:color w:val="auto"/>
                      <w:spacing w:val="6"/>
                      <w:sz w:val="21"/>
                      <w:szCs w:val="21"/>
                      <w:lang w:val="en-US" w:eastAsia="zh-CN"/>
                    </w:rPr>
                    <w:t>万套/a</w:t>
                  </w:r>
                </w:p>
              </w:tc>
              <w:tc>
                <w:tcPr>
                  <w:tcW w:w="242" w:type="pct"/>
                  <w:vMerge w:val="restart"/>
                  <w:noWrap w:val="0"/>
                  <w:vAlign w:val="center"/>
                </w:tcPr>
                <w:p w14:paraId="0F727ED5">
                  <w:pPr>
                    <w:pStyle w:val="1093"/>
                    <w:spacing w:before="65" w:line="228" w:lineRule="auto"/>
                    <w:jc w:val="center"/>
                    <w:rPr>
                      <w:rFonts w:hint="eastAsia" w:ascii="Times New Roman" w:hAnsi="Times New Roman" w:eastAsia="宋体" w:cs="Times New Roman"/>
                      <w:color w:val="auto"/>
                      <w:spacing w:val="6"/>
                      <w:sz w:val="21"/>
                      <w:szCs w:val="21"/>
                      <w:lang w:val="en-US" w:eastAsia="zh-CN"/>
                    </w:rPr>
                  </w:pPr>
                  <w:r>
                    <w:rPr>
                      <w:rFonts w:hint="eastAsia" w:ascii="Times New Roman" w:hAnsi="Times New Roman" w:eastAsia="宋体" w:cs="Times New Roman"/>
                      <w:color w:val="auto"/>
                      <w:spacing w:val="6"/>
                      <w:sz w:val="21"/>
                      <w:szCs w:val="21"/>
                      <w:lang w:val="en-US" w:eastAsia="zh-CN"/>
                    </w:rPr>
                    <w:t>固态</w:t>
                  </w:r>
                </w:p>
              </w:tc>
              <w:tc>
                <w:tcPr>
                  <w:tcW w:w="665" w:type="pct"/>
                  <w:vMerge w:val="restart"/>
                  <w:shd w:val="clear" w:color="auto" w:fill="auto"/>
                  <w:noWrap w:val="0"/>
                  <w:vAlign w:val="center"/>
                </w:tcPr>
                <w:p w14:paraId="101CD09B">
                  <w:pPr>
                    <w:pStyle w:val="1093"/>
                    <w:spacing w:before="65" w:line="228" w:lineRule="auto"/>
                    <w:jc w:val="center"/>
                    <w:rPr>
                      <w:rFonts w:hint="eastAsia" w:ascii="Times New Roman" w:hAnsi="Times New Roman" w:eastAsia="宋体" w:cs="Times New Roman"/>
                      <w:color w:val="auto"/>
                      <w:spacing w:val="6"/>
                      <w:kern w:val="2"/>
                      <w:sz w:val="21"/>
                      <w:szCs w:val="21"/>
                      <w:lang w:val="en-US" w:eastAsia="zh-CN" w:bidi="ar-SA"/>
                    </w:rPr>
                  </w:pPr>
                  <w:r>
                    <w:rPr>
                      <w:rFonts w:hint="default" w:ascii="Times New Roman" w:hAnsi="Times New Roman" w:eastAsia="宋体" w:cs="Times New Roman"/>
                      <w:color w:val="auto"/>
                      <w:spacing w:val="6"/>
                      <w:sz w:val="21"/>
                      <w:szCs w:val="21"/>
                    </w:rPr>
                    <w:t>铁框</w:t>
                  </w:r>
                </w:p>
              </w:tc>
              <w:tc>
                <w:tcPr>
                  <w:tcW w:w="599" w:type="pct"/>
                  <w:vMerge w:val="restart"/>
                  <w:noWrap w:val="0"/>
                  <w:vAlign w:val="center"/>
                </w:tcPr>
                <w:p w14:paraId="1CAE64C3">
                  <w:pPr>
                    <w:pStyle w:val="1093"/>
                    <w:spacing w:before="65" w:line="228" w:lineRule="auto"/>
                    <w:jc w:val="center"/>
                    <w:rPr>
                      <w:rFonts w:hint="default" w:ascii="Times New Roman" w:hAnsi="Times New Roman" w:eastAsia="宋体" w:cs="Times New Roman"/>
                      <w:color w:val="auto"/>
                      <w:spacing w:val="6"/>
                      <w:sz w:val="21"/>
                      <w:szCs w:val="21"/>
                      <w:lang w:val="en-US" w:eastAsia="en-US"/>
                    </w:rPr>
                  </w:pPr>
                  <w:r>
                    <w:rPr>
                      <w:rFonts w:hint="eastAsia" w:ascii="Times New Roman" w:hAnsi="Times New Roman" w:eastAsia="宋体" w:cs="Times New Roman"/>
                      <w:color w:val="auto"/>
                      <w:spacing w:val="6"/>
                      <w:sz w:val="21"/>
                      <w:szCs w:val="21"/>
                      <w:lang w:val="en-US" w:eastAsia="zh-CN"/>
                    </w:rPr>
                    <w:t>25万套</w:t>
                  </w:r>
                </w:p>
              </w:tc>
              <w:tc>
                <w:tcPr>
                  <w:tcW w:w="539" w:type="pct"/>
                  <w:vMerge w:val="restart"/>
                  <w:noWrap w:val="0"/>
                  <w:vAlign w:val="center"/>
                </w:tcPr>
                <w:p w14:paraId="742FD95E">
                  <w:pPr>
                    <w:pStyle w:val="1093"/>
                    <w:spacing w:before="65" w:line="228" w:lineRule="auto"/>
                    <w:jc w:val="center"/>
                    <w:rPr>
                      <w:rFonts w:hint="default" w:ascii="Times New Roman" w:hAnsi="Times New Roman" w:eastAsia="宋体" w:cs="Times New Roman"/>
                      <w:color w:val="auto"/>
                      <w:spacing w:val="6"/>
                      <w:kern w:val="2"/>
                      <w:sz w:val="21"/>
                      <w:szCs w:val="21"/>
                      <w:lang w:val="en-US" w:eastAsia="en-US" w:bidi="ar-SA"/>
                    </w:rPr>
                  </w:pPr>
                  <w:r>
                    <w:rPr>
                      <w:rFonts w:hint="default" w:ascii="Times New Roman" w:hAnsi="Times New Roman" w:eastAsia="宋体" w:cs="Times New Roman"/>
                      <w:color w:val="auto"/>
                      <w:spacing w:val="6"/>
                      <w:sz w:val="21"/>
                      <w:szCs w:val="21"/>
                    </w:rPr>
                    <w:t>原料区</w:t>
                  </w:r>
                </w:p>
              </w:tc>
              <w:tc>
                <w:tcPr>
                  <w:tcW w:w="252" w:type="pct"/>
                  <w:vMerge w:val="restart"/>
                  <w:shd w:val="clear" w:color="auto" w:fill="auto"/>
                  <w:noWrap w:val="0"/>
                  <w:vAlign w:val="center"/>
                </w:tcPr>
                <w:p w14:paraId="5D746D55">
                  <w:pPr>
                    <w:jc w:val="center"/>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外购</w:t>
                  </w:r>
                </w:p>
              </w:tc>
            </w:tr>
            <w:tr w14:paraId="0F64B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287" w:type="pct"/>
                  <w:vMerge w:val="continue"/>
                  <w:noWrap w:val="0"/>
                  <w:vAlign w:val="center"/>
                </w:tcPr>
                <w:p w14:paraId="5EB713B0">
                  <w:pPr>
                    <w:pStyle w:val="1093"/>
                    <w:spacing w:before="65" w:line="228" w:lineRule="auto"/>
                    <w:jc w:val="center"/>
                    <w:rPr>
                      <w:color w:val="auto"/>
                    </w:rPr>
                  </w:pPr>
                </w:p>
              </w:tc>
              <w:tc>
                <w:tcPr>
                  <w:tcW w:w="429" w:type="pct"/>
                  <w:vMerge w:val="continue"/>
                  <w:shd w:val="clear" w:color="auto" w:fill="auto"/>
                  <w:noWrap w:val="0"/>
                  <w:vAlign w:val="center"/>
                </w:tcPr>
                <w:p w14:paraId="4F9724E1">
                  <w:pPr>
                    <w:pStyle w:val="1093"/>
                    <w:spacing w:before="65" w:line="228" w:lineRule="auto"/>
                    <w:jc w:val="center"/>
                    <w:rPr>
                      <w:color w:val="auto"/>
                    </w:rPr>
                  </w:pPr>
                </w:p>
              </w:tc>
              <w:tc>
                <w:tcPr>
                  <w:tcW w:w="392" w:type="pct"/>
                  <w:vMerge w:val="continue"/>
                  <w:noWrap w:val="0"/>
                  <w:vAlign w:val="center"/>
                </w:tcPr>
                <w:p w14:paraId="033DF18B">
                  <w:pPr>
                    <w:pStyle w:val="1093"/>
                    <w:spacing w:before="65" w:line="228" w:lineRule="auto"/>
                    <w:jc w:val="center"/>
                    <w:rPr>
                      <w:color w:val="auto"/>
                    </w:rPr>
                  </w:pPr>
                </w:p>
              </w:tc>
              <w:tc>
                <w:tcPr>
                  <w:tcW w:w="619" w:type="pct"/>
                  <w:noWrap w:val="0"/>
                  <w:vAlign w:val="center"/>
                </w:tcPr>
                <w:p w14:paraId="1DD1D19A">
                  <w:pPr>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65Mn弹簧钢</w:t>
                  </w:r>
                </w:p>
              </w:tc>
              <w:tc>
                <w:tcPr>
                  <w:tcW w:w="449" w:type="pct"/>
                  <w:noWrap w:val="0"/>
                  <w:vAlign w:val="center"/>
                </w:tcPr>
                <w:p w14:paraId="7DBF2BC2">
                  <w:pPr>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450</w:t>
                  </w:r>
                </w:p>
              </w:tc>
              <w:tc>
                <w:tcPr>
                  <w:tcW w:w="521" w:type="pct"/>
                  <w:vMerge w:val="continue"/>
                  <w:noWrap w:val="0"/>
                  <w:vAlign w:val="center"/>
                </w:tcPr>
                <w:p w14:paraId="0BE11D0B">
                  <w:pPr>
                    <w:pStyle w:val="1093"/>
                    <w:spacing w:before="65" w:line="228" w:lineRule="auto"/>
                    <w:jc w:val="center"/>
                    <w:rPr>
                      <w:color w:val="auto"/>
                    </w:rPr>
                  </w:pPr>
                </w:p>
              </w:tc>
              <w:tc>
                <w:tcPr>
                  <w:tcW w:w="242" w:type="pct"/>
                  <w:vMerge w:val="continue"/>
                  <w:noWrap w:val="0"/>
                  <w:vAlign w:val="center"/>
                </w:tcPr>
                <w:p w14:paraId="567FB02A">
                  <w:pPr>
                    <w:pStyle w:val="1093"/>
                    <w:spacing w:before="65" w:line="228" w:lineRule="auto"/>
                    <w:jc w:val="center"/>
                    <w:rPr>
                      <w:color w:val="auto"/>
                    </w:rPr>
                  </w:pPr>
                </w:p>
              </w:tc>
              <w:tc>
                <w:tcPr>
                  <w:tcW w:w="665" w:type="pct"/>
                  <w:vMerge w:val="continue"/>
                  <w:shd w:val="clear" w:color="auto" w:fill="auto"/>
                  <w:noWrap w:val="0"/>
                  <w:vAlign w:val="center"/>
                </w:tcPr>
                <w:p w14:paraId="605F5AEE">
                  <w:pPr>
                    <w:pStyle w:val="1093"/>
                    <w:spacing w:before="65" w:line="228" w:lineRule="auto"/>
                    <w:jc w:val="center"/>
                    <w:rPr>
                      <w:color w:val="auto"/>
                    </w:rPr>
                  </w:pPr>
                </w:p>
              </w:tc>
              <w:tc>
                <w:tcPr>
                  <w:tcW w:w="599" w:type="pct"/>
                  <w:vMerge w:val="continue"/>
                  <w:noWrap w:val="0"/>
                  <w:vAlign w:val="center"/>
                </w:tcPr>
                <w:p w14:paraId="16643C3D">
                  <w:pPr>
                    <w:pStyle w:val="1093"/>
                    <w:spacing w:before="65" w:line="228" w:lineRule="auto"/>
                    <w:jc w:val="center"/>
                    <w:rPr>
                      <w:color w:val="auto"/>
                    </w:rPr>
                  </w:pPr>
                </w:p>
              </w:tc>
              <w:tc>
                <w:tcPr>
                  <w:tcW w:w="539" w:type="pct"/>
                  <w:vMerge w:val="continue"/>
                  <w:noWrap w:val="0"/>
                  <w:vAlign w:val="center"/>
                </w:tcPr>
                <w:p w14:paraId="76B6AB29">
                  <w:pPr>
                    <w:pStyle w:val="1093"/>
                    <w:spacing w:before="65" w:line="228" w:lineRule="auto"/>
                    <w:jc w:val="center"/>
                    <w:rPr>
                      <w:color w:val="auto"/>
                    </w:rPr>
                  </w:pPr>
                </w:p>
              </w:tc>
              <w:tc>
                <w:tcPr>
                  <w:tcW w:w="252" w:type="pct"/>
                  <w:vMerge w:val="continue"/>
                  <w:shd w:val="clear" w:color="auto" w:fill="auto"/>
                  <w:noWrap w:val="0"/>
                  <w:vAlign w:val="center"/>
                </w:tcPr>
                <w:p w14:paraId="3EE45028">
                  <w:pPr>
                    <w:pStyle w:val="1093"/>
                    <w:spacing w:before="65" w:line="228" w:lineRule="auto"/>
                    <w:jc w:val="center"/>
                    <w:rPr>
                      <w:color w:val="auto"/>
                    </w:rPr>
                  </w:pPr>
                </w:p>
              </w:tc>
            </w:tr>
            <w:tr w14:paraId="7B6BE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7" w:type="pct"/>
                  <w:noWrap w:val="0"/>
                  <w:vAlign w:val="center"/>
                </w:tcPr>
                <w:p w14:paraId="73198E63">
                  <w:pPr>
                    <w:jc w:val="center"/>
                    <w:rPr>
                      <w:rFonts w:hint="eastAsia"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2</w:t>
                  </w:r>
                </w:p>
              </w:tc>
              <w:tc>
                <w:tcPr>
                  <w:tcW w:w="429" w:type="pct"/>
                  <w:shd w:val="clear" w:color="auto" w:fill="auto"/>
                  <w:noWrap w:val="0"/>
                  <w:vAlign w:val="center"/>
                </w:tcPr>
                <w:p w14:paraId="021E582F">
                  <w:pPr>
                    <w:jc w:val="center"/>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锻造</w:t>
                  </w:r>
                </w:p>
              </w:tc>
              <w:tc>
                <w:tcPr>
                  <w:tcW w:w="1011" w:type="pct"/>
                  <w:gridSpan w:val="2"/>
                  <w:noWrap w:val="0"/>
                  <w:vAlign w:val="center"/>
                </w:tcPr>
                <w:p w14:paraId="48115DFE">
                  <w:pPr>
                    <w:pStyle w:val="1093"/>
                    <w:spacing w:before="65" w:line="228" w:lineRule="auto"/>
                    <w:jc w:val="center"/>
                    <w:rPr>
                      <w:rFonts w:hint="default" w:ascii="Times New Roman" w:hAnsi="Times New Roman" w:eastAsia="宋体" w:cs="Times New Roman"/>
                      <w:color w:val="auto"/>
                      <w:spacing w:val="6"/>
                      <w:sz w:val="21"/>
                      <w:szCs w:val="21"/>
                      <w:lang w:val="en-US" w:eastAsia="zh-CN"/>
                    </w:rPr>
                  </w:pPr>
                  <w:r>
                    <w:rPr>
                      <w:rFonts w:hint="eastAsia" w:ascii="Times New Roman" w:hAnsi="Times New Roman" w:cs="Times New Roman"/>
                      <w:color w:val="auto"/>
                      <w:spacing w:val="6"/>
                      <w:sz w:val="21"/>
                      <w:szCs w:val="21"/>
                      <w:lang w:val="en-US" w:eastAsia="zh-CN"/>
                    </w:rPr>
                    <w:t>水性脱模剂</w:t>
                  </w:r>
                </w:p>
              </w:tc>
              <w:tc>
                <w:tcPr>
                  <w:tcW w:w="449" w:type="pct"/>
                  <w:noWrap w:val="0"/>
                  <w:vAlign w:val="center"/>
                </w:tcPr>
                <w:p w14:paraId="05FBE58A">
                  <w:pPr>
                    <w:pStyle w:val="1093"/>
                    <w:spacing w:before="65" w:line="228" w:lineRule="auto"/>
                    <w:jc w:val="center"/>
                    <w:rPr>
                      <w:rFonts w:hint="default" w:ascii="Times New Roman" w:hAnsi="Times New Roman" w:eastAsia="宋体" w:cs="Times New Roman"/>
                      <w:color w:val="auto"/>
                      <w:spacing w:val="6"/>
                      <w:sz w:val="21"/>
                      <w:szCs w:val="21"/>
                      <w:lang w:val="en-US" w:eastAsia="zh-CN"/>
                    </w:rPr>
                  </w:pPr>
                  <w:r>
                    <w:rPr>
                      <w:rFonts w:hint="eastAsia" w:ascii="Times New Roman" w:hAnsi="Times New Roman" w:cs="Times New Roman"/>
                      <w:color w:val="auto"/>
                      <w:spacing w:val="6"/>
                      <w:sz w:val="21"/>
                      <w:szCs w:val="21"/>
                      <w:lang w:val="en-US" w:eastAsia="zh-CN"/>
                    </w:rPr>
                    <w:t>10.8</w:t>
                  </w:r>
                </w:p>
              </w:tc>
              <w:tc>
                <w:tcPr>
                  <w:tcW w:w="521" w:type="pct"/>
                  <w:noWrap w:val="0"/>
                  <w:vAlign w:val="center"/>
                </w:tcPr>
                <w:p w14:paraId="65340A75">
                  <w:pPr>
                    <w:pStyle w:val="1093"/>
                    <w:spacing w:before="65" w:line="228" w:lineRule="auto"/>
                    <w:jc w:val="center"/>
                    <w:rPr>
                      <w:rFonts w:hint="default" w:ascii="Times New Roman" w:hAnsi="Times New Roman" w:eastAsia="宋体" w:cs="Times New Roman"/>
                      <w:color w:val="auto"/>
                      <w:spacing w:val="6"/>
                      <w:sz w:val="21"/>
                      <w:szCs w:val="21"/>
                      <w:lang w:val="en-US" w:eastAsia="zh-CN"/>
                    </w:rPr>
                  </w:pPr>
                  <w:r>
                    <w:rPr>
                      <w:rFonts w:hint="eastAsia" w:ascii="Times New Roman" w:hAnsi="Times New Roman" w:cs="Times New Roman"/>
                      <w:color w:val="auto"/>
                      <w:spacing w:val="6"/>
                      <w:sz w:val="21"/>
                      <w:szCs w:val="21"/>
                      <w:lang w:val="en-US" w:eastAsia="zh-CN"/>
                    </w:rPr>
                    <w:t>t/a</w:t>
                  </w:r>
                </w:p>
              </w:tc>
              <w:tc>
                <w:tcPr>
                  <w:tcW w:w="242" w:type="pct"/>
                  <w:noWrap w:val="0"/>
                  <w:vAlign w:val="center"/>
                </w:tcPr>
                <w:p w14:paraId="79638CA6">
                  <w:pPr>
                    <w:pStyle w:val="1093"/>
                    <w:spacing w:before="65" w:line="228" w:lineRule="auto"/>
                    <w:jc w:val="center"/>
                    <w:rPr>
                      <w:rFonts w:hint="default" w:ascii="Times New Roman" w:hAnsi="Times New Roman" w:eastAsia="宋体" w:cs="Times New Roman"/>
                      <w:color w:val="auto"/>
                      <w:spacing w:val="6"/>
                      <w:sz w:val="21"/>
                      <w:szCs w:val="21"/>
                      <w:lang w:val="en-US" w:eastAsia="zh-CN"/>
                    </w:rPr>
                  </w:pPr>
                  <w:r>
                    <w:rPr>
                      <w:rFonts w:hint="eastAsia" w:ascii="Times New Roman" w:hAnsi="Times New Roman" w:cs="Times New Roman"/>
                      <w:color w:val="auto"/>
                      <w:spacing w:val="6"/>
                      <w:sz w:val="21"/>
                      <w:szCs w:val="21"/>
                      <w:lang w:val="en-US" w:eastAsia="zh-CN"/>
                    </w:rPr>
                    <w:t>液态</w:t>
                  </w:r>
                </w:p>
              </w:tc>
              <w:tc>
                <w:tcPr>
                  <w:tcW w:w="665" w:type="pct"/>
                  <w:shd w:val="clear" w:color="auto" w:fill="auto"/>
                  <w:noWrap w:val="0"/>
                  <w:vAlign w:val="center"/>
                </w:tcPr>
                <w:p w14:paraId="1F397ED2">
                  <w:pPr>
                    <w:pStyle w:val="1093"/>
                    <w:spacing w:before="65" w:line="228" w:lineRule="auto"/>
                    <w:jc w:val="center"/>
                    <w:rPr>
                      <w:rFonts w:hint="default" w:ascii="Times New Roman" w:hAnsi="Times New Roman" w:eastAsia="宋体" w:cs="Times New Roman"/>
                      <w:color w:val="auto"/>
                      <w:spacing w:val="6"/>
                      <w:sz w:val="21"/>
                      <w:szCs w:val="21"/>
                    </w:rPr>
                  </w:pPr>
                  <w:r>
                    <w:rPr>
                      <w:rFonts w:hint="eastAsia" w:ascii="Times New Roman" w:hAnsi="Times New Roman" w:cs="Times New Roman"/>
                      <w:color w:val="auto"/>
                      <w:spacing w:val="6"/>
                      <w:sz w:val="21"/>
                      <w:szCs w:val="21"/>
                      <w:lang w:val="en-US" w:eastAsia="zh-CN"/>
                    </w:rPr>
                    <w:t>180kg/</w:t>
                  </w:r>
                  <w:r>
                    <w:rPr>
                      <w:rFonts w:hint="default" w:ascii="Times New Roman" w:hAnsi="Times New Roman" w:eastAsia="宋体" w:cs="Times New Roman"/>
                      <w:color w:val="auto"/>
                      <w:spacing w:val="6"/>
                      <w:sz w:val="21"/>
                      <w:szCs w:val="21"/>
                    </w:rPr>
                    <w:t>桶</w:t>
                  </w:r>
                </w:p>
              </w:tc>
              <w:tc>
                <w:tcPr>
                  <w:tcW w:w="599" w:type="pct"/>
                  <w:noWrap w:val="0"/>
                  <w:vAlign w:val="center"/>
                </w:tcPr>
                <w:p w14:paraId="0E0F2D27">
                  <w:pPr>
                    <w:pStyle w:val="1093"/>
                    <w:spacing w:before="65" w:line="228" w:lineRule="auto"/>
                    <w:jc w:val="center"/>
                    <w:rPr>
                      <w:rFonts w:hint="default" w:ascii="Times New Roman" w:hAnsi="Times New Roman" w:eastAsia="宋体" w:cs="Times New Roman"/>
                      <w:color w:val="auto"/>
                      <w:spacing w:val="6"/>
                      <w:sz w:val="21"/>
                      <w:szCs w:val="21"/>
                      <w:lang w:val="en-US" w:eastAsia="zh-CN"/>
                    </w:rPr>
                  </w:pPr>
                  <w:r>
                    <w:rPr>
                      <w:rFonts w:hint="eastAsia" w:ascii="Times New Roman" w:hAnsi="Times New Roman" w:cs="Times New Roman"/>
                      <w:color w:val="auto"/>
                      <w:spacing w:val="6"/>
                      <w:sz w:val="21"/>
                      <w:szCs w:val="21"/>
                      <w:lang w:val="en-US" w:eastAsia="zh-CN"/>
                    </w:rPr>
                    <w:t>1.8t</w:t>
                  </w:r>
                </w:p>
              </w:tc>
              <w:tc>
                <w:tcPr>
                  <w:tcW w:w="539" w:type="pct"/>
                  <w:noWrap w:val="0"/>
                  <w:vAlign w:val="center"/>
                </w:tcPr>
                <w:p w14:paraId="7A1B7400">
                  <w:pPr>
                    <w:pStyle w:val="1093"/>
                    <w:spacing w:before="65" w:line="228" w:lineRule="auto"/>
                    <w:jc w:val="center"/>
                    <w:rPr>
                      <w:rFonts w:hint="default" w:ascii="Times New Roman" w:hAnsi="Times New Roman" w:eastAsia="宋体" w:cs="Times New Roman"/>
                      <w:color w:val="auto"/>
                      <w:spacing w:val="6"/>
                      <w:sz w:val="21"/>
                      <w:szCs w:val="21"/>
                      <w:lang w:val="en-US" w:eastAsia="zh-CN"/>
                    </w:rPr>
                  </w:pPr>
                  <w:r>
                    <w:rPr>
                      <w:rFonts w:hint="eastAsia" w:ascii="Times New Roman" w:hAnsi="Times New Roman" w:cs="Times New Roman"/>
                      <w:color w:val="auto"/>
                      <w:spacing w:val="6"/>
                      <w:sz w:val="21"/>
                      <w:szCs w:val="21"/>
                      <w:lang w:val="en-US" w:eastAsia="zh-CN"/>
                    </w:rPr>
                    <w:t>辅料区</w:t>
                  </w:r>
                </w:p>
              </w:tc>
              <w:tc>
                <w:tcPr>
                  <w:tcW w:w="252" w:type="pct"/>
                  <w:shd w:val="clear" w:color="auto" w:fill="auto"/>
                  <w:noWrap w:val="0"/>
                  <w:vAlign w:val="center"/>
                </w:tcPr>
                <w:p w14:paraId="0D994D6E">
                  <w:pPr>
                    <w:jc w:val="center"/>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外购</w:t>
                  </w:r>
                </w:p>
              </w:tc>
            </w:tr>
            <w:tr w14:paraId="7B38C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7" w:type="pct"/>
                  <w:shd w:val="clear" w:color="auto" w:fill="auto"/>
                  <w:noWrap w:val="0"/>
                  <w:vAlign w:val="center"/>
                </w:tcPr>
                <w:p w14:paraId="14DFE960">
                  <w:pPr>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rPr>
                    <w:t>3</w:t>
                  </w:r>
                </w:p>
              </w:tc>
              <w:tc>
                <w:tcPr>
                  <w:tcW w:w="429" w:type="pct"/>
                  <w:shd w:val="clear" w:color="auto" w:fill="auto"/>
                  <w:noWrap w:val="0"/>
                  <w:vAlign w:val="center"/>
                </w:tcPr>
                <w:p w14:paraId="7287AA2E">
                  <w:pPr>
                    <w:pStyle w:val="1093"/>
                    <w:spacing w:before="65" w:line="228" w:lineRule="auto"/>
                    <w:jc w:val="center"/>
                    <w:rPr>
                      <w:rFonts w:hint="eastAsia" w:ascii="Times New Roman" w:hAnsi="Times New Roman" w:eastAsia="宋体" w:cs="Times New Roman"/>
                      <w:color w:val="auto"/>
                      <w:spacing w:val="6"/>
                      <w:kern w:val="2"/>
                      <w:sz w:val="21"/>
                      <w:szCs w:val="21"/>
                      <w:lang w:val="en-US" w:eastAsia="zh-CN" w:bidi="ar-SA"/>
                    </w:rPr>
                  </w:pPr>
                  <w:r>
                    <w:rPr>
                      <w:rFonts w:hint="eastAsia" w:ascii="Times New Roman" w:hAnsi="Times New Roman" w:cs="Times New Roman"/>
                      <w:color w:val="auto"/>
                      <w:spacing w:val="6"/>
                      <w:sz w:val="21"/>
                      <w:szCs w:val="21"/>
                      <w:lang w:val="en-US" w:eastAsia="zh-CN"/>
                    </w:rPr>
                    <w:t>抛丸</w:t>
                  </w:r>
                </w:p>
              </w:tc>
              <w:tc>
                <w:tcPr>
                  <w:tcW w:w="1011" w:type="pct"/>
                  <w:gridSpan w:val="2"/>
                  <w:noWrap w:val="0"/>
                  <w:vAlign w:val="center"/>
                </w:tcPr>
                <w:p w14:paraId="2BDFA558">
                  <w:pPr>
                    <w:pStyle w:val="1093"/>
                    <w:spacing w:before="65" w:line="228" w:lineRule="auto"/>
                    <w:jc w:val="center"/>
                    <w:rPr>
                      <w:rFonts w:hint="eastAsia" w:ascii="Times New Roman" w:hAnsi="Times New Roman" w:eastAsia="宋体" w:cs="Times New Roman"/>
                      <w:color w:val="auto"/>
                      <w:spacing w:val="6"/>
                      <w:kern w:val="2"/>
                      <w:sz w:val="21"/>
                      <w:szCs w:val="21"/>
                      <w:lang w:val="en-US" w:eastAsia="zh-CN" w:bidi="ar-SA"/>
                    </w:rPr>
                  </w:pPr>
                  <w:r>
                    <w:rPr>
                      <w:rFonts w:hint="eastAsia" w:ascii="Times New Roman" w:hAnsi="Times New Roman" w:cs="Times New Roman"/>
                      <w:color w:val="auto"/>
                      <w:spacing w:val="6"/>
                      <w:kern w:val="2"/>
                      <w:sz w:val="21"/>
                      <w:szCs w:val="21"/>
                      <w:lang w:val="en-US" w:eastAsia="zh-CN" w:bidi="ar-SA"/>
                    </w:rPr>
                    <w:t>钢丸</w:t>
                  </w:r>
                </w:p>
              </w:tc>
              <w:tc>
                <w:tcPr>
                  <w:tcW w:w="449" w:type="pct"/>
                  <w:noWrap w:val="0"/>
                  <w:vAlign w:val="center"/>
                </w:tcPr>
                <w:p w14:paraId="71A2D713">
                  <w:pPr>
                    <w:pStyle w:val="1093"/>
                    <w:spacing w:before="65" w:line="228" w:lineRule="auto"/>
                    <w:jc w:val="center"/>
                    <w:rPr>
                      <w:rFonts w:hint="default" w:ascii="Times New Roman" w:hAnsi="Times New Roman" w:eastAsia="宋体" w:cs="Times New Roman"/>
                      <w:color w:val="auto"/>
                      <w:spacing w:val="6"/>
                      <w:sz w:val="21"/>
                      <w:szCs w:val="21"/>
                      <w:lang w:val="en-US" w:eastAsia="zh-CN"/>
                    </w:rPr>
                  </w:pPr>
                  <w:r>
                    <w:rPr>
                      <w:rFonts w:hint="eastAsia" w:ascii="Times New Roman" w:hAnsi="Times New Roman" w:cs="Times New Roman"/>
                      <w:color w:val="auto"/>
                      <w:spacing w:val="6"/>
                      <w:sz w:val="21"/>
                      <w:szCs w:val="21"/>
                      <w:lang w:val="en-US" w:eastAsia="zh-CN"/>
                    </w:rPr>
                    <w:t>12</w:t>
                  </w:r>
                </w:p>
              </w:tc>
              <w:tc>
                <w:tcPr>
                  <w:tcW w:w="521" w:type="pct"/>
                  <w:noWrap w:val="0"/>
                  <w:vAlign w:val="center"/>
                </w:tcPr>
                <w:p w14:paraId="70B1AFF9">
                  <w:pPr>
                    <w:pStyle w:val="1093"/>
                    <w:spacing w:before="65" w:line="228" w:lineRule="auto"/>
                    <w:jc w:val="center"/>
                    <w:rPr>
                      <w:rFonts w:hint="default" w:ascii="Times New Roman" w:hAnsi="Times New Roman" w:eastAsia="宋体" w:cs="Times New Roman"/>
                      <w:color w:val="auto"/>
                      <w:spacing w:val="6"/>
                      <w:sz w:val="21"/>
                      <w:szCs w:val="21"/>
                      <w:lang w:val="en-US" w:eastAsia="en-US"/>
                    </w:rPr>
                  </w:pPr>
                  <w:r>
                    <w:rPr>
                      <w:rFonts w:hint="default" w:ascii="Times New Roman" w:hAnsi="Times New Roman" w:eastAsia="宋体" w:cs="Times New Roman"/>
                      <w:color w:val="auto"/>
                      <w:spacing w:val="6"/>
                      <w:sz w:val="21"/>
                      <w:szCs w:val="21"/>
                      <w:lang w:val="en-US" w:eastAsia="zh-CN"/>
                    </w:rPr>
                    <w:t>t/a</w:t>
                  </w:r>
                </w:p>
              </w:tc>
              <w:tc>
                <w:tcPr>
                  <w:tcW w:w="242" w:type="pct"/>
                  <w:noWrap w:val="0"/>
                  <w:vAlign w:val="center"/>
                </w:tcPr>
                <w:p w14:paraId="4C63E610">
                  <w:pPr>
                    <w:pStyle w:val="1093"/>
                    <w:spacing w:before="65" w:line="228" w:lineRule="auto"/>
                    <w:jc w:val="center"/>
                    <w:rPr>
                      <w:rFonts w:hint="eastAsia" w:ascii="Times New Roman" w:hAnsi="Times New Roman" w:eastAsia="宋体" w:cs="Times New Roman"/>
                      <w:color w:val="auto"/>
                      <w:spacing w:val="6"/>
                      <w:sz w:val="21"/>
                      <w:szCs w:val="21"/>
                      <w:lang w:val="en-US" w:eastAsia="zh-CN"/>
                    </w:rPr>
                  </w:pPr>
                  <w:r>
                    <w:rPr>
                      <w:rFonts w:hint="eastAsia" w:ascii="Times New Roman" w:hAnsi="Times New Roman" w:eastAsia="宋体" w:cs="Times New Roman"/>
                      <w:color w:val="auto"/>
                      <w:spacing w:val="6"/>
                      <w:sz w:val="21"/>
                      <w:szCs w:val="21"/>
                      <w:lang w:val="en-US" w:eastAsia="zh-CN"/>
                    </w:rPr>
                    <w:t>固态</w:t>
                  </w:r>
                </w:p>
              </w:tc>
              <w:tc>
                <w:tcPr>
                  <w:tcW w:w="665" w:type="pct"/>
                  <w:shd w:val="clear" w:color="auto" w:fill="auto"/>
                  <w:noWrap w:val="0"/>
                  <w:vAlign w:val="center"/>
                </w:tcPr>
                <w:p w14:paraId="30686CCA">
                  <w:pPr>
                    <w:pStyle w:val="1093"/>
                    <w:spacing w:before="65" w:line="228" w:lineRule="auto"/>
                    <w:jc w:val="center"/>
                    <w:rPr>
                      <w:rFonts w:hint="eastAsia" w:ascii="Times New Roman" w:hAnsi="Times New Roman" w:eastAsia="宋体" w:cs="Times New Roman"/>
                      <w:color w:val="auto"/>
                      <w:spacing w:val="6"/>
                      <w:kern w:val="2"/>
                      <w:sz w:val="21"/>
                      <w:szCs w:val="21"/>
                      <w:lang w:val="en-US" w:eastAsia="zh-CN" w:bidi="ar-SA"/>
                    </w:rPr>
                  </w:pPr>
                  <w:r>
                    <w:rPr>
                      <w:rFonts w:hint="eastAsia" w:ascii="Times New Roman" w:hAnsi="Times New Roman" w:cs="Times New Roman"/>
                      <w:color w:val="auto"/>
                      <w:spacing w:val="6"/>
                      <w:kern w:val="2"/>
                      <w:sz w:val="21"/>
                      <w:szCs w:val="21"/>
                      <w:lang w:val="en-US" w:eastAsia="zh-CN" w:bidi="ar-SA"/>
                    </w:rPr>
                    <w:t>吨袋</w:t>
                  </w:r>
                </w:p>
              </w:tc>
              <w:tc>
                <w:tcPr>
                  <w:tcW w:w="599" w:type="pct"/>
                  <w:noWrap w:val="0"/>
                  <w:vAlign w:val="center"/>
                </w:tcPr>
                <w:p w14:paraId="3C899412">
                  <w:pPr>
                    <w:pStyle w:val="1093"/>
                    <w:spacing w:before="65" w:line="228" w:lineRule="auto"/>
                    <w:jc w:val="center"/>
                    <w:rPr>
                      <w:rFonts w:hint="default" w:ascii="Times New Roman" w:hAnsi="Times New Roman" w:eastAsia="宋体" w:cs="Times New Roman"/>
                      <w:color w:val="auto"/>
                      <w:spacing w:val="6"/>
                      <w:sz w:val="21"/>
                      <w:szCs w:val="21"/>
                      <w:lang w:val="en-US" w:eastAsia="zh-CN"/>
                    </w:rPr>
                  </w:pPr>
                  <w:r>
                    <w:rPr>
                      <w:rFonts w:hint="eastAsia" w:ascii="Times New Roman" w:hAnsi="Times New Roman" w:cs="Times New Roman"/>
                      <w:color w:val="auto"/>
                      <w:spacing w:val="6"/>
                      <w:sz w:val="21"/>
                      <w:szCs w:val="21"/>
                      <w:lang w:val="en-US" w:eastAsia="zh-CN"/>
                    </w:rPr>
                    <w:t>2t</w:t>
                  </w:r>
                </w:p>
              </w:tc>
              <w:tc>
                <w:tcPr>
                  <w:tcW w:w="539" w:type="pct"/>
                  <w:noWrap w:val="0"/>
                  <w:vAlign w:val="center"/>
                </w:tcPr>
                <w:p w14:paraId="22523A30">
                  <w:pPr>
                    <w:pStyle w:val="1093"/>
                    <w:spacing w:before="65" w:line="228" w:lineRule="auto"/>
                    <w:jc w:val="center"/>
                    <w:rPr>
                      <w:rFonts w:hint="default" w:ascii="Times New Roman" w:hAnsi="Times New Roman" w:eastAsia="宋体" w:cs="Times New Roman"/>
                      <w:color w:val="auto"/>
                      <w:spacing w:val="6"/>
                      <w:kern w:val="2"/>
                      <w:sz w:val="21"/>
                      <w:szCs w:val="21"/>
                      <w:lang w:val="en-US" w:eastAsia="en-US" w:bidi="ar-SA"/>
                    </w:rPr>
                  </w:pPr>
                  <w:r>
                    <w:rPr>
                      <w:rFonts w:hint="default" w:ascii="Times New Roman" w:hAnsi="Times New Roman" w:eastAsia="宋体" w:cs="Times New Roman"/>
                      <w:color w:val="auto"/>
                      <w:spacing w:val="6"/>
                      <w:sz w:val="21"/>
                      <w:szCs w:val="21"/>
                    </w:rPr>
                    <w:t>原料区</w:t>
                  </w:r>
                </w:p>
              </w:tc>
              <w:tc>
                <w:tcPr>
                  <w:tcW w:w="252" w:type="pct"/>
                  <w:shd w:val="clear" w:color="auto" w:fill="auto"/>
                  <w:noWrap w:val="0"/>
                  <w:vAlign w:val="center"/>
                </w:tcPr>
                <w:p w14:paraId="0F2870F6">
                  <w:pPr>
                    <w:spacing w:before="65" w:line="228" w:lineRule="auto"/>
                    <w:jc w:val="center"/>
                    <w:rPr>
                      <w:rFonts w:hint="default" w:ascii="Times New Roman" w:hAnsi="Times New Roman" w:eastAsia="宋体" w:cs="Times New Roman"/>
                      <w:color w:val="auto"/>
                      <w:spacing w:val="6"/>
                      <w:kern w:val="2"/>
                      <w:sz w:val="21"/>
                      <w:szCs w:val="21"/>
                      <w:lang w:val="en-US" w:eastAsia="en-US" w:bidi="ar-SA"/>
                    </w:rPr>
                  </w:pPr>
                  <w:r>
                    <w:rPr>
                      <w:rFonts w:hint="eastAsia" w:ascii="Times New Roman" w:hAnsi="Times New Roman" w:eastAsia="宋体" w:cs="Times New Roman"/>
                      <w:b w:val="0"/>
                      <w:bCs w:val="0"/>
                      <w:color w:val="auto"/>
                      <w:kern w:val="2"/>
                      <w:sz w:val="21"/>
                      <w:szCs w:val="21"/>
                      <w:lang w:val="en-US" w:eastAsia="zh-CN" w:bidi="ar-SA"/>
                    </w:rPr>
                    <w:t>外购</w:t>
                  </w:r>
                </w:p>
              </w:tc>
            </w:tr>
            <w:tr w14:paraId="7F3AB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7" w:type="pct"/>
                  <w:shd w:val="clear" w:color="auto" w:fill="auto"/>
                  <w:noWrap w:val="0"/>
                  <w:vAlign w:val="center"/>
                </w:tcPr>
                <w:p w14:paraId="74E4C556">
                  <w:pPr>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rPr>
                    <w:t>4</w:t>
                  </w:r>
                </w:p>
              </w:tc>
              <w:tc>
                <w:tcPr>
                  <w:tcW w:w="429" w:type="pct"/>
                  <w:shd w:val="clear" w:color="auto" w:fill="auto"/>
                  <w:noWrap w:val="0"/>
                  <w:vAlign w:val="center"/>
                </w:tcPr>
                <w:p w14:paraId="07E43C1D">
                  <w:pPr>
                    <w:pStyle w:val="1093"/>
                    <w:spacing w:before="65" w:line="228" w:lineRule="auto"/>
                    <w:jc w:val="center"/>
                    <w:rPr>
                      <w:rFonts w:hint="default" w:ascii="Times New Roman" w:hAnsi="Times New Roman" w:eastAsia="宋体" w:cs="Times New Roman"/>
                      <w:color w:val="auto"/>
                      <w:spacing w:val="6"/>
                      <w:sz w:val="21"/>
                      <w:szCs w:val="21"/>
                      <w:lang w:val="en-US" w:eastAsia="zh-CN"/>
                    </w:rPr>
                  </w:pPr>
                  <w:r>
                    <w:rPr>
                      <w:rFonts w:hint="eastAsia" w:ascii="Times New Roman" w:hAnsi="Times New Roman" w:cs="Times New Roman"/>
                      <w:color w:val="auto"/>
                      <w:spacing w:val="6"/>
                      <w:sz w:val="21"/>
                      <w:szCs w:val="21"/>
                      <w:lang w:val="en-US" w:eastAsia="zh-CN"/>
                    </w:rPr>
                    <w:t>粗加工</w:t>
                  </w:r>
                  <w:r>
                    <w:rPr>
                      <w:rFonts w:hint="eastAsia" w:ascii="Times New Roman" w:hAnsi="Times New Roman" w:eastAsia="宋体" w:cs="Times New Roman"/>
                      <w:color w:val="auto"/>
                      <w:spacing w:val="6"/>
                      <w:sz w:val="21"/>
                      <w:szCs w:val="21"/>
                      <w:lang w:val="en-US" w:eastAsia="zh-CN"/>
                    </w:rPr>
                    <w:t>、</w:t>
                  </w:r>
                  <w:r>
                    <w:rPr>
                      <w:rFonts w:hint="eastAsia" w:ascii="Times New Roman" w:hAnsi="Times New Roman" w:cs="Times New Roman"/>
                      <w:color w:val="auto"/>
                      <w:spacing w:val="6"/>
                      <w:sz w:val="21"/>
                      <w:szCs w:val="21"/>
                      <w:lang w:val="en-US" w:eastAsia="zh-CN"/>
                    </w:rPr>
                    <w:t>精加工</w:t>
                  </w:r>
                  <w:r>
                    <w:rPr>
                      <w:rFonts w:hint="eastAsia" w:ascii="Times New Roman" w:hAnsi="Times New Roman" w:eastAsia="宋体" w:cs="Times New Roman"/>
                      <w:color w:val="auto"/>
                      <w:spacing w:val="6"/>
                      <w:sz w:val="21"/>
                      <w:szCs w:val="21"/>
                      <w:lang w:val="en-US" w:eastAsia="zh-CN"/>
                    </w:rPr>
                    <w:t>、CNC加工</w:t>
                  </w:r>
                </w:p>
              </w:tc>
              <w:tc>
                <w:tcPr>
                  <w:tcW w:w="1011" w:type="pct"/>
                  <w:gridSpan w:val="2"/>
                  <w:noWrap w:val="0"/>
                  <w:vAlign w:val="center"/>
                </w:tcPr>
                <w:p w14:paraId="7B45DA5D">
                  <w:pPr>
                    <w:pStyle w:val="1093"/>
                    <w:spacing w:before="65" w:line="228" w:lineRule="auto"/>
                    <w:jc w:val="center"/>
                    <w:rPr>
                      <w:rFonts w:hint="eastAsia" w:ascii="Times New Roman" w:hAnsi="Times New Roman" w:eastAsia="宋体" w:cs="Times New Roman"/>
                      <w:color w:val="auto"/>
                      <w:spacing w:val="6"/>
                      <w:kern w:val="2"/>
                      <w:sz w:val="21"/>
                      <w:szCs w:val="21"/>
                      <w:lang w:val="en-US" w:eastAsia="zh-CN" w:bidi="ar-SA"/>
                    </w:rPr>
                  </w:pPr>
                  <w:r>
                    <w:rPr>
                      <w:rFonts w:hint="default" w:ascii="Times New Roman" w:hAnsi="Times New Roman" w:eastAsia="宋体" w:cs="Times New Roman"/>
                      <w:color w:val="auto"/>
                      <w:spacing w:val="6"/>
                      <w:sz w:val="21"/>
                      <w:szCs w:val="21"/>
                    </w:rPr>
                    <w:t>切削液</w:t>
                  </w:r>
                </w:p>
              </w:tc>
              <w:tc>
                <w:tcPr>
                  <w:tcW w:w="449" w:type="pct"/>
                  <w:noWrap w:val="0"/>
                  <w:vAlign w:val="center"/>
                </w:tcPr>
                <w:p w14:paraId="30C2C8FD">
                  <w:pPr>
                    <w:pStyle w:val="1093"/>
                    <w:spacing w:before="65" w:line="228" w:lineRule="auto"/>
                    <w:jc w:val="center"/>
                    <w:rPr>
                      <w:rFonts w:hint="default" w:ascii="Times New Roman" w:hAnsi="Times New Roman" w:eastAsia="宋体" w:cs="Times New Roman"/>
                      <w:color w:val="auto"/>
                      <w:spacing w:val="6"/>
                      <w:kern w:val="2"/>
                      <w:sz w:val="21"/>
                      <w:szCs w:val="21"/>
                      <w:lang w:val="en-US" w:eastAsia="zh-CN" w:bidi="ar-SA"/>
                    </w:rPr>
                  </w:pPr>
                  <w:r>
                    <w:rPr>
                      <w:rFonts w:hint="default" w:ascii="Times New Roman" w:hAnsi="Times New Roman" w:eastAsia="宋体" w:cs="Times New Roman"/>
                      <w:color w:val="auto"/>
                      <w:spacing w:val="6"/>
                      <w:sz w:val="21"/>
                      <w:szCs w:val="21"/>
                      <w:lang w:val="en-US" w:eastAsia="zh-CN"/>
                    </w:rPr>
                    <w:t>6</w:t>
                  </w:r>
                </w:p>
              </w:tc>
              <w:tc>
                <w:tcPr>
                  <w:tcW w:w="521" w:type="pct"/>
                  <w:noWrap w:val="0"/>
                  <w:vAlign w:val="center"/>
                </w:tcPr>
                <w:p w14:paraId="10C8606C">
                  <w:pPr>
                    <w:pStyle w:val="1093"/>
                    <w:spacing w:before="65" w:line="228" w:lineRule="auto"/>
                    <w:jc w:val="center"/>
                    <w:rPr>
                      <w:rFonts w:hint="default" w:ascii="Times New Roman" w:hAnsi="Times New Roman" w:eastAsia="宋体" w:cs="Times New Roman"/>
                      <w:color w:val="auto"/>
                      <w:spacing w:val="6"/>
                      <w:kern w:val="2"/>
                      <w:sz w:val="21"/>
                      <w:szCs w:val="21"/>
                      <w:lang w:val="en-US" w:eastAsia="en-US" w:bidi="ar-SA"/>
                    </w:rPr>
                  </w:pPr>
                  <w:r>
                    <w:rPr>
                      <w:rFonts w:hint="default" w:ascii="Times New Roman" w:hAnsi="Times New Roman" w:eastAsia="宋体" w:cs="Times New Roman"/>
                      <w:color w:val="auto"/>
                      <w:spacing w:val="6"/>
                      <w:sz w:val="21"/>
                      <w:szCs w:val="21"/>
                      <w:lang w:val="en-US" w:eastAsia="zh-CN"/>
                    </w:rPr>
                    <w:t>t/a</w:t>
                  </w:r>
                </w:p>
              </w:tc>
              <w:tc>
                <w:tcPr>
                  <w:tcW w:w="242" w:type="pct"/>
                  <w:noWrap w:val="0"/>
                  <w:vAlign w:val="center"/>
                </w:tcPr>
                <w:p w14:paraId="3D3DD842">
                  <w:pPr>
                    <w:pStyle w:val="1093"/>
                    <w:spacing w:before="65" w:line="228" w:lineRule="auto"/>
                    <w:jc w:val="center"/>
                    <w:rPr>
                      <w:rFonts w:hint="eastAsia" w:ascii="Times New Roman" w:hAnsi="Times New Roman" w:eastAsia="宋体" w:cs="Times New Roman"/>
                      <w:color w:val="auto"/>
                      <w:spacing w:val="6"/>
                      <w:kern w:val="2"/>
                      <w:sz w:val="21"/>
                      <w:szCs w:val="21"/>
                      <w:lang w:val="en-US" w:eastAsia="zh-CN" w:bidi="ar-SA"/>
                    </w:rPr>
                  </w:pPr>
                  <w:r>
                    <w:rPr>
                      <w:rFonts w:hint="eastAsia" w:ascii="Times New Roman" w:hAnsi="Times New Roman" w:eastAsia="宋体" w:cs="Times New Roman"/>
                      <w:color w:val="auto"/>
                      <w:spacing w:val="6"/>
                      <w:sz w:val="21"/>
                      <w:szCs w:val="21"/>
                      <w:lang w:val="en-US" w:eastAsia="zh-CN"/>
                    </w:rPr>
                    <w:t>液态</w:t>
                  </w:r>
                </w:p>
              </w:tc>
              <w:tc>
                <w:tcPr>
                  <w:tcW w:w="665" w:type="pct"/>
                  <w:shd w:val="clear" w:color="auto" w:fill="auto"/>
                  <w:noWrap w:val="0"/>
                  <w:vAlign w:val="center"/>
                </w:tcPr>
                <w:p w14:paraId="38762D44">
                  <w:pPr>
                    <w:pStyle w:val="1093"/>
                    <w:spacing w:before="65" w:line="228" w:lineRule="auto"/>
                    <w:jc w:val="center"/>
                    <w:rPr>
                      <w:rFonts w:hint="eastAsia" w:ascii="Times New Roman" w:hAnsi="Times New Roman" w:eastAsia="宋体" w:cs="Times New Roman"/>
                      <w:color w:val="auto"/>
                      <w:spacing w:val="6"/>
                      <w:kern w:val="2"/>
                      <w:sz w:val="21"/>
                      <w:szCs w:val="21"/>
                      <w:lang w:val="en-US" w:eastAsia="zh-CN" w:bidi="ar-SA"/>
                    </w:rPr>
                  </w:pPr>
                  <w:r>
                    <w:rPr>
                      <w:rFonts w:hint="eastAsia" w:ascii="Times New Roman" w:hAnsi="Times New Roman" w:cs="Times New Roman"/>
                      <w:color w:val="auto"/>
                      <w:spacing w:val="6"/>
                      <w:sz w:val="21"/>
                      <w:szCs w:val="21"/>
                      <w:lang w:val="en-US" w:eastAsia="zh-CN"/>
                    </w:rPr>
                    <w:t>170kg/</w:t>
                  </w:r>
                  <w:r>
                    <w:rPr>
                      <w:rFonts w:hint="default" w:ascii="Times New Roman" w:hAnsi="Times New Roman" w:eastAsia="宋体" w:cs="Times New Roman"/>
                      <w:color w:val="auto"/>
                      <w:spacing w:val="6"/>
                      <w:sz w:val="21"/>
                      <w:szCs w:val="21"/>
                    </w:rPr>
                    <w:t>桶</w:t>
                  </w:r>
                </w:p>
              </w:tc>
              <w:tc>
                <w:tcPr>
                  <w:tcW w:w="599" w:type="pct"/>
                  <w:noWrap w:val="0"/>
                  <w:vAlign w:val="center"/>
                </w:tcPr>
                <w:p w14:paraId="6959B3CA">
                  <w:pPr>
                    <w:pStyle w:val="1093"/>
                    <w:spacing w:before="65" w:line="228" w:lineRule="auto"/>
                    <w:jc w:val="center"/>
                    <w:rPr>
                      <w:rFonts w:hint="default" w:ascii="Times New Roman" w:hAnsi="Times New Roman" w:eastAsia="宋体" w:cs="Times New Roman"/>
                      <w:color w:val="auto"/>
                      <w:spacing w:val="6"/>
                      <w:kern w:val="2"/>
                      <w:sz w:val="21"/>
                      <w:szCs w:val="21"/>
                      <w:lang w:val="en-US" w:eastAsia="en-US" w:bidi="ar-SA"/>
                    </w:rPr>
                  </w:pPr>
                  <w:r>
                    <w:rPr>
                      <w:rFonts w:hint="eastAsia" w:ascii="Times New Roman" w:hAnsi="Times New Roman" w:cs="Times New Roman"/>
                      <w:color w:val="auto"/>
                      <w:spacing w:val="6"/>
                      <w:sz w:val="21"/>
                      <w:szCs w:val="21"/>
                      <w:lang w:val="en-US" w:eastAsia="zh-CN"/>
                    </w:rPr>
                    <w:t>0.68</w:t>
                  </w:r>
                  <w:r>
                    <w:rPr>
                      <w:rFonts w:hint="eastAsia" w:ascii="Times New Roman" w:hAnsi="Times New Roman" w:eastAsia="宋体" w:cs="Times New Roman"/>
                      <w:color w:val="auto"/>
                      <w:spacing w:val="6"/>
                      <w:sz w:val="21"/>
                      <w:szCs w:val="21"/>
                      <w:lang w:val="en-US" w:eastAsia="zh-CN"/>
                    </w:rPr>
                    <w:t>t</w:t>
                  </w:r>
                </w:p>
              </w:tc>
              <w:tc>
                <w:tcPr>
                  <w:tcW w:w="539" w:type="pct"/>
                  <w:noWrap w:val="0"/>
                  <w:vAlign w:val="center"/>
                </w:tcPr>
                <w:p w14:paraId="500A2842">
                  <w:pPr>
                    <w:pStyle w:val="1093"/>
                    <w:spacing w:before="65" w:line="228" w:lineRule="auto"/>
                    <w:jc w:val="center"/>
                    <w:rPr>
                      <w:rFonts w:hint="default" w:ascii="Times New Roman" w:hAnsi="Times New Roman" w:eastAsia="宋体" w:cs="Times New Roman"/>
                      <w:color w:val="auto"/>
                      <w:spacing w:val="6"/>
                      <w:kern w:val="2"/>
                      <w:sz w:val="21"/>
                      <w:szCs w:val="21"/>
                      <w:lang w:val="en-US" w:eastAsia="en-US" w:bidi="ar-SA"/>
                    </w:rPr>
                  </w:pPr>
                  <w:r>
                    <w:rPr>
                      <w:rFonts w:hint="eastAsia" w:ascii="Times New Roman" w:hAnsi="Times New Roman" w:cs="Times New Roman"/>
                      <w:color w:val="auto"/>
                      <w:spacing w:val="6"/>
                      <w:sz w:val="21"/>
                      <w:szCs w:val="21"/>
                      <w:lang w:val="en-US" w:eastAsia="zh-CN"/>
                    </w:rPr>
                    <w:t>辅料区</w:t>
                  </w:r>
                </w:p>
              </w:tc>
              <w:tc>
                <w:tcPr>
                  <w:tcW w:w="252" w:type="pct"/>
                  <w:shd w:val="clear" w:color="auto" w:fill="auto"/>
                  <w:noWrap w:val="0"/>
                  <w:vAlign w:val="center"/>
                </w:tcPr>
                <w:p w14:paraId="2BAD2C84">
                  <w:pPr>
                    <w:spacing w:before="65" w:line="228" w:lineRule="auto"/>
                    <w:jc w:val="center"/>
                    <w:rPr>
                      <w:rFonts w:hint="default" w:ascii="Times New Roman" w:hAnsi="Times New Roman" w:eastAsia="宋体" w:cs="Times New Roman"/>
                      <w:color w:val="auto"/>
                      <w:spacing w:val="6"/>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外购</w:t>
                  </w:r>
                </w:p>
              </w:tc>
            </w:tr>
            <w:tr w14:paraId="0065F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7" w:type="pct"/>
                  <w:shd w:val="clear" w:color="auto" w:fill="auto"/>
                  <w:noWrap w:val="0"/>
                  <w:vAlign w:val="center"/>
                </w:tcPr>
                <w:p w14:paraId="3BC8F735">
                  <w:pPr>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rPr>
                    <w:t>5</w:t>
                  </w:r>
                </w:p>
              </w:tc>
              <w:tc>
                <w:tcPr>
                  <w:tcW w:w="429" w:type="pct"/>
                  <w:shd w:val="clear" w:color="auto" w:fill="auto"/>
                  <w:noWrap w:val="0"/>
                  <w:vAlign w:val="center"/>
                </w:tcPr>
                <w:p w14:paraId="3C30B5B2">
                  <w:pPr>
                    <w:pStyle w:val="1093"/>
                    <w:spacing w:before="65" w:line="228" w:lineRule="auto"/>
                    <w:jc w:val="center"/>
                    <w:rPr>
                      <w:rFonts w:hint="eastAsia" w:ascii="Times New Roman" w:hAnsi="Times New Roman" w:eastAsia="宋体" w:cs="Times New Roman"/>
                      <w:color w:val="auto"/>
                      <w:spacing w:val="6"/>
                      <w:sz w:val="21"/>
                      <w:szCs w:val="21"/>
                      <w:lang w:val="en-US" w:eastAsia="zh-CN"/>
                    </w:rPr>
                  </w:pPr>
                  <w:r>
                    <w:rPr>
                      <w:rFonts w:hint="eastAsia" w:ascii="Times New Roman" w:hAnsi="Times New Roman" w:eastAsia="宋体" w:cs="Times New Roman"/>
                      <w:color w:val="auto"/>
                      <w:spacing w:val="6"/>
                      <w:sz w:val="21"/>
                      <w:szCs w:val="21"/>
                      <w:lang w:val="en-US" w:eastAsia="zh-CN"/>
                    </w:rPr>
                    <w:t>淬火</w:t>
                  </w:r>
                </w:p>
              </w:tc>
              <w:tc>
                <w:tcPr>
                  <w:tcW w:w="1011" w:type="pct"/>
                  <w:gridSpan w:val="2"/>
                  <w:noWrap w:val="0"/>
                  <w:vAlign w:val="center"/>
                </w:tcPr>
                <w:p w14:paraId="7EE375E6">
                  <w:pPr>
                    <w:pStyle w:val="1093"/>
                    <w:spacing w:before="65" w:line="228" w:lineRule="auto"/>
                    <w:jc w:val="center"/>
                    <w:rPr>
                      <w:rFonts w:hint="default" w:ascii="Times New Roman" w:hAnsi="Times New Roman" w:eastAsia="宋体" w:cs="Times New Roman"/>
                      <w:color w:val="auto"/>
                      <w:spacing w:val="6"/>
                      <w:kern w:val="2"/>
                      <w:sz w:val="21"/>
                      <w:szCs w:val="21"/>
                      <w:lang w:val="en-US" w:eastAsia="zh-CN" w:bidi="ar-SA"/>
                    </w:rPr>
                  </w:pPr>
                  <w:r>
                    <w:rPr>
                      <w:rFonts w:hint="eastAsia" w:ascii="Times New Roman" w:hAnsi="Times New Roman" w:eastAsia="宋体" w:cs="Times New Roman"/>
                      <w:color w:val="auto"/>
                      <w:spacing w:val="6"/>
                      <w:sz w:val="21"/>
                      <w:szCs w:val="21"/>
                      <w:lang w:val="en-US" w:eastAsia="zh-CN"/>
                    </w:rPr>
                    <w:t>水性淬火液</w:t>
                  </w:r>
                </w:p>
              </w:tc>
              <w:tc>
                <w:tcPr>
                  <w:tcW w:w="449" w:type="pct"/>
                  <w:noWrap w:val="0"/>
                  <w:vAlign w:val="center"/>
                </w:tcPr>
                <w:p w14:paraId="725584B2">
                  <w:pPr>
                    <w:pStyle w:val="1093"/>
                    <w:spacing w:before="65" w:line="228" w:lineRule="auto"/>
                    <w:jc w:val="center"/>
                    <w:rPr>
                      <w:rFonts w:hint="default" w:ascii="Times New Roman" w:hAnsi="Times New Roman" w:eastAsia="宋体" w:cs="Times New Roman"/>
                      <w:color w:val="auto"/>
                      <w:spacing w:val="6"/>
                      <w:sz w:val="21"/>
                      <w:szCs w:val="21"/>
                      <w:lang w:val="en-US" w:eastAsia="zh-CN"/>
                    </w:rPr>
                  </w:pPr>
                  <w:r>
                    <w:rPr>
                      <w:rFonts w:hint="eastAsia" w:ascii="Times New Roman" w:hAnsi="Times New Roman" w:cs="Times New Roman"/>
                      <w:color w:val="auto"/>
                      <w:spacing w:val="6"/>
                      <w:sz w:val="21"/>
                      <w:szCs w:val="21"/>
                      <w:lang w:val="en-US" w:eastAsia="zh-CN"/>
                    </w:rPr>
                    <w:t>1.2</w:t>
                  </w:r>
                </w:p>
              </w:tc>
              <w:tc>
                <w:tcPr>
                  <w:tcW w:w="521" w:type="pct"/>
                  <w:noWrap w:val="0"/>
                  <w:vAlign w:val="center"/>
                </w:tcPr>
                <w:p w14:paraId="3CCA9CE6">
                  <w:pPr>
                    <w:pStyle w:val="1093"/>
                    <w:spacing w:before="65" w:line="228" w:lineRule="auto"/>
                    <w:jc w:val="center"/>
                    <w:rPr>
                      <w:rFonts w:hint="default" w:ascii="Times New Roman" w:hAnsi="Times New Roman" w:eastAsia="宋体" w:cs="Times New Roman"/>
                      <w:color w:val="auto"/>
                      <w:spacing w:val="6"/>
                      <w:sz w:val="21"/>
                      <w:szCs w:val="21"/>
                      <w:lang w:val="en-US" w:eastAsia="en-US"/>
                    </w:rPr>
                  </w:pPr>
                  <w:r>
                    <w:rPr>
                      <w:rFonts w:hint="default" w:ascii="Times New Roman" w:hAnsi="Times New Roman" w:eastAsia="宋体" w:cs="Times New Roman"/>
                      <w:color w:val="auto"/>
                      <w:spacing w:val="6"/>
                      <w:sz w:val="21"/>
                      <w:szCs w:val="21"/>
                      <w:lang w:val="en-US" w:eastAsia="zh-CN"/>
                    </w:rPr>
                    <w:t>t/a</w:t>
                  </w:r>
                </w:p>
              </w:tc>
              <w:tc>
                <w:tcPr>
                  <w:tcW w:w="242" w:type="pct"/>
                  <w:noWrap w:val="0"/>
                  <w:vAlign w:val="center"/>
                </w:tcPr>
                <w:p w14:paraId="63486ED1">
                  <w:pPr>
                    <w:pStyle w:val="1093"/>
                    <w:spacing w:before="65" w:line="228" w:lineRule="auto"/>
                    <w:jc w:val="center"/>
                    <w:rPr>
                      <w:rFonts w:hint="eastAsia" w:ascii="Times New Roman" w:hAnsi="Times New Roman" w:eastAsia="宋体" w:cs="Times New Roman"/>
                      <w:color w:val="auto"/>
                      <w:spacing w:val="6"/>
                      <w:sz w:val="21"/>
                      <w:szCs w:val="21"/>
                      <w:lang w:val="en-US" w:eastAsia="zh-CN"/>
                    </w:rPr>
                  </w:pPr>
                  <w:r>
                    <w:rPr>
                      <w:rFonts w:hint="eastAsia" w:ascii="Times New Roman" w:hAnsi="Times New Roman" w:cs="Times New Roman"/>
                      <w:color w:val="auto"/>
                      <w:spacing w:val="6"/>
                      <w:sz w:val="21"/>
                      <w:szCs w:val="21"/>
                      <w:lang w:val="en-US" w:eastAsia="zh-CN"/>
                    </w:rPr>
                    <w:t>液态</w:t>
                  </w:r>
                </w:p>
              </w:tc>
              <w:tc>
                <w:tcPr>
                  <w:tcW w:w="665" w:type="pct"/>
                  <w:shd w:val="clear" w:color="auto" w:fill="auto"/>
                  <w:noWrap w:val="0"/>
                  <w:vAlign w:val="center"/>
                </w:tcPr>
                <w:p w14:paraId="26BDCE85">
                  <w:pPr>
                    <w:pStyle w:val="1093"/>
                    <w:spacing w:before="65" w:line="228" w:lineRule="auto"/>
                    <w:jc w:val="center"/>
                    <w:rPr>
                      <w:rFonts w:hint="eastAsia" w:ascii="Times New Roman" w:hAnsi="Times New Roman" w:eastAsia="宋体" w:cs="Times New Roman"/>
                      <w:color w:val="auto"/>
                      <w:spacing w:val="6"/>
                      <w:kern w:val="2"/>
                      <w:sz w:val="21"/>
                      <w:szCs w:val="21"/>
                      <w:lang w:val="en-US" w:eastAsia="zh-CN" w:bidi="ar-SA"/>
                    </w:rPr>
                  </w:pPr>
                  <w:r>
                    <w:rPr>
                      <w:rFonts w:hint="eastAsia" w:ascii="Times New Roman" w:hAnsi="Times New Roman" w:cs="Times New Roman"/>
                      <w:color w:val="auto"/>
                      <w:spacing w:val="6"/>
                      <w:sz w:val="21"/>
                      <w:szCs w:val="21"/>
                      <w:lang w:val="en-US" w:eastAsia="zh-CN"/>
                    </w:rPr>
                    <w:t>20kg/</w:t>
                  </w:r>
                  <w:r>
                    <w:rPr>
                      <w:rFonts w:hint="default" w:ascii="Times New Roman" w:hAnsi="Times New Roman" w:eastAsia="宋体" w:cs="Times New Roman"/>
                      <w:color w:val="auto"/>
                      <w:spacing w:val="6"/>
                      <w:sz w:val="21"/>
                      <w:szCs w:val="21"/>
                    </w:rPr>
                    <w:t>桶</w:t>
                  </w:r>
                </w:p>
              </w:tc>
              <w:tc>
                <w:tcPr>
                  <w:tcW w:w="599" w:type="pct"/>
                  <w:noWrap w:val="0"/>
                  <w:vAlign w:val="center"/>
                </w:tcPr>
                <w:p w14:paraId="2EBAD922">
                  <w:pPr>
                    <w:pStyle w:val="1093"/>
                    <w:spacing w:before="65" w:line="228" w:lineRule="auto"/>
                    <w:jc w:val="center"/>
                    <w:rPr>
                      <w:rFonts w:hint="default" w:ascii="Times New Roman" w:hAnsi="Times New Roman" w:eastAsia="宋体" w:cs="Times New Roman"/>
                      <w:color w:val="auto"/>
                      <w:spacing w:val="6"/>
                      <w:sz w:val="21"/>
                      <w:szCs w:val="21"/>
                      <w:lang w:val="en-US" w:eastAsia="zh-CN"/>
                    </w:rPr>
                  </w:pPr>
                  <w:r>
                    <w:rPr>
                      <w:rFonts w:hint="eastAsia" w:ascii="Times New Roman" w:hAnsi="Times New Roman" w:cs="Times New Roman"/>
                      <w:color w:val="auto"/>
                      <w:spacing w:val="6"/>
                      <w:sz w:val="21"/>
                      <w:szCs w:val="21"/>
                      <w:lang w:val="en-US" w:eastAsia="zh-CN"/>
                    </w:rPr>
                    <w:t>0.2t</w:t>
                  </w:r>
                </w:p>
              </w:tc>
              <w:tc>
                <w:tcPr>
                  <w:tcW w:w="539" w:type="pct"/>
                  <w:noWrap w:val="0"/>
                  <w:vAlign w:val="center"/>
                </w:tcPr>
                <w:p w14:paraId="5E5820B8">
                  <w:pPr>
                    <w:pStyle w:val="1093"/>
                    <w:spacing w:before="65" w:line="228" w:lineRule="auto"/>
                    <w:jc w:val="center"/>
                    <w:rPr>
                      <w:rFonts w:hint="default" w:ascii="Times New Roman" w:hAnsi="Times New Roman" w:eastAsia="宋体" w:cs="Times New Roman"/>
                      <w:color w:val="auto"/>
                      <w:spacing w:val="6"/>
                      <w:kern w:val="2"/>
                      <w:sz w:val="21"/>
                      <w:szCs w:val="21"/>
                      <w:lang w:val="en-US" w:eastAsia="en-US" w:bidi="ar-SA"/>
                    </w:rPr>
                  </w:pPr>
                  <w:r>
                    <w:rPr>
                      <w:rFonts w:hint="eastAsia" w:ascii="Times New Roman" w:hAnsi="Times New Roman" w:cs="Times New Roman"/>
                      <w:color w:val="auto"/>
                      <w:spacing w:val="6"/>
                      <w:sz w:val="21"/>
                      <w:szCs w:val="21"/>
                      <w:lang w:val="en-US" w:eastAsia="zh-CN"/>
                    </w:rPr>
                    <w:t>辅料区</w:t>
                  </w:r>
                </w:p>
              </w:tc>
              <w:tc>
                <w:tcPr>
                  <w:tcW w:w="252" w:type="pct"/>
                  <w:shd w:val="clear" w:color="auto" w:fill="auto"/>
                  <w:noWrap w:val="0"/>
                  <w:vAlign w:val="center"/>
                </w:tcPr>
                <w:p w14:paraId="22542209">
                  <w:pPr>
                    <w:spacing w:before="65" w:line="228" w:lineRule="auto"/>
                    <w:jc w:val="center"/>
                    <w:rPr>
                      <w:rFonts w:hint="default" w:ascii="Times New Roman" w:hAnsi="Times New Roman" w:eastAsia="宋体" w:cs="Times New Roman"/>
                      <w:color w:val="auto"/>
                      <w:spacing w:val="6"/>
                      <w:kern w:val="2"/>
                      <w:sz w:val="21"/>
                      <w:szCs w:val="21"/>
                      <w:lang w:val="en-US" w:eastAsia="en-US" w:bidi="ar-SA"/>
                    </w:rPr>
                  </w:pPr>
                  <w:r>
                    <w:rPr>
                      <w:rFonts w:hint="eastAsia" w:ascii="Times New Roman" w:hAnsi="Times New Roman" w:eastAsia="宋体" w:cs="Times New Roman"/>
                      <w:b w:val="0"/>
                      <w:bCs w:val="0"/>
                      <w:color w:val="auto"/>
                      <w:kern w:val="2"/>
                      <w:sz w:val="21"/>
                      <w:szCs w:val="21"/>
                      <w:lang w:val="en-US" w:eastAsia="zh-CN" w:bidi="ar-SA"/>
                    </w:rPr>
                    <w:t>外购</w:t>
                  </w:r>
                </w:p>
              </w:tc>
            </w:tr>
            <w:tr w14:paraId="7C8E4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7" w:type="pct"/>
                  <w:shd w:val="clear" w:color="auto" w:fill="auto"/>
                  <w:noWrap w:val="0"/>
                  <w:vAlign w:val="center"/>
                </w:tcPr>
                <w:p w14:paraId="207C7F41">
                  <w:pPr>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6</w:t>
                  </w:r>
                </w:p>
              </w:tc>
              <w:tc>
                <w:tcPr>
                  <w:tcW w:w="429" w:type="pct"/>
                  <w:vMerge w:val="restart"/>
                  <w:shd w:val="clear" w:color="auto" w:fill="auto"/>
                  <w:noWrap w:val="0"/>
                  <w:vAlign w:val="center"/>
                </w:tcPr>
                <w:p w14:paraId="787E50C2">
                  <w:pPr>
                    <w:pStyle w:val="1093"/>
                    <w:spacing w:before="65" w:line="228" w:lineRule="auto"/>
                    <w:jc w:val="center"/>
                    <w:rPr>
                      <w:rFonts w:hint="eastAsia" w:ascii="Times New Roman" w:hAnsi="Times New Roman" w:eastAsia="宋体" w:cs="Times New Roman"/>
                      <w:color w:val="auto"/>
                      <w:spacing w:val="6"/>
                      <w:kern w:val="2"/>
                      <w:sz w:val="21"/>
                      <w:szCs w:val="21"/>
                      <w:lang w:val="en-US" w:eastAsia="zh-CN" w:bidi="ar-SA"/>
                    </w:rPr>
                  </w:pPr>
                  <w:r>
                    <w:rPr>
                      <w:rFonts w:hint="eastAsia" w:ascii="Times New Roman" w:hAnsi="Times New Roman" w:eastAsia="宋体" w:cs="Times New Roman"/>
                      <w:color w:val="auto"/>
                      <w:spacing w:val="6"/>
                      <w:sz w:val="21"/>
                      <w:szCs w:val="21"/>
                      <w:lang w:val="en-US" w:eastAsia="zh-CN"/>
                    </w:rPr>
                    <w:t>磨削</w:t>
                  </w:r>
                  <w:r>
                    <w:rPr>
                      <w:rFonts w:hint="eastAsia" w:ascii="Times New Roman" w:hAnsi="Times New Roman" w:cs="Times New Roman"/>
                      <w:color w:val="auto"/>
                      <w:spacing w:val="6"/>
                      <w:sz w:val="21"/>
                      <w:szCs w:val="21"/>
                      <w:lang w:val="en-US" w:eastAsia="zh-CN"/>
                    </w:rPr>
                    <w:t>加工</w:t>
                  </w:r>
                </w:p>
              </w:tc>
              <w:tc>
                <w:tcPr>
                  <w:tcW w:w="1011" w:type="pct"/>
                  <w:gridSpan w:val="2"/>
                  <w:noWrap w:val="0"/>
                  <w:vAlign w:val="center"/>
                </w:tcPr>
                <w:p w14:paraId="3032E687">
                  <w:pPr>
                    <w:pStyle w:val="1093"/>
                    <w:spacing w:before="65" w:line="228" w:lineRule="auto"/>
                    <w:jc w:val="center"/>
                    <w:rPr>
                      <w:rFonts w:hint="default" w:ascii="Times New Roman" w:hAnsi="Times New Roman" w:eastAsia="宋体" w:cs="Times New Roman"/>
                      <w:color w:val="auto"/>
                      <w:spacing w:val="6"/>
                      <w:kern w:val="2"/>
                      <w:sz w:val="21"/>
                      <w:szCs w:val="21"/>
                      <w:lang w:val="en-US" w:eastAsia="zh-CN" w:bidi="ar-SA"/>
                    </w:rPr>
                  </w:pPr>
                  <w:r>
                    <w:rPr>
                      <w:rFonts w:hint="eastAsia" w:ascii="Times New Roman" w:hAnsi="Times New Roman" w:cs="Times New Roman"/>
                      <w:color w:val="auto"/>
                      <w:spacing w:val="6"/>
                      <w:kern w:val="2"/>
                      <w:sz w:val="21"/>
                      <w:szCs w:val="21"/>
                      <w:lang w:val="en-US" w:eastAsia="zh-CN" w:bidi="ar-SA"/>
                    </w:rPr>
                    <w:t>水性磨削液</w:t>
                  </w:r>
                </w:p>
              </w:tc>
              <w:tc>
                <w:tcPr>
                  <w:tcW w:w="449" w:type="pct"/>
                  <w:shd w:val="clear" w:color="auto" w:fill="auto"/>
                  <w:noWrap w:val="0"/>
                  <w:vAlign w:val="center"/>
                </w:tcPr>
                <w:p w14:paraId="253F0129">
                  <w:pPr>
                    <w:pStyle w:val="1093"/>
                    <w:spacing w:before="65" w:line="228" w:lineRule="auto"/>
                    <w:jc w:val="center"/>
                    <w:rPr>
                      <w:rFonts w:hint="default" w:ascii="Times New Roman" w:hAnsi="Times New Roman" w:eastAsia="宋体" w:cs="Times New Roman"/>
                      <w:color w:val="auto"/>
                      <w:spacing w:val="6"/>
                      <w:kern w:val="2"/>
                      <w:sz w:val="21"/>
                      <w:szCs w:val="21"/>
                      <w:lang w:val="en-US" w:eastAsia="zh-CN" w:bidi="ar-SA"/>
                    </w:rPr>
                  </w:pPr>
                  <w:r>
                    <w:rPr>
                      <w:rFonts w:hint="eastAsia" w:ascii="Times New Roman" w:hAnsi="Times New Roman" w:cs="Times New Roman"/>
                      <w:color w:val="auto"/>
                      <w:spacing w:val="6"/>
                      <w:sz w:val="21"/>
                      <w:szCs w:val="21"/>
                      <w:lang w:val="en-US" w:eastAsia="zh-CN"/>
                    </w:rPr>
                    <w:t>10.8</w:t>
                  </w:r>
                </w:p>
              </w:tc>
              <w:tc>
                <w:tcPr>
                  <w:tcW w:w="521" w:type="pct"/>
                  <w:shd w:val="clear" w:color="auto" w:fill="auto"/>
                  <w:noWrap w:val="0"/>
                  <w:vAlign w:val="center"/>
                </w:tcPr>
                <w:p w14:paraId="5B6F73F6">
                  <w:pPr>
                    <w:pStyle w:val="1093"/>
                    <w:spacing w:before="65" w:line="228" w:lineRule="auto"/>
                    <w:jc w:val="center"/>
                    <w:rPr>
                      <w:rFonts w:hint="default" w:ascii="Times New Roman" w:hAnsi="Times New Roman" w:eastAsia="宋体" w:cs="Times New Roman"/>
                      <w:color w:val="auto"/>
                      <w:spacing w:val="6"/>
                      <w:kern w:val="2"/>
                      <w:sz w:val="21"/>
                      <w:szCs w:val="21"/>
                      <w:lang w:val="en-US" w:eastAsia="en-US" w:bidi="ar-SA"/>
                    </w:rPr>
                  </w:pPr>
                  <w:r>
                    <w:rPr>
                      <w:rFonts w:hint="eastAsia" w:ascii="Times New Roman" w:hAnsi="Times New Roman" w:cs="Times New Roman"/>
                      <w:color w:val="auto"/>
                      <w:spacing w:val="6"/>
                      <w:sz w:val="21"/>
                      <w:szCs w:val="21"/>
                      <w:lang w:val="en-US" w:eastAsia="zh-CN"/>
                    </w:rPr>
                    <w:t>t/a</w:t>
                  </w:r>
                </w:p>
              </w:tc>
              <w:tc>
                <w:tcPr>
                  <w:tcW w:w="242" w:type="pct"/>
                  <w:noWrap w:val="0"/>
                  <w:vAlign w:val="center"/>
                </w:tcPr>
                <w:p w14:paraId="73D559CE">
                  <w:pPr>
                    <w:pStyle w:val="1093"/>
                    <w:spacing w:before="65" w:line="228" w:lineRule="auto"/>
                    <w:jc w:val="center"/>
                    <w:rPr>
                      <w:rFonts w:hint="eastAsia" w:ascii="Times New Roman" w:hAnsi="Times New Roman" w:eastAsia="宋体" w:cs="Times New Roman"/>
                      <w:color w:val="auto"/>
                      <w:spacing w:val="6"/>
                      <w:sz w:val="21"/>
                      <w:szCs w:val="21"/>
                      <w:lang w:val="en-US" w:eastAsia="zh-CN"/>
                    </w:rPr>
                  </w:pPr>
                  <w:r>
                    <w:rPr>
                      <w:rFonts w:hint="eastAsia" w:ascii="Times New Roman" w:hAnsi="Times New Roman" w:cs="Times New Roman"/>
                      <w:color w:val="auto"/>
                      <w:spacing w:val="6"/>
                      <w:sz w:val="21"/>
                      <w:szCs w:val="21"/>
                      <w:lang w:val="en-US" w:eastAsia="zh-CN"/>
                    </w:rPr>
                    <w:t>液态</w:t>
                  </w:r>
                </w:p>
              </w:tc>
              <w:tc>
                <w:tcPr>
                  <w:tcW w:w="665" w:type="pct"/>
                  <w:shd w:val="clear" w:color="auto" w:fill="auto"/>
                  <w:noWrap w:val="0"/>
                  <w:vAlign w:val="center"/>
                </w:tcPr>
                <w:p w14:paraId="70928264">
                  <w:pPr>
                    <w:pStyle w:val="1093"/>
                    <w:spacing w:before="65" w:line="228" w:lineRule="auto"/>
                    <w:jc w:val="center"/>
                    <w:rPr>
                      <w:rFonts w:hint="eastAsia" w:ascii="Times New Roman" w:hAnsi="Times New Roman" w:eastAsia="宋体" w:cs="Times New Roman"/>
                      <w:color w:val="auto"/>
                      <w:spacing w:val="6"/>
                      <w:kern w:val="2"/>
                      <w:sz w:val="21"/>
                      <w:szCs w:val="21"/>
                      <w:lang w:val="en-US" w:eastAsia="zh-CN" w:bidi="ar-SA"/>
                    </w:rPr>
                  </w:pPr>
                  <w:r>
                    <w:rPr>
                      <w:rFonts w:hint="eastAsia" w:ascii="Times New Roman" w:hAnsi="Times New Roman" w:cs="Times New Roman"/>
                      <w:color w:val="auto"/>
                      <w:spacing w:val="6"/>
                      <w:sz w:val="21"/>
                      <w:szCs w:val="21"/>
                      <w:lang w:val="en-US" w:eastAsia="zh-CN"/>
                    </w:rPr>
                    <w:t>180kg/</w:t>
                  </w:r>
                  <w:r>
                    <w:rPr>
                      <w:rFonts w:hint="default" w:ascii="Times New Roman" w:hAnsi="Times New Roman" w:eastAsia="宋体" w:cs="Times New Roman"/>
                      <w:color w:val="auto"/>
                      <w:spacing w:val="6"/>
                      <w:sz w:val="21"/>
                      <w:szCs w:val="21"/>
                    </w:rPr>
                    <w:t>桶</w:t>
                  </w:r>
                </w:p>
              </w:tc>
              <w:tc>
                <w:tcPr>
                  <w:tcW w:w="599" w:type="pct"/>
                  <w:noWrap w:val="0"/>
                  <w:vAlign w:val="center"/>
                </w:tcPr>
                <w:p w14:paraId="30D6A48E">
                  <w:pPr>
                    <w:pStyle w:val="1093"/>
                    <w:spacing w:before="65" w:line="228" w:lineRule="auto"/>
                    <w:jc w:val="center"/>
                    <w:rPr>
                      <w:rFonts w:hint="default" w:ascii="Times New Roman" w:hAnsi="Times New Roman" w:eastAsia="宋体" w:cs="Times New Roman"/>
                      <w:color w:val="auto"/>
                      <w:spacing w:val="6"/>
                      <w:sz w:val="21"/>
                      <w:szCs w:val="21"/>
                      <w:lang w:val="en-US" w:eastAsia="en-US"/>
                    </w:rPr>
                  </w:pPr>
                  <w:r>
                    <w:rPr>
                      <w:rFonts w:hint="eastAsia" w:ascii="Times New Roman" w:hAnsi="Times New Roman" w:cs="Times New Roman"/>
                      <w:color w:val="auto"/>
                      <w:spacing w:val="6"/>
                      <w:sz w:val="21"/>
                      <w:szCs w:val="21"/>
                      <w:lang w:val="en-US" w:eastAsia="zh-CN"/>
                    </w:rPr>
                    <w:t>1.8t</w:t>
                  </w:r>
                </w:p>
              </w:tc>
              <w:tc>
                <w:tcPr>
                  <w:tcW w:w="539" w:type="pct"/>
                  <w:noWrap w:val="0"/>
                  <w:vAlign w:val="center"/>
                </w:tcPr>
                <w:p w14:paraId="3EEC12B7">
                  <w:pPr>
                    <w:pStyle w:val="1093"/>
                    <w:spacing w:before="65" w:line="228" w:lineRule="auto"/>
                    <w:jc w:val="center"/>
                    <w:rPr>
                      <w:rFonts w:hint="default" w:ascii="Times New Roman" w:hAnsi="Times New Roman" w:eastAsia="宋体" w:cs="Times New Roman"/>
                      <w:color w:val="auto"/>
                      <w:spacing w:val="6"/>
                      <w:kern w:val="2"/>
                      <w:sz w:val="21"/>
                      <w:szCs w:val="21"/>
                      <w:lang w:val="en-US" w:eastAsia="en-US" w:bidi="ar-SA"/>
                    </w:rPr>
                  </w:pPr>
                  <w:r>
                    <w:rPr>
                      <w:rFonts w:hint="eastAsia" w:ascii="Times New Roman" w:hAnsi="Times New Roman" w:cs="Times New Roman"/>
                      <w:color w:val="auto"/>
                      <w:spacing w:val="6"/>
                      <w:sz w:val="21"/>
                      <w:szCs w:val="21"/>
                      <w:lang w:val="en-US" w:eastAsia="zh-CN"/>
                    </w:rPr>
                    <w:t>辅料区</w:t>
                  </w:r>
                </w:p>
              </w:tc>
              <w:tc>
                <w:tcPr>
                  <w:tcW w:w="252" w:type="pct"/>
                  <w:shd w:val="clear" w:color="auto" w:fill="auto"/>
                  <w:noWrap w:val="0"/>
                  <w:vAlign w:val="center"/>
                </w:tcPr>
                <w:p w14:paraId="4723A067">
                  <w:pPr>
                    <w:spacing w:before="65" w:line="228" w:lineRule="auto"/>
                    <w:jc w:val="center"/>
                    <w:rPr>
                      <w:rFonts w:hint="default" w:ascii="Times New Roman" w:hAnsi="Times New Roman" w:eastAsia="宋体" w:cs="Times New Roman"/>
                      <w:color w:val="auto"/>
                      <w:spacing w:val="6"/>
                      <w:kern w:val="2"/>
                      <w:sz w:val="21"/>
                      <w:szCs w:val="21"/>
                      <w:lang w:val="en-US" w:eastAsia="en-US" w:bidi="ar-SA"/>
                    </w:rPr>
                  </w:pPr>
                  <w:r>
                    <w:rPr>
                      <w:rFonts w:hint="eastAsia" w:ascii="Times New Roman" w:hAnsi="Times New Roman" w:eastAsia="宋体" w:cs="Times New Roman"/>
                      <w:b w:val="0"/>
                      <w:bCs w:val="0"/>
                      <w:color w:val="auto"/>
                      <w:kern w:val="2"/>
                      <w:sz w:val="21"/>
                      <w:szCs w:val="21"/>
                      <w:lang w:val="en-US" w:eastAsia="zh-CN" w:bidi="ar-SA"/>
                    </w:rPr>
                    <w:t>外购</w:t>
                  </w:r>
                </w:p>
              </w:tc>
            </w:tr>
            <w:tr w14:paraId="0A800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7" w:type="pct"/>
                  <w:shd w:val="clear" w:color="auto" w:fill="auto"/>
                  <w:noWrap w:val="0"/>
                  <w:vAlign w:val="center"/>
                </w:tcPr>
                <w:p w14:paraId="6AF1C093">
                  <w:pPr>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7</w:t>
                  </w:r>
                </w:p>
              </w:tc>
              <w:tc>
                <w:tcPr>
                  <w:tcW w:w="429" w:type="pct"/>
                  <w:vMerge w:val="continue"/>
                  <w:shd w:val="clear" w:color="auto" w:fill="auto"/>
                  <w:noWrap w:val="0"/>
                  <w:vAlign w:val="center"/>
                </w:tcPr>
                <w:p w14:paraId="533533EE">
                  <w:pPr>
                    <w:pStyle w:val="1093"/>
                    <w:spacing w:before="65" w:line="228" w:lineRule="auto"/>
                    <w:jc w:val="center"/>
                    <w:rPr>
                      <w:rFonts w:hint="eastAsia" w:ascii="Times New Roman" w:hAnsi="Times New Roman" w:eastAsia="宋体" w:cs="Times New Roman"/>
                      <w:color w:val="auto"/>
                      <w:spacing w:val="6"/>
                      <w:kern w:val="2"/>
                      <w:sz w:val="21"/>
                      <w:szCs w:val="21"/>
                      <w:lang w:val="en-US" w:eastAsia="zh-CN" w:bidi="ar-SA"/>
                    </w:rPr>
                  </w:pPr>
                </w:p>
              </w:tc>
              <w:tc>
                <w:tcPr>
                  <w:tcW w:w="1011" w:type="pct"/>
                  <w:gridSpan w:val="2"/>
                  <w:shd w:val="clear" w:color="auto" w:fill="auto"/>
                  <w:noWrap w:val="0"/>
                  <w:vAlign w:val="center"/>
                </w:tcPr>
                <w:p w14:paraId="67FC97D0">
                  <w:pPr>
                    <w:pStyle w:val="1093"/>
                    <w:spacing w:before="65" w:line="228" w:lineRule="auto"/>
                    <w:jc w:val="center"/>
                    <w:rPr>
                      <w:rFonts w:hint="default" w:ascii="Times New Roman" w:hAnsi="Times New Roman" w:eastAsia="宋体" w:cs="Times New Roman"/>
                      <w:color w:val="auto"/>
                      <w:spacing w:val="6"/>
                      <w:kern w:val="2"/>
                      <w:sz w:val="21"/>
                      <w:szCs w:val="21"/>
                      <w:lang w:val="en-US" w:eastAsia="zh-CN" w:bidi="ar-SA"/>
                    </w:rPr>
                  </w:pPr>
                  <w:r>
                    <w:rPr>
                      <w:rFonts w:hint="default" w:ascii="Times New Roman" w:hAnsi="Times New Roman" w:eastAsia="宋体" w:cs="Times New Roman"/>
                      <w:color w:val="auto"/>
                      <w:spacing w:val="6"/>
                      <w:sz w:val="21"/>
                      <w:szCs w:val="21"/>
                    </w:rPr>
                    <w:t>砂轮</w:t>
                  </w:r>
                </w:p>
              </w:tc>
              <w:tc>
                <w:tcPr>
                  <w:tcW w:w="449" w:type="pct"/>
                  <w:shd w:val="clear" w:color="auto" w:fill="auto"/>
                  <w:noWrap w:val="0"/>
                  <w:vAlign w:val="center"/>
                </w:tcPr>
                <w:p w14:paraId="48425859">
                  <w:pPr>
                    <w:pStyle w:val="1093"/>
                    <w:spacing w:before="65" w:line="228" w:lineRule="auto"/>
                    <w:jc w:val="center"/>
                    <w:rPr>
                      <w:rFonts w:hint="default" w:ascii="Times New Roman" w:hAnsi="Times New Roman" w:eastAsia="宋体" w:cs="Times New Roman"/>
                      <w:color w:val="auto"/>
                      <w:spacing w:val="6"/>
                      <w:kern w:val="2"/>
                      <w:sz w:val="21"/>
                      <w:szCs w:val="21"/>
                      <w:lang w:val="en-US" w:eastAsia="zh-CN" w:bidi="ar-SA"/>
                    </w:rPr>
                  </w:pPr>
                  <w:r>
                    <w:rPr>
                      <w:rFonts w:hint="eastAsia" w:ascii="Times New Roman" w:hAnsi="Times New Roman" w:cs="Times New Roman"/>
                      <w:color w:val="auto"/>
                      <w:spacing w:val="6"/>
                      <w:sz w:val="21"/>
                      <w:szCs w:val="21"/>
                      <w:lang w:val="en-US" w:eastAsia="zh-CN"/>
                    </w:rPr>
                    <w:t>0.4</w:t>
                  </w:r>
                </w:p>
              </w:tc>
              <w:tc>
                <w:tcPr>
                  <w:tcW w:w="521" w:type="pct"/>
                  <w:shd w:val="clear" w:color="auto" w:fill="auto"/>
                  <w:noWrap w:val="0"/>
                  <w:vAlign w:val="center"/>
                </w:tcPr>
                <w:p w14:paraId="22F6ADE0">
                  <w:pPr>
                    <w:pStyle w:val="1093"/>
                    <w:spacing w:before="65" w:line="228" w:lineRule="auto"/>
                    <w:jc w:val="center"/>
                    <w:rPr>
                      <w:rFonts w:hint="default" w:ascii="Times New Roman" w:hAnsi="Times New Roman" w:eastAsia="宋体" w:cs="Times New Roman"/>
                      <w:color w:val="auto"/>
                      <w:spacing w:val="6"/>
                      <w:kern w:val="2"/>
                      <w:sz w:val="21"/>
                      <w:szCs w:val="21"/>
                      <w:lang w:val="en-US" w:eastAsia="en-US" w:bidi="ar-SA"/>
                    </w:rPr>
                  </w:pPr>
                  <w:r>
                    <w:rPr>
                      <w:rFonts w:hint="eastAsia" w:ascii="Times New Roman" w:hAnsi="Times New Roman" w:cs="Times New Roman"/>
                      <w:color w:val="auto"/>
                      <w:spacing w:val="6"/>
                      <w:sz w:val="21"/>
                      <w:szCs w:val="21"/>
                      <w:lang w:val="en-US" w:eastAsia="zh-CN"/>
                    </w:rPr>
                    <w:t>t</w:t>
                  </w:r>
                  <w:r>
                    <w:rPr>
                      <w:rFonts w:hint="default" w:ascii="Times New Roman" w:hAnsi="Times New Roman" w:eastAsia="宋体" w:cs="Times New Roman"/>
                      <w:color w:val="auto"/>
                      <w:spacing w:val="6"/>
                      <w:sz w:val="21"/>
                      <w:szCs w:val="21"/>
                      <w:lang w:val="en-US" w:eastAsia="zh-CN"/>
                    </w:rPr>
                    <w:t>/a</w:t>
                  </w:r>
                </w:p>
              </w:tc>
              <w:tc>
                <w:tcPr>
                  <w:tcW w:w="242" w:type="pct"/>
                  <w:shd w:val="clear" w:color="auto" w:fill="auto"/>
                  <w:noWrap w:val="0"/>
                  <w:vAlign w:val="center"/>
                </w:tcPr>
                <w:p w14:paraId="09517E8A">
                  <w:pPr>
                    <w:pStyle w:val="1093"/>
                    <w:spacing w:before="65" w:line="228" w:lineRule="auto"/>
                    <w:jc w:val="center"/>
                    <w:rPr>
                      <w:rFonts w:hint="eastAsia" w:ascii="Times New Roman" w:hAnsi="Times New Roman" w:eastAsia="宋体" w:cs="Times New Roman"/>
                      <w:color w:val="auto"/>
                      <w:spacing w:val="6"/>
                      <w:kern w:val="2"/>
                      <w:sz w:val="21"/>
                      <w:szCs w:val="21"/>
                      <w:lang w:val="en-US" w:eastAsia="zh-CN" w:bidi="ar-SA"/>
                    </w:rPr>
                  </w:pPr>
                  <w:r>
                    <w:rPr>
                      <w:rFonts w:hint="eastAsia" w:ascii="Times New Roman" w:hAnsi="Times New Roman" w:eastAsia="宋体" w:cs="Times New Roman"/>
                      <w:color w:val="auto"/>
                      <w:spacing w:val="6"/>
                      <w:sz w:val="21"/>
                      <w:szCs w:val="21"/>
                      <w:lang w:val="en-US" w:eastAsia="zh-CN"/>
                    </w:rPr>
                    <w:t>固态</w:t>
                  </w:r>
                </w:p>
              </w:tc>
              <w:tc>
                <w:tcPr>
                  <w:tcW w:w="665" w:type="pct"/>
                  <w:shd w:val="clear" w:color="auto" w:fill="auto"/>
                  <w:noWrap w:val="0"/>
                  <w:vAlign w:val="center"/>
                </w:tcPr>
                <w:p w14:paraId="34106E7F">
                  <w:pPr>
                    <w:pStyle w:val="1093"/>
                    <w:spacing w:before="65" w:line="228" w:lineRule="auto"/>
                    <w:jc w:val="center"/>
                    <w:rPr>
                      <w:rFonts w:hint="eastAsia" w:ascii="Times New Roman" w:hAnsi="Times New Roman" w:eastAsia="宋体" w:cs="Times New Roman"/>
                      <w:color w:val="auto"/>
                      <w:spacing w:val="6"/>
                      <w:kern w:val="2"/>
                      <w:sz w:val="21"/>
                      <w:szCs w:val="21"/>
                      <w:lang w:val="en-US" w:eastAsia="zh-CN" w:bidi="ar-SA"/>
                    </w:rPr>
                  </w:pPr>
                  <w:r>
                    <w:rPr>
                      <w:rFonts w:hint="default" w:ascii="Times New Roman" w:hAnsi="Times New Roman" w:eastAsia="宋体" w:cs="Times New Roman"/>
                      <w:color w:val="auto"/>
                      <w:spacing w:val="6"/>
                      <w:sz w:val="21"/>
                      <w:szCs w:val="21"/>
                    </w:rPr>
                    <w:t>箱装</w:t>
                  </w:r>
                </w:p>
              </w:tc>
              <w:tc>
                <w:tcPr>
                  <w:tcW w:w="599" w:type="pct"/>
                  <w:shd w:val="clear" w:color="auto" w:fill="auto"/>
                  <w:noWrap w:val="0"/>
                  <w:vAlign w:val="center"/>
                </w:tcPr>
                <w:p w14:paraId="284D16B8">
                  <w:pPr>
                    <w:pStyle w:val="1093"/>
                    <w:spacing w:before="65" w:line="228" w:lineRule="auto"/>
                    <w:jc w:val="center"/>
                    <w:rPr>
                      <w:rFonts w:hint="default" w:ascii="Times New Roman" w:hAnsi="Times New Roman" w:eastAsia="宋体" w:cs="Times New Roman"/>
                      <w:color w:val="auto"/>
                      <w:spacing w:val="6"/>
                      <w:kern w:val="2"/>
                      <w:sz w:val="21"/>
                      <w:szCs w:val="21"/>
                      <w:lang w:val="en-US" w:eastAsia="en-US" w:bidi="ar-SA"/>
                    </w:rPr>
                  </w:pPr>
                  <w:r>
                    <w:rPr>
                      <w:rFonts w:hint="eastAsia" w:ascii="Times New Roman" w:hAnsi="Times New Roman" w:cs="Times New Roman"/>
                      <w:color w:val="auto"/>
                      <w:spacing w:val="6"/>
                      <w:sz w:val="21"/>
                      <w:szCs w:val="21"/>
                      <w:lang w:val="en-US" w:eastAsia="zh-CN"/>
                    </w:rPr>
                    <w:t>0.04t</w:t>
                  </w:r>
                </w:p>
              </w:tc>
              <w:tc>
                <w:tcPr>
                  <w:tcW w:w="539" w:type="pct"/>
                  <w:shd w:val="clear" w:color="auto" w:fill="auto"/>
                  <w:noWrap w:val="0"/>
                  <w:vAlign w:val="center"/>
                </w:tcPr>
                <w:p w14:paraId="022775B3">
                  <w:pPr>
                    <w:pStyle w:val="1093"/>
                    <w:spacing w:before="65" w:line="228" w:lineRule="auto"/>
                    <w:jc w:val="center"/>
                    <w:rPr>
                      <w:rFonts w:hint="default" w:ascii="Times New Roman" w:hAnsi="Times New Roman" w:eastAsia="宋体" w:cs="Times New Roman"/>
                      <w:color w:val="auto"/>
                      <w:spacing w:val="6"/>
                      <w:kern w:val="2"/>
                      <w:sz w:val="21"/>
                      <w:szCs w:val="21"/>
                      <w:lang w:val="en-US" w:eastAsia="en-US" w:bidi="ar-SA"/>
                    </w:rPr>
                  </w:pPr>
                  <w:r>
                    <w:rPr>
                      <w:rFonts w:hint="default" w:ascii="Times New Roman" w:hAnsi="Times New Roman" w:eastAsia="宋体" w:cs="Times New Roman"/>
                      <w:color w:val="auto"/>
                      <w:spacing w:val="6"/>
                      <w:sz w:val="21"/>
                      <w:szCs w:val="21"/>
                    </w:rPr>
                    <w:t>原料区</w:t>
                  </w:r>
                </w:p>
              </w:tc>
              <w:tc>
                <w:tcPr>
                  <w:tcW w:w="252" w:type="pct"/>
                  <w:shd w:val="clear" w:color="auto" w:fill="auto"/>
                  <w:noWrap w:val="0"/>
                  <w:vAlign w:val="center"/>
                </w:tcPr>
                <w:p w14:paraId="7BF9D8B9">
                  <w:pPr>
                    <w:spacing w:before="65" w:line="228" w:lineRule="auto"/>
                    <w:jc w:val="center"/>
                    <w:rPr>
                      <w:rFonts w:hint="default" w:ascii="Times New Roman" w:hAnsi="Times New Roman" w:eastAsia="宋体" w:cs="Times New Roman"/>
                      <w:color w:val="auto"/>
                      <w:spacing w:val="6"/>
                      <w:kern w:val="2"/>
                      <w:sz w:val="21"/>
                      <w:szCs w:val="21"/>
                      <w:lang w:val="en-US" w:eastAsia="en-US" w:bidi="ar-SA"/>
                    </w:rPr>
                  </w:pPr>
                  <w:r>
                    <w:rPr>
                      <w:rFonts w:hint="eastAsia" w:ascii="Times New Roman" w:hAnsi="Times New Roman" w:eastAsia="宋体" w:cs="Times New Roman"/>
                      <w:b w:val="0"/>
                      <w:bCs w:val="0"/>
                      <w:color w:val="auto"/>
                      <w:kern w:val="2"/>
                      <w:sz w:val="21"/>
                      <w:szCs w:val="21"/>
                      <w:lang w:val="en-US" w:eastAsia="zh-CN" w:bidi="ar-SA"/>
                    </w:rPr>
                    <w:t>外购</w:t>
                  </w:r>
                </w:p>
              </w:tc>
            </w:tr>
            <w:tr w14:paraId="052B0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7" w:type="pct"/>
                  <w:shd w:val="clear" w:color="auto" w:fill="auto"/>
                  <w:noWrap w:val="0"/>
                  <w:vAlign w:val="center"/>
                </w:tcPr>
                <w:p w14:paraId="6C73B888">
                  <w:pPr>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8</w:t>
                  </w:r>
                </w:p>
              </w:tc>
              <w:tc>
                <w:tcPr>
                  <w:tcW w:w="429" w:type="pct"/>
                  <w:vMerge w:val="restart"/>
                  <w:shd w:val="clear" w:color="auto" w:fill="auto"/>
                  <w:noWrap w:val="0"/>
                  <w:vAlign w:val="center"/>
                </w:tcPr>
                <w:p w14:paraId="6B0097E5">
                  <w:pPr>
                    <w:pStyle w:val="1093"/>
                    <w:spacing w:before="65" w:line="228" w:lineRule="auto"/>
                    <w:jc w:val="center"/>
                    <w:rPr>
                      <w:rFonts w:hint="default" w:ascii="Times New Roman" w:hAnsi="Times New Roman" w:eastAsia="宋体" w:cs="Times New Roman"/>
                      <w:color w:val="auto"/>
                      <w:spacing w:val="6"/>
                      <w:kern w:val="2"/>
                      <w:sz w:val="21"/>
                      <w:szCs w:val="21"/>
                      <w:lang w:val="en-US" w:eastAsia="zh-CN" w:bidi="ar-SA"/>
                    </w:rPr>
                  </w:pPr>
                  <w:r>
                    <w:rPr>
                      <w:rFonts w:hint="default" w:ascii="Times New Roman" w:hAnsi="Times New Roman" w:eastAsia="宋体" w:cs="Times New Roman"/>
                      <w:color w:val="auto"/>
                      <w:spacing w:val="6"/>
                      <w:sz w:val="21"/>
                      <w:szCs w:val="21"/>
                      <w:lang w:val="en-US" w:eastAsia="zh-CN"/>
                    </w:rPr>
                    <w:t>设备维修和保养</w:t>
                  </w:r>
                </w:p>
              </w:tc>
              <w:tc>
                <w:tcPr>
                  <w:tcW w:w="1011" w:type="pct"/>
                  <w:gridSpan w:val="2"/>
                  <w:shd w:val="clear" w:color="auto" w:fill="auto"/>
                  <w:noWrap w:val="0"/>
                  <w:vAlign w:val="center"/>
                </w:tcPr>
                <w:p w14:paraId="4235C16F">
                  <w:pPr>
                    <w:pStyle w:val="1093"/>
                    <w:spacing w:before="65" w:line="228" w:lineRule="auto"/>
                    <w:jc w:val="center"/>
                    <w:rPr>
                      <w:rFonts w:hint="default" w:ascii="Times New Roman" w:hAnsi="Times New Roman" w:eastAsia="宋体" w:cs="Times New Roman"/>
                      <w:color w:val="auto"/>
                      <w:spacing w:val="6"/>
                      <w:kern w:val="2"/>
                      <w:sz w:val="21"/>
                      <w:szCs w:val="21"/>
                      <w:lang w:val="en-US" w:eastAsia="en-US" w:bidi="ar-SA"/>
                    </w:rPr>
                  </w:pPr>
                  <w:r>
                    <w:rPr>
                      <w:rFonts w:hint="default" w:ascii="Times New Roman" w:hAnsi="Times New Roman" w:eastAsia="宋体" w:cs="Times New Roman"/>
                      <w:color w:val="auto"/>
                      <w:spacing w:val="6"/>
                      <w:sz w:val="21"/>
                      <w:szCs w:val="21"/>
                    </w:rPr>
                    <w:t>液压油</w:t>
                  </w:r>
                </w:p>
              </w:tc>
              <w:tc>
                <w:tcPr>
                  <w:tcW w:w="449" w:type="pct"/>
                  <w:shd w:val="clear" w:color="auto" w:fill="auto"/>
                  <w:noWrap w:val="0"/>
                  <w:vAlign w:val="center"/>
                </w:tcPr>
                <w:p w14:paraId="476D41D8">
                  <w:pPr>
                    <w:pStyle w:val="1093"/>
                    <w:spacing w:before="65" w:line="228" w:lineRule="auto"/>
                    <w:jc w:val="center"/>
                    <w:rPr>
                      <w:rFonts w:hint="default" w:ascii="Times New Roman" w:hAnsi="Times New Roman" w:eastAsia="宋体" w:cs="Times New Roman"/>
                      <w:color w:val="auto"/>
                      <w:spacing w:val="6"/>
                      <w:kern w:val="2"/>
                      <w:sz w:val="21"/>
                      <w:szCs w:val="21"/>
                      <w:lang w:val="en-US" w:eastAsia="zh-CN" w:bidi="ar-SA"/>
                    </w:rPr>
                  </w:pPr>
                  <w:r>
                    <w:rPr>
                      <w:rFonts w:hint="default" w:ascii="Times New Roman" w:hAnsi="Times New Roman" w:eastAsia="宋体" w:cs="Times New Roman"/>
                      <w:color w:val="auto"/>
                      <w:spacing w:val="6"/>
                      <w:sz w:val="21"/>
                      <w:szCs w:val="21"/>
                      <w:lang w:val="en-US" w:eastAsia="zh-CN"/>
                    </w:rPr>
                    <w:t>3</w:t>
                  </w:r>
                </w:p>
              </w:tc>
              <w:tc>
                <w:tcPr>
                  <w:tcW w:w="521" w:type="pct"/>
                  <w:shd w:val="clear" w:color="auto" w:fill="auto"/>
                  <w:noWrap w:val="0"/>
                  <w:vAlign w:val="center"/>
                </w:tcPr>
                <w:p w14:paraId="77E8C1B5">
                  <w:pPr>
                    <w:pStyle w:val="1093"/>
                    <w:spacing w:before="65" w:line="228" w:lineRule="auto"/>
                    <w:jc w:val="center"/>
                    <w:rPr>
                      <w:rFonts w:hint="default" w:ascii="Times New Roman" w:hAnsi="Times New Roman" w:eastAsia="宋体" w:cs="Times New Roman"/>
                      <w:color w:val="auto"/>
                      <w:spacing w:val="6"/>
                      <w:kern w:val="2"/>
                      <w:sz w:val="21"/>
                      <w:szCs w:val="21"/>
                      <w:lang w:val="en-US" w:eastAsia="en-US" w:bidi="ar-SA"/>
                    </w:rPr>
                  </w:pPr>
                  <w:r>
                    <w:rPr>
                      <w:rFonts w:hint="default" w:ascii="Times New Roman" w:hAnsi="Times New Roman" w:eastAsia="宋体" w:cs="Times New Roman"/>
                      <w:color w:val="auto"/>
                      <w:spacing w:val="6"/>
                      <w:sz w:val="21"/>
                      <w:szCs w:val="21"/>
                      <w:lang w:val="en-US" w:eastAsia="zh-CN"/>
                    </w:rPr>
                    <w:t>t/a</w:t>
                  </w:r>
                </w:p>
              </w:tc>
              <w:tc>
                <w:tcPr>
                  <w:tcW w:w="242" w:type="pct"/>
                  <w:shd w:val="clear" w:color="auto" w:fill="auto"/>
                  <w:noWrap w:val="0"/>
                  <w:vAlign w:val="center"/>
                </w:tcPr>
                <w:p w14:paraId="310F4C85">
                  <w:pPr>
                    <w:pStyle w:val="1093"/>
                    <w:spacing w:before="65" w:line="228" w:lineRule="auto"/>
                    <w:jc w:val="center"/>
                    <w:rPr>
                      <w:rFonts w:hint="default" w:ascii="Times New Roman" w:hAnsi="Times New Roman" w:eastAsia="宋体" w:cs="Times New Roman"/>
                      <w:color w:val="auto"/>
                      <w:spacing w:val="6"/>
                      <w:kern w:val="2"/>
                      <w:sz w:val="21"/>
                      <w:szCs w:val="21"/>
                      <w:lang w:val="en-US" w:eastAsia="zh-CN" w:bidi="ar-SA"/>
                    </w:rPr>
                  </w:pPr>
                  <w:r>
                    <w:rPr>
                      <w:rFonts w:hint="eastAsia" w:ascii="Times New Roman" w:hAnsi="Times New Roman" w:eastAsia="宋体" w:cs="Times New Roman"/>
                      <w:color w:val="auto"/>
                      <w:spacing w:val="6"/>
                      <w:sz w:val="21"/>
                      <w:szCs w:val="21"/>
                      <w:lang w:val="en-US" w:eastAsia="zh-CN"/>
                    </w:rPr>
                    <w:t>液态</w:t>
                  </w:r>
                </w:p>
              </w:tc>
              <w:tc>
                <w:tcPr>
                  <w:tcW w:w="665" w:type="pct"/>
                  <w:shd w:val="clear" w:color="auto" w:fill="auto"/>
                  <w:noWrap w:val="0"/>
                  <w:vAlign w:val="center"/>
                </w:tcPr>
                <w:p w14:paraId="129A0E83">
                  <w:pPr>
                    <w:pStyle w:val="1093"/>
                    <w:spacing w:before="65" w:line="228" w:lineRule="auto"/>
                    <w:jc w:val="center"/>
                    <w:rPr>
                      <w:rFonts w:hint="eastAsia" w:ascii="Times New Roman" w:hAnsi="Times New Roman" w:eastAsia="宋体" w:cs="Times New Roman"/>
                      <w:color w:val="auto"/>
                      <w:spacing w:val="6"/>
                      <w:kern w:val="2"/>
                      <w:sz w:val="21"/>
                      <w:szCs w:val="21"/>
                      <w:lang w:val="en-US" w:eastAsia="zh-CN" w:bidi="ar-SA"/>
                    </w:rPr>
                  </w:pPr>
                  <w:r>
                    <w:rPr>
                      <w:rFonts w:hint="eastAsia" w:ascii="Times New Roman" w:hAnsi="Times New Roman" w:cs="Times New Roman"/>
                      <w:color w:val="auto"/>
                      <w:spacing w:val="6"/>
                      <w:sz w:val="21"/>
                      <w:szCs w:val="21"/>
                      <w:lang w:val="en-US" w:eastAsia="zh-CN"/>
                    </w:rPr>
                    <w:t>180kg/</w:t>
                  </w:r>
                  <w:r>
                    <w:rPr>
                      <w:rFonts w:hint="default" w:ascii="Times New Roman" w:hAnsi="Times New Roman" w:eastAsia="宋体" w:cs="Times New Roman"/>
                      <w:color w:val="auto"/>
                      <w:spacing w:val="6"/>
                      <w:sz w:val="21"/>
                      <w:szCs w:val="21"/>
                    </w:rPr>
                    <w:t>桶</w:t>
                  </w:r>
                </w:p>
              </w:tc>
              <w:tc>
                <w:tcPr>
                  <w:tcW w:w="599" w:type="pct"/>
                  <w:shd w:val="clear" w:color="auto" w:fill="auto"/>
                  <w:noWrap w:val="0"/>
                  <w:vAlign w:val="center"/>
                </w:tcPr>
                <w:p w14:paraId="061706BC">
                  <w:pPr>
                    <w:pStyle w:val="1093"/>
                    <w:spacing w:before="65" w:line="228" w:lineRule="auto"/>
                    <w:jc w:val="center"/>
                    <w:rPr>
                      <w:rFonts w:hint="default" w:ascii="Times New Roman" w:hAnsi="Times New Roman" w:eastAsia="宋体" w:cs="Times New Roman"/>
                      <w:color w:val="auto"/>
                      <w:spacing w:val="6"/>
                      <w:kern w:val="2"/>
                      <w:sz w:val="21"/>
                      <w:szCs w:val="21"/>
                      <w:lang w:val="en-US" w:eastAsia="zh-CN" w:bidi="ar-SA"/>
                    </w:rPr>
                  </w:pPr>
                  <w:r>
                    <w:rPr>
                      <w:rFonts w:hint="eastAsia" w:ascii="Times New Roman" w:hAnsi="Times New Roman" w:cs="Times New Roman"/>
                      <w:color w:val="auto"/>
                      <w:spacing w:val="6"/>
                      <w:kern w:val="2"/>
                      <w:sz w:val="21"/>
                      <w:szCs w:val="21"/>
                      <w:lang w:val="en-US" w:eastAsia="zh-CN" w:bidi="ar-SA"/>
                    </w:rPr>
                    <w:t>0.36t</w:t>
                  </w:r>
                </w:p>
              </w:tc>
              <w:tc>
                <w:tcPr>
                  <w:tcW w:w="539" w:type="pct"/>
                  <w:shd w:val="clear" w:color="auto" w:fill="auto"/>
                  <w:noWrap w:val="0"/>
                  <w:vAlign w:val="center"/>
                </w:tcPr>
                <w:p w14:paraId="5DBEA56A">
                  <w:pPr>
                    <w:pStyle w:val="1093"/>
                    <w:spacing w:before="65" w:line="228" w:lineRule="auto"/>
                    <w:jc w:val="center"/>
                    <w:rPr>
                      <w:rFonts w:hint="default" w:ascii="Times New Roman" w:hAnsi="Times New Roman" w:eastAsia="宋体" w:cs="Times New Roman"/>
                      <w:color w:val="auto"/>
                      <w:spacing w:val="6"/>
                      <w:kern w:val="2"/>
                      <w:sz w:val="21"/>
                      <w:szCs w:val="21"/>
                      <w:lang w:val="en-US" w:eastAsia="en-US" w:bidi="ar-SA"/>
                    </w:rPr>
                  </w:pPr>
                  <w:r>
                    <w:rPr>
                      <w:rFonts w:hint="eastAsia" w:ascii="Times New Roman" w:hAnsi="Times New Roman" w:cs="Times New Roman"/>
                      <w:color w:val="auto"/>
                      <w:spacing w:val="6"/>
                      <w:sz w:val="21"/>
                      <w:szCs w:val="21"/>
                      <w:lang w:val="en-US" w:eastAsia="zh-CN"/>
                    </w:rPr>
                    <w:t>辅料区</w:t>
                  </w:r>
                </w:p>
              </w:tc>
              <w:tc>
                <w:tcPr>
                  <w:tcW w:w="252" w:type="pct"/>
                  <w:shd w:val="clear" w:color="auto" w:fill="auto"/>
                  <w:noWrap w:val="0"/>
                  <w:vAlign w:val="center"/>
                </w:tcPr>
                <w:p w14:paraId="3280D8A5">
                  <w:pPr>
                    <w:spacing w:before="65" w:line="228" w:lineRule="auto"/>
                    <w:jc w:val="center"/>
                    <w:rPr>
                      <w:rFonts w:hint="default" w:ascii="Times New Roman" w:hAnsi="Times New Roman" w:eastAsia="宋体" w:cs="Times New Roman"/>
                      <w:color w:val="auto"/>
                      <w:spacing w:val="6"/>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外购</w:t>
                  </w:r>
                </w:p>
              </w:tc>
            </w:tr>
            <w:tr w14:paraId="76FD2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7" w:type="pct"/>
                  <w:noWrap w:val="0"/>
                  <w:vAlign w:val="center"/>
                </w:tcPr>
                <w:p w14:paraId="150499DD">
                  <w:pPr>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9</w:t>
                  </w:r>
                </w:p>
              </w:tc>
              <w:tc>
                <w:tcPr>
                  <w:tcW w:w="429" w:type="pct"/>
                  <w:vMerge w:val="continue"/>
                  <w:shd w:val="clear" w:color="auto" w:fill="auto"/>
                  <w:noWrap w:val="0"/>
                  <w:vAlign w:val="center"/>
                </w:tcPr>
                <w:p w14:paraId="68274F77">
                  <w:pPr>
                    <w:pStyle w:val="1093"/>
                    <w:spacing w:before="65" w:line="228" w:lineRule="auto"/>
                    <w:jc w:val="center"/>
                    <w:rPr>
                      <w:rFonts w:hint="default" w:ascii="Times New Roman" w:hAnsi="Times New Roman" w:eastAsia="宋体" w:cs="Times New Roman"/>
                      <w:color w:val="auto"/>
                      <w:spacing w:val="6"/>
                      <w:kern w:val="2"/>
                      <w:sz w:val="21"/>
                      <w:szCs w:val="21"/>
                      <w:lang w:val="en-US" w:eastAsia="zh-CN" w:bidi="ar-SA"/>
                    </w:rPr>
                  </w:pPr>
                </w:p>
              </w:tc>
              <w:tc>
                <w:tcPr>
                  <w:tcW w:w="1011" w:type="pct"/>
                  <w:gridSpan w:val="2"/>
                  <w:noWrap w:val="0"/>
                  <w:vAlign w:val="center"/>
                </w:tcPr>
                <w:p w14:paraId="509B49B0">
                  <w:pPr>
                    <w:pStyle w:val="1093"/>
                    <w:spacing w:before="65" w:line="228" w:lineRule="auto"/>
                    <w:jc w:val="center"/>
                    <w:rPr>
                      <w:rFonts w:hint="eastAsia" w:ascii="Times New Roman" w:hAnsi="Times New Roman" w:eastAsia="宋体" w:cs="Times New Roman"/>
                      <w:color w:val="auto"/>
                      <w:spacing w:val="6"/>
                      <w:kern w:val="2"/>
                      <w:sz w:val="21"/>
                      <w:szCs w:val="21"/>
                      <w:lang w:val="en-US" w:eastAsia="zh-CN" w:bidi="ar-SA"/>
                    </w:rPr>
                  </w:pPr>
                  <w:r>
                    <w:rPr>
                      <w:rFonts w:hint="eastAsia" w:ascii="Times New Roman" w:hAnsi="Times New Roman" w:eastAsia="宋体" w:cs="Times New Roman"/>
                      <w:color w:val="auto"/>
                      <w:spacing w:val="6"/>
                      <w:kern w:val="2"/>
                      <w:sz w:val="21"/>
                      <w:szCs w:val="21"/>
                      <w:lang w:val="en-US" w:eastAsia="zh-CN" w:bidi="ar-SA"/>
                    </w:rPr>
                    <w:t>润滑油</w:t>
                  </w:r>
                </w:p>
              </w:tc>
              <w:tc>
                <w:tcPr>
                  <w:tcW w:w="449" w:type="pct"/>
                  <w:noWrap w:val="0"/>
                  <w:vAlign w:val="center"/>
                </w:tcPr>
                <w:p w14:paraId="4301B490">
                  <w:pPr>
                    <w:pStyle w:val="1093"/>
                    <w:spacing w:before="65" w:line="228" w:lineRule="auto"/>
                    <w:jc w:val="center"/>
                    <w:rPr>
                      <w:rFonts w:hint="default" w:ascii="Times New Roman" w:hAnsi="Times New Roman" w:eastAsia="宋体" w:cs="Times New Roman"/>
                      <w:color w:val="auto"/>
                      <w:spacing w:val="6"/>
                      <w:kern w:val="2"/>
                      <w:sz w:val="21"/>
                      <w:szCs w:val="21"/>
                      <w:lang w:val="en-US" w:eastAsia="zh-CN" w:bidi="ar-SA"/>
                    </w:rPr>
                  </w:pPr>
                  <w:r>
                    <w:rPr>
                      <w:rFonts w:hint="eastAsia" w:ascii="Times New Roman" w:hAnsi="Times New Roman" w:eastAsia="宋体" w:cs="Times New Roman"/>
                      <w:color w:val="auto"/>
                      <w:spacing w:val="6"/>
                      <w:kern w:val="2"/>
                      <w:sz w:val="21"/>
                      <w:szCs w:val="21"/>
                      <w:lang w:val="en-US" w:eastAsia="zh-CN" w:bidi="ar-SA"/>
                    </w:rPr>
                    <w:t>4</w:t>
                  </w:r>
                </w:p>
              </w:tc>
              <w:tc>
                <w:tcPr>
                  <w:tcW w:w="521" w:type="pct"/>
                  <w:noWrap w:val="0"/>
                  <w:vAlign w:val="center"/>
                </w:tcPr>
                <w:p w14:paraId="6E967FE3">
                  <w:pPr>
                    <w:pStyle w:val="1093"/>
                    <w:spacing w:before="65" w:line="228" w:lineRule="auto"/>
                    <w:jc w:val="center"/>
                    <w:rPr>
                      <w:rFonts w:hint="default" w:ascii="Times New Roman" w:hAnsi="Times New Roman" w:eastAsia="宋体" w:cs="Times New Roman"/>
                      <w:color w:val="auto"/>
                      <w:spacing w:val="6"/>
                      <w:sz w:val="21"/>
                      <w:szCs w:val="21"/>
                      <w:lang w:val="en-US" w:eastAsia="en-US"/>
                    </w:rPr>
                  </w:pPr>
                  <w:r>
                    <w:rPr>
                      <w:rFonts w:hint="default" w:ascii="Times New Roman" w:hAnsi="Times New Roman" w:eastAsia="宋体" w:cs="Times New Roman"/>
                      <w:color w:val="auto"/>
                      <w:spacing w:val="6"/>
                      <w:sz w:val="21"/>
                      <w:szCs w:val="21"/>
                      <w:lang w:val="en-US" w:eastAsia="zh-CN"/>
                    </w:rPr>
                    <w:t>t/a</w:t>
                  </w:r>
                </w:p>
              </w:tc>
              <w:tc>
                <w:tcPr>
                  <w:tcW w:w="242" w:type="pct"/>
                  <w:noWrap w:val="0"/>
                  <w:vAlign w:val="center"/>
                </w:tcPr>
                <w:p w14:paraId="086AE2F4">
                  <w:pPr>
                    <w:pStyle w:val="1093"/>
                    <w:spacing w:before="65" w:line="228" w:lineRule="auto"/>
                    <w:jc w:val="center"/>
                    <w:rPr>
                      <w:rFonts w:hint="default" w:ascii="Times New Roman" w:hAnsi="Times New Roman" w:eastAsia="宋体" w:cs="Times New Roman"/>
                      <w:color w:val="auto"/>
                      <w:spacing w:val="6"/>
                      <w:kern w:val="2"/>
                      <w:sz w:val="21"/>
                      <w:szCs w:val="21"/>
                      <w:lang w:val="en-US" w:eastAsia="zh-CN" w:bidi="ar-SA"/>
                    </w:rPr>
                  </w:pPr>
                  <w:r>
                    <w:rPr>
                      <w:rFonts w:hint="eastAsia" w:ascii="Times New Roman" w:hAnsi="Times New Roman" w:cs="Times New Roman"/>
                      <w:color w:val="auto"/>
                      <w:spacing w:val="6"/>
                      <w:sz w:val="21"/>
                      <w:szCs w:val="21"/>
                      <w:lang w:val="en-US" w:eastAsia="zh-CN"/>
                    </w:rPr>
                    <w:t>液态</w:t>
                  </w:r>
                </w:p>
              </w:tc>
              <w:tc>
                <w:tcPr>
                  <w:tcW w:w="665" w:type="pct"/>
                  <w:shd w:val="clear" w:color="auto" w:fill="auto"/>
                  <w:noWrap w:val="0"/>
                  <w:vAlign w:val="center"/>
                </w:tcPr>
                <w:p w14:paraId="2B47EAAD">
                  <w:pPr>
                    <w:pStyle w:val="1093"/>
                    <w:spacing w:before="65" w:line="228" w:lineRule="auto"/>
                    <w:jc w:val="center"/>
                    <w:rPr>
                      <w:rFonts w:hint="eastAsia" w:ascii="Times New Roman" w:hAnsi="Times New Roman" w:eastAsia="宋体" w:cs="Times New Roman"/>
                      <w:color w:val="auto"/>
                      <w:spacing w:val="6"/>
                      <w:kern w:val="2"/>
                      <w:sz w:val="21"/>
                      <w:szCs w:val="21"/>
                      <w:lang w:val="en-US" w:eastAsia="zh-CN" w:bidi="ar-SA"/>
                    </w:rPr>
                  </w:pPr>
                  <w:r>
                    <w:rPr>
                      <w:rFonts w:hint="eastAsia" w:ascii="Times New Roman" w:hAnsi="Times New Roman" w:cs="Times New Roman"/>
                      <w:color w:val="auto"/>
                      <w:spacing w:val="6"/>
                      <w:sz w:val="21"/>
                      <w:szCs w:val="21"/>
                      <w:lang w:val="en-US" w:eastAsia="zh-CN"/>
                    </w:rPr>
                    <w:t>180kg/</w:t>
                  </w:r>
                  <w:r>
                    <w:rPr>
                      <w:rFonts w:hint="default" w:ascii="Times New Roman" w:hAnsi="Times New Roman" w:eastAsia="宋体" w:cs="Times New Roman"/>
                      <w:color w:val="auto"/>
                      <w:spacing w:val="6"/>
                      <w:sz w:val="21"/>
                      <w:szCs w:val="21"/>
                    </w:rPr>
                    <w:t>桶</w:t>
                  </w:r>
                </w:p>
              </w:tc>
              <w:tc>
                <w:tcPr>
                  <w:tcW w:w="599" w:type="pct"/>
                  <w:noWrap w:val="0"/>
                  <w:vAlign w:val="center"/>
                </w:tcPr>
                <w:p w14:paraId="49E105DC">
                  <w:pPr>
                    <w:pStyle w:val="1093"/>
                    <w:spacing w:before="65" w:line="228" w:lineRule="auto"/>
                    <w:jc w:val="center"/>
                    <w:rPr>
                      <w:rFonts w:hint="default" w:ascii="Times New Roman" w:hAnsi="Times New Roman" w:eastAsia="宋体" w:cs="Times New Roman"/>
                      <w:color w:val="auto"/>
                      <w:spacing w:val="6"/>
                      <w:kern w:val="2"/>
                      <w:sz w:val="21"/>
                      <w:szCs w:val="21"/>
                      <w:lang w:val="en-US" w:eastAsia="zh-CN" w:bidi="ar-SA"/>
                    </w:rPr>
                  </w:pPr>
                  <w:r>
                    <w:rPr>
                      <w:rFonts w:hint="eastAsia" w:ascii="Times New Roman" w:hAnsi="Times New Roman" w:cs="Times New Roman"/>
                      <w:color w:val="auto"/>
                      <w:spacing w:val="6"/>
                      <w:kern w:val="2"/>
                      <w:sz w:val="21"/>
                      <w:szCs w:val="21"/>
                      <w:lang w:val="en-US" w:eastAsia="zh-CN" w:bidi="ar-SA"/>
                    </w:rPr>
                    <w:t>0.72t</w:t>
                  </w:r>
                </w:p>
              </w:tc>
              <w:tc>
                <w:tcPr>
                  <w:tcW w:w="539" w:type="pct"/>
                  <w:noWrap w:val="0"/>
                  <w:vAlign w:val="center"/>
                </w:tcPr>
                <w:p w14:paraId="2E06856A">
                  <w:pPr>
                    <w:pStyle w:val="1093"/>
                    <w:spacing w:before="65" w:line="228" w:lineRule="auto"/>
                    <w:jc w:val="center"/>
                    <w:rPr>
                      <w:rFonts w:hint="default" w:ascii="Times New Roman" w:hAnsi="Times New Roman" w:eastAsia="宋体" w:cs="Times New Roman"/>
                      <w:color w:val="auto"/>
                      <w:spacing w:val="6"/>
                      <w:kern w:val="2"/>
                      <w:sz w:val="21"/>
                      <w:szCs w:val="21"/>
                      <w:lang w:val="en-US" w:eastAsia="zh-CN" w:bidi="ar-SA"/>
                    </w:rPr>
                  </w:pPr>
                  <w:r>
                    <w:rPr>
                      <w:rFonts w:hint="eastAsia" w:ascii="Times New Roman" w:hAnsi="Times New Roman" w:cs="Times New Roman"/>
                      <w:color w:val="auto"/>
                      <w:spacing w:val="6"/>
                      <w:sz w:val="21"/>
                      <w:szCs w:val="21"/>
                      <w:lang w:val="en-US" w:eastAsia="zh-CN"/>
                    </w:rPr>
                    <w:t>辅料区</w:t>
                  </w:r>
                </w:p>
              </w:tc>
              <w:tc>
                <w:tcPr>
                  <w:tcW w:w="252" w:type="pct"/>
                  <w:shd w:val="clear" w:color="auto" w:fill="auto"/>
                  <w:noWrap w:val="0"/>
                  <w:vAlign w:val="center"/>
                </w:tcPr>
                <w:p w14:paraId="4A01BAB7">
                  <w:pPr>
                    <w:spacing w:before="65" w:line="228" w:lineRule="auto"/>
                    <w:jc w:val="center"/>
                    <w:rPr>
                      <w:rFonts w:hint="default" w:ascii="Times New Roman" w:hAnsi="Times New Roman" w:eastAsia="宋体" w:cs="Times New Roman"/>
                      <w:color w:val="auto"/>
                      <w:spacing w:val="6"/>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外购</w:t>
                  </w:r>
                </w:p>
              </w:tc>
            </w:tr>
            <w:tr w14:paraId="1EA76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7" w:type="pct"/>
                  <w:noWrap w:val="0"/>
                  <w:vAlign w:val="center"/>
                </w:tcPr>
                <w:p w14:paraId="6C077FCF">
                  <w:pPr>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10</w:t>
                  </w:r>
                </w:p>
              </w:tc>
              <w:tc>
                <w:tcPr>
                  <w:tcW w:w="429" w:type="pct"/>
                  <w:vMerge w:val="restart"/>
                  <w:noWrap w:val="0"/>
                  <w:vAlign w:val="center"/>
                </w:tcPr>
                <w:p w14:paraId="1C039A45">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能源</w:t>
                  </w:r>
                </w:p>
              </w:tc>
              <w:tc>
                <w:tcPr>
                  <w:tcW w:w="1011" w:type="pct"/>
                  <w:gridSpan w:val="2"/>
                  <w:noWrap w:val="0"/>
                  <w:vAlign w:val="center"/>
                </w:tcPr>
                <w:p w14:paraId="20713DF3">
                  <w:pPr>
                    <w:jc w:val="center"/>
                    <w:rPr>
                      <w:rFonts w:hint="default" w:ascii="Times New Roman" w:hAnsi="Times New Roman" w:eastAsia="宋体" w:cs="Times New Roman"/>
                      <w:b w:val="0"/>
                      <w:bCs w:val="0"/>
                      <w:color w:val="auto"/>
                      <w:sz w:val="21"/>
                      <w:szCs w:val="21"/>
                      <w:lang w:val="en-US" w:eastAsia="zh-CN"/>
                    </w:rPr>
                  </w:pPr>
                  <w:r>
                    <w:rPr>
                      <w:rFonts w:hint="default"/>
                      <w:color w:val="auto"/>
                      <w:sz w:val="21"/>
                      <w:szCs w:val="21"/>
                      <w:lang w:val="en-US" w:eastAsia="zh-CN"/>
                    </w:rPr>
                    <w:t>水</w:t>
                  </w:r>
                </w:p>
              </w:tc>
              <w:tc>
                <w:tcPr>
                  <w:tcW w:w="449" w:type="pct"/>
                  <w:noWrap w:val="0"/>
                  <w:vAlign w:val="center"/>
                </w:tcPr>
                <w:p w14:paraId="005F3A2A">
                  <w:pPr>
                    <w:jc w:val="center"/>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2572.8</w:t>
                  </w:r>
                </w:p>
              </w:tc>
              <w:tc>
                <w:tcPr>
                  <w:tcW w:w="521" w:type="pct"/>
                  <w:noWrap w:val="0"/>
                  <w:vAlign w:val="center"/>
                </w:tcPr>
                <w:p w14:paraId="14ED7E67">
                  <w:pPr>
                    <w:pStyle w:val="1093"/>
                    <w:spacing w:before="65" w:line="228" w:lineRule="auto"/>
                    <w:jc w:val="center"/>
                    <w:rPr>
                      <w:rFonts w:hint="default" w:ascii="Times New Roman" w:hAnsi="Times New Roman" w:eastAsia="宋体" w:cs="Times New Roman"/>
                      <w:color w:val="auto"/>
                      <w:spacing w:val="6"/>
                      <w:sz w:val="21"/>
                      <w:szCs w:val="21"/>
                      <w:lang w:val="en-US" w:eastAsia="zh-CN"/>
                    </w:rPr>
                  </w:pPr>
                  <w:r>
                    <w:rPr>
                      <w:rFonts w:hint="eastAsia" w:ascii="Times New Roman" w:hAnsi="Times New Roman" w:eastAsia="宋体" w:cs="Times New Roman"/>
                      <w:color w:val="auto"/>
                      <w:spacing w:val="6"/>
                      <w:sz w:val="21"/>
                      <w:szCs w:val="21"/>
                      <w:lang w:val="en-US" w:eastAsia="zh-CN"/>
                    </w:rPr>
                    <w:t>t/a</w:t>
                  </w:r>
                </w:p>
              </w:tc>
              <w:tc>
                <w:tcPr>
                  <w:tcW w:w="2299" w:type="pct"/>
                  <w:gridSpan w:val="5"/>
                  <w:noWrap w:val="0"/>
                  <w:vAlign w:val="center"/>
                </w:tcPr>
                <w:p w14:paraId="61E8109A">
                  <w:pPr>
                    <w:pStyle w:val="1093"/>
                    <w:keepNext w:val="0"/>
                    <w:keepLines w:val="0"/>
                    <w:pageBreakBefore w:val="0"/>
                    <w:kinsoku/>
                    <w:wordWrap/>
                    <w:topLinePunct w:val="0"/>
                    <w:autoSpaceDE/>
                    <w:autoSpaceDN/>
                    <w:bidi w:val="0"/>
                    <w:adjustRightInd/>
                    <w:spacing w:line="240" w:lineRule="auto"/>
                    <w:ind w:left="0" w:leftChars="0" w:right="0" w:rightChars="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color w:val="auto"/>
                      <w:spacing w:val="-2"/>
                      <w:sz w:val="21"/>
                      <w:szCs w:val="21"/>
                      <w:lang w:val="en-US" w:eastAsia="zh-CN"/>
                    </w:rPr>
                    <w:t>市政供水管网</w:t>
                  </w:r>
                </w:p>
              </w:tc>
            </w:tr>
            <w:tr w14:paraId="2862E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7" w:type="pct"/>
                  <w:noWrap w:val="0"/>
                  <w:vAlign w:val="center"/>
                </w:tcPr>
                <w:p w14:paraId="43939510">
                  <w:pPr>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11</w:t>
                  </w:r>
                </w:p>
              </w:tc>
              <w:tc>
                <w:tcPr>
                  <w:tcW w:w="429" w:type="pct"/>
                  <w:vMerge w:val="continue"/>
                  <w:noWrap w:val="0"/>
                  <w:vAlign w:val="center"/>
                </w:tcPr>
                <w:p w14:paraId="0BC5193C">
                  <w:pPr>
                    <w:adjustRightInd w:val="0"/>
                    <w:snapToGrid w:val="0"/>
                    <w:jc w:val="center"/>
                    <w:rPr>
                      <w:rFonts w:hint="default" w:ascii="Times New Roman" w:hAnsi="Times New Roman" w:eastAsia="宋体" w:cs="Times New Roman"/>
                      <w:b w:val="0"/>
                      <w:bCs w:val="0"/>
                      <w:color w:val="auto"/>
                      <w:sz w:val="21"/>
                      <w:szCs w:val="21"/>
                      <w:lang w:val="en-US" w:eastAsia="zh-CN"/>
                    </w:rPr>
                  </w:pPr>
                </w:p>
              </w:tc>
              <w:tc>
                <w:tcPr>
                  <w:tcW w:w="1011" w:type="pct"/>
                  <w:gridSpan w:val="2"/>
                  <w:noWrap w:val="0"/>
                  <w:vAlign w:val="center"/>
                </w:tcPr>
                <w:p w14:paraId="68C46691">
                  <w:pPr>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color w:val="auto"/>
                      <w:sz w:val="21"/>
                      <w:szCs w:val="21"/>
                      <w:lang w:eastAsia="zh-CN"/>
                    </w:rPr>
                    <w:t>电</w:t>
                  </w:r>
                </w:p>
              </w:tc>
              <w:tc>
                <w:tcPr>
                  <w:tcW w:w="449" w:type="pct"/>
                  <w:noWrap w:val="0"/>
                  <w:vAlign w:val="center"/>
                </w:tcPr>
                <w:p w14:paraId="7D322ECA">
                  <w:pPr>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color w:val="auto"/>
                      <w:spacing w:val="6"/>
                      <w:sz w:val="21"/>
                      <w:szCs w:val="21"/>
                      <w:lang w:val="en-US" w:eastAsia="zh-CN"/>
                    </w:rPr>
                    <w:t>400</w:t>
                  </w:r>
                </w:p>
              </w:tc>
              <w:tc>
                <w:tcPr>
                  <w:tcW w:w="521" w:type="pct"/>
                  <w:noWrap w:val="0"/>
                  <w:vAlign w:val="center"/>
                </w:tcPr>
                <w:p w14:paraId="3301AB2B">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val="0"/>
                      <w:bCs w:val="0"/>
                      <w:color w:val="auto"/>
                      <w:sz w:val="21"/>
                      <w:szCs w:val="21"/>
                      <w:lang w:val="en-US" w:eastAsia="zh-CN"/>
                    </w:rPr>
                    <w:t>万千瓦时/年</w:t>
                  </w:r>
                </w:p>
              </w:tc>
              <w:tc>
                <w:tcPr>
                  <w:tcW w:w="2299" w:type="pct"/>
                  <w:gridSpan w:val="5"/>
                  <w:noWrap w:val="0"/>
                  <w:vAlign w:val="center"/>
                </w:tcPr>
                <w:p w14:paraId="1BB6E2A0">
                  <w:pPr>
                    <w:pStyle w:val="1093"/>
                    <w:keepNext w:val="0"/>
                    <w:keepLines w:val="0"/>
                    <w:pageBreakBefore w:val="0"/>
                    <w:kinsoku/>
                    <w:wordWrap/>
                    <w:topLinePunct w:val="0"/>
                    <w:autoSpaceDE/>
                    <w:autoSpaceDN/>
                    <w:bidi w:val="0"/>
                    <w:adjustRightInd/>
                    <w:spacing w:line="240" w:lineRule="auto"/>
                    <w:ind w:left="0" w:leftChars="0" w:right="0" w:rightChars="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color w:val="auto"/>
                      <w:spacing w:val="-2"/>
                      <w:sz w:val="21"/>
                      <w:szCs w:val="21"/>
                      <w:lang w:val="en-US" w:eastAsia="zh-CN"/>
                    </w:rPr>
                    <w:t>市政</w:t>
                  </w:r>
                  <w:r>
                    <w:rPr>
                      <w:rFonts w:hint="default" w:ascii="Times New Roman" w:hAnsi="Times New Roman" w:cs="Times New Roman"/>
                      <w:color w:val="auto"/>
                      <w:spacing w:val="-2"/>
                      <w:sz w:val="21"/>
                      <w:szCs w:val="21"/>
                      <w:lang w:val="en-US" w:eastAsia="zh-CN"/>
                    </w:rPr>
                    <w:t>供</w:t>
                  </w:r>
                  <w:r>
                    <w:rPr>
                      <w:rFonts w:hint="default" w:ascii="Times New Roman" w:hAnsi="Times New Roman" w:eastAsia="宋体" w:cs="Times New Roman"/>
                      <w:color w:val="auto"/>
                      <w:spacing w:val="-2"/>
                      <w:sz w:val="21"/>
                      <w:szCs w:val="21"/>
                      <w:lang w:val="en-US" w:eastAsia="zh-CN"/>
                    </w:rPr>
                    <w:t>电管网</w:t>
                  </w:r>
                </w:p>
              </w:tc>
            </w:tr>
          </w:tbl>
          <w:p w14:paraId="2F7E5F33">
            <w:pPr>
              <w:rPr>
                <w:rFonts w:hint="default"/>
                <w:color w:val="auto"/>
                <w:lang w:val="en-US" w:eastAsia="zh-CN"/>
              </w:rPr>
            </w:pPr>
            <w:r>
              <w:rPr>
                <w:rFonts w:hint="default"/>
                <w:color w:val="auto"/>
                <w:lang w:val="en-US" w:eastAsia="zh-CN"/>
              </w:rPr>
              <w:t>注：根据企业提供资料，钢件毛坯每套约2kg，项目年用900万套，则钢件毛坯年用量为1</w:t>
            </w:r>
            <w:r>
              <w:rPr>
                <w:rFonts w:hint="eastAsia"/>
                <w:color w:val="auto"/>
                <w:lang w:val="en-US" w:eastAsia="zh-CN"/>
              </w:rPr>
              <w:t>8</w:t>
            </w:r>
            <w:r>
              <w:rPr>
                <w:rFonts w:hint="default"/>
                <w:color w:val="auto"/>
                <w:lang w:val="en-US" w:eastAsia="zh-CN"/>
              </w:rPr>
              <w:t>000t</w:t>
            </w:r>
            <w:r>
              <w:rPr>
                <w:rFonts w:hint="eastAsia"/>
                <w:color w:val="auto"/>
                <w:lang w:val="en-US" w:eastAsia="zh-CN"/>
              </w:rPr>
              <w:t>。</w:t>
            </w:r>
          </w:p>
          <w:p w14:paraId="7B6CA9F8">
            <w:pPr>
              <w:pStyle w:val="374"/>
              <w:keepNext w:val="0"/>
              <w:keepLines w:val="0"/>
              <w:pageBreakBefore w:val="0"/>
              <w:widowControl w:val="0"/>
              <w:kinsoku/>
              <w:wordWrap/>
              <w:overflowPunct/>
              <w:topLinePunct w:val="0"/>
              <w:autoSpaceDE/>
              <w:autoSpaceDN/>
              <w:bidi w:val="0"/>
              <w:adjustRightInd w:val="0"/>
              <w:snapToGrid w:val="0"/>
              <w:spacing w:before="157" w:beforeLines="50" w:line="240" w:lineRule="auto"/>
              <w:ind w:firstLine="0" w:firstLineChars="0"/>
              <w:jc w:val="center"/>
              <w:textAlignment w:val="auto"/>
              <w:rPr>
                <w:rFonts w:hint="default" w:ascii="Times New Roman" w:hAnsi="Times New Roman" w:eastAsia="宋体" w:cs="Times New Roman"/>
                <w:b/>
                <w:color w:val="auto"/>
                <w:kern w:val="0"/>
                <w:sz w:val="24"/>
                <w:szCs w:val="20"/>
                <w:lang w:val="en-US" w:eastAsia="zh-CN" w:bidi="ar-SA"/>
              </w:rPr>
            </w:pPr>
            <w:r>
              <w:rPr>
                <w:rFonts w:hint="default" w:ascii="Times New Roman" w:hAnsi="Times New Roman" w:eastAsia="宋体" w:cs="Times New Roman"/>
                <w:b/>
                <w:color w:val="auto"/>
                <w:kern w:val="0"/>
                <w:sz w:val="24"/>
                <w:szCs w:val="20"/>
                <w:lang w:val="en-US" w:eastAsia="zh-CN" w:bidi="ar-SA"/>
              </w:rPr>
              <w:t>表2-</w:t>
            </w:r>
            <w:r>
              <w:rPr>
                <w:rFonts w:hint="eastAsia" w:ascii="Times New Roman" w:hAnsi="Times New Roman" w:eastAsia="宋体" w:cs="Times New Roman"/>
                <w:b/>
                <w:color w:val="auto"/>
                <w:kern w:val="0"/>
                <w:sz w:val="24"/>
                <w:szCs w:val="20"/>
                <w:lang w:val="en-US" w:eastAsia="zh-CN" w:bidi="ar-SA"/>
              </w:rPr>
              <w:t>7</w:t>
            </w:r>
            <w:r>
              <w:rPr>
                <w:rFonts w:hint="default" w:ascii="Times New Roman" w:hAnsi="Times New Roman" w:eastAsia="宋体" w:cs="Times New Roman"/>
                <w:b/>
                <w:color w:val="auto"/>
                <w:kern w:val="0"/>
                <w:sz w:val="24"/>
                <w:szCs w:val="20"/>
                <w:lang w:val="en-US" w:eastAsia="zh-CN" w:bidi="ar-SA"/>
              </w:rPr>
              <w:t xml:space="preserve">  本项目化学品成分一览表</w:t>
            </w:r>
          </w:p>
          <w:tbl>
            <w:tblPr>
              <w:tblStyle w:val="6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6" w:type="dxa"/>
                <w:bottom w:w="0" w:type="dxa"/>
                <w:right w:w="6" w:type="dxa"/>
              </w:tblCellMar>
            </w:tblPr>
            <w:tblGrid>
              <w:gridCol w:w="1122"/>
              <w:gridCol w:w="1157"/>
              <w:gridCol w:w="3134"/>
              <w:gridCol w:w="1770"/>
              <w:gridCol w:w="1163"/>
            </w:tblGrid>
            <w:tr w14:paraId="05788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214" w:hRule="atLeast"/>
                <w:jc w:val="center"/>
              </w:trPr>
              <w:tc>
                <w:tcPr>
                  <w:tcW w:w="672" w:type="pct"/>
                  <w:noWrap/>
                  <w:vAlign w:val="center"/>
                </w:tcPr>
                <w:p w14:paraId="71468F5C">
                  <w:pPr>
                    <w:jc w:val="center"/>
                    <w:rPr>
                      <w:rFonts w:hint="default" w:cs="Times New Roman"/>
                      <w:b/>
                      <w:bCs/>
                      <w:color w:val="auto"/>
                      <w:spacing w:val="6"/>
                      <w:sz w:val="21"/>
                      <w:szCs w:val="21"/>
                      <w:lang w:val="zh-CN" w:eastAsia="zh-CN"/>
                    </w:rPr>
                  </w:pPr>
                  <w:r>
                    <w:rPr>
                      <w:rFonts w:hint="default" w:cs="Times New Roman"/>
                      <w:b/>
                      <w:bCs/>
                      <w:color w:val="auto"/>
                      <w:spacing w:val="6"/>
                      <w:sz w:val="21"/>
                      <w:szCs w:val="21"/>
                      <w:lang w:val="zh-CN" w:eastAsia="zh-CN"/>
                    </w:rPr>
                    <w:t>名称</w:t>
                  </w:r>
                </w:p>
              </w:tc>
              <w:tc>
                <w:tcPr>
                  <w:tcW w:w="2570" w:type="pct"/>
                  <w:gridSpan w:val="2"/>
                  <w:noWrap/>
                  <w:vAlign w:val="center"/>
                </w:tcPr>
                <w:p w14:paraId="06744BBE">
                  <w:pPr>
                    <w:jc w:val="center"/>
                    <w:rPr>
                      <w:rFonts w:hint="default" w:cs="Times New Roman"/>
                      <w:b/>
                      <w:bCs/>
                      <w:color w:val="auto"/>
                      <w:spacing w:val="6"/>
                      <w:sz w:val="21"/>
                      <w:szCs w:val="21"/>
                      <w:lang w:val="zh-CN" w:eastAsia="zh-CN"/>
                    </w:rPr>
                  </w:pPr>
                  <w:r>
                    <w:rPr>
                      <w:rFonts w:hint="default" w:cs="Times New Roman"/>
                      <w:b/>
                      <w:bCs/>
                      <w:color w:val="auto"/>
                      <w:spacing w:val="6"/>
                      <w:sz w:val="21"/>
                      <w:szCs w:val="21"/>
                      <w:lang w:val="zh-CN" w:eastAsia="zh-CN"/>
                    </w:rPr>
                    <w:t>主要成分</w:t>
                  </w:r>
                </w:p>
              </w:tc>
              <w:tc>
                <w:tcPr>
                  <w:tcW w:w="1060" w:type="pct"/>
                  <w:noWrap/>
                  <w:vAlign w:val="center"/>
                </w:tcPr>
                <w:p w14:paraId="42B0EF6C">
                  <w:pPr>
                    <w:jc w:val="center"/>
                    <w:rPr>
                      <w:rFonts w:hint="default" w:cs="Times New Roman"/>
                      <w:b/>
                      <w:bCs/>
                      <w:color w:val="auto"/>
                      <w:spacing w:val="6"/>
                      <w:sz w:val="21"/>
                      <w:szCs w:val="21"/>
                      <w:lang w:val="zh-CN" w:eastAsia="zh-CN"/>
                    </w:rPr>
                  </w:pPr>
                  <w:r>
                    <w:rPr>
                      <w:rFonts w:hint="default" w:cs="Times New Roman"/>
                      <w:b/>
                      <w:bCs/>
                      <w:color w:val="auto"/>
                      <w:spacing w:val="6"/>
                      <w:sz w:val="21"/>
                      <w:szCs w:val="21"/>
                      <w:lang w:val="zh-CN" w:eastAsia="zh-CN"/>
                    </w:rPr>
                    <w:t>浓度或浓度范围</w:t>
                  </w:r>
                </w:p>
                <w:p w14:paraId="46D2E794">
                  <w:pPr>
                    <w:jc w:val="center"/>
                    <w:rPr>
                      <w:rFonts w:hint="default" w:cs="Times New Roman"/>
                      <w:b/>
                      <w:bCs/>
                      <w:color w:val="auto"/>
                      <w:spacing w:val="6"/>
                      <w:sz w:val="21"/>
                      <w:szCs w:val="21"/>
                      <w:lang w:val="zh-CN" w:eastAsia="zh-CN"/>
                    </w:rPr>
                  </w:pPr>
                  <w:r>
                    <w:rPr>
                      <w:rFonts w:hint="default" w:cs="Times New Roman"/>
                      <w:b/>
                      <w:bCs/>
                      <w:color w:val="auto"/>
                      <w:spacing w:val="6"/>
                      <w:sz w:val="21"/>
                      <w:szCs w:val="21"/>
                      <w:lang w:val="zh-CN" w:eastAsia="zh-CN"/>
                    </w:rPr>
                    <w:t>（重量比）</w:t>
                  </w:r>
                </w:p>
              </w:tc>
              <w:tc>
                <w:tcPr>
                  <w:tcW w:w="696" w:type="pct"/>
                  <w:noWrap/>
                  <w:vAlign w:val="center"/>
                </w:tcPr>
                <w:p w14:paraId="1AC4BFE9">
                  <w:pPr>
                    <w:jc w:val="center"/>
                    <w:rPr>
                      <w:rFonts w:hint="default" w:cs="Times New Roman"/>
                      <w:b/>
                      <w:bCs/>
                      <w:color w:val="auto"/>
                      <w:spacing w:val="6"/>
                      <w:sz w:val="21"/>
                      <w:szCs w:val="21"/>
                      <w:lang w:val="zh-CN" w:eastAsia="zh-CN"/>
                    </w:rPr>
                  </w:pPr>
                  <w:r>
                    <w:rPr>
                      <w:rFonts w:hint="default" w:cs="Times New Roman"/>
                      <w:b/>
                      <w:bCs/>
                      <w:color w:val="auto"/>
                      <w:spacing w:val="6"/>
                      <w:sz w:val="21"/>
                      <w:szCs w:val="21"/>
                      <w:lang w:val="zh-CN" w:eastAsia="zh-CN"/>
                    </w:rPr>
                    <w:t xml:space="preserve">CAS </w:t>
                  </w:r>
                </w:p>
                <w:p w14:paraId="4AC39BF1">
                  <w:pPr>
                    <w:jc w:val="center"/>
                    <w:rPr>
                      <w:rFonts w:hint="default" w:cs="Times New Roman"/>
                      <w:b/>
                      <w:bCs/>
                      <w:color w:val="auto"/>
                      <w:spacing w:val="6"/>
                      <w:sz w:val="21"/>
                      <w:szCs w:val="21"/>
                      <w:lang w:val="zh-CN" w:eastAsia="zh-CN"/>
                    </w:rPr>
                  </w:pPr>
                  <w:r>
                    <w:rPr>
                      <w:rFonts w:hint="default" w:cs="Times New Roman"/>
                      <w:b/>
                      <w:bCs/>
                      <w:color w:val="auto"/>
                      <w:spacing w:val="6"/>
                      <w:sz w:val="21"/>
                      <w:szCs w:val="21"/>
                      <w:lang w:val="zh-CN" w:eastAsia="zh-CN"/>
                    </w:rPr>
                    <w:t>登记号</w:t>
                  </w:r>
                </w:p>
              </w:tc>
            </w:tr>
            <w:tr w14:paraId="6BFA7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52" w:hRule="atLeast"/>
                <w:jc w:val="center"/>
              </w:trPr>
              <w:tc>
                <w:tcPr>
                  <w:tcW w:w="672" w:type="pct"/>
                  <w:vMerge w:val="restart"/>
                  <w:noWrap/>
                  <w:vAlign w:val="center"/>
                </w:tcPr>
                <w:p w14:paraId="0D7302D3">
                  <w:pPr>
                    <w:jc w:val="center"/>
                    <w:rPr>
                      <w:rFonts w:hint="default" w:cs="Times New Roman"/>
                      <w:color w:val="auto"/>
                      <w:spacing w:val="6"/>
                      <w:sz w:val="21"/>
                      <w:szCs w:val="21"/>
                      <w:lang w:val="en-US" w:eastAsia="zh-CN"/>
                    </w:rPr>
                  </w:pPr>
                  <w:r>
                    <w:rPr>
                      <w:rFonts w:hint="eastAsia" w:cs="Times New Roman"/>
                      <w:color w:val="auto"/>
                      <w:spacing w:val="6"/>
                      <w:sz w:val="21"/>
                      <w:szCs w:val="21"/>
                      <w:lang w:val="en-US" w:eastAsia="zh-CN"/>
                    </w:rPr>
                    <w:t>水性脱模剂</w:t>
                  </w:r>
                </w:p>
              </w:tc>
              <w:tc>
                <w:tcPr>
                  <w:tcW w:w="693" w:type="pct"/>
                  <w:noWrap/>
                  <w:vAlign w:val="center"/>
                </w:tcPr>
                <w:p w14:paraId="061BC965">
                  <w:pPr>
                    <w:jc w:val="center"/>
                    <w:rPr>
                      <w:rFonts w:hint="default" w:cs="Times New Roman"/>
                      <w:color w:val="auto"/>
                      <w:spacing w:val="6"/>
                      <w:sz w:val="21"/>
                      <w:szCs w:val="21"/>
                      <w:lang w:val="en-US" w:eastAsia="zh-CN"/>
                    </w:rPr>
                  </w:pPr>
                  <w:r>
                    <w:rPr>
                      <w:rFonts w:hint="default" w:cs="Times New Roman"/>
                      <w:color w:val="auto"/>
                      <w:spacing w:val="6"/>
                      <w:sz w:val="21"/>
                      <w:szCs w:val="21"/>
                      <w:lang w:val="en-US" w:eastAsia="zh-CN"/>
                    </w:rPr>
                    <w:t>固体份</w:t>
                  </w:r>
                </w:p>
                <w:p w14:paraId="1EEC9077">
                  <w:pPr>
                    <w:jc w:val="center"/>
                    <w:rPr>
                      <w:rFonts w:hint="default" w:cs="Times New Roman"/>
                      <w:color w:val="auto"/>
                      <w:spacing w:val="6"/>
                      <w:sz w:val="21"/>
                      <w:szCs w:val="21"/>
                      <w:lang w:val="en-US" w:eastAsia="zh-CN"/>
                    </w:rPr>
                  </w:pPr>
                  <w:r>
                    <w:rPr>
                      <w:rFonts w:hint="eastAsia" w:cs="Times New Roman"/>
                      <w:color w:val="auto"/>
                      <w:spacing w:val="6"/>
                      <w:sz w:val="21"/>
                      <w:szCs w:val="21"/>
                      <w:lang w:val="en-US" w:eastAsia="zh-CN"/>
                    </w:rPr>
                    <w:t>10</w:t>
                  </w:r>
                  <w:r>
                    <w:rPr>
                      <w:rFonts w:hint="default" w:cs="Times New Roman"/>
                      <w:color w:val="auto"/>
                      <w:spacing w:val="6"/>
                      <w:sz w:val="21"/>
                      <w:szCs w:val="21"/>
                      <w:lang w:val="en-US" w:eastAsia="zh-CN"/>
                    </w:rPr>
                    <w:t>%</w:t>
                  </w:r>
                </w:p>
              </w:tc>
              <w:tc>
                <w:tcPr>
                  <w:tcW w:w="1877" w:type="pct"/>
                  <w:shd w:val="clear" w:color="auto" w:fill="auto"/>
                  <w:noWrap/>
                  <w:vAlign w:val="center"/>
                </w:tcPr>
                <w:p w14:paraId="04858F11">
                  <w:pPr>
                    <w:jc w:val="center"/>
                    <w:rPr>
                      <w:rFonts w:hint="default" w:ascii="Times New Roman" w:hAnsi="Times New Roman" w:eastAsia="宋体" w:cs="Times New Roman"/>
                      <w:color w:val="auto"/>
                      <w:spacing w:val="6"/>
                      <w:kern w:val="2"/>
                      <w:sz w:val="21"/>
                      <w:szCs w:val="21"/>
                      <w:lang w:val="zh-CN" w:eastAsia="zh-CN" w:bidi="ar-SA"/>
                    </w:rPr>
                  </w:pPr>
                  <w:r>
                    <w:rPr>
                      <w:rFonts w:hint="eastAsia" w:cs="Times New Roman"/>
                      <w:color w:val="auto"/>
                      <w:spacing w:val="6"/>
                      <w:sz w:val="21"/>
                      <w:szCs w:val="21"/>
                      <w:lang w:val="en-US" w:eastAsia="zh-CN"/>
                    </w:rPr>
                    <w:t>石墨</w:t>
                  </w:r>
                </w:p>
              </w:tc>
              <w:tc>
                <w:tcPr>
                  <w:tcW w:w="1060" w:type="pct"/>
                  <w:shd w:val="clear" w:color="auto" w:fill="auto"/>
                  <w:noWrap/>
                  <w:vAlign w:val="center"/>
                </w:tcPr>
                <w:p w14:paraId="186A7467">
                  <w:pPr>
                    <w:jc w:val="center"/>
                    <w:rPr>
                      <w:rFonts w:hint="default" w:ascii="Times New Roman" w:hAnsi="Times New Roman" w:eastAsia="宋体" w:cs="Times New Roman"/>
                      <w:color w:val="auto"/>
                      <w:spacing w:val="6"/>
                      <w:kern w:val="2"/>
                      <w:sz w:val="21"/>
                      <w:szCs w:val="21"/>
                      <w:lang w:val="en-US" w:eastAsia="zh-CN" w:bidi="ar-SA"/>
                    </w:rPr>
                  </w:pPr>
                  <w:r>
                    <w:rPr>
                      <w:rFonts w:hint="eastAsia" w:cs="Times New Roman"/>
                      <w:color w:val="auto"/>
                      <w:spacing w:val="6"/>
                      <w:sz w:val="21"/>
                      <w:szCs w:val="21"/>
                      <w:lang w:val="en-US" w:eastAsia="zh-CN"/>
                    </w:rPr>
                    <w:t>10</w:t>
                  </w:r>
                  <w:r>
                    <w:rPr>
                      <w:rFonts w:hint="default" w:cs="Times New Roman"/>
                      <w:color w:val="auto"/>
                      <w:spacing w:val="6"/>
                      <w:sz w:val="21"/>
                      <w:szCs w:val="21"/>
                      <w:lang w:val="en-US" w:eastAsia="zh-CN"/>
                    </w:rPr>
                    <w:t>%</w:t>
                  </w:r>
                </w:p>
              </w:tc>
              <w:tc>
                <w:tcPr>
                  <w:tcW w:w="696" w:type="pct"/>
                  <w:shd w:val="clear" w:color="auto" w:fill="auto"/>
                  <w:noWrap/>
                  <w:vAlign w:val="center"/>
                </w:tcPr>
                <w:p w14:paraId="1B746720">
                  <w:pPr>
                    <w:jc w:val="center"/>
                    <w:rPr>
                      <w:rFonts w:hint="default" w:ascii="Times New Roman" w:hAnsi="Times New Roman" w:eastAsia="宋体" w:cs="Times New Roman"/>
                      <w:color w:val="auto"/>
                      <w:spacing w:val="6"/>
                      <w:kern w:val="2"/>
                      <w:sz w:val="21"/>
                      <w:szCs w:val="21"/>
                      <w:lang w:val="en-US" w:eastAsia="zh-CN" w:bidi="ar-SA"/>
                    </w:rPr>
                  </w:pPr>
                  <w:r>
                    <w:rPr>
                      <w:rFonts w:hint="eastAsia" w:cs="Times New Roman"/>
                      <w:color w:val="auto"/>
                      <w:spacing w:val="6"/>
                      <w:sz w:val="21"/>
                      <w:szCs w:val="21"/>
                      <w:lang w:val="en-US" w:eastAsia="zh-CN"/>
                    </w:rPr>
                    <w:fldChar w:fldCharType="begin"/>
                  </w:r>
                  <w:r>
                    <w:rPr>
                      <w:rFonts w:hint="eastAsia" w:cs="Times New Roman"/>
                      <w:color w:val="auto"/>
                      <w:spacing w:val="6"/>
                      <w:sz w:val="21"/>
                      <w:szCs w:val="21"/>
                      <w:lang w:val="en-US" w:eastAsia="zh-CN"/>
                    </w:rPr>
                    <w:instrText xml:space="preserve"> HYPERLINK "https://www.chemsrc.com/baike/849085.html" </w:instrText>
                  </w:r>
                  <w:r>
                    <w:rPr>
                      <w:rFonts w:hint="eastAsia" w:cs="Times New Roman"/>
                      <w:color w:val="auto"/>
                      <w:spacing w:val="6"/>
                      <w:sz w:val="21"/>
                      <w:szCs w:val="21"/>
                      <w:lang w:val="en-US" w:eastAsia="zh-CN"/>
                    </w:rPr>
                    <w:fldChar w:fldCharType="separate"/>
                  </w:r>
                  <w:r>
                    <w:rPr>
                      <w:rFonts w:hint="default" w:cs="Times New Roman"/>
                      <w:color w:val="auto"/>
                      <w:spacing w:val="6"/>
                      <w:sz w:val="21"/>
                      <w:szCs w:val="21"/>
                      <w:lang w:val="en-US" w:eastAsia="zh-CN"/>
                    </w:rPr>
                    <w:t>7782-42-5</w:t>
                  </w:r>
                  <w:r>
                    <w:rPr>
                      <w:rFonts w:hint="default" w:cs="Times New Roman"/>
                      <w:color w:val="auto"/>
                      <w:spacing w:val="6"/>
                      <w:sz w:val="21"/>
                      <w:szCs w:val="21"/>
                      <w:lang w:val="en-US" w:eastAsia="zh-CN"/>
                    </w:rPr>
                    <w:fldChar w:fldCharType="end"/>
                  </w:r>
                </w:p>
              </w:tc>
            </w:tr>
            <w:tr w14:paraId="19966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67" w:hRule="atLeast"/>
                <w:jc w:val="center"/>
              </w:trPr>
              <w:tc>
                <w:tcPr>
                  <w:tcW w:w="672" w:type="pct"/>
                  <w:vMerge w:val="continue"/>
                  <w:noWrap/>
                  <w:vAlign w:val="center"/>
                </w:tcPr>
                <w:p w14:paraId="02461B06">
                  <w:pPr>
                    <w:jc w:val="center"/>
                    <w:rPr>
                      <w:rFonts w:hint="default" w:cs="Times New Roman"/>
                      <w:color w:val="auto"/>
                      <w:spacing w:val="6"/>
                      <w:sz w:val="21"/>
                      <w:szCs w:val="21"/>
                      <w:lang w:val="zh-CN" w:eastAsia="zh-CN"/>
                    </w:rPr>
                  </w:pPr>
                </w:p>
              </w:tc>
              <w:tc>
                <w:tcPr>
                  <w:tcW w:w="693" w:type="pct"/>
                  <w:vMerge w:val="restart"/>
                  <w:noWrap/>
                  <w:vAlign w:val="center"/>
                </w:tcPr>
                <w:p w14:paraId="1268D527">
                  <w:pPr>
                    <w:jc w:val="center"/>
                    <w:rPr>
                      <w:rFonts w:hint="default" w:cs="Times New Roman"/>
                      <w:color w:val="auto"/>
                      <w:spacing w:val="6"/>
                      <w:sz w:val="21"/>
                      <w:szCs w:val="21"/>
                      <w:lang w:val="en-US" w:eastAsia="zh-CN"/>
                    </w:rPr>
                  </w:pPr>
                  <w:r>
                    <w:rPr>
                      <w:rFonts w:hint="default" w:cs="Times New Roman"/>
                      <w:color w:val="auto"/>
                      <w:spacing w:val="6"/>
                      <w:sz w:val="21"/>
                      <w:szCs w:val="21"/>
                      <w:lang w:val="en-US" w:eastAsia="zh-CN"/>
                    </w:rPr>
                    <w:t>挥发份</w:t>
                  </w:r>
                </w:p>
                <w:p w14:paraId="6EDCF06B">
                  <w:pPr>
                    <w:jc w:val="center"/>
                    <w:rPr>
                      <w:rFonts w:hint="default" w:cs="Times New Roman"/>
                      <w:color w:val="auto"/>
                      <w:spacing w:val="6"/>
                      <w:sz w:val="21"/>
                      <w:szCs w:val="21"/>
                      <w:lang w:val="en-US" w:eastAsia="zh-CN"/>
                    </w:rPr>
                  </w:pPr>
                  <w:r>
                    <w:rPr>
                      <w:rFonts w:hint="eastAsia" w:cs="Times New Roman"/>
                      <w:color w:val="auto"/>
                      <w:spacing w:val="6"/>
                      <w:sz w:val="21"/>
                      <w:szCs w:val="21"/>
                      <w:lang w:val="en-US" w:eastAsia="zh-CN"/>
                    </w:rPr>
                    <w:t>7</w:t>
                  </w:r>
                  <w:r>
                    <w:rPr>
                      <w:rFonts w:hint="default" w:cs="Times New Roman"/>
                      <w:color w:val="auto"/>
                      <w:spacing w:val="6"/>
                      <w:sz w:val="21"/>
                      <w:szCs w:val="21"/>
                      <w:lang w:val="en-US" w:eastAsia="zh-CN"/>
                    </w:rPr>
                    <w:t>%</w:t>
                  </w:r>
                </w:p>
              </w:tc>
              <w:tc>
                <w:tcPr>
                  <w:tcW w:w="1877" w:type="pct"/>
                  <w:shd w:val="clear" w:color="auto" w:fill="auto"/>
                  <w:noWrap/>
                  <w:vAlign w:val="center"/>
                </w:tcPr>
                <w:p w14:paraId="78063BF9">
                  <w:pPr>
                    <w:jc w:val="center"/>
                    <w:rPr>
                      <w:rFonts w:hint="default" w:ascii="Times New Roman" w:hAnsi="Times New Roman" w:eastAsia="宋体" w:cs="Times New Roman"/>
                      <w:color w:val="auto"/>
                      <w:spacing w:val="6"/>
                      <w:kern w:val="2"/>
                      <w:sz w:val="21"/>
                      <w:szCs w:val="21"/>
                      <w:lang w:val="zh-CN" w:eastAsia="zh-CN" w:bidi="ar-SA"/>
                    </w:rPr>
                  </w:pPr>
                  <w:r>
                    <w:rPr>
                      <w:rFonts w:hint="eastAsia" w:cs="Times New Roman"/>
                      <w:color w:val="auto"/>
                      <w:spacing w:val="6"/>
                      <w:sz w:val="21"/>
                      <w:szCs w:val="21"/>
                      <w:lang w:val="en-US" w:eastAsia="zh-CN"/>
                    </w:rPr>
                    <w:t>聚二甲基硅氧烷</w:t>
                  </w:r>
                </w:p>
              </w:tc>
              <w:tc>
                <w:tcPr>
                  <w:tcW w:w="1060" w:type="pct"/>
                  <w:shd w:val="clear" w:color="auto" w:fill="auto"/>
                  <w:noWrap/>
                  <w:vAlign w:val="center"/>
                </w:tcPr>
                <w:p w14:paraId="68E02B3D">
                  <w:pPr>
                    <w:jc w:val="center"/>
                    <w:rPr>
                      <w:rFonts w:hint="default" w:ascii="Times New Roman" w:hAnsi="Times New Roman" w:eastAsia="宋体" w:cs="Times New Roman"/>
                      <w:color w:val="auto"/>
                      <w:spacing w:val="6"/>
                      <w:kern w:val="2"/>
                      <w:sz w:val="21"/>
                      <w:szCs w:val="21"/>
                      <w:lang w:val="en-US" w:eastAsia="zh-CN" w:bidi="ar-SA"/>
                    </w:rPr>
                  </w:pPr>
                  <w:r>
                    <w:rPr>
                      <w:rFonts w:hint="eastAsia" w:cs="Times New Roman"/>
                      <w:color w:val="auto"/>
                      <w:spacing w:val="6"/>
                      <w:sz w:val="21"/>
                      <w:szCs w:val="21"/>
                      <w:lang w:val="en-US" w:eastAsia="zh-CN"/>
                    </w:rPr>
                    <w:t>2</w:t>
                  </w:r>
                  <w:r>
                    <w:rPr>
                      <w:rFonts w:hint="default" w:cs="Times New Roman"/>
                      <w:color w:val="auto"/>
                      <w:spacing w:val="6"/>
                      <w:sz w:val="21"/>
                      <w:szCs w:val="21"/>
                      <w:lang w:val="en-US" w:eastAsia="zh-CN"/>
                    </w:rPr>
                    <w:t>%</w:t>
                  </w:r>
                </w:p>
              </w:tc>
              <w:tc>
                <w:tcPr>
                  <w:tcW w:w="696" w:type="pct"/>
                  <w:shd w:val="clear" w:color="auto" w:fill="auto"/>
                  <w:noWrap/>
                  <w:vAlign w:val="center"/>
                </w:tcPr>
                <w:p w14:paraId="7CA31754">
                  <w:pPr>
                    <w:jc w:val="center"/>
                    <w:rPr>
                      <w:rFonts w:hint="default" w:ascii="Times New Roman" w:hAnsi="Times New Roman" w:eastAsia="宋体" w:cs="Times New Roman"/>
                      <w:color w:val="auto"/>
                      <w:spacing w:val="6"/>
                      <w:kern w:val="2"/>
                      <w:sz w:val="21"/>
                      <w:szCs w:val="21"/>
                      <w:lang w:val="en-US" w:eastAsia="zh-CN" w:bidi="ar-SA"/>
                    </w:rPr>
                  </w:pPr>
                  <w:r>
                    <w:rPr>
                      <w:rFonts w:hint="eastAsia" w:cs="Times New Roman"/>
                      <w:color w:val="auto"/>
                      <w:spacing w:val="6"/>
                      <w:sz w:val="21"/>
                      <w:szCs w:val="21"/>
                      <w:lang w:val="en-US" w:eastAsia="zh-CN"/>
                    </w:rPr>
                    <w:fldChar w:fldCharType="begin"/>
                  </w:r>
                  <w:r>
                    <w:rPr>
                      <w:rFonts w:hint="eastAsia" w:cs="Times New Roman"/>
                      <w:color w:val="auto"/>
                      <w:spacing w:val="6"/>
                      <w:sz w:val="21"/>
                      <w:szCs w:val="21"/>
                      <w:lang w:val="en-US" w:eastAsia="zh-CN"/>
                    </w:rPr>
                    <w:instrText xml:space="preserve"> HYPERLINK "https://www.chemsrc.com/baike/1464009.html" </w:instrText>
                  </w:r>
                  <w:r>
                    <w:rPr>
                      <w:rFonts w:hint="eastAsia" w:cs="Times New Roman"/>
                      <w:color w:val="auto"/>
                      <w:spacing w:val="6"/>
                      <w:sz w:val="21"/>
                      <w:szCs w:val="21"/>
                      <w:lang w:val="en-US" w:eastAsia="zh-CN"/>
                    </w:rPr>
                    <w:fldChar w:fldCharType="separate"/>
                  </w:r>
                  <w:r>
                    <w:rPr>
                      <w:rFonts w:hint="default" w:cs="Times New Roman"/>
                      <w:color w:val="auto"/>
                      <w:spacing w:val="6"/>
                      <w:sz w:val="21"/>
                      <w:szCs w:val="21"/>
                      <w:lang w:val="en-US" w:eastAsia="zh-CN"/>
                    </w:rPr>
                    <w:t>130169-63-0</w:t>
                  </w:r>
                  <w:r>
                    <w:rPr>
                      <w:rFonts w:hint="default" w:cs="Times New Roman"/>
                      <w:color w:val="auto"/>
                      <w:spacing w:val="6"/>
                      <w:sz w:val="21"/>
                      <w:szCs w:val="21"/>
                      <w:lang w:val="en-US" w:eastAsia="zh-CN"/>
                    </w:rPr>
                    <w:fldChar w:fldCharType="end"/>
                  </w:r>
                </w:p>
              </w:tc>
            </w:tr>
            <w:tr w14:paraId="56320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67" w:hRule="atLeast"/>
                <w:jc w:val="center"/>
              </w:trPr>
              <w:tc>
                <w:tcPr>
                  <w:tcW w:w="672" w:type="pct"/>
                  <w:vMerge w:val="continue"/>
                  <w:noWrap/>
                  <w:vAlign w:val="center"/>
                </w:tcPr>
                <w:p w14:paraId="3F99BE66">
                  <w:pPr>
                    <w:jc w:val="center"/>
                    <w:rPr>
                      <w:rFonts w:hint="default" w:cs="Times New Roman"/>
                      <w:color w:val="auto"/>
                      <w:spacing w:val="6"/>
                      <w:sz w:val="21"/>
                      <w:szCs w:val="21"/>
                      <w:lang w:val="zh-CN" w:eastAsia="zh-CN"/>
                    </w:rPr>
                  </w:pPr>
                </w:p>
              </w:tc>
              <w:tc>
                <w:tcPr>
                  <w:tcW w:w="693" w:type="pct"/>
                  <w:vMerge w:val="continue"/>
                  <w:noWrap/>
                  <w:vAlign w:val="center"/>
                </w:tcPr>
                <w:p w14:paraId="159014D9">
                  <w:pPr>
                    <w:jc w:val="center"/>
                    <w:rPr>
                      <w:rFonts w:hint="default" w:cs="Times New Roman"/>
                      <w:color w:val="auto"/>
                      <w:spacing w:val="6"/>
                      <w:sz w:val="21"/>
                      <w:szCs w:val="21"/>
                      <w:lang w:val="en-US" w:eastAsia="zh-CN"/>
                    </w:rPr>
                  </w:pPr>
                </w:p>
              </w:tc>
              <w:tc>
                <w:tcPr>
                  <w:tcW w:w="1877" w:type="pct"/>
                  <w:shd w:val="clear" w:color="auto" w:fill="auto"/>
                  <w:noWrap/>
                  <w:vAlign w:val="center"/>
                </w:tcPr>
                <w:p w14:paraId="7453378E">
                  <w:pPr>
                    <w:jc w:val="center"/>
                    <w:rPr>
                      <w:rFonts w:hint="default" w:ascii="Times New Roman" w:hAnsi="Times New Roman" w:eastAsia="宋体" w:cs="Times New Roman"/>
                      <w:color w:val="auto"/>
                      <w:spacing w:val="6"/>
                      <w:kern w:val="2"/>
                      <w:sz w:val="21"/>
                      <w:szCs w:val="21"/>
                      <w:lang w:val="zh-CN" w:eastAsia="zh-CN" w:bidi="ar-SA"/>
                    </w:rPr>
                  </w:pPr>
                  <w:r>
                    <w:rPr>
                      <w:rFonts w:hint="eastAsia" w:cs="Times New Roman"/>
                      <w:color w:val="auto"/>
                      <w:spacing w:val="6"/>
                      <w:sz w:val="21"/>
                      <w:szCs w:val="21"/>
                      <w:lang w:val="en-US" w:eastAsia="zh-CN"/>
                    </w:rPr>
                    <w:t>羧酸盐</w:t>
                  </w:r>
                </w:p>
              </w:tc>
              <w:tc>
                <w:tcPr>
                  <w:tcW w:w="1060" w:type="pct"/>
                  <w:shd w:val="clear" w:color="auto" w:fill="auto"/>
                  <w:noWrap/>
                  <w:vAlign w:val="center"/>
                </w:tcPr>
                <w:p w14:paraId="73853C1E">
                  <w:pPr>
                    <w:jc w:val="center"/>
                    <w:rPr>
                      <w:rFonts w:hint="default" w:ascii="Times New Roman" w:hAnsi="Times New Roman" w:eastAsia="宋体" w:cs="Times New Roman"/>
                      <w:color w:val="auto"/>
                      <w:spacing w:val="6"/>
                      <w:kern w:val="2"/>
                      <w:sz w:val="21"/>
                      <w:szCs w:val="21"/>
                      <w:lang w:val="en-US" w:eastAsia="zh-CN" w:bidi="ar-SA"/>
                    </w:rPr>
                  </w:pPr>
                  <w:r>
                    <w:rPr>
                      <w:rFonts w:hint="eastAsia" w:cs="Times New Roman"/>
                      <w:color w:val="auto"/>
                      <w:spacing w:val="6"/>
                      <w:sz w:val="21"/>
                      <w:szCs w:val="21"/>
                      <w:lang w:val="en-US" w:eastAsia="zh-CN"/>
                    </w:rPr>
                    <w:t>5</w:t>
                  </w:r>
                  <w:r>
                    <w:rPr>
                      <w:rFonts w:hint="default" w:cs="Times New Roman"/>
                      <w:color w:val="auto"/>
                      <w:spacing w:val="6"/>
                      <w:sz w:val="21"/>
                      <w:szCs w:val="21"/>
                      <w:lang w:val="en-US" w:eastAsia="zh-CN"/>
                    </w:rPr>
                    <w:t>%</w:t>
                  </w:r>
                </w:p>
              </w:tc>
              <w:tc>
                <w:tcPr>
                  <w:tcW w:w="696" w:type="pct"/>
                  <w:shd w:val="clear" w:color="auto" w:fill="auto"/>
                  <w:noWrap/>
                  <w:vAlign w:val="center"/>
                </w:tcPr>
                <w:p w14:paraId="03A1B305">
                  <w:pPr>
                    <w:jc w:val="center"/>
                    <w:rPr>
                      <w:rFonts w:hint="default" w:ascii="Times New Roman" w:hAnsi="Times New Roman" w:eastAsia="宋体" w:cs="Times New Roman"/>
                      <w:color w:val="auto"/>
                      <w:spacing w:val="6"/>
                      <w:kern w:val="2"/>
                      <w:sz w:val="21"/>
                      <w:szCs w:val="21"/>
                      <w:lang w:val="en-US" w:eastAsia="zh-CN" w:bidi="ar-SA"/>
                    </w:rPr>
                  </w:pPr>
                  <w:r>
                    <w:rPr>
                      <w:rFonts w:hint="eastAsia" w:cs="Times New Roman"/>
                      <w:color w:val="auto"/>
                      <w:spacing w:val="6"/>
                      <w:sz w:val="21"/>
                      <w:szCs w:val="21"/>
                      <w:lang w:val="en-US" w:eastAsia="zh-CN"/>
                    </w:rPr>
                    <w:t>/</w:t>
                  </w:r>
                </w:p>
              </w:tc>
            </w:tr>
            <w:tr w14:paraId="78040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67" w:hRule="atLeast"/>
                <w:jc w:val="center"/>
              </w:trPr>
              <w:tc>
                <w:tcPr>
                  <w:tcW w:w="672" w:type="pct"/>
                  <w:vMerge w:val="continue"/>
                  <w:noWrap/>
                  <w:vAlign w:val="center"/>
                </w:tcPr>
                <w:p w14:paraId="62BD4F25">
                  <w:pPr>
                    <w:adjustRightInd w:val="0"/>
                    <w:snapToGrid w:val="0"/>
                    <w:jc w:val="center"/>
                    <w:rPr>
                      <w:rFonts w:hint="default" w:ascii="Times New Roman" w:hAnsi="Times New Roman" w:cs="Times New Roman"/>
                      <w:color w:val="auto"/>
                      <w:sz w:val="21"/>
                      <w:szCs w:val="21"/>
                      <w:shd w:val="clear" w:color="auto" w:fill="FFFFFF"/>
                      <w:lang w:val="zh-CN"/>
                    </w:rPr>
                  </w:pPr>
                </w:p>
              </w:tc>
              <w:tc>
                <w:tcPr>
                  <w:tcW w:w="693" w:type="pct"/>
                  <w:noWrap/>
                  <w:vAlign w:val="center"/>
                </w:tcPr>
                <w:p w14:paraId="01C802C6">
                  <w:pPr>
                    <w:jc w:val="center"/>
                    <w:rPr>
                      <w:rFonts w:hint="default" w:cs="Times New Roman"/>
                      <w:color w:val="auto"/>
                      <w:spacing w:val="6"/>
                      <w:sz w:val="21"/>
                      <w:szCs w:val="21"/>
                      <w:lang w:val="en-US" w:eastAsia="zh-CN"/>
                    </w:rPr>
                  </w:pPr>
                  <w:r>
                    <w:rPr>
                      <w:rFonts w:hint="default" w:cs="Times New Roman"/>
                      <w:color w:val="auto"/>
                      <w:spacing w:val="6"/>
                      <w:sz w:val="21"/>
                      <w:szCs w:val="21"/>
                      <w:lang w:val="en-US" w:eastAsia="zh-CN"/>
                    </w:rPr>
                    <w:t>水</w:t>
                  </w:r>
                  <w:r>
                    <w:rPr>
                      <w:rFonts w:hint="eastAsia" w:cs="Times New Roman"/>
                      <w:color w:val="auto"/>
                      <w:spacing w:val="6"/>
                      <w:sz w:val="21"/>
                      <w:szCs w:val="21"/>
                      <w:lang w:val="en-US" w:eastAsia="zh-CN"/>
                    </w:rPr>
                    <w:t>83</w:t>
                  </w:r>
                  <w:r>
                    <w:rPr>
                      <w:rFonts w:hint="default" w:cs="Times New Roman"/>
                      <w:color w:val="auto"/>
                      <w:spacing w:val="6"/>
                      <w:sz w:val="21"/>
                      <w:szCs w:val="21"/>
                      <w:lang w:val="en-US" w:eastAsia="zh-CN"/>
                    </w:rPr>
                    <w:t>%</w:t>
                  </w:r>
                </w:p>
              </w:tc>
              <w:tc>
                <w:tcPr>
                  <w:tcW w:w="1877" w:type="pct"/>
                  <w:noWrap/>
                  <w:vAlign w:val="center"/>
                </w:tcPr>
                <w:p w14:paraId="30AEF54E">
                  <w:pPr>
                    <w:jc w:val="center"/>
                    <w:rPr>
                      <w:rFonts w:hint="default" w:cs="Times New Roman"/>
                      <w:color w:val="auto"/>
                      <w:spacing w:val="6"/>
                      <w:sz w:val="21"/>
                      <w:szCs w:val="21"/>
                      <w:lang w:val="en-US" w:eastAsia="zh-CN"/>
                    </w:rPr>
                  </w:pPr>
                  <w:r>
                    <w:rPr>
                      <w:rFonts w:hint="default" w:cs="Times New Roman"/>
                      <w:color w:val="auto"/>
                      <w:spacing w:val="6"/>
                      <w:sz w:val="21"/>
                      <w:szCs w:val="21"/>
                      <w:lang w:val="en-US" w:eastAsia="zh-CN"/>
                    </w:rPr>
                    <w:t>水</w:t>
                  </w:r>
                </w:p>
              </w:tc>
              <w:tc>
                <w:tcPr>
                  <w:tcW w:w="1060" w:type="pct"/>
                  <w:noWrap/>
                  <w:vAlign w:val="center"/>
                </w:tcPr>
                <w:p w14:paraId="0ED1D25C">
                  <w:pPr>
                    <w:jc w:val="center"/>
                    <w:rPr>
                      <w:rFonts w:hint="default" w:cs="Times New Roman"/>
                      <w:color w:val="auto"/>
                      <w:spacing w:val="6"/>
                      <w:sz w:val="21"/>
                      <w:szCs w:val="21"/>
                      <w:lang w:val="en-US" w:eastAsia="zh-CN"/>
                    </w:rPr>
                  </w:pPr>
                  <w:r>
                    <w:rPr>
                      <w:rFonts w:hint="eastAsia" w:cs="Times New Roman"/>
                      <w:color w:val="auto"/>
                      <w:spacing w:val="6"/>
                      <w:sz w:val="21"/>
                      <w:szCs w:val="21"/>
                      <w:lang w:val="en-US" w:eastAsia="zh-CN"/>
                    </w:rPr>
                    <w:t>83</w:t>
                  </w:r>
                  <w:r>
                    <w:rPr>
                      <w:rFonts w:hint="default" w:cs="Times New Roman"/>
                      <w:color w:val="auto"/>
                      <w:spacing w:val="6"/>
                      <w:sz w:val="21"/>
                      <w:szCs w:val="21"/>
                      <w:lang w:val="en-US" w:eastAsia="zh-CN"/>
                    </w:rPr>
                    <w:t>%</w:t>
                  </w:r>
                </w:p>
              </w:tc>
              <w:tc>
                <w:tcPr>
                  <w:tcW w:w="696" w:type="pct"/>
                  <w:noWrap/>
                  <w:vAlign w:val="center"/>
                </w:tcPr>
                <w:p w14:paraId="25F468F6">
                  <w:pPr>
                    <w:jc w:val="center"/>
                    <w:rPr>
                      <w:rFonts w:hint="default" w:cs="Times New Roman"/>
                      <w:color w:val="auto"/>
                      <w:spacing w:val="6"/>
                      <w:sz w:val="21"/>
                      <w:szCs w:val="21"/>
                      <w:lang w:val="en-US" w:eastAsia="zh-CN"/>
                    </w:rPr>
                  </w:pPr>
                  <w:r>
                    <w:rPr>
                      <w:rFonts w:hint="default" w:cs="Times New Roman"/>
                      <w:color w:val="auto"/>
                      <w:spacing w:val="6"/>
                      <w:sz w:val="21"/>
                      <w:szCs w:val="21"/>
                      <w:lang w:val="en-US" w:eastAsia="zh-CN"/>
                    </w:rPr>
                    <w:t>7732-18-5</w:t>
                  </w:r>
                </w:p>
              </w:tc>
            </w:tr>
            <w:tr w14:paraId="5FFE6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672" w:type="pct"/>
                  <w:vMerge w:val="restart"/>
                  <w:noWrap/>
                  <w:vAlign w:val="center"/>
                </w:tcPr>
                <w:p w14:paraId="0EB12904">
                  <w:pPr>
                    <w:jc w:val="center"/>
                    <w:rPr>
                      <w:rFonts w:hint="default" w:cs="Times New Roman"/>
                      <w:color w:val="auto"/>
                      <w:spacing w:val="6"/>
                      <w:sz w:val="21"/>
                      <w:szCs w:val="21"/>
                      <w:lang w:val="en-US" w:eastAsia="zh-CN"/>
                    </w:rPr>
                  </w:pPr>
                  <w:r>
                    <w:rPr>
                      <w:rFonts w:hint="eastAsia" w:cs="Times New Roman"/>
                      <w:color w:val="auto"/>
                      <w:spacing w:val="6"/>
                      <w:sz w:val="21"/>
                      <w:szCs w:val="21"/>
                      <w:lang w:val="en-US" w:eastAsia="zh-CN"/>
                    </w:rPr>
                    <w:t>水性淬火液</w:t>
                  </w:r>
                </w:p>
              </w:tc>
              <w:tc>
                <w:tcPr>
                  <w:tcW w:w="693" w:type="pct"/>
                  <w:vMerge w:val="restart"/>
                  <w:noWrap/>
                  <w:vAlign w:val="center"/>
                </w:tcPr>
                <w:p w14:paraId="16227BAC">
                  <w:pPr>
                    <w:jc w:val="center"/>
                    <w:rPr>
                      <w:rFonts w:hint="default" w:cs="Times New Roman"/>
                      <w:color w:val="auto"/>
                      <w:spacing w:val="6"/>
                      <w:sz w:val="21"/>
                      <w:szCs w:val="21"/>
                      <w:lang w:val="en-US" w:eastAsia="zh-CN"/>
                    </w:rPr>
                  </w:pPr>
                  <w:r>
                    <w:rPr>
                      <w:rFonts w:hint="default" w:cs="Times New Roman"/>
                      <w:color w:val="auto"/>
                      <w:spacing w:val="6"/>
                      <w:sz w:val="21"/>
                      <w:szCs w:val="21"/>
                      <w:lang w:val="en-US" w:eastAsia="zh-CN"/>
                    </w:rPr>
                    <w:t>固体份</w:t>
                  </w:r>
                </w:p>
                <w:p w14:paraId="5F501FB5">
                  <w:pPr>
                    <w:jc w:val="center"/>
                    <w:rPr>
                      <w:rFonts w:hint="default" w:cs="Times New Roman"/>
                      <w:color w:val="auto"/>
                      <w:spacing w:val="6"/>
                      <w:sz w:val="21"/>
                      <w:szCs w:val="21"/>
                      <w:lang w:val="en-US" w:eastAsia="zh-CN"/>
                    </w:rPr>
                  </w:pPr>
                  <w:r>
                    <w:rPr>
                      <w:rFonts w:hint="default" w:cs="Times New Roman"/>
                      <w:color w:val="auto"/>
                      <w:spacing w:val="6"/>
                      <w:sz w:val="21"/>
                      <w:szCs w:val="21"/>
                      <w:lang w:val="en-US" w:eastAsia="zh-CN"/>
                    </w:rPr>
                    <w:t>6</w:t>
                  </w:r>
                  <w:r>
                    <w:rPr>
                      <w:rFonts w:hint="eastAsia" w:cs="Times New Roman"/>
                      <w:color w:val="auto"/>
                      <w:spacing w:val="6"/>
                      <w:sz w:val="21"/>
                      <w:szCs w:val="21"/>
                      <w:lang w:val="en-US" w:eastAsia="zh-CN"/>
                    </w:rPr>
                    <w:t>2</w:t>
                  </w:r>
                  <w:r>
                    <w:rPr>
                      <w:rFonts w:hint="default" w:cs="Times New Roman"/>
                      <w:color w:val="auto"/>
                      <w:spacing w:val="6"/>
                      <w:sz w:val="21"/>
                      <w:szCs w:val="21"/>
                      <w:lang w:val="en-US" w:eastAsia="zh-CN"/>
                    </w:rPr>
                    <w:t>%</w:t>
                  </w:r>
                </w:p>
              </w:tc>
              <w:tc>
                <w:tcPr>
                  <w:tcW w:w="1877" w:type="pct"/>
                  <w:noWrap/>
                  <w:vAlign w:val="center"/>
                </w:tcPr>
                <w:p w14:paraId="0F77792B">
                  <w:pPr>
                    <w:jc w:val="center"/>
                    <w:rPr>
                      <w:rFonts w:hint="default" w:cs="Times New Roman"/>
                      <w:color w:val="auto"/>
                      <w:spacing w:val="6"/>
                      <w:sz w:val="21"/>
                      <w:szCs w:val="21"/>
                      <w:lang w:val="en-US" w:eastAsia="zh-CN"/>
                    </w:rPr>
                  </w:pPr>
                  <w:r>
                    <w:rPr>
                      <w:rFonts w:hint="eastAsia" w:cs="Times New Roman"/>
                      <w:color w:val="auto"/>
                      <w:spacing w:val="6"/>
                      <w:sz w:val="21"/>
                      <w:szCs w:val="21"/>
                      <w:lang w:val="en-US" w:eastAsia="zh-CN"/>
                    </w:rPr>
                    <w:t>聚烷基醇</w:t>
                  </w:r>
                </w:p>
              </w:tc>
              <w:tc>
                <w:tcPr>
                  <w:tcW w:w="1060" w:type="pct"/>
                  <w:noWrap/>
                  <w:vAlign w:val="center"/>
                </w:tcPr>
                <w:p w14:paraId="7D434D11">
                  <w:pPr>
                    <w:jc w:val="center"/>
                    <w:rPr>
                      <w:rFonts w:hint="default" w:cs="Times New Roman"/>
                      <w:color w:val="auto"/>
                      <w:spacing w:val="6"/>
                      <w:sz w:val="21"/>
                      <w:szCs w:val="21"/>
                      <w:lang w:val="en-US" w:eastAsia="zh-CN"/>
                    </w:rPr>
                  </w:pPr>
                  <w:r>
                    <w:rPr>
                      <w:rFonts w:hint="default" w:cs="Times New Roman"/>
                      <w:color w:val="auto"/>
                      <w:spacing w:val="6"/>
                      <w:sz w:val="21"/>
                      <w:szCs w:val="21"/>
                      <w:lang w:val="en-US" w:eastAsia="zh-CN"/>
                    </w:rPr>
                    <w:t>60%</w:t>
                  </w:r>
                </w:p>
              </w:tc>
              <w:tc>
                <w:tcPr>
                  <w:tcW w:w="696" w:type="pct"/>
                  <w:noWrap/>
                  <w:vAlign w:val="center"/>
                </w:tcPr>
                <w:p w14:paraId="6CD266EB">
                  <w:pPr>
                    <w:jc w:val="center"/>
                    <w:rPr>
                      <w:rFonts w:hint="default" w:cs="Times New Roman"/>
                      <w:color w:val="auto"/>
                      <w:spacing w:val="6"/>
                      <w:sz w:val="21"/>
                      <w:szCs w:val="21"/>
                      <w:lang w:val="en-US" w:eastAsia="zh-CN"/>
                    </w:rPr>
                  </w:pPr>
                </w:p>
                <w:p w14:paraId="76B04313">
                  <w:pPr>
                    <w:jc w:val="center"/>
                    <w:rPr>
                      <w:rFonts w:hint="default" w:cs="Times New Roman"/>
                      <w:color w:val="auto"/>
                      <w:spacing w:val="6"/>
                      <w:sz w:val="21"/>
                      <w:szCs w:val="21"/>
                      <w:lang w:val="en-US" w:eastAsia="zh-CN"/>
                    </w:rPr>
                  </w:pPr>
                  <w:r>
                    <w:rPr>
                      <w:rFonts w:hint="eastAsia" w:cs="Times New Roman"/>
                      <w:color w:val="auto"/>
                      <w:spacing w:val="6"/>
                      <w:sz w:val="21"/>
                      <w:szCs w:val="21"/>
                      <w:lang w:val="en-US" w:eastAsia="zh-CN"/>
                    </w:rPr>
                    <w:t>/</w:t>
                  </w:r>
                </w:p>
              </w:tc>
            </w:tr>
            <w:tr w14:paraId="60AB0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672" w:type="pct"/>
                  <w:vMerge w:val="continue"/>
                  <w:noWrap/>
                  <w:vAlign w:val="center"/>
                </w:tcPr>
                <w:p w14:paraId="5D08D2E9">
                  <w:pPr>
                    <w:jc w:val="center"/>
                    <w:rPr>
                      <w:rFonts w:hint="eastAsia" w:cs="Times New Roman"/>
                      <w:color w:val="auto"/>
                      <w:spacing w:val="6"/>
                      <w:sz w:val="21"/>
                      <w:szCs w:val="21"/>
                      <w:lang w:val="en-US" w:eastAsia="zh-CN"/>
                    </w:rPr>
                  </w:pPr>
                </w:p>
              </w:tc>
              <w:tc>
                <w:tcPr>
                  <w:tcW w:w="693" w:type="pct"/>
                  <w:vMerge w:val="continue"/>
                  <w:noWrap/>
                  <w:vAlign w:val="center"/>
                </w:tcPr>
                <w:p w14:paraId="1F41F155">
                  <w:pPr>
                    <w:jc w:val="center"/>
                    <w:rPr>
                      <w:rFonts w:hint="default" w:cs="Times New Roman"/>
                      <w:color w:val="auto"/>
                      <w:spacing w:val="6"/>
                      <w:sz w:val="21"/>
                      <w:szCs w:val="21"/>
                      <w:lang w:val="en-US" w:eastAsia="zh-CN"/>
                    </w:rPr>
                  </w:pPr>
                </w:p>
              </w:tc>
              <w:tc>
                <w:tcPr>
                  <w:tcW w:w="1877" w:type="pct"/>
                  <w:shd w:val="clear" w:color="auto" w:fill="auto"/>
                  <w:noWrap/>
                  <w:vAlign w:val="center"/>
                </w:tcPr>
                <w:p w14:paraId="05E12B15">
                  <w:pPr>
                    <w:jc w:val="center"/>
                    <w:rPr>
                      <w:rFonts w:hint="eastAsia" w:cs="Times New Roman"/>
                      <w:color w:val="auto"/>
                      <w:spacing w:val="6"/>
                      <w:sz w:val="21"/>
                      <w:szCs w:val="21"/>
                      <w:lang w:val="en-US" w:eastAsia="zh-CN"/>
                    </w:rPr>
                  </w:pPr>
                  <w:r>
                    <w:rPr>
                      <w:rFonts w:hint="eastAsia" w:cs="Times New Roman"/>
                      <w:color w:val="auto"/>
                      <w:spacing w:val="6"/>
                      <w:sz w:val="21"/>
                      <w:szCs w:val="21"/>
                      <w:lang w:val="en-US" w:eastAsia="zh-CN"/>
                    </w:rPr>
                    <w:t>杀菌剂</w:t>
                  </w:r>
                </w:p>
              </w:tc>
              <w:tc>
                <w:tcPr>
                  <w:tcW w:w="1060" w:type="pct"/>
                  <w:noWrap/>
                  <w:vAlign w:val="center"/>
                </w:tcPr>
                <w:p w14:paraId="6EC503B8">
                  <w:pPr>
                    <w:jc w:val="center"/>
                    <w:rPr>
                      <w:rFonts w:hint="default" w:cs="Times New Roman"/>
                      <w:color w:val="auto"/>
                      <w:spacing w:val="6"/>
                      <w:sz w:val="21"/>
                      <w:szCs w:val="21"/>
                      <w:lang w:val="en-US" w:eastAsia="zh-CN"/>
                    </w:rPr>
                  </w:pPr>
                  <w:r>
                    <w:rPr>
                      <w:rFonts w:hint="eastAsia" w:cs="Times New Roman"/>
                      <w:color w:val="auto"/>
                      <w:spacing w:val="6"/>
                      <w:sz w:val="21"/>
                      <w:szCs w:val="21"/>
                      <w:lang w:val="en-US" w:eastAsia="zh-CN"/>
                    </w:rPr>
                    <w:t>1</w:t>
                  </w:r>
                  <w:r>
                    <w:rPr>
                      <w:rFonts w:hint="default" w:cs="Times New Roman"/>
                      <w:color w:val="auto"/>
                      <w:spacing w:val="6"/>
                      <w:sz w:val="21"/>
                      <w:szCs w:val="21"/>
                      <w:lang w:val="en-US" w:eastAsia="zh-CN"/>
                    </w:rPr>
                    <w:t>%</w:t>
                  </w:r>
                </w:p>
              </w:tc>
              <w:tc>
                <w:tcPr>
                  <w:tcW w:w="696" w:type="pct"/>
                  <w:noWrap/>
                  <w:vAlign w:val="center"/>
                </w:tcPr>
                <w:p w14:paraId="376573E7">
                  <w:pPr>
                    <w:jc w:val="center"/>
                    <w:rPr>
                      <w:rFonts w:hint="default" w:cs="Times New Roman"/>
                      <w:color w:val="auto"/>
                      <w:spacing w:val="6"/>
                      <w:sz w:val="21"/>
                      <w:szCs w:val="21"/>
                      <w:lang w:val="en-US" w:eastAsia="zh-CN"/>
                    </w:rPr>
                  </w:pPr>
                  <w:r>
                    <w:rPr>
                      <w:rFonts w:hint="eastAsia" w:cs="Times New Roman"/>
                      <w:color w:val="auto"/>
                      <w:spacing w:val="6"/>
                      <w:sz w:val="21"/>
                      <w:szCs w:val="21"/>
                      <w:lang w:val="en-US" w:eastAsia="zh-CN"/>
                    </w:rPr>
                    <w:t>/</w:t>
                  </w:r>
                </w:p>
              </w:tc>
            </w:tr>
            <w:tr w14:paraId="70720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158" w:hRule="atLeast"/>
                <w:jc w:val="center"/>
              </w:trPr>
              <w:tc>
                <w:tcPr>
                  <w:tcW w:w="672" w:type="pct"/>
                  <w:vMerge w:val="continue"/>
                  <w:noWrap/>
                  <w:vAlign w:val="center"/>
                </w:tcPr>
                <w:p w14:paraId="49BE6F6A">
                  <w:pPr>
                    <w:jc w:val="center"/>
                    <w:rPr>
                      <w:rFonts w:hint="eastAsia" w:cs="Times New Roman"/>
                      <w:color w:val="auto"/>
                      <w:spacing w:val="6"/>
                      <w:sz w:val="21"/>
                      <w:szCs w:val="21"/>
                      <w:lang w:val="en-US" w:eastAsia="zh-CN"/>
                    </w:rPr>
                  </w:pPr>
                </w:p>
              </w:tc>
              <w:tc>
                <w:tcPr>
                  <w:tcW w:w="693" w:type="pct"/>
                  <w:vMerge w:val="continue"/>
                  <w:noWrap/>
                  <w:vAlign w:val="center"/>
                </w:tcPr>
                <w:p w14:paraId="381CD771">
                  <w:pPr>
                    <w:jc w:val="center"/>
                    <w:rPr>
                      <w:rFonts w:hint="default" w:cs="Times New Roman"/>
                      <w:color w:val="auto"/>
                      <w:spacing w:val="6"/>
                      <w:sz w:val="21"/>
                      <w:szCs w:val="21"/>
                      <w:lang w:val="en-US" w:eastAsia="zh-CN"/>
                    </w:rPr>
                  </w:pPr>
                </w:p>
              </w:tc>
              <w:tc>
                <w:tcPr>
                  <w:tcW w:w="1877" w:type="pct"/>
                  <w:shd w:val="clear" w:color="auto" w:fill="auto"/>
                  <w:noWrap/>
                  <w:vAlign w:val="center"/>
                </w:tcPr>
                <w:p w14:paraId="3511C15F">
                  <w:pPr>
                    <w:jc w:val="center"/>
                    <w:rPr>
                      <w:rFonts w:hint="eastAsia" w:cs="Times New Roman"/>
                      <w:color w:val="auto"/>
                      <w:spacing w:val="6"/>
                      <w:sz w:val="21"/>
                      <w:szCs w:val="21"/>
                      <w:lang w:val="en-US" w:eastAsia="zh-CN"/>
                    </w:rPr>
                  </w:pPr>
                  <w:r>
                    <w:rPr>
                      <w:rFonts w:hint="eastAsia" w:cs="Times New Roman"/>
                      <w:color w:val="auto"/>
                      <w:spacing w:val="6"/>
                      <w:sz w:val="21"/>
                      <w:szCs w:val="21"/>
                      <w:lang w:val="en-US" w:eastAsia="zh-CN"/>
                    </w:rPr>
                    <w:t>非铁重金属减活化剂</w:t>
                  </w:r>
                </w:p>
              </w:tc>
              <w:tc>
                <w:tcPr>
                  <w:tcW w:w="1060" w:type="pct"/>
                  <w:noWrap/>
                  <w:vAlign w:val="center"/>
                </w:tcPr>
                <w:p w14:paraId="37A0232B">
                  <w:pPr>
                    <w:jc w:val="center"/>
                    <w:rPr>
                      <w:rFonts w:hint="default" w:cs="Times New Roman"/>
                      <w:color w:val="auto"/>
                      <w:spacing w:val="6"/>
                      <w:sz w:val="21"/>
                      <w:szCs w:val="21"/>
                      <w:lang w:val="en-US" w:eastAsia="zh-CN"/>
                    </w:rPr>
                  </w:pPr>
                  <w:r>
                    <w:rPr>
                      <w:rFonts w:hint="eastAsia" w:cs="Times New Roman"/>
                      <w:color w:val="auto"/>
                      <w:spacing w:val="6"/>
                      <w:sz w:val="21"/>
                      <w:szCs w:val="21"/>
                      <w:lang w:val="en-US" w:eastAsia="zh-CN"/>
                    </w:rPr>
                    <w:t>1</w:t>
                  </w:r>
                  <w:r>
                    <w:rPr>
                      <w:rFonts w:hint="default" w:cs="Times New Roman"/>
                      <w:color w:val="auto"/>
                      <w:spacing w:val="6"/>
                      <w:sz w:val="21"/>
                      <w:szCs w:val="21"/>
                      <w:lang w:val="en-US" w:eastAsia="zh-CN"/>
                    </w:rPr>
                    <w:t>%</w:t>
                  </w:r>
                </w:p>
              </w:tc>
              <w:tc>
                <w:tcPr>
                  <w:tcW w:w="696" w:type="pct"/>
                  <w:noWrap/>
                  <w:vAlign w:val="center"/>
                </w:tcPr>
                <w:p w14:paraId="68E26F3C">
                  <w:pPr>
                    <w:jc w:val="center"/>
                    <w:rPr>
                      <w:rFonts w:hint="default" w:cs="Times New Roman"/>
                      <w:color w:val="auto"/>
                      <w:spacing w:val="6"/>
                      <w:sz w:val="21"/>
                      <w:szCs w:val="21"/>
                      <w:lang w:val="en-US" w:eastAsia="zh-CN"/>
                    </w:rPr>
                  </w:pPr>
                  <w:r>
                    <w:rPr>
                      <w:rFonts w:hint="eastAsia" w:cs="Times New Roman"/>
                      <w:color w:val="auto"/>
                      <w:spacing w:val="6"/>
                      <w:sz w:val="21"/>
                      <w:szCs w:val="21"/>
                      <w:lang w:val="en-US" w:eastAsia="zh-CN"/>
                    </w:rPr>
                    <w:t>/</w:t>
                  </w:r>
                </w:p>
              </w:tc>
            </w:tr>
            <w:tr w14:paraId="4D9C4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67" w:hRule="atLeast"/>
                <w:jc w:val="center"/>
              </w:trPr>
              <w:tc>
                <w:tcPr>
                  <w:tcW w:w="672" w:type="pct"/>
                  <w:vMerge w:val="continue"/>
                  <w:noWrap/>
                  <w:vAlign w:val="center"/>
                </w:tcPr>
                <w:p w14:paraId="0F433BA6">
                  <w:pPr>
                    <w:jc w:val="center"/>
                    <w:rPr>
                      <w:rFonts w:hint="default" w:cs="Times New Roman"/>
                      <w:color w:val="auto"/>
                      <w:spacing w:val="6"/>
                      <w:sz w:val="21"/>
                      <w:szCs w:val="21"/>
                      <w:lang w:val="zh-CN" w:eastAsia="zh-CN"/>
                    </w:rPr>
                  </w:pPr>
                </w:p>
              </w:tc>
              <w:tc>
                <w:tcPr>
                  <w:tcW w:w="693" w:type="pct"/>
                  <w:vMerge w:val="restart"/>
                  <w:noWrap/>
                  <w:vAlign w:val="center"/>
                </w:tcPr>
                <w:p w14:paraId="30B40036">
                  <w:pPr>
                    <w:jc w:val="center"/>
                    <w:rPr>
                      <w:rFonts w:hint="default" w:cs="Times New Roman"/>
                      <w:color w:val="auto"/>
                      <w:spacing w:val="6"/>
                      <w:sz w:val="21"/>
                      <w:szCs w:val="21"/>
                      <w:lang w:val="en-US" w:eastAsia="zh-CN"/>
                    </w:rPr>
                  </w:pPr>
                  <w:r>
                    <w:rPr>
                      <w:rFonts w:hint="default" w:cs="Times New Roman"/>
                      <w:color w:val="auto"/>
                      <w:spacing w:val="6"/>
                      <w:sz w:val="21"/>
                      <w:szCs w:val="21"/>
                      <w:lang w:val="en-US" w:eastAsia="zh-CN"/>
                    </w:rPr>
                    <w:t>挥发份</w:t>
                  </w:r>
                </w:p>
                <w:p w14:paraId="04FBCAC2">
                  <w:pPr>
                    <w:jc w:val="center"/>
                    <w:rPr>
                      <w:rFonts w:hint="default" w:cs="Times New Roman"/>
                      <w:color w:val="auto"/>
                      <w:spacing w:val="6"/>
                      <w:sz w:val="21"/>
                      <w:szCs w:val="21"/>
                      <w:lang w:val="en-US" w:eastAsia="zh-CN"/>
                    </w:rPr>
                  </w:pPr>
                  <w:r>
                    <w:rPr>
                      <w:rFonts w:hint="eastAsia" w:cs="Times New Roman"/>
                      <w:color w:val="auto"/>
                      <w:spacing w:val="6"/>
                      <w:sz w:val="21"/>
                      <w:szCs w:val="21"/>
                      <w:lang w:val="en-US" w:eastAsia="zh-CN"/>
                    </w:rPr>
                    <w:t>15</w:t>
                  </w:r>
                  <w:r>
                    <w:rPr>
                      <w:rFonts w:hint="default" w:cs="Times New Roman"/>
                      <w:color w:val="auto"/>
                      <w:spacing w:val="6"/>
                      <w:sz w:val="21"/>
                      <w:szCs w:val="21"/>
                      <w:lang w:val="en-US" w:eastAsia="zh-CN"/>
                    </w:rPr>
                    <w:t>%</w:t>
                  </w:r>
                </w:p>
              </w:tc>
              <w:tc>
                <w:tcPr>
                  <w:tcW w:w="1877" w:type="pct"/>
                  <w:noWrap/>
                  <w:vAlign w:val="center"/>
                </w:tcPr>
                <w:p w14:paraId="40FF1137">
                  <w:pPr>
                    <w:jc w:val="center"/>
                    <w:rPr>
                      <w:rFonts w:hint="default" w:cs="Times New Roman"/>
                      <w:color w:val="auto"/>
                      <w:spacing w:val="6"/>
                      <w:sz w:val="21"/>
                      <w:szCs w:val="21"/>
                      <w:lang w:val="en-US" w:eastAsia="zh-CN"/>
                    </w:rPr>
                  </w:pPr>
                  <w:r>
                    <w:rPr>
                      <w:rFonts w:hint="eastAsia" w:cs="Times New Roman"/>
                      <w:color w:val="auto"/>
                      <w:spacing w:val="6"/>
                      <w:sz w:val="21"/>
                      <w:szCs w:val="21"/>
                      <w:lang w:val="en-US" w:eastAsia="zh-CN"/>
                    </w:rPr>
                    <w:t>乙酸</w:t>
                  </w:r>
                </w:p>
              </w:tc>
              <w:tc>
                <w:tcPr>
                  <w:tcW w:w="1060" w:type="pct"/>
                  <w:noWrap/>
                  <w:vAlign w:val="center"/>
                </w:tcPr>
                <w:p w14:paraId="6AD103F0">
                  <w:pPr>
                    <w:jc w:val="center"/>
                    <w:rPr>
                      <w:rFonts w:hint="default" w:cs="Times New Roman"/>
                      <w:color w:val="auto"/>
                      <w:spacing w:val="6"/>
                      <w:sz w:val="21"/>
                      <w:szCs w:val="21"/>
                      <w:lang w:val="en-US" w:eastAsia="zh-CN"/>
                    </w:rPr>
                  </w:pPr>
                  <w:r>
                    <w:rPr>
                      <w:rFonts w:hint="eastAsia" w:cs="Times New Roman"/>
                      <w:color w:val="auto"/>
                      <w:spacing w:val="6"/>
                      <w:sz w:val="21"/>
                      <w:szCs w:val="21"/>
                      <w:lang w:val="en-US" w:eastAsia="zh-CN"/>
                    </w:rPr>
                    <w:t>5</w:t>
                  </w:r>
                  <w:r>
                    <w:rPr>
                      <w:rFonts w:hint="default" w:cs="Times New Roman"/>
                      <w:color w:val="auto"/>
                      <w:spacing w:val="6"/>
                      <w:sz w:val="21"/>
                      <w:szCs w:val="21"/>
                      <w:lang w:val="en-US" w:eastAsia="zh-CN"/>
                    </w:rPr>
                    <w:t>%</w:t>
                  </w:r>
                </w:p>
              </w:tc>
              <w:tc>
                <w:tcPr>
                  <w:tcW w:w="696" w:type="pct"/>
                  <w:noWrap/>
                  <w:vAlign w:val="center"/>
                </w:tcPr>
                <w:p w14:paraId="1C5A81B7">
                  <w:pPr>
                    <w:jc w:val="center"/>
                    <w:rPr>
                      <w:rFonts w:hint="default" w:cs="Times New Roman"/>
                      <w:color w:val="auto"/>
                      <w:spacing w:val="6"/>
                      <w:sz w:val="21"/>
                      <w:szCs w:val="21"/>
                      <w:lang w:val="en-US" w:eastAsia="zh-CN"/>
                    </w:rPr>
                  </w:pPr>
                  <w:r>
                    <w:rPr>
                      <w:rFonts w:hint="default" w:cs="Times New Roman"/>
                      <w:color w:val="auto"/>
                      <w:spacing w:val="6"/>
                      <w:sz w:val="21"/>
                      <w:szCs w:val="21"/>
                      <w:lang w:val="en-US" w:eastAsia="zh-CN"/>
                    </w:rPr>
                    <w:fldChar w:fldCharType="begin"/>
                  </w:r>
                  <w:r>
                    <w:rPr>
                      <w:rFonts w:hint="default" w:cs="Times New Roman"/>
                      <w:color w:val="auto"/>
                      <w:spacing w:val="6"/>
                      <w:sz w:val="21"/>
                      <w:szCs w:val="21"/>
                      <w:lang w:val="en-US" w:eastAsia="zh-CN"/>
                    </w:rPr>
                    <w:instrText xml:space="preserve"> HYPERLINK "https://www.chemsrc.com/baike/444267.html" \t "https://www.chemsrc.com/cas/_blank" </w:instrText>
                  </w:r>
                  <w:r>
                    <w:rPr>
                      <w:rFonts w:hint="default" w:cs="Times New Roman"/>
                      <w:color w:val="auto"/>
                      <w:spacing w:val="6"/>
                      <w:sz w:val="21"/>
                      <w:szCs w:val="21"/>
                      <w:lang w:val="en-US" w:eastAsia="zh-CN"/>
                    </w:rPr>
                    <w:fldChar w:fldCharType="separate"/>
                  </w:r>
                  <w:r>
                    <w:rPr>
                      <w:rFonts w:hint="default" w:cs="Times New Roman"/>
                      <w:color w:val="auto"/>
                      <w:spacing w:val="6"/>
                      <w:sz w:val="21"/>
                      <w:szCs w:val="21"/>
                      <w:lang w:val="en-US" w:eastAsia="zh-CN"/>
                    </w:rPr>
                    <w:t>367-64-6</w:t>
                  </w:r>
                  <w:r>
                    <w:rPr>
                      <w:rFonts w:hint="default" w:cs="Times New Roman"/>
                      <w:color w:val="auto"/>
                      <w:spacing w:val="6"/>
                      <w:sz w:val="21"/>
                      <w:szCs w:val="21"/>
                      <w:lang w:val="en-US" w:eastAsia="zh-CN"/>
                    </w:rPr>
                    <w:fldChar w:fldCharType="end"/>
                  </w:r>
                </w:p>
              </w:tc>
            </w:tr>
            <w:tr w14:paraId="3BFB1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672" w:type="pct"/>
                  <w:vMerge w:val="continue"/>
                  <w:noWrap/>
                  <w:vAlign w:val="center"/>
                </w:tcPr>
                <w:p w14:paraId="34AE4BAD">
                  <w:pPr>
                    <w:jc w:val="center"/>
                    <w:rPr>
                      <w:rFonts w:hint="default" w:cs="Times New Roman"/>
                      <w:color w:val="auto"/>
                      <w:spacing w:val="6"/>
                      <w:sz w:val="21"/>
                      <w:szCs w:val="21"/>
                      <w:lang w:val="zh-CN" w:eastAsia="zh-CN"/>
                    </w:rPr>
                  </w:pPr>
                </w:p>
              </w:tc>
              <w:tc>
                <w:tcPr>
                  <w:tcW w:w="693" w:type="pct"/>
                  <w:vMerge w:val="continue"/>
                  <w:noWrap/>
                  <w:vAlign w:val="center"/>
                </w:tcPr>
                <w:p w14:paraId="616D3771">
                  <w:pPr>
                    <w:jc w:val="center"/>
                    <w:rPr>
                      <w:rFonts w:hint="default" w:cs="Times New Roman"/>
                      <w:color w:val="auto"/>
                      <w:spacing w:val="6"/>
                      <w:sz w:val="21"/>
                      <w:szCs w:val="21"/>
                      <w:lang w:val="en-US" w:eastAsia="zh-CN"/>
                    </w:rPr>
                  </w:pPr>
                </w:p>
              </w:tc>
              <w:tc>
                <w:tcPr>
                  <w:tcW w:w="1877" w:type="pct"/>
                  <w:noWrap/>
                  <w:vAlign w:val="center"/>
                </w:tcPr>
                <w:p w14:paraId="25F8B0B6">
                  <w:pPr>
                    <w:jc w:val="center"/>
                    <w:rPr>
                      <w:rFonts w:hint="default" w:cs="Times New Roman"/>
                      <w:color w:val="auto"/>
                      <w:spacing w:val="6"/>
                      <w:sz w:val="21"/>
                      <w:szCs w:val="21"/>
                      <w:lang w:val="en-US" w:eastAsia="zh-CN"/>
                    </w:rPr>
                  </w:pPr>
                  <w:r>
                    <w:rPr>
                      <w:rFonts w:hint="eastAsia" w:cs="Times New Roman"/>
                      <w:color w:val="auto"/>
                      <w:spacing w:val="6"/>
                      <w:sz w:val="21"/>
                      <w:szCs w:val="21"/>
                      <w:lang w:val="en-US" w:eastAsia="zh-CN"/>
                    </w:rPr>
                    <w:t>甲胺</w:t>
                  </w:r>
                </w:p>
              </w:tc>
              <w:tc>
                <w:tcPr>
                  <w:tcW w:w="1060" w:type="pct"/>
                  <w:noWrap/>
                  <w:vAlign w:val="center"/>
                </w:tcPr>
                <w:p w14:paraId="7248CC78">
                  <w:pPr>
                    <w:jc w:val="center"/>
                    <w:rPr>
                      <w:rFonts w:hint="default" w:cs="Times New Roman"/>
                      <w:color w:val="auto"/>
                      <w:spacing w:val="6"/>
                      <w:sz w:val="21"/>
                      <w:szCs w:val="21"/>
                      <w:lang w:val="en-US" w:eastAsia="zh-CN"/>
                    </w:rPr>
                  </w:pPr>
                  <w:r>
                    <w:rPr>
                      <w:rFonts w:hint="default" w:cs="Times New Roman"/>
                      <w:color w:val="auto"/>
                      <w:spacing w:val="6"/>
                      <w:sz w:val="21"/>
                      <w:szCs w:val="21"/>
                      <w:lang w:val="en-US" w:eastAsia="zh-CN"/>
                    </w:rPr>
                    <w:t>10%</w:t>
                  </w:r>
                </w:p>
              </w:tc>
              <w:tc>
                <w:tcPr>
                  <w:tcW w:w="696" w:type="pct"/>
                  <w:noWrap/>
                  <w:vAlign w:val="center"/>
                </w:tcPr>
                <w:p w14:paraId="2F9F881F">
                  <w:pPr>
                    <w:jc w:val="center"/>
                    <w:rPr>
                      <w:rFonts w:hint="default" w:cs="Times New Roman"/>
                      <w:color w:val="auto"/>
                      <w:spacing w:val="6"/>
                      <w:sz w:val="21"/>
                      <w:szCs w:val="21"/>
                      <w:lang w:val="en-US" w:eastAsia="zh-CN"/>
                    </w:rPr>
                  </w:pPr>
                  <w:r>
                    <w:rPr>
                      <w:rFonts w:hint="eastAsia" w:cs="Times New Roman"/>
                      <w:color w:val="auto"/>
                      <w:spacing w:val="6"/>
                      <w:sz w:val="21"/>
                      <w:szCs w:val="21"/>
                      <w:lang w:val="en-US" w:eastAsia="zh-CN"/>
                    </w:rPr>
                    <w:fldChar w:fldCharType="begin"/>
                  </w:r>
                  <w:r>
                    <w:rPr>
                      <w:rFonts w:hint="eastAsia" w:cs="Times New Roman"/>
                      <w:color w:val="auto"/>
                      <w:spacing w:val="6"/>
                      <w:sz w:val="21"/>
                      <w:szCs w:val="21"/>
                      <w:lang w:val="en-US" w:eastAsia="zh-CN"/>
                    </w:rPr>
                    <w:instrText xml:space="preserve"> HYPERLINK "https://www.chemsrc.com/baike/1186887.html" \t "https://www.chemsrc.com/searchResult/%25E7%2594%25B2%25E8%2583%25BA/_blank" </w:instrText>
                  </w:r>
                  <w:r>
                    <w:rPr>
                      <w:rFonts w:hint="eastAsia" w:cs="Times New Roman"/>
                      <w:color w:val="auto"/>
                      <w:spacing w:val="6"/>
                      <w:sz w:val="21"/>
                      <w:szCs w:val="21"/>
                      <w:lang w:val="en-US" w:eastAsia="zh-CN"/>
                    </w:rPr>
                    <w:fldChar w:fldCharType="separate"/>
                  </w:r>
                  <w:r>
                    <w:rPr>
                      <w:rFonts w:hint="default" w:cs="Times New Roman"/>
                      <w:color w:val="auto"/>
                      <w:spacing w:val="6"/>
                      <w:sz w:val="21"/>
                      <w:szCs w:val="21"/>
                      <w:lang w:val="en-US" w:eastAsia="zh-CN"/>
                    </w:rPr>
                    <w:t>74-89-5</w:t>
                  </w:r>
                  <w:r>
                    <w:rPr>
                      <w:rFonts w:hint="default" w:cs="Times New Roman"/>
                      <w:color w:val="auto"/>
                      <w:spacing w:val="6"/>
                      <w:sz w:val="21"/>
                      <w:szCs w:val="21"/>
                      <w:lang w:val="en-US" w:eastAsia="zh-CN"/>
                    </w:rPr>
                    <w:fldChar w:fldCharType="end"/>
                  </w:r>
                </w:p>
              </w:tc>
            </w:tr>
            <w:tr w14:paraId="074D6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672" w:type="pct"/>
                  <w:vMerge w:val="continue"/>
                  <w:noWrap/>
                  <w:vAlign w:val="center"/>
                </w:tcPr>
                <w:p w14:paraId="7F1F0A9B">
                  <w:pPr>
                    <w:adjustRightInd w:val="0"/>
                    <w:snapToGrid w:val="0"/>
                    <w:jc w:val="center"/>
                    <w:rPr>
                      <w:rFonts w:hint="default" w:ascii="Times New Roman" w:hAnsi="Times New Roman" w:cs="Times New Roman"/>
                      <w:color w:val="auto"/>
                      <w:sz w:val="21"/>
                      <w:szCs w:val="21"/>
                      <w:shd w:val="clear" w:color="auto" w:fill="FFFFFF"/>
                      <w:lang w:val="zh-CN"/>
                    </w:rPr>
                  </w:pPr>
                </w:p>
              </w:tc>
              <w:tc>
                <w:tcPr>
                  <w:tcW w:w="693" w:type="pct"/>
                  <w:noWrap/>
                  <w:vAlign w:val="center"/>
                </w:tcPr>
                <w:p w14:paraId="6B53BCED">
                  <w:pPr>
                    <w:jc w:val="center"/>
                    <w:rPr>
                      <w:rFonts w:hint="default" w:cs="Times New Roman"/>
                      <w:color w:val="auto"/>
                      <w:spacing w:val="6"/>
                      <w:sz w:val="21"/>
                      <w:szCs w:val="21"/>
                      <w:lang w:val="en-US" w:eastAsia="zh-CN"/>
                    </w:rPr>
                  </w:pPr>
                  <w:r>
                    <w:rPr>
                      <w:rFonts w:hint="eastAsia" w:cs="Times New Roman"/>
                      <w:color w:val="auto"/>
                      <w:spacing w:val="6"/>
                      <w:sz w:val="21"/>
                      <w:szCs w:val="21"/>
                      <w:lang w:val="en-US" w:eastAsia="zh-CN"/>
                    </w:rPr>
                    <w:t>水23%</w:t>
                  </w:r>
                </w:p>
              </w:tc>
              <w:tc>
                <w:tcPr>
                  <w:tcW w:w="1877" w:type="pct"/>
                  <w:shd w:val="clear" w:color="auto" w:fill="auto"/>
                  <w:noWrap/>
                  <w:vAlign w:val="center"/>
                </w:tcPr>
                <w:p w14:paraId="75596776">
                  <w:pPr>
                    <w:jc w:val="center"/>
                    <w:rPr>
                      <w:rFonts w:hint="eastAsia" w:cs="Times New Roman"/>
                      <w:color w:val="auto"/>
                      <w:spacing w:val="6"/>
                      <w:sz w:val="21"/>
                      <w:szCs w:val="21"/>
                      <w:lang w:val="en-US" w:eastAsia="zh-CN"/>
                    </w:rPr>
                  </w:pPr>
                  <w:r>
                    <w:rPr>
                      <w:rFonts w:hint="default" w:cs="Times New Roman"/>
                      <w:color w:val="auto"/>
                      <w:spacing w:val="6"/>
                      <w:sz w:val="21"/>
                      <w:szCs w:val="21"/>
                      <w:lang w:val="en-US" w:eastAsia="zh-CN"/>
                    </w:rPr>
                    <w:t>水</w:t>
                  </w:r>
                </w:p>
              </w:tc>
              <w:tc>
                <w:tcPr>
                  <w:tcW w:w="1060" w:type="pct"/>
                  <w:shd w:val="clear" w:color="auto" w:fill="auto"/>
                  <w:noWrap/>
                  <w:vAlign w:val="center"/>
                </w:tcPr>
                <w:p w14:paraId="40B4F314">
                  <w:pPr>
                    <w:jc w:val="center"/>
                    <w:rPr>
                      <w:rFonts w:hint="default" w:cs="Times New Roman"/>
                      <w:color w:val="auto"/>
                      <w:spacing w:val="6"/>
                      <w:sz w:val="21"/>
                      <w:szCs w:val="21"/>
                      <w:lang w:val="en-US" w:eastAsia="zh-CN"/>
                    </w:rPr>
                  </w:pPr>
                  <w:r>
                    <w:rPr>
                      <w:rFonts w:hint="eastAsia" w:cs="Times New Roman"/>
                      <w:color w:val="auto"/>
                      <w:spacing w:val="6"/>
                      <w:sz w:val="21"/>
                      <w:szCs w:val="21"/>
                      <w:lang w:val="en-US" w:eastAsia="zh-CN"/>
                    </w:rPr>
                    <w:t>23</w:t>
                  </w:r>
                  <w:r>
                    <w:rPr>
                      <w:rFonts w:hint="default" w:cs="Times New Roman"/>
                      <w:color w:val="auto"/>
                      <w:spacing w:val="6"/>
                      <w:sz w:val="21"/>
                      <w:szCs w:val="21"/>
                      <w:lang w:val="en-US" w:eastAsia="zh-CN"/>
                    </w:rPr>
                    <w:t>%</w:t>
                  </w:r>
                </w:p>
              </w:tc>
              <w:tc>
                <w:tcPr>
                  <w:tcW w:w="696" w:type="pct"/>
                  <w:shd w:val="clear" w:color="auto" w:fill="auto"/>
                  <w:noWrap/>
                  <w:vAlign w:val="center"/>
                </w:tcPr>
                <w:p w14:paraId="60E746EE">
                  <w:pPr>
                    <w:jc w:val="center"/>
                    <w:rPr>
                      <w:rFonts w:hint="default" w:cs="Times New Roman"/>
                      <w:color w:val="auto"/>
                      <w:spacing w:val="6"/>
                      <w:sz w:val="21"/>
                      <w:szCs w:val="21"/>
                      <w:lang w:val="en-US" w:eastAsia="zh-CN"/>
                    </w:rPr>
                  </w:pPr>
                  <w:r>
                    <w:rPr>
                      <w:rFonts w:hint="default" w:cs="Times New Roman"/>
                      <w:color w:val="auto"/>
                      <w:spacing w:val="6"/>
                      <w:sz w:val="21"/>
                      <w:szCs w:val="21"/>
                      <w:lang w:val="en-US" w:eastAsia="zh-CN"/>
                    </w:rPr>
                    <w:t>7732-18-5</w:t>
                  </w:r>
                </w:p>
              </w:tc>
            </w:tr>
          </w:tbl>
          <w:p w14:paraId="2EF4ECCC">
            <w:pPr>
              <w:pStyle w:val="374"/>
              <w:keepNext w:val="0"/>
              <w:keepLines w:val="0"/>
              <w:pageBreakBefore w:val="0"/>
              <w:widowControl w:val="0"/>
              <w:kinsoku/>
              <w:wordWrap/>
              <w:overflowPunct/>
              <w:topLinePunct w:val="0"/>
              <w:autoSpaceDE/>
              <w:autoSpaceDN/>
              <w:bidi w:val="0"/>
              <w:adjustRightInd w:val="0"/>
              <w:snapToGrid w:val="0"/>
              <w:spacing w:before="157" w:beforeLines="50" w:line="240" w:lineRule="auto"/>
              <w:ind w:firstLine="0" w:firstLineChars="0"/>
              <w:jc w:val="center"/>
              <w:textAlignment w:val="auto"/>
              <w:rPr>
                <w:rFonts w:hint="default" w:ascii="Times New Roman" w:hAnsi="Times New Roman" w:eastAsia="宋体" w:cs="Times New Roman"/>
                <w:b/>
                <w:color w:val="auto"/>
                <w:kern w:val="0"/>
                <w:sz w:val="24"/>
                <w:szCs w:val="20"/>
                <w:lang w:val="en-US" w:eastAsia="zh-CN" w:bidi="ar-SA"/>
              </w:rPr>
            </w:pPr>
            <w:r>
              <w:rPr>
                <w:rFonts w:hint="default" w:ascii="Times New Roman" w:hAnsi="Times New Roman" w:eastAsia="宋体" w:cs="Times New Roman"/>
                <w:b/>
                <w:color w:val="auto"/>
                <w:kern w:val="0"/>
                <w:sz w:val="24"/>
                <w:szCs w:val="20"/>
                <w:lang w:val="en-US" w:eastAsia="zh-CN" w:bidi="ar-SA"/>
              </w:rPr>
              <w:t>表2-</w:t>
            </w:r>
            <w:r>
              <w:rPr>
                <w:rFonts w:hint="eastAsia" w:ascii="Times New Roman" w:hAnsi="Times New Roman" w:eastAsia="宋体" w:cs="Times New Roman"/>
                <w:b/>
                <w:color w:val="auto"/>
                <w:kern w:val="0"/>
                <w:sz w:val="24"/>
                <w:szCs w:val="20"/>
                <w:lang w:val="en-US" w:eastAsia="zh-CN" w:bidi="ar-SA"/>
              </w:rPr>
              <w:t>8</w:t>
            </w:r>
            <w:r>
              <w:rPr>
                <w:rFonts w:hint="default" w:ascii="Times New Roman" w:hAnsi="Times New Roman" w:eastAsia="宋体" w:cs="Times New Roman"/>
                <w:b/>
                <w:color w:val="auto"/>
                <w:kern w:val="0"/>
                <w:sz w:val="24"/>
                <w:szCs w:val="20"/>
                <w:lang w:val="en-US" w:eastAsia="zh-CN" w:bidi="ar-SA"/>
              </w:rPr>
              <w:t xml:space="preserve"> 主要原辅材料理化性质表</w:t>
            </w:r>
          </w:p>
          <w:tbl>
            <w:tblPr>
              <w:tblStyle w:val="6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1"/>
              <w:gridCol w:w="1437"/>
              <w:gridCol w:w="6385"/>
            </w:tblGrid>
            <w:tr w14:paraId="380B3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312" w:type="pct"/>
                  <w:vAlign w:val="center"/>
                </w:tcPr>
                <w:p w14:paraId="6631A0E6">
                  <w:pPr>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序号</w:t>
                  </w:r>
                </w:p>
              </w:tc>
              <w:tc>
                <w:tcPr>
                  <w:tcW w:w="861" w:type="pct"/>
                  <w:vAlign w:val="center"/>
                </w:tcPr>
                <w:p w14:paraId="308242CD">
                  <w:pPr>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物质</w:t>
                  </w:r>
                </w:p>
              </w:tc>
              <w:tc>
                <w:tcPr>
                  <w:tcW w:w="3825" w:type="pct"/>
                  <w:vAlign w:val="center"/>
                </w:tcPr>
                <w:p w14:paraId="770AE6F0">
                  <w:pPr>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理化性质</w:t>
                  </w:r>
                </w:p>
              </w:tc>
            </w:tr>
            <w:tr w14:paraId="07038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 w:type="pct"/>
                  <w:shd w:val="clear" w:color="auto" w:fill="auto"/>
                  <w:vAlign w:val="center"/>
                </w:tcPr>
                <w:p w14:paraId="5F6E51B7">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1</w:t>
                  </w:r>
                </w:p>
              </w:tc>
              <w:tc>
                <w:tcPr>
                  <w:tcW w:w="861" w:type="pct"/>
                  <w:shd w:val="clear" w:color="auto" w:fill="auto"/>
                  <w:vAlign w:val="center"/>
                </w:tcPr>
                <w:p w14:paraId="4963874D">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pacing w:val="6"/>
                      <w:sz w:val="21"/>
                      <w:szCs w:val="21"/>
                      <w:lang w:val="en-US" w:eastAsia="zh-CN"/>
                    </w:rPr>
                    <w:t>水性脱模剂</w:t>
                  </w:r>
                </w:p>
              </w:tc>
              <w:tc>
                <w:tcPr>
                  <w:tcW w:w="3825" w:type="pct"/>
                  <w:shd w:val="clear" w:color="auto" w:fill="auto"/>
                  <w:vAlign w:val="center"/>
                </w:tcPr>
                <w:p w14:paraId="1A23B04C">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主要成分为</w:t>
                  </w:r>
                  <w:r>
                    <w:rPr>
                      <w:rFonts w:hint="eastAsia" w:cs="Times New Roman"/>
                      <w:color w:val="auto"/>
                      <w:sz w:val="21"/>
                      <w:szCs w:val="21"/>
                      <w:lang w:val="en-US" w:eastAsia="zh-CN"/>
                    </w:rPr>
                    <w:t>2</w:t>
                  </w:r>
                  <w:r>
                    <w:rPr>
                      <w:rFonts w:hint="default" w:ascii="Times New Roman" w:hAnsi="Times New Roman" w:cs="Times New Roman"/>
                      <w:color w:val="auto"/>
                      <w:sz w:val="21"/>
                      <w:szCs w:val="21"/>
                    </w:rPr>
                    <w:t>%</w:t>
                  </w:r>
                  <w:r>
                    <w:rPr>
                      <w:rFonts w:hint="eastAsia" w:cs="Times New Roman"/>
                      <w:color w:val="auto"/>
                      <w:spacing w:val="6"/>
                      <w:sz w:val="21"/>
                      <w:szCs w:val="21"/>
                      <w:lang w:val="en-US" w:eastAsia="zh-CN"/>
                    </w:rPr>
                    <w:t>聚二甲基硅氧烷</w:t>
                  </w:r>
                  <w:r>
                    <w:rPr>
                      <w:rFonts w:hint="default" w:ascii="Times New Roman" w:hAnsi="Times New Roman" w:cs="Times New Roman"/>
                      <w:color w:val="auto"/>
                      <w:sz w:val="21"/>
                      <w:szCs w:val="21"/>
                    </w:rPr>
                    <w:t>、</w:t>
                  </w:r>
                  <w:r>
                    <w:rPr>
                      <w:rFonts w:hint="eastAsia" w:cs="Times New Roman"/>
                      <w:color w:val="auto"/>
                      <w:sz w:val="21"/>
                      <w:szCs w:val="21"/>
                      <w:lang w:val="en-US" w:eastAsia="zh-CN"/>
                    </w:rPr>
                    <w:t>5</w:t>
                  </w:r>
                  <w:r>
                    <w:rPr>
                      <w:rFonts w:hint="default" w:ascii="Times New Roman" w:hAnsi="Times New Roman" w:cs="Times New Roman"/>
                      <w:color w:val="auto"/>
                      <w:sz w:val="21"/>
                      <w:szCs w:val="21"/>
                    </w:rPr>
                    <w:t>%</w:t>
                  </w:r>
                  <w:r>
                    <w:rPr>
                      <w:rFonts w:hint="eastAsia" w:cs="Times New Roman"/>
                      <w:color w:val="auto"/>
                      <w:spacing w:val="6"/>
                      <w:sz w:val="21"/>
                      <w:szCs w:val="21"/>
                      <w:lang w:val="en-US" w:eastAsia="zh-CN"/>
                    </w:rPr>
                    <w:t>羧酸盐</w:t>
                  </w:r>
                  <w:r>
                    <w:rPr>
                      <w:rFonts w:hint="default" w:ascii="Times New Roman" w:hAnsi="Times New Roman" w:cs="Times New Roman"/>
                      <w:color w:val="auto"/>
                      <w:sz w:val="21"/>
                      <w:szCs w:val="21"/>
                    </w:rPr>
                    <w:t>、</w:t>
                  </w:r>
                  <w:r>
                    <w:rPr>
                      <w:rFonts w:hint="eastAsia" w:cs="Times New Roman"/>
                      <w:color w:val="auto"/>
                      <w:sz w:val="21"/>
                      <w:szCs w:val="21"/>
                      <w:lang w:val="en-US" w:eastAsia="zh-CN"/>
                    </w:rPr>
                    <w:t>10</w:t>
                  </w:r>
                  <w:r>
                    <w:rPr>
                      <w:rFonts w:hint="default" w:ascii="Times New Roman" w:hAnsi="Times New Roman" w:cs="Times New Roman"/>
                      <w:color w:val="auto"/>
                      <w:sz w:val="21"/>
                      <w:szCs w:val="21"/>
                    </w:rPr>
                    <w:t>%</w:t>
                  </w:r>
                  <w:r>
                    <w:rPr>
                      <w:rFonts w:hint="eastAsia" w:cs="Times New Roman"/>
                      <w:color w:val="auto"/>
                      <w:spacing w:val="6"/>
                      <w:sz w:val="21"/>
                      <w:szCs w:val="21"/>
                      <w:lang w:val="en-US" w:eastAsia="zh-CN"/>
                    </w:rPr>
                    <w:t>石墨、83%</w:t>
                  </w:r>
                  <w:r>
                    <w:rPr>
                      <w:rFonts w:hint="default" w:cs="Times New Roman"/>
                      <w:color w:val="auto"/>
                      <w:spacing w:val="6"/>
                      <w:sz w:val="21"/>
                      <w:szCs w:val="21"/>
                      <w:lang w:val="en-US" w:eastAsia="zh-CN"/>
                    </w:rPr>
                    <w:t>水</w:t>
                  </w:r>
                  <w:r>
                    <w:rPr>
                      <w:rFonts w:hint="default" w:ascii="Times New Roman" w:hAnsi="Times New Roman" w:cs="Times New Roman"/>
                      <w:color w:val="auto"/>
                      <w:sz w:val="21"/>
                      <w:szCs w:val="21"/>
                      <w:lang w:eastAsia="zh-CN"/>
                    </w:rPr>
                    <w:t>，外观性状：</w:t>
                  </w:r>
                  <w:r>
                    <w:rPr>
                      <w:rFonts w:hint="eastAsia"/>
                      <w:color w:val="auto"/>
                      <w:lang w:val="en-US" w:eastAsia="zh-CN"/>
                    </w:rPr>
                    <w:t>黑色</w:t>
                  </w:r>
                  <w:r>
                    <w:rPr>
                      <w:rFonts w:hint="default"/>
                      <w:color w:val="auto"/>
                      <w:lang w:eastAsia="zh-CN"/>
                    </w:rPr>
                    <w:t>液体；气味：</w:t>
                  </w:r>
                  <w:r>
                    <w:rPr>
                      <w:rFonts w:hint="eastAsia"/>
                      <w:color w:val="auto"/>
                      <w:lang w:val="en-US" w:eastAsia="zh-CN"/>
                    </w:rPr>
                    <w:t>特有的典型气味</w:t>
                  </w:r>
                  <w:r>
                    <w:rPr>
                      <w:rFonts w:hint="default"/>
                      <w:color w:val="auto"/>
                      <w:lang w:eastAsia="zh-CN"/>
                    </w:rPr>
                    <w:t>；</w:t>
                  </w:r>
                  <w:r>
                    <w:rPr>
                      <w:rFonts w:hint="default"/>
                      <w:color w:val="auto"/>
                      <w:lang w:val="en-US" w:eastAsia="zh-CN"/>
                    </w:rPr>
                    <w:t>pH值：</w:t>
                  </w:r>
                  <w:r>
                    <w:rPr>
                      <w:rFonts w:hint="eastAsia"/>
                      <w:color w:val="auto"/>
                      <w:lang w:val="en-US" w:eastAsia="zh-CN"/>
                    </w:rPr>
                    <w:t>10.5</w:t>
                  </w:r>
                  <w:r>
                    <w:rPr>
                      <w:rFonts w:hint="default"/>
                      <w:color w:val="auto"/>
                      <w:lang w:val="en-US" w:eastAsia="zh-CN"/>
                    </w:rPr>
                    <w:t>；</w:t>
                  </w:r>
                  <w:r>
                    <w:rPr>
                      <w:rFonts w:hint="eastAsia"/>
                      <w:color w:val="auto"/>
                      <w:lang w:val="en-US" w:eastAsia="zh-CN"/>
                    </w:rPr>
                    <w:t>沸点：100oC</w:t>
                  </w:r>
                  <w:r>
                    <w:rPr>
                      <w:rFonts w:hint="default"/>
                      <w:color w:val="auto"/>
                      <w:lang w:eastAsia="zh-CN"/>
                    </w:rPr>
                    <w:t>；</w:t>
                  </w:r>
                  <w:r>
                    <w:rPr>
                      <w:rFonts w:hint="eastAsia"/>
                      <w:color w:val="auto"/>
                      <w:lang w:val="en-US" w:eastAsia="zh-CN"/>
                    </w:rPr>
                    <w:t>密度：&gt;1.05</w:t>
                  </w:r>
                  <w:r>
                    <w:rPr>
                      <w:rFonts w:hint="default"/>
                      <w:color w:val="auto"/>
                      <w:lang w:val="en-US" w:eastAsia="zh-CN"/>
                    </w:rPr>
                    <w:t>kg/m³；</w:t>
                  </w:r>
                  <w:r>
                    <w:rPr>
                      <w:rFonts w:hint="eastAsia"/>
                      <w:color w:val="auto"/>
                      <w:lang w:val="en-US" w:eastAsia="zh-CN"/>
                    </w:rPr>
                    <w:t>水溶性：可混合；热稳定性：使用/保存正确不会引起燃烧；燃烧性：本产品不然；</w:t>
                  </w:r>
                </w:p>
              </w:tc>
            </w:tr>
            <w:tr w14:paraId="66B19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 w:type="pct"/>
                  <w:shd w:val="clear" w:color="auto" w:fill="auto"/>
                  <w:vAlign w:val="center"/>
                </w:tcPr>
                <w:p w14:paraId="32500EDE">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2</w:t>
                  </w:r>
                </w:p>
              </w:tc>
              <w:tc>
                <w:tcPr>
                  <w:tcW w:w="861" w:type="pct"/>
                  <w:shd w:val="clear" w:color="auto" w:fill="auto"/>
                  <w:vAlign w:val="center"/>
                </w:tcPr>
                <w:p w14:paraId="1728696A">
                  <w:pPr>
                    <w:pStyle w:val="1093"/>
                    <w:spacing w:before="65" w:line="228" w:lineRule="auto"/>
                    <w:jc w:val="center"/>
                    <w:rPr>
                      <w:rFonts w:hint="default" w:ascii="Times New Roman" w:hAnsi="Times New Roman" w:eastAsia="宋体" w:cs="Times New Roman"/>
                      <w:color w:val="auto"/>
                      <w:spacing w:val="6"/>
                      <w:kern w:val="2"/>
                      <w:sz w:val="21"/>
                      <w:szCs w:val="21"/>
                      <w:lang w:val="en-US" w:eastAsia="zh-CN" w:bidi="ar-SA"/>
                    </w:rPr>
                  </w:pPr>
                  <w:r>
                    <w:rPr>
                      <w:rFonts w:hint="eastAsia" w:ascii="Times New Roman" w:hAnsi="Times New Roman" w:cs="Times New Roman"/>
                      <w:color w:val="auto"/>
                      <w:spacing w:val="6"/>
                      <w:kern w:val="2"/>
                      <w:sz w:val="21"/>
                      <w:szCs w:val="21"/>
                      <w:lang w:val="en-US" w:eastAsia="zh-CN" w:bidi="ar-SA"/>
                    </w:rPr>
                    <w:t>水性淬火液</w:t>
                  </w:r>
                </w:p>
              </w:tc>
              <w:tc>
                <w:tcPr>
                  <w:tcW w:w="3825" w:type="pct"/>
                  <w:shd w:val="clear" w:color="auto" w:fill="auto"/>
                  <w:vAlign w:val="center"/>
                </w:tcPr>
                <w:p w14:paraId="0DFBD97E">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主要成分为</w:t>
                  </w:r>
                  <w:r>
                    <w:rPr>
                      <w:rFonts w:hint="eastAsia" w:cs="Times New Roman"/>
                      <w:color w:val="auto"/>
                      <w:sz w:val="21"/>
                      <w:szCs w:val="21"/>
                      <w:lang w:val="en-US" w:eastAsia="zh-CN"/>
                    </w:rPr>
                    <w:t>60</w:t>
                  </w:r>
                  <w:r>
                    <w:rPr>
                      <w:rFonts w:hint="default" w:ascii="Times New Roman" w:hAnsi="Times New Roman" w:cs="Times New Roman"/>
                      <w:color w:val="auto"/>
                      <w:sz w:val="21"/>
                      <w:szCs w:val="21"/>
                    </w:rPr>
                    <w:t>%</w:t>
                  </w:r>
                  <w:r>
                    <w:rPr>
                      <w:rFonts w:hint="eastAsia" w:cs="Times New Roman"/>
                      <w:color w:val="auto"/>
                      <w:spacing w:val="6"/>
                      <w:sz w:val="21"/>
                      <w:szCs w:val="21"/>
                      <w:lang w:val="en-US" w:eastAsia="zh-CN"/>
                    </w:rPr>
                    <w:t>聚烷基醇</w:t>
                  </w:r>
                  <w:r>
                    <w:rPr>
                      <w:rFonts w:hint="default" w:ascii="Times New Roman" w:hAnsi="Times New Roman" w:cs="Times New Roman"/>
                      <w:color w:val="auto"/>
                      <w:sz w:val="21"/>
                      <w:szCs w:val="21"/>
                    </w:rPr>
                    <w:t>、</w:t>
                  </w:r>
                  <w:r>
                    <w:rPr>
                      <w:rFonts w:hint="eastAsia" w:cs="Times New Roman"/>
                      <w:color w:val="auto"/>
                      <w:sz w:val="21"/>
                      <w:szCs w:val="21"/>
                      <w:lang w:val="en-US" w:eastAsia="zh-CN"/>
                    </w:rPr>
                    <w:t>1</w:t>
                  </w:r>
                  <w:r>
                    <w:rPr>
                      <w:rFonts w:hint="default" w:ascii="Times New Roman" w:hAnsi="Times New Roman" w:cs="Times New Roman"/>
                      <w:color w:val="auto"/>
                      <w:sz w:val="21"/>
                      <w:szCs w:val="21"/>
                    </w:rPr>
                    <w:t>%</w:t>
                  </w:r>
                  <w:r>
                    <w:rPr>
                      <w:rFonts w:hint="eastAsia" w:cs="Times New Roman"/>
                      <w:color w:val="auto"/>
                      <w:spacing w:val="6"/>
                      <w:sz w:val="21"/>
                      <w:szCs w:val="21"/>
                      <w:lang w:val="en-US" w:eastAsia="zh-CN"/>
                    </w:rPr>
                    <w:t>杀菌剂</w:t>
                  </w:r>
                  <w:r>
                    <w:rPr>
                      <w:rFonts w:hint="default" w:ascii="Times New Roman" w:hAnsi="Times New Roman" w:cs="Times New Roman"/>
                      <w:color w:val="auto"/>
                      <w:sz w:val="21"/>
                      <w:szCs w:val="21"/>
                    </w:rPr>
                    <w:t>、</w:t>
                  </w:r>
                  <w:r>
                    <w:rPr>
                      <w:rFonts w:hint="eastAsia" w:cs="Times New Roman"/>
                      <w:color w:val="auto"/>
                      <w:sz w:val="21"/>
                      <w:szCs w:val="21"/>
                      <w:lang w:val="en-US" w:eastAsia="zh-CN"/>
                    </w:rPr>
                    <w:t>1</w:t>
                  </w:r>
                  <w:r>
                    <w:rPr>
                      <w:rFonts w:hint="default" w:ascii="Times New Roman" w:hAnsi="Times New Roman" w:cs="Times New Roman"/>
                      <w:color w:val="auto"/>
                      <w:sz w:val="21"/>
                      <w:szCs w:val="21"/>
                    </w:rPr>
                    <w:t>%</w:t>
                  </w:r>
                  <w:r>
                    <w:rPr>
                      <w:rFonts w:hint="eastAsia" w:cs="Times New Roman"/>
                      <w:color w:val="auto"/>
                      <w:spacing w:val="6"/>
                      <w:sz w:val="21"/>
                      <w:szCs w:val="21"/>
                      <w:lang w:val="en-US" w:eastAsia="zh-CN"/>
                    </w:rPr>
                    <w:t>非铁重金属减活化剂、</w:t>
                  </w:r>
                  <w:r>
                    <w:rPr>
                      <w:rFonts w:hint="eastAsia" w:cs="Times New Roman"/>
                      <w:color w:val="auto"/>
                      <w:sz w:val="21"/>
                      <w:szCs w:val="21"/>
                      <w:lang w:val="en-US" w:eastAsia="zh-CN"/>
                    </w:rPr>
                    <w:t>5</w:t>
                  </w:r>
                  <w:r>
                    <w:rPr>
                      <w:rFonts w:hint="default" w:ascii="Times New Roman" w:hAnsi="Times New Roman" w:cs="Times New Roman"/>
                      <w:color w:val="auto"/>
                      <w:sz w:val="21"/>
                      <w:szCs w:val="21"/>
                    </w:rPr>
                    <w:t>%</w:t>
                  </w:r>
                  <w:r>
                    <w:rPr>
                      <w:rFonts w:hint="eastAsia" w:cs="Times New Roman"/>
                      <w:color w:val="auto"/>
                      <w:spacing w:val="6"/>
                      <w:sz w:val="21"/>
                      <w:szCs w:val="21"/>
                      <w:lang w:val="en-US" w:eastAsia="zh-CN"/>
                    </w:rPr>
                    <w:t>乙酸、</w:t>
                  </w:r>
                  <w:r>
                    <w:rPr>
                      <w:rFonts w:hint="eastAsia" w:cs="Times New Roman"/>
                      <w:color w:val="auto"/>
                      <w:sz w:val="21"/>
                      <w:szCs w:val="21"/>
                      <w:lang w:val="en-US" w:eastAsia="zh-CN"/>
                    </w:rPr>
                    <w:t>10</w:t>
                  </w:r>
                  <w:r>
                    <w:rPr>
                      <w:rFonts w:hint="default" w:ascii="Times New Roman" w:hAnsi="Times New Roman" w:cs="Times New Roman"/>
                      <w:color w:val="auto"/>
                      <w:sz w:val="21"/>
                      <w:szCs w:val="21"/>
                    </w:rPr>
                    <w:t>%</w:t>
                  </w:r>
                  <w:r>
                    <w:rPr>
                      <w:rFonts w:hint="eastAsia" w:cs="Times New Roman"/>
                      <w:color w:val="auto"/>
                      <w:spacing w:val="6"/>
                      <w:sz w:val="21"/>
                      <w:szCs w:val="21"/>
                      <w:lang w:val="en-US" w:eastAsia="zh-CN"/>
                    </w:rPr>
                    <w:t>甲胺、23%水</w:t>
                  </w:r>
                  <w:r>
                    <w:rPr>
                      <w:rFonts w:hint="default" w:ascii="Times New Roman" w:hAnsi="Times New Roman" w:cs="Times New Roman"/>
                      <w:color w:val="auto"/>
                      <w:sz w:val="21"/>
                      <w:szCs w:val="21"/>
                      <w:lang w:eastAsia="zh-CN"/>
                    </w:rPr>
                    <w:t>，外观性状：</w:t>
                  </w:r>
                  <w:r>
                    <w:rPr>
                      <w:rFonts w:hint="eastAsia" w:cs="Times New Roman"/>
                      <w:color w:val="auto"/>
                      <w:sz w:val="21"/>
                      <w:szCs w:val="21"/>
                      <w:lang w:val="en-US" w:eastAsia="zh-CN"/>
                    </w:rPr>
                    <w:t>绿色</w:t>
                  </w:r>
                  <w:r>
                    <w:rPr>
                      <w:rFonts w:hint="default" w:ascii="Times New Roman" w:hAnsi="Times New Roman" w:cs="Times New Roman"/>
                      <w:color w:val="auto"/>
                      <w:sz w:val="21"/>
                      <w:szCs w:val="21"/>
                      <w:lang w:eastAsia="zh-CN"/>
                    </w:rPr>
                    <w:t>液体；气味：</w:t>
                  </w:r>
                  <w:r>
                    <w:rPr>
                      <w:rFonts w:hint="eastAsia" w:cs="Times New Roman"/>
                      <w:color w:val="auto"/>
                      <w:sz w:val="21"/>
                      <w:szCs w:val="21"/>
                      <w:lang w:val="en-US" w:eastAsia="zh-CN"/>
                    </w:rPr>
                    <w:t>特有的典型气味</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lang w:val="en-US" w:eastAsia="zh-CN"/>
                    </w:rPr>
                    <w:t>pH值：</w:t>
                  </w:r>
                  <w:r>
                    <w:rPr>
                      <w:rFonts w:hint="eastAsia" w:cs="Times New Roman"/>
                      <w:color w:val="auto"/>
                      <w:sz w:val="21"/>
                      <w:szCs w:val="21"/>
                      <w:lang w:val="en-US" w:eastAsia="zh-CN"/>
                    </w:rPr>
                    <w:t>8.7-9.1</w:t>
                  </w:r>
                  <w:r>
                    <w:rPr>
                      <w:rFonts w:hint="default" w:ascii="Times New Roman" w:hAnsi="Times New Roman" w:cs="Times New Roman"/>
                      <w:color w:val="auto"/>
                      <w:sz w:val="21"/>
                      <w:szCs w:val="21"/>
                      <w:lang w:val="en-US" w:eastAsia="zh-CN"/>
                    </w:rPr>
                    <w:t>；</w:t>
                  </w:r>
                  <w:r>
                    <w:rPr>
                      <w:rFonts w:hint="eastAsia" w:cs="Times New Roman"/>
                      <w:color w:val="auto"/>
                      <w:sz w:val="21"/>
                      <w:szCs w:val="21"/>
                      <w:lang w:val="en-US" w:eastAsia="zh-CN"/>
                    </w:rPr>
                    <w:t>沸点：100</w:t>
                  </w:r>
                  <w:r>
                    <w:rPr>
                      <w:rFonts w:hint="eastAsia" w:cs="Times New Roman"/>
                      <w:color w:val="auto"/>
                      <w:sz w:val="21"/>
                      <w:szCs w:val="21"/>
                      <w:vertAlign w:val="superscript"/>
                      <w:lang w:val="en-US" w:eastAsia="zh-CN"/>
                    </w:rPr>
                    <w:t>o</w:t>
                  </w:r>
                  <w:r>
                    <w:rPr>
                      <w:rFonts w:hint="eastAsia" w:cs="Times New Roman"/>
                      <w:color w:val="auto"/>
                      <w:sz w:val="21"/>
                      <w:szCs w:val="21"/>
                      <w:lang w:val="en-US" w:eastAsia="zh-CN"/>
                    </w:rPr>
                    <w:t>C</w:t>
                  </w:r>
                  <w:r>
                    <w:rPr>
                      <w:rFonts w:hint="default" w:ascii="Times New Roman" w:hAnsi="Times New Roman" w:cs="Times New Roman"/>
                      <w:color w:val="auto"/>
                      <w:sz w:val="21"/>
                      <w:szCs w:val="21"/>
                      <w:lang w:eastAsia="zh-CN"/>
                    </w:rPr>
                    <w:t>；</w:t>
                  </w:r>
                  <w:r>
                    <w:rPr>
                      <w:rFonts w:hint="eastAsia" w:cs="Times New Roman"/>
                      <w:color w:val="auto"/>
                      <w:sz w:val="21"/>
                      <w:szCs w:val="21"/>
                      <w:lang w:val="en-US" w:eastAsia="zh-CN"/>
                    </w:rPr>
                    <w:t>密度：1.08</w:t>
                  </w:r>
                  <w:r>
                    <w:rPr>
                      <w:rFonts w:hint="default" w:ascii="Times New Roman" w:hAnsi="Times New Roman" w:eastAsia="宋体" w:cs="Times New Roman"/>
                      <w:b w:val="0"/>
                      <w:bCs w:val="0"/>
                      <w:color w:val="auto"/>
                      <w:sz w:val="21"/>
                      <w:szCs w:val="21"/>
                      <w:highlight w:val="none"/>
                      <w:lang w:val="en-US" w:eastAsia="zh-CN"/>
                    </w:rPr>
                    <w:t>kg/m³</w:t>
                  </w:r>
                  <w:r>
                    <w:rPr>
                      <w:rFonts w:hint="default" w:ascii="Times New Roman" w:hAnsi="Times New Roman" w:cs="Times New Roman"/>
                      <w:color w:val="auto"/>
                      <w:sz w:val="21"/>
                      <w:szCs w:val="21"/>
                      <w:lang w:val="en-US" w:eastAsia="zh-CN"/>
                    </w:rPr>
                    <w:t>；</w:t>
                  </w:r>
                  <w:r>
                    <w:rPr>
                      <w:rFonts w:hint="eastAsia" w:cs="Times New Roman"/>
                      <w:color w:val="auto"/>
                      <w:sz w:val="21"/>
                      <w:szCs w:val="21"/>
                      <w:lang w:val="en-US" w:eastAsia="zh-CN"/>
                    </w:rPr>
                    <w:t>水溶性：溶解；热稳定性：使用/保存正确不会引起燃烧；</w:t>
                  </w:r>
                </w:p>
              </w:tc>
            </w:tr>
            <w:tr w14:paraId="3380F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 w:type="pct"/>
                  <w:shd w:val="clear" w:color="auto" w:fill="auto"/>
                  <w:vAlign w:val="center"/>
                </w:tcPr>
                <w:p w14:paraId="2D6350AB">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3</w:t>
                  </w:r>
                </w:p>
              </w:tc>
              <w:tc>
                <w:tcPr>
                  <w:tcW w:w="861" w:type="pct"/>
                  <w:shd w:val="clear" w:color="auto" w:fill="auto"/>
                  <w:vAlign w:val="center"/>
                </w:tcPr>
                <w:p w14:paraId="046E0315">
                  <w:pPr>
                    <w:pStyle w:val="1093"/>
                    <w:spacing w:before="65" w:line="228" w:lineRule="auto"/>
                    <w:jc w:val="center"/>
                    <w:rPr>
                      <w:rFonts w:hint="default" w:ascii="Times New Roman" w:hAnsi="Times New Roman" w:eastAsia="宋体" w:cs="Times New Roman"/>
                      <w:color w:val="auto"/>
                      <w:spacing w:val="6"/>
                      <w:kern w:val="2"/>
                      <w:sz w:val="21"/>
                      <w:szCs w:val="21"/>
                      <w:lang w:val="en-US" w:eastAsia="zh-CN" w:bidi="ar-SA"/>
                    </w:rPr>
                  </w:pPr>
                  <w:r>
                    <w:rPr>
                      <w:rFonts w:hint="eastAsia" w:ascii="Times New Roman" w:hAnsi="Times New Roman" w:cs="Times New Roman"/>
                      <w:color w:val="auto"/>
                      <w:spacing w:val="6"/>
                      <w:kern w:val="2"/>
                      <w:sz w:val="21"/>
                      <w:szCs w:val="21"/>
                      <w:lang w:val="en-US" w:eastAsia="zh-CN" w:bidi="ar-SA"/>
                    </w:rPr>
                    <w:t>水性磨削液</w:t>
                  </w:r>
                </w:p>
              </w:tc>
              <w:tc>
                <w:tcPr>
                  <w:tcW w:w="3825" w:type="pct"/>
                  <w:shd w:val="clear" w:color="auto" w:fill="auto"/>
                  <w:vAlign w:val="center"/>
                </w:tcPr>
                <w:p w14:paraId="7B9B7E75">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主要成分为</w:t>
                  </w:r>
                  <w:r>
                    <w:rPr>
                      <w:rFonts w:hint="eastAsia" w:ascii="Times New Roman" w:hAnsi="Times New Roman" w:eastAsia="宋体" w:cs="Times New Roman"/>
                      <w:color w:val="auto"/>
                      <w:sz w:val="21"/>
                      <w:szCs w:val="21"/>
                      <w:lang w:val="en-US" w:eastAsia="zh-CN"/>
                    </w:rPr>
                    <w:t>水</w:t>
                  </w:r>
                  <w:r>
                    <w:rPr>
                      <w:rFonts w:hint="default" w:ascii="Times New Roman" w:hAnsi="Times New Roman" w:eastAsia="宋体" w:cs="Times New Roman"/>
                      <w:color w:val="auto"/>
                      <w:sz w:val="21"/>
                      <w:szCs w:val="21"/>
                    </w:rPr>
                    <w:t>‌≥95%</w:t>
                  </w:r>
                  <w:r>
                    <w:rPr>
                      <w:rFonts w:hint="eastAsia" w:ascii="Times New Roman" w:hAnsi="Times New Roman" w:eastAsia="宋体" w:cs="Times New Roman"/>
                      <w:color w:val="auto"/>
                      <w:sz w:val="21"/>
                      <w:szCs w:val="21"/>
                      <w:lang w:val="en-US" w:eastAsia="zh-CN"/>
                    </w:rPr>
                    <w:t>、防锈剂</w:t>
                  </w:r>
                  <w:r>
                    <w:rPr>
                      <w:rFonts w:hint="default" w:ascii="Times New Roman" w:hAnsi="Times New Roman" w:eastAsia="宋体" w:cs="Times New Roman"/>
                      <w:color w:val="auto"/>
                      <w:sz w:val="21"/>
                      <w:szCs w:val="21"/>
                    </w:rPr>
                    <w:t>‌0.1%-2%</w:t>
                  </w:r>
                  <w:r>
                    <w:rPr>
                      <w:rFonts w:hint="eastAsia" w:ascii="Times New Roman" w:hAnsi="Times New Roman" w:eastAsia="宋体" w:cs="Times New Roman"/>
                      <w:color w:val="auto"/>
                      <w:sz w:val="21"/>
                      <w:szCs w:val="21"/>
                      <w:lang w:val="en-US" w:eastAsia="zh-CN"/>
                    </w:rPr>
                    <w:t>、二甘醇</w:t>
                  </w:r>
                  <w:r>
                    <w:rPr>
                      <w:rFonts w:hint="default" w:ascii="Times New Roman" w:hAnsi="Times New Roman" w:eastAsia="宋体" w:cs="Times New Roman"/>
                      <w:color w:val="auto"/>
                      <w:sz w:val="21"/>
                      <w:szCs w:val="21"/>
                    </w:rPr>
                    <w:t>‌≤0.5%</w:t>
                  </w:r>
                  <w:r>
                    <w:rPr>
                      <w:rFonts w:hint="eastAsia" w:ascii="Times New Roman" w:hAnsi="Times New Roman" w:eastAsia="宋体" w:cs="Times New Roman"/>
                      <w:color w:val="auto"/>
                      <w:sz w:val="21"/>
                      <w:szCs w:val="21"/>
                      <w:lang w:val="en-US" w:eastAsia="zh-CN"/>
                    </w:rPr>
                    <w:t>、杀菌剂</w:t>
                  </w:r>
                  <w:r>
                    <w:rPr>
                      <w:rFonts w:hint="default" w:ascii="Times New Roman" w:hAnsi="Times New Roman" w:eastAsia="宋体" w:cs="Times New Roman"/>
                      <w:color w:val="auto"/>
                      <w:sz w:val="21"/>
                      <w:szCs w:val="21"/>
                    </w:rPr>
                    <w:t>‌0.05%-0.3%</w:t>
                  </w:r>
                  <w:r>
                    <w:rPr>
                      <w:rFonts w:hint="eastAsia" w:ascii="Times New Roman" w:hAnsi="Times New Roman" w:eastAsia="宋体" w:cs="Times New Roman"/>
                      <w:color w:val="auto"/>
                      <w:sz w:val="21"/>
                      <w:szCs w:val="21"/>
                      <w:lang w:val="en-US" w:eastAsia="zh-CN"/>
                    </w:rPr>
                    <w:t>和</w:t>
                  </w:r>
                  <w:r>
                    <w:rPr>
                      <w:rFonts w:hint="eastAsia" w:cs="Times New Roman"/>
                      <w:color w:val="auto"/>
                      <w:sz w:val="21"/>
                      <w:szCs w:val="21"/>
                      <w:lang w:val="en-US" w:eastAsia="zh-CN"/>
                    </w:rPr>
                    <w:t>其他添加剂‌≤3%</w:t>
                  </w:r>
                  <w:r>
                    <w:rPr>
                      <w:rFonts w:hint="eastAsia" w:cs="Times New Roman"/>
                      <w:color w:val="auto"/>
                      <w:sz w:val="21"/>
                      <w:szCs w:val="21"/>
                      <w:lang w:eastAsia="zh-CN"/>
                    </w:rPr>
                    <w:t>。</w:t>
                  </w:r>
                  <w:r>
                    <w:rPr>
                      <w:rFonts w:hint="default" w:ascii="Times New Roman" w:hAnsi="Times New Roman" w:cs="Times New Roman"/>
                      <w:color w:val="auto"/>
                      <w:sz w:val="21"/>
                      <w:szCs w:val="21"/>
                      <w:lang w:eastAsia="zh-CN"/>
                    </w:rPr>
                    <w:t>外观性状：</w:t>
                  </w:r>
                  <w:r>
                    <w:rPr>
                      <w:rFonts w:hint="eastAsia" w:cs="Times New Roman"/>
                      <w:color w:val="auto"/>
                      <w:sz w:val="21"/>
                      <w:szCs w:val="21"/>
                      <w:lang w:val="en-US" w:eastAsia="zh-CN"/>
                    </w:rPr>
                    <w:t>荧光绿液体</w:t>
                  </w:r>
                  <w:r>
                    <w:rPr>
                      <w:rFonts w:hint="default" w:ascii="Times New Roman" w:hAnsi="Times New Roman" w:cs="Times New Roman"/>
                      <w:color w:val="auto"/>
                      <w:sz w:val="21"/>
                      <w:szCs w:val="21"/>
                      <w:lang w:eastAsia="zh-CN"/>
                    </w:rPr>
                    <w:t>；气味：</w:t>
                  </w:r>
                  <w:r>
                    <w:rPr>
                      <w:rFonts w:hint="eastAsia" w:cs="Times New Roman"/>
                      <w:color w:val="auto"/>
                      <w:sz w:val="21"/>
                      <w:szCs w:val="21"/>
                      <w:lang w:val="en-US" w:eastAsia="zh-CN"/>
                    </w:rPr>
                    <w:t>特有的典型气味</w:t>
                  </w:r>
                  <w:r>
                    <w:rPr>
                      <w:rFonts w:hint="default" w:ascii="Times New Roman" w:hAnsi="Times New Roman" w:cs="Times New Roman"/>
                      <w:color w:val="auto"/>
                      <w:sz w:val="21"/>
                      <w:szCs w:val="21"/>
                      <w:lang w:eastAsia="zh-CN"/>
                    </w:rPr>
                    <w:t>；</w:t>
                  </w:r>
                  <w:r>
                    <w:rPr>
                      <w:rFonts w:hint="eastAsia" w:cs="Times New Roman"/>
                      <w:color w:val="auto"/>
                      <w:sz w:val="21"/>
                      <w:szCs w:val="21"/>
                      <w:lang w:val="en-US" w:eastAsia="zh-CN"/>
                    </w:rPr>
                    <w:t>密度：1.08-1.3</w:t>
                  </w:r>
                  <w:r>
                    <w:rPr>
                      <w:rFonts w:hint="default" w:ascii="Times New Roman" w:hAnsi="Times New Roman" w:eastAsia="宋体" w:cs="Times New Roman"/>
                      <w:b w:val="0"/>
                      <w:bCs w:val="0"/>
                      <w:color w:val="auto"/>
                      <w:sz w:val="21"/>
                      <w:szCs w:val="21"/>
                      <w:highlight w:val="none"/>
                      <w:lang w:val="en-US" w:eastAsia="zh-CN"/>
                    </w:rPr>
                    <w:t>kg/m³</w:t>
                  </w:r>
                  <w:r>
                    <w:rPr>
                      <w:rFonts w:hint="default" w:ascii="Times New Roman" w:hAnsi="Times New Roman" w:cs="Times New Roman"/>
                      <w:color w:val="auto"/>
                      <w:sz w:val="21"/>
                      <w:szCs w:val="21"/>
                      <w:lang w:val="en-US" w:eastAsia="zh-CN"/>
                    </w:rPr>
                    <w:t>；pH值：</w:t>
                  </w:r>
                  <w:r>
                    <w:rPr>
                      <w:rFonts w:hint="eastAsia" w:cs="Times New Roman"/>
                      <w:color w:val="auto"/>
                      <w:sz w:val="21"/>
                      <w:szCs w:val="21"/>
                      <w:lang w:val="en-US" w:eastAsia="zh-CN"/>
                    </w:rPr>
                    <w:t>9.3</w:t>
                  </w:r>
                  <w:r>
                    <w:rPr>
                      <w:rFonts w:hint="default" w:ascii="Times New Roman" w:hAnsi="Times New Roman" w:cs="Times New Roman"/>
                      <w:color w:val="auto"/>
                      <w:sz w:val="21"/>
                      <w:szCs w:val="21"/>
                      <w:lang w:val="en-US" w:eastAsia="zh-CN"/>
                    </w:rPr>
                    <w:t>；</w:t>
                  </w:r>
                  <w:r>
                    <w:rPr>
                      <w:rFonts w:hint="eastAsia" w:cs="Times New Roman"/>
                      <w:color w:val="auto"/>
                      <w:sz w:val="21"/>
                      <w:szCs w:val="21"/>
                      <w:lang w:val="en-US" w:eastAsia="zh-CN"/>
                    </w:rPr>
                    <w:t>可溶性：可溶；危险反应的可能性：远离强酸、强碱和强氧化剂，避免放热反应；分解产物：通过暴露在高温下形成，如：二氧化碳、一氧化碳、烟和氮氧化物。</w:t>
                  </w:r>
                </w:p>
              </w:tc>
            </w:tr>
            <w:tr w14:paraId="28C30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 w:type="pct"/>
                  <w:vAlign w:val="center"/>
                </w:tcPr>
                <w:p w14:paraId="30E2A69E">
                  <w:pPr>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w:t>
                  </w:r>
                </w:p>
              </w:tc>
              <w:tc>
                <w:tcPr>
                  <w:tcW w:w="861" w:type="pct"/>
                  <w:shd w:val="clear" w:color="auto" w:fill="auto"/>
                  <w:vAlign w:val="center"/>
                </w:tcPr>
                <w:p w14:paraId="18F24825">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切削液</w:t>
                  </w:r>
                </w:p>
              </w:tc>
              <w:tc>
                <w:tcPr>
                  <w:tcW w:w="3825" w:type="pct"/>
                  <w:shd w:val="clear" w:color="auto" w:fill="auto"/>
                  <w:vAlign w:val="center"/>
                </w:tcPr>
                <w:p w14:paraId="11D355A2">
                  <w:pPr>
                    <w:keepNext w:val="0"/>
                    <w:keepLines w:val="0"/>
                    <w:widowControl/>
                    <w:suppressLineNumbers w:val="0"/>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kern w:val="0"/>
                      <w:sz w:val="21"/>
                      <w:szCs w:val="21"/>
                      <w:lang w:val="en-US" w:eastAsia="zh-CN" w:bidi="ar"/>
                    </w:rPr>
                    <w:t>乳化油与水混合液，乳白色不透明液体，具备良好的冷却性能、润</w:t>
                  </w:r>
                </w:p>
                <w:p w14:paraId="2F7033BC">
                  <w:pPr>
                    <w:keepNext w:val="0"/>
                    <w:keepLines w:val="0"/>
                    <w:widowControl/>
                    <w:suppressLineNumbers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bidi="ar"/>
                    </w:rPr>
                    <w:t>滑性能、防锈性能、除油清洗功能、防腐功能、易稀释特点，适用于金属加工、切削等过程中作为冷却液使用，主要成分为植物油、脂肪酸、石油磺酸钡、石油、磺酸钠、油酸钠皂等。</w:t>
                  </w:r>
                </w:p>
              </w:tc>
            </w:tr>
            <w:tr w14:paraId="25C7E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trPr>
              <w:tc>
                <w:tcPr>
                  <w:tcW w:w="312" w:type="pct"/>
                  <w:vAlign w:val="center"/>
                </w:tcPr>
                <w:p w14:paraId="36C8FF4B">
                  <w:pPr>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w:t>
                  </w:r>
                </w:p>
              </w:tc>
              <w:tc>
                <w:tcPr>
                  <w:tcW w:w="861" w:type="pct"/>
                  <w:shd w:val="clear" w:color="auto" w:fill="auto"/>
                  <w:vAlign w:val="center"/>
                </w:tcPr>
                <w:p w14:paraId="667FB03E">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eastAsia="zh-CN"/>
                    </w:rPr>
                    <w:t>润滑油</w:t>
                  </w:r>
                </w:p>
              </w:tc>
              <w:tc>
                <w:tcPr>
                  <w:tcW w:w="3825" w:type="pct"/>
                  <w:shd w:val="clear" w:color="auto" w:fill="auto"/>
                  <w:vAlign w:val="center"/>
                </w:tcPr>
                <w:p w14:paraId="7EAAF8F2">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val="0"/>
                      <w:bCs w:val="0"/>
                      <w:color w:val="auto"/>
                      <w:sz w:val="21"/>
                      <w:szCs w:val="21"/>
                      <w:highlight w:val="none"/>
                      <w:lang w:val="en-US" w:eastAsia="zh-CN"/>
                    </w:rPr>
                    <w:t>密度约为0.91×10³（kg/m³）能对机械起到润滑减磨、辅助冷却降温、密封防漏、防锈防蚀、减震缓冲等作用。</w:t>
                  </w:r>
                </w:p>
              </w:tc>
            </w:tr>
            <w:tr w14:paraId="5147F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312" w:type="pct"/>
                  <w:vAlign w:val="center"/>
                </w:tcPr>
                <w:p w14:paraId="382917E5">
                  <w:pPr>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w:t>
                  </w:r>
                </w:p>
              </w:tc>
              <w:tc>
                <w:tcPr>
                  <w:tcW w:w="861" w:type="pct"/>
                  <w:shd w:val="clear" w:color="auto" w:fill="auto"/>
                  <w:vAlign w:val="center"/>
                </w:tcPr>
                <w:p w14:paraId="1552E721">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液压油</w:t>
                  </w:r>
                </w:p>
              </w:tc>
              <w:tc>
                <w:tcPr>
                  <w:tcW w:w="3825" w:type="pct"/>
                  <w:shd w:val="clear" w:color="auto" w:fill="auto"/>
                  <w:vAlign w:val="center"/>
                </w:tcPr>
                <w:p w14:paraId="60CCF843">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利用液体压力能的液压系统使用的液压介质，在</w:t>
                  </w:r>
                  <w:r>
                    <w:rPr>
                      <w:rFonts w:hint="default" w:ascii="Times New Roman" w:hAnsi="Times New Roman" w:cs="Times New Roman"/>
                      <w:color w:val="auto"/>
                      <w:kern w:val="2"/>
                      <w:sz w:val="21"/>
                      <w:szCs w:val="21"/>
                      <w:lang w:val="en-US" w:eastAsia="zh-CN" w:bidi="ar-SA"/>
                    </w:rPr>
                    <w:fldChar w:fldCharType="begin"/>
                  </w:r>
                  <w:r>
                    <w:rPr>
                      <w:rFonts w:hint="default" w:ascii="Times New Roman" w:hAnsi="Times New Roman" w:cs="Times New Roman"/>
                      <w:color w:val="auto"/>
                      <w:kern w:val="2"/>
                      <w:sz w:val="21"/>
                      <w:szCs w:val="21"/>
                      <w:lang w:val="en-US" w:eastAsia="zh-CN" w:bidi="ar-SA"/>
                    </w:rPr>
                    <w:instrText xml:space="preserve"> HYPERLINK "https://baike.so.com/doc/5395781-5632940.html" \t "https://baike.so.com/doc/_blank" </w:instrText>
                  </w:r>
                  <w:r>
                    <w:rPr>
                      <w:rFonts w:hint="default" w:ascii="Times New Roman" w:hAnsi="Times New Roman" w:cs="Times New Roman"/>
                      <w:color w:val="auto"/>
                      <w:kern w:val="2"/>
                      <w:sz w:val="21"/>
                      <w:szCs w:val="21"/>
                      <w:lang w:val="en-US" w:eastAsia="zh-CN" w:bidi="ar-SA"/>
                    </w:rPr>
                    <w:fldChar w:fldCharType="separate"/>
                  </w:r>
                  <w:r>
                    <w:rPr>
                      <w:rFonts w:hint="default" w:ascii="Times New Roman" w:hAnsi="Times New Roman" w:cs="Times New Roman"/>
                      <w:color w:val="auto"/>
                      <w:kern w:val="2"/>
                      <w:sz w:val="21"/>
                      <w:szCs w:val="21"/>
                      <w:lang w:val="en-US" w:eastAsia="zh-CN" w:bidi="ar-SA"/>
                    </w:rPr>
                    <w:t>液压系统</w:t>
                  </w:r>
                  <w:r>
                    <w:rPr>
                      <w:rFonts w:hint="default" w:ascii="Times New Roman" w:hAnsi="Times New Roman" w:cs="Times New Roman"/>
                      <w:color w:val="auto"/>
                      <w:kern w:val="2"/>
                      <w:sz w:val="21"/>
                      <w:szCs w:val="21"/>
                      <w:lang w:val="en-US" w:eastAsia="zh-CN" w:bidi="ar-SA"/>
                    </w:rPr>
                    <w:fldChar w:fldCharType="end"/>
                  </w:r>
                  <w:r>
                    <w:rPr>
                      <w:rFonts w:hint="default" w:ascii="Times New Roman" w:hAnsi="Times New Roman" w:cs="Times New Roman"/>
                      <w:color w:val="auto"/>
                      <w:kern w:val="2"/>
                      <w:sz w:val="21"/>
                      <w:szCs w:val="21"/>
                      <w:lang w:val="en-US" w:eastAsia="zh-CN" w:bidi="ar-SA"/>
                    </w:rPr>
                    <w:t>中起着</w:t>
                  </w:r>
                  <w:r>
                    <w:rPr>
                      <w:rFonts w:hint="default" w:ascii="Times New Roman" w:hAnsi="Times New Roman" w:cs="Times New Roman"/>
                      <w:color w:val="auto"/>
                      <w:kern w:val="2"/>
                      <w:sz w:val="21"/>
                      <w:szCs w:val="21"/>
                      <w:lang w:val="en-US" w:eastAsia="zh-CN" w:bidi="ar-SA"/>
                    </w:rPr>
                    <w:fldChar w:fldCharType="begin"/>
                  </w:r>
                  <w:r>
                    <w:rPr>
                      <w:rFonts w:hint="default" w:ascii="Times New Roman" w:hAnsi="Times New Roman" w:cs="Times New Roman"/>
                      <w:color w:val="auto"/>
                      <w:kern w:val="2"/>
                      <w:sz w:val="21"/>
                      <w:szCs w:val="21"/>
                      <w:lang w:val="en-US" w:eastAsia="zh-CN" w:bidi="ar-SA"/>
                    </w:rPr>
                    <w:instrText xml:space="preserve"> HYPERLINK "https://baike.so.com/doc/6066332-6279396.html" \t "https://baike.so.com/doc/_blank" </w:instrText>
                  </w:r>
                  <w:r>
                    <w:rPr>
                      <w:rFonts w:hint="default" w:ascii="Times New Roman" w:hAnsi="Times New Roman" w:cs="Times New Roman"/>
                      <w:color w:val="auto"/>
                      <w:kern w:val="2"/>
                      <w:sz w:val="21"/>
                      <w:szCs w:val="21"/>
                      <w:lang w:val="en-US" w:eastAsia="zh-CN" w:bidi="ar-SA"/>
                    </w:rPr>
                    <w:fldChar w:fldCharType="separate"/>
                  </w:r>
                  <w:r>
                    <w:rPr>
                      <w:rFonts w:hint="default" w:ascii="Times New Roman" w:hAnsi="Times New Roman" w:cs="Times New Roman"/>
                      <w:color w:val="auto"/>
                      <w:kern w:val="2"/>
                      <w:sz w:val="21"/>
                      <w:szCs w:val="21"/>
                      <w:lang w:val="en-US" w:eastAsia="zh-CN" w:bidi="ar-SA"/>
                    </w:rPr>
                    <w:t>能量传递</w:t>
                  </w:r>
                  <w:r>
                    <w:rPr>
                      <w:rFonts w:hint="default" w:ascii="Times New Roman" w:hAnsi="Times New Roman" w:cs="Times New Roman"/>
                      <w:color w:val="auto"/>
                      <w:kern w:val="2"/>
                      <w:sz w:val="21"/>
                      <w:szCs w:val="21"/>
                      <w:lang w:val="en-US" w:eastAsia="zh-CN" w:bidi="ar-SA"/>
                    </w:rPr>
                    <w:fldChar w:fldCharType="end"/>
                  </w:r>
                  <w:r>
                    <w:rPr>
                      <w:rFonts w:hint="default" w:ascii="Times New Roman" w:hAnsi="Times New Roman" w:cs="Times New Roman"/>
                      <w:color w:val="auto"/>
                      <w:kern w:val="2"/>
                      <w:sz w:val="21"/>
                      <w:szCs w:val="21"/>
                      <w:lang w:val="en-US" w:eastAsia="zh-CN" w:bidi="ar-SA"/>
                    </w:rPr>
                    <w:t>、抗磨、系统润滑、</w:t>
                  </w:r>
                  <w:r>
                    <w:rPr>
                      <w:rFonts w:hint="default" w:ascii="Times New Roman" w:hAnsi="Times New Roman" w:cs="Times New Roman"/>
                      <w:color w:val="auto"/>
                      <w:kern w:val="2"/>
                      <w:sz w:val="21"/>
                      <w:szCs w:val="21"/>
                      <w:lang w:val="en-US" w:eastAsia="zh-CN" w:bidi="ar-SA"/>
                    </w:rPr>
                    <w:fldChar w:fldCharType="begin"/>
                  </w:r>
                  <w:r>
                    <w:rPr>
                      <w:rFonts w:hint="default" w:ascii="Times New Roman" w:hAnsi="Times New Roman" w:cs="Times New Roman"/>
                      <w:color w:val="auto"/>
                      <w:kern w:val="2"/>
                      <w:sz w:val="21"/>
                      <w:szCs w:val="21"/>
                      <w:lang w:val="en-US" w:eastAsia="zh-CN" w:bidi="ar-SA"/>
                    </w:rPr>
                    <w:instrText xml:space="preserve"> HYPERLINK "https://baike.so.com/doc/10044550-10556868.html" \t "https://baike.so.com/doc/_blank" </w:instrText>
                  </w:r>
                  <w:r>
                    <w:rPr>
                      <w:rFonts w:hint="default" w:ascii="Times New Roman" w:hAnsi="Times New Roman" w:cs="Times New Roman"/>
                      <w:color w:val="auto"/>
                      <w:kern w:val="2"/>
                      <w:sz w:val="21"/>
                      <w:szCs w:val="21"/>
                      <w:lang w:val="en-US" w:eastAsia="zh-CN" w:bidi="ar-SA"/>
                    </w:rPr>
                    <w:fldChar w:fldCharType="separate"/>
                  </w:r>
                  <w:r>
                    <w:rPr>
                      <w:rFonts w:hint="default" w:ascii="Times New Roman" w:hAnsi="Times New Roman" w:cs="Times New Roman"/>
                      <w:color w:val="auto"/>
                      <w:kern w:val="2"/>
                      <w:sz w:val="21"/>
                      <w:szCs w:val="21"/>
                      <w:lang w:val="en-US" w:eastAsia="zh-CN" w:bidi="ar-SA"/>
                    </w:rPr>
                    <w:t>防腐</w:t>
                  </w:r>
                  <w:r>
                    <w:rPr>
                      <w:rFonts w:hint="default" w:ascii="Times New Roman" w:hAnsi="Times New Roman" w:cs="Times New Roman"/>
                      <w:color w:val="auto"/>
                      <w:kern w:val="2"/>
                      <w:sz w:val="21"/>
                      <w:szCs w:val="21"/>
                      <w:lang w:val="en-US" w:eastAsia="zh-CN" w:bidi="ar-SA"/>
                    </w:rPr>
                    <w:fldChar w:fldCharType="end"/>
                  </w:r>
                  <w:r>
                    <w:rPr>
                      <w:rFonts w:hint="default" w:ascii="Times New Roman" w:hAnsi="Times New Roman" w:cs="Times New Roman"/>
                      <w:color w:val="auto"/>
                      <w:kern w:val="2"/>
                      <w:sz w:val="21"/>
                      <w:szCs w:val="21"/>
                      <w:lang w:val="en-US" w:eastAsia="zh-CN" w:bidi="ar-SA"/>
                    </w:rPr>
                    <w:t>、</w:t>
                  </w:r>
                  <w:r>
                    <w:rPr>
                      <w:rFonts w:hint="default" w:ascii="Times New Roman" w:hAnsi="Times New Roman" w:cs="Times New Roman"/>
                      <w:color w:val="auto"/>
                      <w:kern w:val="2"/>
                      <w:sz w:val="21"/>
                      <w:szCs w:val="21"/>
                      <w:lang w:val="en-US" w:eastAsia="zh-CN" w:bidi="ar-SA"/>
                    </w:rPr>
                    <w:fldChar w:fldCharType="begin"/>
                  </w:r>
                  <w:r>
                    <w:rPr>
                      <w:rFonts w:hint="default" w:ascii="Times New Roman" w:hAnsi="Times New Roman" w:cs="Times New Roman"/>
                      <w:color w:val="auto"/>
                      <w:kern w:val="2"/>
                      <w:sz w:val="21"/>
                      <w:szCs w:val="21"/>
                      <w:lang w:val="en-US" w:eastAsia="zh-CN" w:bidi="ar-SA"/>
                    </w:rPr>
                    <w:instrText xml:space="preserve"> HYPERLINK "https://baike.so.com/doc/2383818-2520542.html" \t "https://baike.so.com/doc/_blank" </w:instrText>
                  </w:r>
                  <w:r>
                    <w:rPr>
                      <w:rFonts w:hint="default" w:ascii="Times New Roman" w:hAnsi="Times New Roman" w:cs="Times New Roman"/>
                      <w:color w:val="auto"/>
                      <w:kern w:val="2"/>
                      <w:sz w:val="21"/>
                      <w:szCs w:val="21"/>
                      <w:lang w:val="en-US" w:eastAsia="zh-CN" w:bidi="ar-SA"/>
                    </w:rPr>
                    <w:fldChar w:fldCharType="separate"/>
                  </w:r>
                  <w:r>
                    <w:rPr>
                      <w:rFonts w:hint="default" w:ascii="Times New Roman" w:hAnsi="Times New Roman" w:cs="Times New Roman"/>
                      <w:color w:val="auto"/>
                      <w:kern w:val="2"/>
                      <w:sz w:val="21"/>
                      <w:szCs w:val="21"/>
                      <w:lang w:val="en-US" w:eastAsia="zh-CN" w:bidi="ar-SA"/>
                    </w:rPr>
                    <w:t>防锈</w:t>
                  </w:r>
                  <w:r>
                    <w:rPr>
                      <w:rFonts w:hint="default" w:ascii="Times New Roman" w:hAnsi="Times New Roman" w:cs="Times New Roman"/>
                      <w:color w:val="auto"/>
                      <w:kern w:val="2"/>
                      <w:sz w:val="21"/>
                      <w:szCs w:val="21"/>
                      <w:lang w:val="en-US" w:eastAsia="zh-CN" w:bidi="ar-SA"/>
                    </w:rPr>
                    <w:fldChar w:fldCharType="end"/>
                  </w:r>
                  <w:r>
                    <w:rPr>
                      <w:rFonts w:hint="default" w:ascii="Times New Roman" w:hAnsi="Times New Roman" w:cs="Times New Roman"/>
                      <w:color w:val="auto"/>
                      <w:kern w:val="2"/>
                      <w:sz w:val="21"/>
                      <w:szCs w:val="21"/>
                      <w:lang w:val="en-US" w:eastAsia="zh-CN" w:bidi="ar-SA"/>
                    </w:rPr>
                    <w:t>、</w:t>
                  </w:r>
                  <w:r>
                    <w:rPr>
                      <w:rFonts w:hint="default" w:ascii="Times New Roman" w:hAnsi="Times New Roman" w:cs="Times New Roman"/>
                      <w:color w:val="auto"/>
                      <w:kern w:val="2"/>
                      <w:sz w:val="21"/>
                      <w:szCs w:val="21"/>
                      <w:lang w:val="en-US" w:eastAsia="zh-CN" w:bidi="ar-SA"/>
                    </w:rPr>
                    <w:fldChar w:fldCharType="begin"/>
                  </w:r>
                  <w:r>
                    <w:rPr>
                      <w:rFonts w:hint="default" w:ascii="Times New Roman" w:hAnsi="Times New Roman" w:cs="Times New Roman"/>
                      <w:color w:val="auto"/>
                      <w:kern w:val="2"/>
                      <w:sz w:val="21"/>
                      <w:szCs w:val="21"/>
                      <w:lang w:val="en-US" w:eastAsia="zh-CN" w:bidi="ar-SA"/>
                    </w:rPr>
                    <w:instrText xml:space="preserve"> HYPERLINK "https://baike.so.com/doc/5492989-5730901.html" \t "https://baike.so.com/doc/_blank" </w:instrText>
                  </w:r>
                  <w:r>
                    <w:rPr>
                      <w:rFonts w:hint="default" w:ascii="Times New Roman" w:hAnsi="Times New Roman" w:cs="Times New Roman"/>
                      <w:color w:val="auto"/>
                      <w:kern w:val="2"/>
                      <w:sz w:val="21"/>
                      <w:szCs w:val="21"/>
                      <w:lang w:val="en-US" w:eastAsia="zh-CN" w:bidi="ar-SA"/>
                    </w:rPr>
                    <w:fldChar w:fldCharType="separate"/>
                  </w:r>
                  <w:r>
                    <w:rPr>
                      <w:rFonts w:hint="default" w:ascii="Times New Roman" w:hAnsi="Times New Roman" w:cs="Times New Roman"/>
                      <w:color w:val="auto"/>
                      <w:kern w:val="2"/>
                      <w:sz w:val="21"/>
                      <w:szCs w:val="21"/>
                      <w:lang w:val="en-US" w:eastAsia="zh-CN" w:bidi="ar-SA"/>
                    </w:rPr>
                    <w:t>冷却</w:t>
                  </w:r>
                  <w:r>
                    <w:rPr>
                      <w:rFonts w:hint="default" w:ascii="Times New Roman" w:hAnsi="Times New Roman" w:cs="Times New Roman"/>
                      <w:color w:val="auto"/>
                      <w:kern w:val="2"/>
                      <w:sz w:val="21"/>
                      <w:szCs w:val="21"/>
                      <w:lang w:val="en-US" w:eastAsia="zh-CN" w:bidi="ar-SA"/>
                    </w:rPr>
                    <w:fldChar w:fldCharType="end"/>
                  </w:r>
                  <w:r>
                    <w:rPr>
                      <w:rFonts w:hint="default" w:ascii="Times New Roman" w:hAnsi="Times New Roman" w:cs="Times New Roman"/>
                      <w:color w:val="auto"/>
                      <w:kern w:val="2"/>
                      <w:sz w:val="21"/>
                      <w:szCs w:val="21"/>
                      <w:lang w:val="en-US" w:eastAsia="zh-CN" w:bidi="ar-SA"/>
                    </w:rPr>
                    <w:t>等作用。对于液压油来说，首先应满足液压装置在工作温度下与启动温度下对液体粘度的要求，由于润滑油的</w:t>
                  </w:r>
                  <w:r>
                    <w:rPr>
                      <w:rFonts w:hint="default" w:ascii="Times New Roman" w:hAnsi="Times New Roman" w:cs="Times New Roman"/>
                      <w:color w:val="auto"/>
                      <w:kern w:val="2"/>
                      <w:sz w:val="21"/>
                      <w:szCs w:val="21"/>
                      <w:lang w:val="en-US" w:eastAsia="zh-CN" w:bidi="ar-SA"/>
                    </w:rPr>
                    <w:fldChar w:fldCharType="begin"/>
                  </w:r>
                  <w:r>
                    <w:rPr>
                      <w:rFonts w:hint="default" w:ascii="Times New Roman" w:hAnsi="Times New Roman" w:cs="Times New Roman"/>
                      <w:color w:val="auto"/>
                      <w:kern w:val="2"/>
                      <w:sz w:val="21"/>
                      <w:szCs w:val="21"/>
                      <w:lang w:val="en-US" w:eastAsia="zh-CN" w:bidi="ar-SA"/>
                    </w:rPr>
                    <w:instrText xml:space="preserve"> HYPERLINK "https://baike.so.com/doc/5403077-5640765.html" \t "https://baike.so.com/doc/_blank" </w:instrText>
                  </w:r>
                  <w:r>
                    <w:rPr>
                      <w:rFonts w:hint="default" w:ascii="Times New Roman" w:hAnsi="Times New Roman" w:cs="Times New Roman"/>
                      <w:color w:val="auto"/>
                      <w:kern w:val="2"/>
                      <w:sz w:val="21"/>
                      <w:szCs w:val="21"/>
                      <w:lang w:val="en-US" w:eastAsia="zh-CN" w:bidi="ar-SA"/>
                    </w:rPr>
                    <w:fldChar w:fldCharType="separate"/>
                  </w:r>
                  <w:r>
                    <w:rPr>
                      <w:rFonts w:hint="default" w:ascii="Times New Roman" w:hAnsi="Times New Roman" w:cs="Times New Roman"/>
                      <w:color w:val="auto"/>
                      <w:kern w:val="2"/>
                      <w:sz w:val="21"/>
                      <w:szCs w:val="21"/>
                      <w:lang w:val="en-US" w:eastAsia="zh-CN" w:bidi="ar-SA"/>
                    </w:rPr>
                    <w:t>粘度</w:t>
                  </w:r>
                  <w:r>
                    <w:rPr>
                      <w:rFonts w:hint="default" w:ascii="Times New Roman" w:hAnsi="Times New Roman" w:cs="Times New Roman"/>
                      <w:color w:val="auto"/>
                      <w:kern w:val="2"/>
                      <w:sz w:val="21"/>
                      <w:szCs w:val="21"/>
                      <w:lang w:val="en-US" w:eastAsia="zh-CN" w:bidi="ar-SA"/>
                    </w:rPr>
                    <w:fldChar w:fldCharType="end"/>
                  </w:r>
                  <w:r>
                    <w:rPr>
                      <w:rFonts w:hint="default" w:ascii="Times New Roman" w:hAnsi="Times New Roman" w:cs="Times New Roman"/>
                      <w:color w:val="auto"/>
                      <w:kern w:val="2"/>
                      <w:sz w:val="21"/>
                      <w:szCs w:val="21"/>
                      <w:lang w:val="en-US" w:eastAsia="zh-CN" w:bidi="ar-SA"/>
                    </w:rPr>
                    <w:t>变化直接与液压动作、传递效率和传递精度有关，还要求油的粘温性能和剪切安定性应满足不同用途所提出的各种需求。</w:t>
                  </w:r>
                </w:p>
              </w:tc>
            </w:tr>
          </w:tbl>
          <w:p w14:paraId="226ED21B">
            <w:pPr>
              <w:numPr>
                <w:ilvl w:val="0"/>
                <w:numId w:val="5"/>
              </w:numPr>
              <w:spacing w:line="360" w:lineRule="auto"/>
              <w:ind w:firstLine="482" w:firstLineChars="200"/>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项目水平衡分析</w:t>
            </w:r>
          </w:p>
          <w:p w14:paraId="0EE031AA">
            <w:pPr>
              <w:pStyle w:val="180"/>
              <w:widowControl w:val="0"/>
              <w:spacing w:line="360" w:lineRule="auto"/>
              <w:ind w:firstLine="480"/>
              <w:jc w:val="both"/>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本项目用水主要为生活用水</w:t>
            </w:r>
            <w:r>
              <w:rPr>
                <w:rFonts w:hint="eastAsia" w:cs="Times New Roman"/>
                <w:color w:val="auto"/>
                <w:sz w:val="24"/>
                <w:szCs w:val="24"/>
                <w:lang w:eastAsia="zh-CN"/>
              </w:rPr>
              <w:t>、</w:t>
            </w:r>
            <w:r>
              <w:rPr>
                <w:rFonts w:hint="eastAsia" w:cs="Times New Roman"/>
                <w:color w:val="auto"/>
                <w:sz w:val="24"/>
                <w:szCs w:val="24"/>
                <w:lang w:val="en-US" w:eastAsia="zh-CN"/>
              </w:rPr>
              <w:t>切削液配比用</w:t>
            </w:r>
            <w:r>
              <w:rPr>
                <w:rFonts w:hint="eastAsia" w:ascii="Times New Roman" w:hAnsi="Times New Roman" w:eastAsia="宋体" w:cs="Times New Roman"/>
                <w:color w:val="auto"/>
                <w:sz w:val="24"/>
                <w:szCs w:val="24"/>
                <w:lang w:val="en-US" w:eastAsia="zh-CN"/>
              </w:rPr>
              <w:t>水、淬火配比用</w:t>
            </w:r>
            <w:r>
              <w:rPr>
                <w:rFonts w:hint="eastAsia" w:cs="Times New Roman"/>
                <w:color w:val="auto"/>
                <w:sz w:val="24"/>
                <w:szCs w:val="24"/>
                <w:lang w:val="en-US" w:eastAsia="zh-CN"/>
              </w:rPr>
              <w:t>水、水性脱模剂配比用水</w:t>
            </w:r>
            <w:r>
              <w:rPr>
                <w:rFonts w:hint="eastAsia" w:cs="Times New Roman"/>
                <w:color w:val="auto"/>
                <w:sz w:val="24"/>
                <w:szCs w:val="24"/>
                <w:lang w:eastAsia="zh-CN"/>
              </w:rPr>
              <w:t>、</w:t>
            </w:r>
            <w:r>
              <w:rPr>
                <w:rFonts w:hint="eastAsia" w:cs="Times New Roman"/>
                <w:color w:val="auto"/>
                <w:sz w:val="24"/>
                <w:szCs w:val="24"/>
                <w:lang w:val="en-US" w:eastAsia="zh-CN"/>
              </w:rPr>
              <w:t>湿式磨削配比用水和循环冷却水补水</w:t>
            </w:r>
            <w:r>
              <w:rPr>
                <w:rFonts w:hint="default" w:ascii="Times New Roman" w:hAnsi="Times New Roman" w:cs="Times New Roman"/>
                <w:color w:val="auto"/>
                <w:sz w:val="24"/>
                <w:szCs w:val="24"/>
              </w:rPr>
              <w:t>；废水主要为生活污水。</w:t>
            </w:r>
          </w:p>
          <w:p w14:paraId="62846534">
            <w:pPr>
              <w:widowControl/>
              <w:numPr>
                <w:ilvl w:val="0"/>
                <w:numId w:val="6"/>
              </w:numPr>
              <w:autoSpaceDE w:val="0"/>
              <w:autoSpaceDN w:val="0"/>
              <w:adjustRightInd w:val="0"/>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生活用水及排水</w:t>
            </w:r>
          </w:p>
          <w:p w14:paraId="22CF9ACF">
            <w:pPr>
              <w:widowControl/>
              <w:autoSpaceDE w:val="0"/>
              <w:autoSpaceDN w:val="0"/>
              <w:adjustRightInd w:val="0"/>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项目劳动定员</w:t>
            </w:r>
            <w:r>
              <w:rPr>
                <w:rFonts w:hint="eastAsia" w:cs="Times New Roman"/>
                <w:color w:val="auto"/>
                <w:kern w:val="0"/>
                <w:sz w:val="24"/>
                <w:lang w:val="en-US" w:eastAsia="zh-CN"/>
              </w:rPr>
              <w:t>100</w:t>
            </w:r>
            <w:r>
              <w:rPr>
                <w:rFonts w:hint="default" w:ascii="Times New Roman" w:hAnsi="Times New Roman" w:cs="Times New Roman"/>
                <w:color w:val="auto"/>
                <w:kern w:val="0"/>
                <w:sz w:val="24"/>
              </w:rPr>
              <w:t>人，年工作</w:t>
            </w:r>
            <w:r>
              <w:rPr>
                <w:rFonts w:hint="eastAsia" w:cs="Times New Roman"/>
                <w:color w:val="auto"/>
                <w:kern w:val="0"/>
                <w:sz w:val="24"/>
                <w:lang w:val="en-US" w:eastAsia="zh-CN"/>
              </w:rPr>
              <w:t>320</w:t>
            </w:r>
            <w:r>
              <w:rPr>
                <w:rFonts w:hint="default" w:ascii="Times New Roman" w:hAnsi="Times New Roman" w:cs="Times New Roman"/>
                <w:color w:val="auto"/>
                <w:kern w:val="0"/>
                <w:sz w:val="24"/>
              </w:rPr>
              <w:t>天，</w:t>
            </w:r>
            <w:r>
              <w:rPr>
                <w:rFonts w:hint="default" w:ascii="Times New Roman" w:hAnsi="Times New Roman" w:cs="Times New Roman"/>
                <w:color w:val="auto"/>
                <w:kern w:val="0"/>
                <w:sz w:val="24"/>
                <w:lang w:eastAsia="zh-CN"/>
              </w:rPr>
              <w:t>不在厂区内食宿，</w:t>
            </w:r>
            <w:r>
              <w:rPr>
                <w:rFonts w:hint="default" w:ascii="Times New Roman" w:hAnsi="Times New Roman" w:cs="Times New Roman"/>
                <w:color w:val="auto"/>
                <w:kern w:val="0"/>
                <w:sz w:val="24"/>
              </w:rPr>
              <w:t>生活用水以60L/人·d计，因此生活用水量</w:t>
            </w:r>
            <w:r>
              <w:rPr>
                <w:rFonts w:hint="eastAsia" w:cs="Times New Roman"/>
                <w:color w:val="auto"/>
                <w:kern w:val="0"/>
                <w:sz w:val="24"/>
                <w:lang w:val="en-US" w:eastAsia="zh-CN"/>
              </w:rPr>
              <w:t>6</w:t>
            </w:r>
            <w:r>
              <w:rPr>
                <w:rFonts w:hint="default" w:ascii="Times New Roman" w:hAnsi="Times New Roman" w:cs="Times New Roman"/>
                <w:color w:val="auto"/>
                <w:kern w:val="0"/>
                <w:sz w:val="24"/>
              </w:rPr>
              <w:t>t/d、</w:t>
            </w:r>
            <w:r>
              <w:rPr>
                <w:rFonts w:hint="eastAsia" w:cs="Times New Roman"/>
                <w:color w:val="auto"/>
                <w:kern w:val="0"/>
                <w:sz w:val="24"/>
                <w:lang w:val="en-US" w:eastAsia="zh-CN"/>
              </w:rPr>
              <w:t>1920</w:t>
            </w:r>
            <w:r>
              <w:rPr>
                <w:rFonts w:hint="default" w:ascii="Times New Roman" w:hAnsi="Times New Roman" w:cs="Times New Roman"/>
                <w:color w:val="auto"/>
                <w:kern w:val="0"/>
                <w:sz w:val="24"/>
              </w:rPr>
              <w:t>t/a，产污系数按80%计算，生活污水排放量为</w:t>
            </w:r>
            <w:r>
              <w:rPr>
                <w:rFonts w:hint="eastAsia" w:cs="Times New Roman"/>
                <w:color w:val="auto"/>
                <w:kern w:val="0"/>
                <w:sz w:val="24"/>
                <w:lang w:val="en-US" w:eastAsia="zh-CN"/>
              </w:rPr>
              <w:t>4.8</w:t>
            </w:r>
            <w:r>
              <w:rPr>
                <w:rFonts w:hint="default" w:ascii="Times New Roman" w:hAnsi="Times New Roman" w:cs="Times New Roman"/>
                <w:color w:val="auto"/>
                <w:kern w:val="0"/>
                <w:sz w:val="24"/>
              </w:rPr>
              <w:t>t/d，</w:t>
            </w:r>
            <w:r>
              <w:rPr>
                <w:rFonts w:hint="eastAsia" w:cs="Times New Roman"/>
                <w:color w:val="auto"/>
                <w:kern w:val="0"/>
                <w:sz w:val="24"/>
                <w:lang w:val="en-US" w:eastAsia="zh-CN"/>
              </w:rPr>
              <w:t>1536</w:t>
            </w:r>
            <w:r>
              <w:rPr>
                <w:rFonts w:hint="default" w:ascii="Times New Roman" w:hAnsi="Times New Roman" w:cs="Times New Roman"/>
                <w:color w:val="auto"/>
                <w:kern w:val="0"/>
                <w:sz w:val="24"/>
              </w:rPr>
              <w:t>t/a。</w:t>
            </w:r>
          </w:p>
          <w:p w14:paraId="508A3074">
            <w:pPr>
              <w:widowControl/>
              <w:numPr>
                <w:ilvl w:val="0"/>
                <w:numId w:val="6"/>
              </w:numPr>
              <w:autoSpaceDE w:val="0"/>
              <w:autoSpaceDN w:val="0"/>
              <w:adjustRightInd w:val="0"/>
              <w:spacing w:line="360" w:lineRule="auto"/>
              <w:ind w:firstLine="480" w:firstLineChars="200"/>
              <w:jc w:val="left"/>
              <w:rPr>
                <w:rFonts w:hint="default" w:ascii="Times New Roman" w:hAnsi="Times New Roman" w:eastAsia="宋体" w:cs="Times New Roman"/>
                <w:color w:val="auto"/>
                <w:kern w:val="0"/>
                <w:sz w:val="24"/>
                <w:lang w:eastAsia="zh-CN"/>
              </w:rPr>
            </w:pPr>
            <w:r>
              <w:rPr>
                <w:rFonts w:hint="eastAsia" w:cs="Times New Roman"/>
                <w:color w:val="auto"/>
                <w:kern w:val="0"/>
                <w:sz w:val="24"/>
                <w:lang w:val="en-US" w:eastAsia="zh-CN"/>
              </w:rPr>
              <w:t>切削液用水及排水</w:t>
            </w:r>
          </w:p>
          <w:p w14:paraId="1940D67F">
            <w:pPr>
              <w:pStyle w:val="24"/>
              <w:spacing w:line="360" w:lineRule="auto"/>
              <w:ind w:firstLine="480" w:firstLineChars="200"/>
              <w:rPr>
                <w:rFonts w:hint="default" w:ascii="Times New Roman" w:hAnsi="Times New Roman" w:eastAsia="宋体" w:cs="Times New Roman"/>
                <w:color w:val="auto"/>
                <w:kern w:val="0"/>
                <w:sz w:val="24"/>
                <w:lang w:eastAsia="zh-CN"/>
              </w:rPr>
            </w:pPr>
            <w:r>
              <w:rPr>
                <w:rFonts w:hint="default" w:ascii="Times New Roman" w:hAnsi="Times New Roman" w:cs="Times New Roman"/>
                <w:color w:val="auto"/>
                <w:szCs w:val="24"/>
              </w:rPr>
              <w:t>本项目切削液使用量为</w:t>
            </w:r>
            <w:r>
              <w:rPr>
                <w:rFonts w:hint="eastAsia" w:cs="Times New Roman"/>
                <w:color w:val="auto"/>
                <w:szCs w:val="24"/>
                <w:lang w:val="en-US" w:eastAsia="zh-CN"/>
              </w:rPr>
              <w:t>6</w:t>
            </w:r>
            <w:r>
              <w:rPr>
                <w:rFonts w:hint="default" w:ascii="Times New Roman" w:hAnsi="Times New Roman" w:cs="Times New Roman"/>
                <w:color w:val="auto"/>
                <w:szCs w:val="24"/>
              </w:rPr>
              <w:t>t/a，</w:t>
            </w:r>
            <w:r>
              <w:rPr>
                <w:rFonts w:hint="default" w:ascii="Times New Roman" w:hAnsi="Times New Roman" w:cs="Times New Roman"/>
                <w:color w:val="auto"/>
                <w:szCs w:val="24"/>
                <w:lang w:val="en-US" w:eastAsia="zh-CN"/>
              </w:rPr>
              <w:t>0.0</w:t>
            </w:r>
            <w:r>
              <w:rPr>
                <w:rFonts w:hint="eastAsia" w:cs="Times New Roman"/>
                <w:color w:val="auto"/>
                <w:szCs w:val="24"/>
                <w:lang w:val="en-US" w:eastAsia="zh-CN"/>
              </w:rPr>
              <w:t>19</w:t>
            </w:r>
            <w:r>
              <w:rPr>
                <w:rFonts w:hint="default" w:ascii="Times New Roman" w:hAnsi="Times New Roman" w:cs="Times New Roman"/>
                <w:color w:val="auto"/>
                <w:szCs w:val="24"/>
                <w:lang w:val="en-US" w:eastAsia="zh-CN"/>
              </w:rPr>
              <w:t>t/d。</w:t>
            </w:r>
            <w:r>
              <w:rPr>
                <w:rFonts w:hint="default" w:ascii="Times New Roman" w:hAnsi="Times New Roman" w:cs="Times New Roman"/>
                <w:color w:val="auto"/>
                <w:szCs w:val="24"/>
              </w:rPr>
              <w:t>根据企业提供资料，按照切削液与水1:</w:t>
            </w:r>
            <w:r>
              <w:rPr>
                <w:rFonts w:hint="default" w:ascii="Times New Roman" w:hAnsi="Times New Roman" w:cs="Times New Roman"/>
                <w:color w:val="auto"/>
                <w:szCs w:val="24"/>
                <w:lang w:val="en-US" w:eastAsia="zh-CN"/>
              </w:rPr>
              <w:t>20</w:t>
            </w:r>
            <w:r>
              <w:rPr>
                <w:rFonts w:hint="default" w:ascii="Times New Roman" w:hAnsi="Times New Roman" w:cs="Times New Roman"/>
                <w:color w:val="auto"/>
                <w:szCs w:val="24"/>
              </w:rPr>
              <w:t>的比例调配，则切削液调配用水量为</w:t>
            </w:r>
            <w:r>
              <w:rPr>
                <w:rFonts w:hint="eastAsia" w:cs="Times New Roman"/>
                <w:color w:val="auto"/>
                <w:szCs w:val="24"/>
                <w:lang w:val="en-US" w:eastAsia="zh-CN"/>
              </w:rPr>
              <w:t>120</w:t>
            </w:r>
            <w:r>
              <w:rPr>
                <w:rFonts w:hint="default" w:ascii="Times New Roman" w:hAnsi="Times New Roman" w:cs="Times New Roman"/>
                <w:color w:val="auto"/>
                <w:szCs w:val="24"/>
              </w:rPr>
              <w:t>t/a，0.</w:t>
            </w:r>
            <w:r>
              <w:rPr>
                <w:rFonts w:hint="eastAsia" w:cs="Times New Roman"/>
                <w:color w:val="auto"/>
                <w:szCs w:val="24"/>
                <w:lang w:val="en-US" w:eastAsia="zh-CN"/>
              </w:rPr>
              <w:t>375</w:t>
            </w:r>
            <w:r>
              <w:rPr>
                <w:rFonts w:hint="default" w:ascii="Times New Roman" w:hAnsi="Times New Roman" w:cs="Times New Roman"/>
                <w:color w:val="auto"/>
                <w:szCs w:val="24"/>
              </w:rPr>
              <w:t>t/d。</w:t>
            </w:r>
            <w:r>
              <w:rPr>
                <w:rFonts w:hint="default" w:ascii="Times New Roman" w:hAnsi="Times New Roman" w:eastAsia="宋体" w:cs="Times New Roman"/>
                <w:color w:val="auto"/>
                <w:szCs w:val="24"/>
                <w:lang w:val="en-US" w:eastAsia="zh-CN"/>
              </w:rPr>
              <w:t>调配的切削液在使用中损耗9</w:t>
            </w:r>
            <w:r>
              <w:rPr>
                <w:rFonts w:hint="eastAsia" w:cs="Times New Roman"/>
                <w:color w:val="auto"/>
                <w:szCs w:val="24"/>
                <w:lang w:val="en-US" w:eastAsia="zh-CN"/>
              </w:rPr>
              <w:t>8</w:t>
            </w:r>
            <w:r>
              <w:rPr>
                <w:rFonts w:hint="default" w:ascii="Times New Roman" w:hAnsi="Times New Roman" w:eastAsia="宋体" w:cs="Times New Roman"/>
                <w:color w:val="auto"/>
                <w:szCs w:val="24"/>
                <w:lang w:val="en-US" w:eastAsia="zh-CN"/>
              </w:rPr>
              <w:t>%，剩余作危险废物处置，作危险废物处置的废切削液量</w:t>
            </w:r>
            <w:r>
              <w:rPr>
                <w:rFonts w:hint="eastAsia" w:cs="Times New Roman"/>
                <w:color w:val="auto"/>
                <w:szCs w:val="24"/>
                <w:lang w:val="en-US" w:eastAsia="zh-CN"/>
              </w:rPr>
              <w:t>0.008</w:t>
            </w:r>
            <w:r>
              <w:rPr>
                <w:rFonts w:hint="default" w:ascii="Times New Roman" w:hAnsi="Times New Roman" w:eastAsia="宋体" w:cs="Times New Roman"/>
                <w:color w:val="auto"/>
                <w:szCs w:val="24"/>
                <w:lang w:val="en-US" w:eastAsia="zh-CN"/>
              </w:rPr>
              <w:t>t/d，</w:t>
            </w:r>
            <w:r>
              <w:rPr>
                <w:rFonts w:hint="eastAsia" w:cs="Times New Roman"/>
                <w:color w:val="auto"/>
                <w:szCs w:val="24"/>
                <w:lang w:val="en-US" w:eastAsia="zh-CN"/>
              </w:rPr>
              <w:t>2.52</w:t>
            </w:r>
            <w:r>
              <w:rPr>
                <w:rFonts w:hint="default" w:ascii="Times New Roman" w:hAnsi="Times New Roman" w:eastAsia="宋体" w:cs="Times New Roman"/>
                <w:color w:val="auto"/>
                <w:szCs w:val="24"/>
                <w:lang w:val="en-US" w:eastAsia="zh-CN"/>
              </w:rPr>
              <w:t>t/a。</w:t>
            </w:r>
          </w:p>
          <w:p w14:paraId="2128855D">
            <w:pPr>
              <w:widowControl/>
              <w:numPr>
                <w:ilvl w:val="0"/>
                <w:numId w:val="6"/>
              </w:numPr>
              <w:autoSpaceDE w:val="0"/>
              <w:autoSpaceDN w:val="0"/>
              <w:adjustRightInd w:val="0"/>
              <w:spacing w:line="360" w:lineRule="auto"/>
              <w:ind w:firstLine="480" w:firstLineChars="200"/>
              <w:jc w:val="left"/>
              <w:rPr>
                <w:rFonts w:hint="default" w:ascii="Times New Roman" w:hAnsi="Times New Roman" w:eastAsia="宋体" w:cs="Times New Roman"/>
                <w:color w:val="auto"/>
                <w:kern w:val="0"/>
                <w:sz w:val="24"/>
                <w:lang w:eastAsia="zh-CN"/>
              </w:rPr>
            </w:pPr>
            <w:r>
              <w:rPr>
                <w:rFonts w:hint="eastAsia" w:cs="Times New Roman"/>
                <w:color w:val="auto"/>
                <w:kern w:val="0"/>
                <w:sz w:val="24"/>
                <w:lang w:val="en-US" w:eastAsia="zh-CN"/>
              </w:rPr>
              <w:t>淬火用水及排水</w:t>
            </w:r>
          </w:p>
          <w:p w14:paraId="20B7424B">
            <w:pPr>
              <w:widowControl/>
              <w:autoSpaceDE w:val="0"/>
              <w:autoSpaceDN w:val="0"/>
              <w:adjustRightInd w:val="0"/>
              <w:spacing w:line="360" w:lineRule="auto"/>
              <w:ind w:firstLine="480" w:firstLineChars="200"/>
              <w:jc w:val="left"/>
              <w:rPr>
                <w:rFonts w:hint="default" w:cs="Times New Roman"/>
                <w:color w:val="auto"/>
                <w:kern w:val="0"/>
                <w:sz w:val="24"/>
                <w:lang w:val="en-US" w:eastAsia="zh-CN"/>
              </w:rPr>
            </w:pPr>
            <w:r>
              <w:rPr>
                <w:rFonts w:hint="eastAsia" w:cs="Times New Roman"/>
                <w:color w:val="auto"/>
                <w:kern w:val="0"/>
                <w:sz w:val="24"/>
                <w:lang w:val="en-US" w:eastAsia="zh-CN"/>
              </w:rPr>
              <w:t>项目淬火工序需使用水性淬火液和自来水配比的混合溶液，根据企业提供资料，水性淬火液年用量为1.2t/a，0.0038t/d，按照水性淬火液：自来水=1:20的比例调配，则淬火调配用水量为0.075t/d，24t/a。项目每台数控感应淬火机床内部自带淬火槽，尺寸为L0.7*W0.6*H1.8m，有效容积为0.6m</w:t>
            </w:r>
            <w:r>
              <w:rPr>
                <w:rFonts w:hint="eastAsia" w:cs="Times New Roman"/>
                <w:color w:val="auto"/>
                <w:kern w:val="0"/>
                <w:sz w:val="24"/>
                <w:vertAlign w:val="superscript"/>
                <w:lang w:val="en-US" w:eastAsia="zh-CN"/>
              </w:rPr>
              <w:t>3</w:t>
            </w:r>
            <w:r>
              <w:rPr>
                <w:rFonts w:hint="eastAsia" w:cs="Times New Roman"/>
                <w:color w:val="auto"/>
                <w:kern w:val="0"/>
                <w:sz w:val="24"/>
                <w:lang w:val="en-US" w:eastAsia="zh-CN"/>
              </w:rPr>
              <w:t>，槽</w:t>
            </w:r>
            <w:r>
              <w:rPr>
                <w:rFonts w:hint="eastAsia" w:ascii="Times New Roman" w:hAnsi="Times New Roman" w:cs="Times New Roman"/>
                <w:color w:val="auto"/>
                <w:kern w:val="0"/>
                <w:sz w:val="24"/>
                <w:lang w:val="en-US" w:eastAsia="zh-CN"/>
              </w:rPr>
              <w:t>内</w:t>
            </w:r>
            <w:r>
              <w:rPr>
                <w:rFonts w:hint="eastAsia" w:cs="Times New Roman"/>
                <w:color w:val="auto"/>
                <w:kern w:val="0"/>
                <w:sz w:val="24"/>
                <w:lang w:val="en-US" w:eastAsia="zh-CN"/>
              </w:rPr>
              <w:t>水性淬火液</w:t>
            </w:r>
            <w:r>
              <w:rPr>
                <w:rFonts w:hint="eastAsia" w:cs="Times New Roman"/>
                <w:b w:val="0"/>
                <w:bCs w:val="0"/>
                <w:color w:val="auto"/>
                <w:sz w:val="24"/>
                <w:szCs w:val="20"/>
                <w:lang w:val="en-US" w:eastAsia="zh-CN"/>
              </w:rPr>
              <w:t>循环使用，不外排，</w:t>
            </w:r>
            <w:r>
              <w:rPr>
                <w:rFonts w:hint="default" w:ascii="Times New Roman" w:hAnsi="Times New Roman" w:eastAsia="宋体" w:cs="Times New Roman"/>
                <w:b w:val="0"/>
                <w:bCs w:val="0"/>
                <w:color w:val="auto"/>
                <w:sz w:val="24"/>
                <w:szCs w:val="20"/>
                <w:lang w:val="en-US" w:eastAsia="zh-CN"/>
              </w:rPr>
              <w:t>定期补充</w:t>
            </w:r>
            <w:r>
              <w:rPr>
                <w:rFonts w:hint="eastAsia" w:cs="Times New Roman"/>
                <w:b w:val="0"/>
                <w:bCs w:val="0"/>
                <w:color w:val="auto"/>
                <w:sz w:val="24"/>
                <w:szCs w:val="20"/>
                <w:lang w:val="en-US" w:eastAsia="zh-CN"/>
              </w:rPr>
              <w:t>，定期捞渣，无需更换</w:t>
            </w:r>
            <w:r>
              <w:rPr>
                <w:rFonts w:hint="eastAsia" w:ascii="Times New Roman" w:hAnsi="Times New Roman" w:cs="Times New Roman"/>
                <w:color w:val="auto"/>
                <w:kern w:val="0"/>
                <w:sz w:val="24"/>
                <w:lang w:val="en-US" w:eastAsia="zh-CN"/>
              </w:rPr>
              <w:t>。每日耗损量约为混合</w:t>
            </w:r>
            <w:r>
              <w:rPr>
                <w:rFonts w:hint="eastAsia" w:cs="Times New Roman"/>
                <w:color w:val="auto"/>
                <w:kern w:val="0"/>
                <w:sz w:val="24"/>
                <w:lang w:val="en-US" w:eastAsia="zh-CN"/>
              </w:rPr>
              <w:t>水性淬火液</w:t>
            </w:r>
            <w:r>
              <w:rPr>
                <w:rFonts w:hint="eastAsia" w:ascii="Times New Roman" w:hAnsi="Times New Roman" w:cs="Times New Roman"/>
                <w:color w:val="auto"/>
                <w:kern w:val="0"/>
                <w:sz w:val="24"/>
                <w:lang w:val="en-US" w:eastAsia="zh-CN"/>
              </w:rPr>
              <w:t>的10%，</w:t>
            </w:r>
            <w:r>
              <w:rPr>
                <w:rFonts w:hint="default" w:ascii="Times New Roman" w:hAnsi="Times New Roman" w:cs="Times New Roman"/>
                <w:color w:val="auto"/>
                <w:kern w:val="0"/>
                <w:sz w:val="24"/>
                <w:lang w:val="en-US" w:eastAsia="zh-CN"/>
              </w:rPr>
              <w:t>本项目年工作3</w:t>
            </w:r>
            <w:r>
              <w:rPr>
                <w:rFonts w:hint="eastAsia" w:ascii="Times New Roman" w:hAnsi="Times New Roman" w:cs="Times New Roman"/>
                <w:color w:val="auto"/>
                <w:kern w:val="0"/>
                <w:sz w:val="24"/>
                <w:lang w:val="en-US" w:eastAsia="zh-CN"/>
              </w:rPr>
              <w:t>2</w:t>
            </w:r>
            <w:r>
              <w:rPr>
                <w:rFonts w:hint="default" w:ascii="Times New Roman" w:hAnsi="Times New Roman" w:cs="Times New Roman"/>
                <w:color w:val="auto"/>
                <w:kern w:val="0"/>
                <w:sz w:val="24"/>
                <w:lang w:val="en-US" w:eastAsia="zh-CN"/>
              </w:rPr>
              <w:t>0天，则</w:t>
            </w:r>
            <w:r>
              <w:rPr>
                <w:rFonts w:hint="eastAsia" w:ascii="Times New Roman" w:hAnsi="Times New Roman" w:cs="Times New Roman"/>
                <w:color w:val="auto"/>
                <w:kern w:val="0"/>
                <w:sz w:val="24"/>
                <w:lang w:val="en-US" w:eastAsia="zh-CN"/>
              </w:rPr>
              <w:t>淬火耗损</w:t>
            </w:r>
            <w:r>
              <w:rPr>
                <w:rFonts w:hint="default" w:ascii="Times New Roman" w:hAnsi="Times New Roman" w:cs="Times New Roman"/>
                <w:color w:val="auto"/>
                <w:kern w:val="0"/>
                <w:sz w:val="24"/>
                <w:lang w:val="en-US" w:eastAsia="zh-CN"/>
              </w:rPr>
              <w:t>量为0.0</w:t>
            </w:r>
            <w:r>
              <w:rPr>
                <w:rFonts w:hint="eastAsia" w:ascii="Times New Roman" w:hAnsi="Times New Roman" w:cs="Times New Roman"/>
                <w:color w:val="auto"/>
                <w:kern w:val="0"/>
                <w:sz w:val="24"/>
                <w:lang w:val="en-US" w:eastAsia="zh-CN"/>
              </w:rPr>
              <w:t>08</w:t>
            </w:r>
            <w:r>
              <w:rPr>
                <w:rFonts w:hint="default" w:ascii="Times New Roman" w:hAnsi="Times New Roman" w:cs="Times New Roman"/>
                <w:color w:val="auto"/>
                <w:kern w:val="0"/>
                <w:sz w:val="24"/>
                <w:lang w:val="en-US" w:eastAsia="zh-CN"/>
              </w:rPr>
              <w:t>t/d，</w:t>
            </w:r>
            <w:r>
              <w:rPr>
                <w:rFonts w:hint="eastAsia" w:ascii="Times New Roman" w:hAnsi="Times New Roman" w:cs="Times New Roman"/>
                <w:color w:val="auto"/>
                <w:kern w:val="0"/>
                <w:sz w:val="24"/>
                <w:lang w:val="en-US" w:eastAsia="zh-CN"/>
              </w:rPr>
              <w:t>2.52</w:t>
            </w:r>
            <w:r>
              <w:rPr>
                <w:rFonts w:hint="default" w:ascii="Times New Roman" w:hAnsi="Times New Roman" w:cs="Times New Roman"/>
                <w:color w:val="auto"/>
                <w:kern w:val="0"/>
                <w:sz w:val="24"/>
                <w:lang w:val="en-US" w:eastAsia="zh-CN"/>
              </w:rPr>
              <w:t>t/a，</w:t>
            </w:r>
            <w:r>
              <w:rPr>
                <w:rFonts w:hint="eastAsia" w:ascii="Times New Roman" w:hAnsi="Times New Roman" w:cs="Times New Roman"/>
                <w:color w:val="auto"/>
                <w:kern w:val="0"/>
                <w:sz w:val="24"/>
                <w:lang w:val="en-US" w:eastAsia="zh-CN"/>
              </w:rPr>
              <w:t>淬火废水</w:t>
            </w:r>
            <w:r>
              <w:rPr>
                <w:rFonts w:hint="default" w:ascii="Times New Roman" w:hAnsi="Times New Roman" w:cs="Times New Roman"/>
                <w:color w:val="auto"/>
                <w:kern w:val="0"/>
                <w:sz w:val="24"/>
                <w:lang w:val="en-US" w:eastAsia="zh-CN"/>
              </w:rPr>
              <w:t>量为0.</w:t>
            </w:r>
            <w:r>
              <w:rPr>
                <w:rFonts w:hint="eastAsia" w:ascii="Times New Roman" w:hAnsi="Times New Roman" w:cs="Times New Roman"/>
                <w:color w:val="auto"/>
                <w:kern w:val="0"/>
                <w:sz w:val="24"/>
                <w:lang w:val="en-US" w:eastAsia="zh-CN"/>
              </w:rPr>
              <w:t>0</w:t>
            </w:r>
            <w:r>
              <w:rPr>
                <w:rFonts w:hint="eastAsia" w:cs="Times New Roman"/>
                <w:color w:val="auto"/>
                <w:kern w:val="0"/>
                <w:sz w:val="24"/>
                <w:lang w:val="en-US" w:eastAsia="zh-CN"/>
              </w:rPr>
              <w:t>708</w:t>
            </w:r>
            <w:r>
              <w:rPr>
                <w:rFonts w:hint="default" w:ascii="Times New Roman" w:hAnsi="Times New Roman" w:cs="Times New Roman"/>
                <w:color w:val="auto"/>
                <w:kern w:val="0"/>
                <w:sz w:val="24"/>
                <w:lang w:val="en-US" w:eastAsia="zh-CN"/>
              </w:rPr>
              <w:t>t/d，</w:t>
            </w:r>
            <w:r>
              <w:rPr>
                <w:rFonts w:hint="eastAsia" w:ascii="Times New Roman" w:hAnsi="Times New Roman" w:cs="Times New Roman"/>
                <w:color w:val="auto"/>
                <w:kern w:val="0"/>
                <w:sz w:val="24"/>
                <w:lang w:val="en-US" w:eastAsia="zh-CN"/>
              </w:rPr>
              <w:t>2</w:t>
            </w:r>
            <w:r>
              <w:rPr>
                <w:rFonts w:hint="eastAsia" w:cs="Times New Roman"/>
                <w:color w:val="auto"/>
                <w:sz w:val="24"/>
                <w:szCs w:val="24"/>
                <w:highlight w:val="none"/>
                <w:lang w:val="en-US" w:eastAsia="zh-CN"/>
              </w:rPr>
              <w:t>2.68</w:t>
            </w:r>
            <w:r>
              <w:rPr>
                <w:rFonts w:hint="default" w:ascii="Times New Roman" w:hAnsi="Times New Roman" w:cs="Times New Roman"/>
                <w:color w:val="auto"/>
                <w:sz w:val="24"/>
                <w:szCs w:val="24"/>
                <w:highlight w:val="none"/>
                <w:lang w:val="en-US" w:eastAsia="zh-CN"/>
              </w:rPr>
              <w:t>t/a。</w:t>
            </w:r>
          </w:p>
          <w:p w14:paraId="34AAFDCC">
            <w:pPr>
              <w:widowControl/>
              <w:numPr>
                <w:ilvl w:val="0"/>
                <w:numId w:val="6"/>
              </w:numPr>
              <w:autoSpaceDE w:val="0"/>
              <w:autoSpaceDN w:val="0"/>
              <w:adjustRightInd w:val="0"/>
              <w:spacing w:line="360" w:lineRule="auto"/>
              <w:ind w:firstLine="480" w:firstLineChars="200"/>
              <w:jc w:val="left"/>
              <w:rPr>
                <w:rFonts w:hint="eastAsia" w:cs="Times New Roman"/>
                <w:color w:val="auto"/>
                <w:kern w:val="0"/>
                <w:sz w:val="24"/>
                <w:lang w:eastAsia="zh-CN"/>
              </w:rPr>
            </w:pPr>
            <w:r>
              <w:rPr>
                <w:rFonts w:hint="eastAsia" w:cs="Times New Roman"/>
                <w:color w:val="auto"/>
                <w:kern w:val="0"/>
                <w:sz w:val="24"/>
                <w:lang w:val="en-US" w:eastAsia="zh-CN"/>
              </w:rPr>
              <w:t>水性脱模剂用水及排水</w:t>
            </w:r>
          </w:p>
          <w:p w14:paraId="51ABCD22">
            <w:pPr>
              <w:pStyle w:val="24"/>
              <w:spacing w:line="360" w:lineRule="auto"/>
              <w:ind w:firstLine="480" w:firstLineChars="200"/>
              <w:rPr>
                <w:rFonts w:hint="eastAsia" w:cs="Times New Roman"/>
                <w:color w:val="auto"/>
                <w:kern w:val="0"/>
                <w:sz w:val="24"/>
                <w:lang w:eastAsia="zh-CN"/>
              </w:rPr>
            </w:pPr>
            <w:r>
              <w:rPr>
                <w:rFonts w:hint="default" w:ascii="Times New Roman" w:hAnsi="Times New Roman" w:eastAsia="宋体" w:cs="Times New Roman"/>
                <w:color w:val="auto"/>
                <w:kern w:val="0"/>
                <w:sz w:val="24"/>
                <w:szCs w:val="24"/>
                <w:lang w:val="en-US" w:eastAsia="zh-CN" w:bidi="ar-SA"/>
              </w:rPr>
              <w:t>本项目</w:t>
            </w:r>
            <w:r>
              <w:rPr>
                <w:rFonts w:hint="eastAsia" w:cs="Times New Roman"/>
                <w:color w:val="auto"/>
                <w:kern w:val="0"/>
                <w:sz w:val="24"/>
                <w:szCs w:val="24"/>
                <w:lang w:val="en-US" w:eastAsia="zh-CN" w:bidi="ar-SA"/>
              </w:rPr>
              <w:t>水性脱模剂</w:t>
            </w:r>
            <w:r>
              <w:rPr>
                <w:rFonts w:hint="default" w:ascii="Times New Roman" w:hAnsi="Times New Roman" w:eastAsia="宋体" w:cs="Times New Roman"/>
                <w:color w:val="auto"/>
                <w:kern w:val="0"/>
                <w:sz w:val="24"/>
                <w:szCs w:val="24"/>
                <w:lang w:val="en-US" w:eastAsia="zh-CN" w:bidi="ar-SA"/>
              </w:rPr>
              <w:t>使用量为</w:t>
            </w:r>
            <w:r>
              <w:rPr>
                <w:rFonts w:hint="default" w:ascii="Times New Roman" w:hAnsi="Times New Roman" w:cs="Times New Roman"/>
                <w:color w:val="auto"/>
                <w:kern w:val="0"/>
                <w:sz w:val="24"/>
                <w:szCs w:val="24"/>
                <w:lang w:val="en-US" w:eastAsia="zh-CN" w:bidi="ar-SA"/>
              </w:rPr>
              <w:t>1</w:t>
            </w:r>
            <w:r>
              <w:rPr>
                <w:rFonts w:hint="eastAsia" w:cs="Times New Roman"/>
                <w:color w:val="auto"/>
                <w:kern w:val="0"/>
                <w:sz w:val="24"/>
                <w:szCs w:val="24"/>
                <w:lang w:val="en-US" w:eastAsia="zh-CN" w:bidi="ar-SA"/>
              </w:rPr>
              <w:t>0.</w:t>
            </w:r>
            <w:r>
              <w:rPr>
                <w:rFonts w:hint="eastAsia" w:ascii="Times New Roman" w:hAnsi="Times New Roman" w:cs="Times New Roman"/>
                <w:color w:val="auto"/>
                <w:kern w:val="0"/>
                <w:sz w:val="24"/>
                <w:szCs w:val="24"/>
                <w:lang w:val="en-US" w:eastAsia="zh-CN" w:bidi="ar-SA"/>
              </w:rPr>
              <w:t>8</w:t>
            </w:r>
            <w:r>
              <w:rPr>
                <w:rFonts w:hint="default" w:ascii="Times New Roman" w:hAnsi="Times New Roman" w:eastAsia="宋体" w:cs="Times New Roman"/>
                <w:color w:val="auto"/>
                <w:kern w:val="0"/>
                <w:sz w:val="24"/>
                <w:szCs w:val="24"/>
                <w:lang w:val="en-US" w:eastAsia="zh-CN" w:bidi="ar-SA"/>
              </w:rPr>
              <w:t>t/a，</w:t>
            </w:r>
            <w:r>
              <w:rPr>
                <w:rFonts w:hint="default" w:ascii="Times New Roman" w:hAnsi="Times New Roman" w:cs="Times New Roman"/>
                <w:color w:val="auto"/>
                <w:kern w:val="0"/>
                <w:sz w:val="24"/>
                <w:szCs w:val="24"/>
                <w:lang w:val="en-US" w:eastAsia="zh-CN" w:bidi="ar-SA"/>
              </w:rPr>
              <w:t>0.03</w:t>
            </w:r>
            <w:r>
              <w:rPr>
                <w:rFonts w:hint="eastAsia" w:ascii="Times New Roman" w:hAnsi="Times New Roman" w:cs="Times New Roman"/>
                <w:color w:val="auto"/>
                <w:kern w:val="0"/>
                <w:sz w:val="24"/>
                <w:szCs w:val="24"/>
                <w:lang w:val="en-US" w:eastAsia="zh-CN" w:bidi="ar-SA"/>
              </w:rPr>
              <w:t>4</w:t>
            </w:r>
            <w:r>
              <w:rPr>
                <w:rFonts w:hint="default" w:ascii="Times New Roman" w:hAnsi="Times New Roman" w:cs="Times New Roman"/>
                <w:color w:val="auto"/>
                <w:kern w:val="0"/>
                <w:sz w:val="24"/>
                <w:szCs w:val="24"/>
                <w:lang w:val="en-US" w:eastAsia="zh-CN" w:bidi="ar-SA"/>
              </w:rPr>
              <w:t>t/d。</w:t>
            </w:r>
            <w:r>
              <w:rPr>
                <w:rFonts w:hint="default" w:ascii="Times New Roman" w:hAnsi="Times New Roman" w:eastAsia="宋体" w:cs="Times New Roman"/>
                <w:color w:val="auto"/>
                <w:kern w:val="0"/>
                <w:sz w:val="24"/>
                <w:szCs w:val="24"/>
                <w:lang w:val="en-US" w:eastAsia="zh-CN" w:bidi="ar-SA"/>
              </w:rPr>
              <w:t>根据企业提供资料，按照</w:t>
            </w:r>
            <w:r>
              <w:rPr>
                <w:rFonts w:hint="eastAsia" w:cs="Times New Roman"/>
                <w:color w:val="auto"/>
                <w:kern w:val="0"/>
                <w:sz w:val="24"/>
                <w:szCs w:val="24"/>
                <w:lang w:val="en-US" w:eastAsia="zh-CN" w:bidi="ar-SA"/>
              </w:rPr>
              <w:t>水性脱模剂</w:t>
            </w:r>
            <w:r>
              <w:rPr>
                <w:rFonts w:hint="default" w:ascii="Times New Roman" w:hAnsi="Times New Roman" w:eastAsia="宋体" w:cs="Times New Roman"/>
                <w:color w:val="auto"/>
                <w:kern w:val="0"/>
                <w:sz w:val="24"/>
                <w:szCs w:val="24"/>
                <w:lang w:val="en-US" w:eastAsia="zh-CN" w:bidi="ar-SA"/>
              </w:rPr>
              <w:t>与水1:</w:t>
            </w:r>
            <w:r>
              <w:rPr>
                <w:rFonts w:hint="eastAsia" w:ascii="Times New Roman" w:hAnsi="Times New Roman" w:cs="Times New Roman"/>
                <w:color w:val="auto"/>
                <w:kern w:val="0"/>
                <w:sz w:val="24"/>
                <w:szCs w:val="24"/>
                <w:lang w:val="en-US" w:eastAsia="zh-CN" w:bidi="ar-SA"/>
              </w:rPr>
              <w:t>2</w:t>
            </w:r>
            <w:r>
              <w:rPr>
                <w:rFonts w:hint="default" w:ascii="Times New Roman" w:hAnsi="Times New Roman" w:eastAsia="宋体" w:cs="Times New Roman"/>
                <w:color w:val="auto"/>
                <w:kern w:val="0"/>
                <w:sz w:val="24"/>
                <w:szCs w:val="24"/>
                <w:lang w:val="en-US" w:eastAsia="zh-CN" w:bidi="ar-SA"/>
              </w:rPr>
              <w:t>0的比例调配，则</w:t>
            </w:r>
            <w:r>
              <w:rPr>
                <w:rFonts w:hint="eastAsia" w:cs="Times New Roman"/>
                <w:color w:val="auto"/>
                <w:kern w:val="0"/>
                <w:sz w:val="24"/>
                <w:szCs w:val="24"/>
                <w:lang w:val="en-US" w:eastAsia="zh-CN" w:bidi="ar-SA"/>
              </w:rPr>
              <w:t>水性脱模剂</w:t>
            </w:r>
            <w:r>
              <w:rPr>
                <w:rFonts w:hint="default" w:ascii="Times New Roman" w:hAnsi="Times New Roman" w:eastAsia="宋体" w:cs="Times New Roman"/>
                <w:color w:val="auto"/>
                <w:kern w:val="0"/>
                <w:sz w:val="24"/>
                <w:szCs w:val="24"/>
                <w:lang w:val="en-US" w:eastAsia="zh-CN" w:bidi="ar-SA"/>
              </w:rPr>
              <w:t>调配用水量为</w:t>
            </w:r>
            <w:r>
              <w:rPr>
                <w:rFonts w:hint="eastAsia" w:ascii="Times New Roman" w:hAnsi="Times New Roman" w:cs="Times New Roman"/>
                <w:color w:val="auto"/>
                <w:kern w:val="0"/>
                <w:sz w:val="24"/>
                <w:szCs w:val="24"/>
                <w:lang w:val="en-US" w:eastAsia="zh-CN" w:bidi="ar-SA"/>
              </w:rPr>
              <w:t>21</w:t>
            </w:r>
            <w:r>
              <w:rPr>
                <w:rFonts w:hint="eastAsia" w:cs="Times New Roman"/>
                <w:color w:val="auto"/>
                <w:kern w:val="0"/>
                <w:sz w:val="24"/>
                <w:szCs w:val="24"/>
                <w:lang w:val="en-US" w:eastAsia="zh-CN" w:bidi="ar-SA"/>
              </w:rPr>
              <w:t>6</w:t>
            </w:r>
            <w:r>
              <w:rPr>
                <w:rFonts w:hint="default" w:ascii="Times New Roman" w:hAnsi="Times New Roman" w:eastAsia="宋体" w:cs="Times New Roman"/>
                <w:color w:val="auto"/>
                <w:kern w:val="0"/>
                <w:sz w:val="24"/>
                <w:szCs w:val="24"/>
                <w:lang w:val="en-US" w:eastAsia="zh-CN" w:bidi="ar-SA"/>
              </w:rPr>
              <w:t>t/a，</w:t>
            </w:r>
            <w:r>
              <w:rPr>
                <w:rFonts w:hint="eastAsia" w:cs="Times New Roman"/>
                <w:color w:val="auto"/>
                <w:kern w:val="0"/>
                <w:sz w:val="24"/>
                <w:szCs w:val="24"/>
                <w:lang w:val="en-US" w:eastAsia="zh-CN" w:bidi="ar-SA"/>
              </w:rPr>
              <w:t>0.675</w:t>
            </w:r>
            <w:r>
              <w:rPr>
                <w:rFonts w:hint="default" w:ascii="Times New Roman" w:hAnsi="Times New Roman" w:eastAsia="宋体" w:cs="Times New Roman"/>
                <w:color w:val="auto"/>
                <w:kern w:val="0"/>
                <w:sz w:val="24"/>
                <w:szCs w:val="24"/>
                <w:lang w:val="en-US" w:eastAsia="zh-CN" w:bidi="ar-SA"/>
              </w:rPr>
              <w:t>t/d。本项目</w:t>
            </w:r>
            <w:r>
              <w:rPr>
                <w:rFonts w:hint="eastAsia" w:ascii="Times New Roman" w:hAnsi="Times New Roman" w:cs="Times New Roman"/>
                <w:color w:val="auto"/>
                <w:kern w:val="0"/>
                <w:sz w:val="24"/>
                <w:szCs w:val="24"/>
                <w:lang w:val="en-US" w:eastAsia="zh-CN" w:bidi="ar-SA"/>
              </w:rPr>
              <w:t>在</w:t>
            </w:r>
            <w:r>
              <w:rPr>
                <w:rFonts w:hint="eastAsia" w:cs="Times New Roman"/>
                <w:color w:val="auto"/>
                <w:sz w:val="24"/>
                <w:szCs w:val="24"/>
                <w:lang w:val="en-US" w:eastAsia="zh-CN"/>
              </w:rPr>
              <w:t>模具</w:t>
            </w:r>
            <w:r>
              <w:rPr>
                <w:rFonts w:hint="eastAsia" w:ascii="Times New Roman" w:hAnsi="Times New Roman" w:eastAsia="宋体" w:cs="Times New Roman"/>
                <w:color w:val="auto"/>
                <w:kern w:val="0"/>
                <w:sz w:val="24"/>
                <w:szCs w:val="24"/>
                <w:lang w:val="en-US" w:eastAsia="zh-CN" w:bidi="ar-SA"/>
              </w:rPr>
              <w:t>内喷上一层</w:t>
            </w:r>
            <w:r>
              <w:rPr>
                <w:rFonts w:hint="eastAsia" w:cs="Times New Roman"/>
                <w:color w:val="auto"/>
                <w:kern w:val="0"/>
                <w:sz w:val="24"/>
                <w:szCs w:val="24"/>
                <w:lang w:val="en-US" w:eastAsia="zh-CN" w:bidi="ar-SA"/>
              </w:rPr>
              <w:t>水性脱模剂</w:t>
            </w:r>
            <w:r>
              <w:rPr>
                <w:rFonts w:hint="eastAsia" w:ascii="Times New Roman" w:hAnsi="Times New Roman" w:eastAsia="宋体" w:cs="Times New Roman"/>
                <w:color w:val="auto"/>
                <w:kern w:val="0"/>
                <w:sz w:val="24"/>
                <w:szCs w:val="24"/>
                <w:lang w:val="en-US" w:eastAsia="zh-CN" w:bidi="ar-SA"/>
              </w:rPr>
              <w:t>，</w:t>
            </w:r>
            <w:r>
              <w:rPr>
                <w:rFonts w:hint="eastAsia" w:cs="Times New Roman"/>
                <w:color w:val="auto"/>
                <w:kern w:val="0"/>
                <w:sz w:val="24"/>
                <w:szCs w:val="24"/>
                <w:lang w:val="en-US" w:eastAsia="zh-CN" w:bidi="ar-SA"/>
              </w:rPr>
              <w:t>水性脱模剂</w:t>
            </w:r>
            <w:r>
              <w:rPr>
                <w:rFonts w:hint="eastAsia" w:ascii="Times New Roman" w:hAnsi="Times New Roman" w:eastAsia="宋体" w:cs="Times New Roman"/>
                <w:color w:val="auto"/>
                <w:kern w:val="0"/>
                <w:sz w:val="24"/>
                <w:szCs w:val="24"/>
                <w:lang w:val="en-US" w:eastAsia="zh-CN" w:bidi="ar-SA"/>
              </w:rPr>
              <w:t>受热挥发，</w:t>
            </w:r>
            <w:r>
              <w:rPr>
                <w:rFonts w:hint="default" w:ascii="Times New Roman" w:hAnsi="Times New Roman" w:eastAsia="宋体" w:cs="Times New Roman"/>
                <w:color w:val="auto"/>
                <w:kern w:val="0"/>
                <w:sz w:val="24"/>
                <w:szCs w:val="24"/>
                <w:lang w:val="en-US" w:eastAsia="zh-CN" w:bidi="ar-SA"/>
              </w:rPr>
              <w:t>在</w:t>
            </w:r>
            <w:r>
              <w:rPr>
                <w:rFonts w:hint="default" w:ascii="Times New Roman" w:hAnsi="Times New Roman" w:eastAsia="宋体" w:cs="Times New Roman"/>
                <w:color w:val="auto"/>
                <w:szCs w:val="24"/>
                <w:lang w:val="en-US" w:eastAsia="zh-CN"/>
              </w:rPr>
              <w:t>使用中损耗9</w:t>
            </w:r>
            <w:r>
              <w:rPr>
                <w:rFonts w:hint="eastAsia" w:cs="Times New Roman"/>
                <w:color w:val="auto"/>
                <w:szCs w:val="24"/>
                <w:lang w:val="en-US" w:eastAsia="zh-CN"/>
              </w:rPr>
              <w:t>8</w:t>
            </w:r>
            <w:r>
              <w:rPr>
                <w:rFonts w:hint="default" w:ascii="Times New Roman" w:hAnsi="Times New Roman" w:eastAsia="宋体" w:cs="Times New Roman"/>
                <w:color w:val="auto"/>
                <w:szCs w:val="24"/>
                <w:lang w:val="en-US" w:eastAsia="zh-CN"/>
              </w:rPr>
              <w:t>%，剩余作危险废物处置，作危险废物处置的</w:t>
            </w:r>
            <w:r>
              <w:rPr>
                <w:rFonts w:hint="eastAsia" w:ascii="Times New Roman" w:hAnsi="Times New Roman" w:cs="Times New Roman"/>
                <w:color w:val="auto"/>
                <w:szCs w:val="24"/>
                <w:lang w:val="en-US" w:eastAsia="zh-CN"/>
              </w:rPr>
              <w:t>废</w:t>
            </w:r>
            <w:r>
              <w:rPr>
                <w:rFonts w:hint="eastAsia" w:cs="Times New Roman"/>
                <w:color w:val="auto"/>
                <w:kern w:val="0"/>
                <w:sz w:val="24"/>
                <w:szCs w:val="24"/>
                <w:lang w:val="en-US" w:eastAsia="zh-CN" w:bidi="ar-SA"/>
              </w:rPr>
              <w:t>水性脱模剂</w:t>
            </w:r>
            <w:r>
              <w:rPr>
                <w:rFonts w:hint="default" w:ascii="Times New Roman" w:hAnsi="Times New Roman" w:eastAsia="宋体" w:cs="Times New Roman"/>
                <w:color w:val="auto"/>
                <w:szCs w:val="24"/>
                <w:lang w:val="en-US" w:eastAsia="zh-CN"/>
              </w:rPr>
              <w:t>量</w:t>
            </w:r>
            <w:r>
              <w:rPr>
                <w:rFonts w:hint="eastAsia" w:cs="Times New Roman"/>
                <w:color w:val="auto"/>
                <w:szCs w:val="24"/>
                <w:lang w:val="en-US" w:eastAsia="zh-CN"/>
              </w:rPr>
              <w:t>0.014</w:t>
            </w:r>
            <w:r>
              <w:rPr>
                <w:rFonts w:hint="default" w:ascii="Times New Roman" w:hAnsi="Times New Roman" w:eastAsia="宋体" w:cs="Times New Roman"/>
                <w:color w:val="auto"/>
                <w:szCs w:val="24"/>
                <w:lang w:val="en-US" w:eastAsia="zh-CN"/>
              </w:rPr>
              <w:t>t/d，</w:t>
            </w:r>
            <w:r>
              <w:rPr>
                <w:rFonts w:hint="eastAsia" w:cs="Times New Roman"/>
                <w:color w:val="auto"/>
                <w:szCs w:val="24"/>
                <w:lang w:val="en-US" w:eastAsia="zh-CN"/>
              </w:rPr>
              <w:t>4.536</w:t>
            </w:r>
            <w:r>
              <w:rPr>
                <w:rFonts w:hint="default" w:ascii="Times New Roman" w:hAnsi="Times New Roman" w:eastAsia="宋体" w:cs="Times New Roman"/>
                <w:color w:val="auto"/>
                <w:szCs w:val="24"/>
                <w:lang w:val="en-US" w:eastAsia="zh-CN"/>
              </w:rPr>
              <w:t>/a。</w:t>
            </w:r>
          </w:p>
          <w:p w14:paraId="1AD48D0A">
            <w:pPr>
              <w:widowControl/>
              <w:numPr>
                <w:ilvl w:val="0"/>
                <w:numId w:val="6"/>
              </w:numPr>
              <w:autoSpaceDE w:val="0"/>
              <w:autoSpaceDN w:val="0"/>
              <w:adjustRightInd w:val="0"/>
              <w:spacing w:line="360" w:lineRule="auto"/>
              <w:ind w:firstLine="480" w:firstLineChars="200"/>
              <w:jc w:val="left"/>
              <w:rPr>
                <w:rFonts w:hint="eastAsia" w:cs="Times New Roman"/>
                <w:color w:val="auto"/>
                <w:kern w:val="0"/>
                <w:sz w:val="24"/>
                <w:lang w:eastAsia="zh-CN"/>
              </w:rPr>
            </w:pPr>
            <w:r>
              <w:rPr>
                <w:rFonts w:hint="eastAsia" w:cs="Times New Roman"/>
                <w:color w:val="auto"/>
                <w:kern w:val="0"/>
                <w:sz w:val="24"/>
                <w:lang w:val="en-US" w:eastAsia="zh-CN"/>
              </w:rPr>
              <w:t>湿式磨削用水</w:t>
            </w:r>
          </w:p>
          <w:p w14:paraId="5C2CBB62">
            <w:pPr>
              <w:widowControl/>
              <w:autoSpaceDE w:val="0"/>
              <w:autoSpaceDN w:val="0"/>
              <w:adjustRightInd w:val="0"/>
              <w:spacing w:line="360" w:lineRule="auto"/>
              <w:ind w:firstLine="480" w:firstLineChars="200"/>
              <w:jc w:val="left"/>
              <w:rPr>
                <w:rFonts w:hint="default" w:cs="Times New Roman"/>
                <w:color w:val="auto"/>
                <w:kern w:val="0"/>
                <w:sz w:val="24"/>
                <w:lang w:val="en-US" w:eastAsia="zh-CN"/>
              </w:rPr>
            </w:pPr>
            <w:r>
              <w:rPr>
                <w:rFonts w:hint="eastAsia" w:ascii="Times New Roman" w:hAnsi="Times New Roman" w:eastAsia="宋体" w:cs="Times New Roman"/>
                <w:color w:val="auto"/>
                <w:kern w:val="0"/>
                <w:sz w:val="24"/>
                <w:lang w:val="en-US" w:eastAsia="zh-CN"/>
              </w:rPr>
              <w:t>项目磨削工序采用湿式加工，</w:t>
            </w:r>
            <w:r>
              <w:rPr>
                <w:rFonts w:hint="eastAsia" w:cs="Times New Roman"/>
                <w:color w:val="auto"/>
                <w:kern w:val="0"/>
                <w:sz w:val="24"/>
                <w:lang w:val="en-US" w:eastAsia="zh-CN"/>
              </w:rPr>
              <w:t>根据企业提供资料，水性磨削液年用量为10.8t/a，0.034t/a，按</w:t>
            </w:r>
            <w:r>
              <w:rPr>
                <w:rFonts w:hint="eastAsia" w:ascii="Times New Roman" w:hAnsi="Times New Roman" w:eastAsia="宋体" w:cs="Times New Roman"/>
                <w:color w:val="auto"/>
                <w:kern w:val="0"/>
                <w:sz w:val="24"/>
                <w:lang w:val="en-US" w:eastAsia="zh-CN"/>
              </w:rPr>
              <w:t>照</w:t>
            </w:r>
            <w:r>
              <w:rPr>
                <w:rFonts w:hint="eastAsia" w:cs="Times New Roman"/>
                <w:color w:val="auto"/>
                <w:kern w:val="0"/>
                <w:sz w:val="24"/>
                <w:lang w:val="en-US" w:eastAsia="zh-CN"/>
              </w:rPr>
              <w:t>水性磨削液</w:t>
            </w:r>
            <w:r>
              <w:rPr>
                <w:rFonts w:hint="eastAsia" w:ascii="Times New Roman" w:hAnsi="Times New Roman" w:eastAsia="宋体" w:cs="Times New Roman"/>
                <w:color w:val="auto"/>
                <w:kern w:val="0"/>
                <w:sz w:val="24"/>
                <w:lang w:val="en-US" w:eastAsia="zh-CN"/>
              </w:rPr>
              <w:t>：自来水</w:t>
            </w:r>
            <w:r>
              <w:rPr>
                <w:rFonts w:hint="eastAsia" w:cs="Times New Roman"/>
                <w:color w:val="auto"/>
                <w:kern w:val="0"/>
                <w:sz w:val="24"/>
                <w:lang w:val="en-US" w:eastAsia="zh-CN"/>
              </w:rPr>
              <w:t>=1:20的比例调，则</w:t>
            </w:r>
            <w:r>
              <w:rPr>
                <w:rFonts w:hint="eastAsia" w:ascii="Times New Roman" w:hAnsi="Times New Roman" w:eastAsia="宋体" w:cs="Times New Roman"/>
                <w:color w:val="auto"/>
                <w:kern w:val="0"/>
                <w:sz w:val="24"/>
                <w:lang w:val="en-US" w:eastAsia="zh-CN"/>
              </w:rPr>
              <w:t>磨削</w:t>
            </w:r>
            <w:r>
              <w:rPr>
                <w:rFonts w:hint="eastAsia" w:cs="Times New Roman"/>
                <w:color w:val="auto"/>
                <w:kern w:val="0"/>
                <w:sz w:val="24"/>
                <w:lang w:val="en-US" w:eastAsia="zh-CN"/>
              </w:rPr>
              <w:t>调配用水量为</w:t>
            </w:r>
            <w:r>
              <w:rPr>
                <w:rFonts w:hint="eastAsia" w:ascii="Times New Roman" w:hAnsi="Times New Roman" w:cs="Times New Roman"/>
                <w:color w:val="auto"/>
                <w:kern w:val="0"/>
                <w:sz w:val="24"/>
                <w:szCs w:val="24"/>
                <w:lang w:val="en-US" w:eastAsia="zh-CN" w:bidi="ar-SA"/>
              </w:rPr>
              <w:t>21</w:t>
            </w:r>
            <w:r>
              <w:rPr>
                <w:rFonts w:hint="eastAsia" w:cs="Times New Roman"/>
                <w:color w:val="auto"/>
                <w:kern w:val="0"/>
                <w:sz w:val="24"/>
                <w:szCs w:val="24"/>
                <w:lang w:val="en-US" w:eastAsia="zh-CN" w:bidi="ar-SA"/>
              </w:rPr>
              <w:t>6</w:t>
            </w:r>
            <w:r>
              <w:rPr>
                <w:rFonts w:hint="default" w:ascii="Times New Roman" w:hAnsi="Times New Roman" w:eastAsia="宋体" w:cs="Times New Roman"/>
                <w:color w:val="auto"/>
                <w:kern w:val="0"/>
                <w:sz w:val="24"/>
                <w:szCs w:val="24"/>
                <w:lang w:val="en-US" w:eastAsia="zh-CN" w:bidi="ar-SA"/>
              </w:rPr>
              <w:t>t/a，</w:t>
            </w:r>
            <w:r>
              <w:rPr>
                <w:rFonts w:hint="eastAsia" w:cs="Times New Roman"/>
                <w:color w:val="auto"/>
                <w:kern w:val="0"/>
                <w:sz w:val="24"/>
                <w:szCs w:val="24"/>
                <w:lang w:val="en-US" w:eastAsia="zh-CN" w:bidi="ar-SA"/>
              </w:rPr>
              <w:t>0.675</w:t>
            </w:r>
            <w:r>
              <w:rPr>
                <w:rFonts w:hint="default" w:ascii="Times New Roman" w:hAnsi="Times New Roman" w:eastAsia="宋体" w:cs="Times New Roman"/>
                <w:color w:val="auto"/>
                <w:kern w:val="0"/>
                <w:sz w:val="24"/>
                <w:szCs w:val="24"/>
                <w:lang w:val="en-US" w:eastAsia="zh-CN" w:bidi="ar-SA"/>
              </w:rPr>
              <w:t>t/d。</w:t>
            </w:r>
            <w:r>
              <w:rPr>
                <w:rFonts w:hint="eastAsia" w:cs="Times New Roman"/>
                <w:color w:val="auto"/>
                <w:kern w:val="0"/>
                <w:sz w:val="24"/>
                <w:lang w:val="en-US" w:eastAsia="zh-CN"/>
              </w:rPr>
              <w:t>项目设置一个</w:t>
            </w:r>
            <w:r>
              <w:rPr>
                <w:rFonts w:hint="eastAsia" w:ascii="Times New Roman" w:hAnsi="Times New Roman" w:eastAsia="宋体" w:cs="Times New Roman"/>
                <w:color w:val="auto"/>
                <w:kern w:val="0"/>
                <w:sz w:val="24"/>
                <w:lang w:val="en-US" w:eastAsia="zh-CN"/>
              </w:rPr>
              <w:t>沉淀池</w:t>
            </w:r>
            <w:r>
              <w:rPr>
                <w:rFonts w:hint="eastAsia" w:cs="Times New Roman"/>
                <w:color w:val="auto"/>
                <w:kern w:val="0"/>
                <w:sz w:val="24"/>
                <w:lang w:val="en-US" w:eastAsia="zh-CN"/>
              </w:rPr>
              <w:t>，</w:t>
            </w:r>
            <w:r>
              <w:rPr>
                <w:rFonts w:hint="eastAsia" w:ascii="Times New Roman" w:hAnsi="Times New Roman" w:eastAsia="宋体" w:cs="Times New Roman"/>
                <w:color w:val="auto"/>
                <w:kern w:val="0"/>
                <w:sz w:val="24"/>
                <w:lang w:val="en-US" w:eastAsia="zh-CN"/>
              </w:rPr>
              <w:t>尺寸为</w:t>
            </w:r>
            <w:r>
              <w:rPr>
                <w:rFonts w:hint="eastAsia"/>
                <w:color w:val="auto"/>
                <w:sz w:val="24"/>
              </w:rPr>
              <w:t>1.5m*1m*2m</w:t>
            </w:r>
            <w:r>
              <w:rPr>
                <w:rFonts w:hint="eastAsia" w:ascii="Times New Roman" w:hAnsi="Times New Roman" w:eastAsia="宋体" w:cs="Times New Roman"/>
                <w:color w:val="auto"/>
                <w:kern w:val="0"/>
                <w:sz w:val="24"/>
                <w:lang w:val="en-US" w:eastAsia="zh-CN"/>
              </w:rPr>
              <w:t>，有效容积为</w:t>
            </w:r>
            <w:r>
              <w:rPr>
                <w:rFonts w:hint="eastAsia" w:cs="Times New Roman"/>
                <w:color w:val="auto"/>
                <w:kern w:val="0"/>
                <w:sz w:val="24"/>
                <w:lang w:val="en-US" w:eastAsia="zh-CN"/>
              </w:rPr>
              <w:t>2.4</w:t>
            </w:r>
            <w:r>
              <w:rPr>
                <w:rFonts w:hint="eastAsia" w:ascii="Times New Roman" w:hAnsi="Times New Roman" w:eastAsia="宋体" w:cs="Times New Roman"/>
                <w:color w:val="auto"/>
                <w:kern w:val="0"/>
                <w:sz w:val="24"/>
                <w:lang w:val="en-US" w:eastAsia="zh-CN"/>
              </w:rPr>
              <w:t>m</w:t>
            </w:r>
            <w:r>
              <w:rPr>
                <w:rFonts w:hint="eastAsia" w:ascii="Times New Roman" w:hAnsi="Times New Roman" w:eastAsia="宋体" w:cs="Times New Roman"/>
                <w:color w:val="auto"/>
                <w:kern w:val="0"/>
                <w:sz w:val="24"/>
                <w:vertAlign w:val="superscript"/>
                <w:lang w:val="en-US" w:eastAsia="zh-CN"/>
              </w:rPr>
              <w:t>3</w:t>
            </w:r>
            <w:r>
              <w:rPr>
                <w:rFonts w:hint="eastAsia" w:ascii="Times New Roman" w:hAnsi="Times New Roman" w:eastAsia="宋体" w:cs="Times New Roman"/>
                <w:color w:val="auto"/>
                <w:kern w:val="0"/>
                <w:sz w:val="24"/>
                <w:lang w:val="en-US" w:eastAsia="zh-CN"/>
              </w:rPr>
              <w:t>，湿式磨削废水进入沉淀池</w:t>
            </w:r>
            <w:r>
              <w:rPr>
                <w:rFonts w:hint="eastAsia" w:cs="Times New Roman"/>
                <w:b w:val="0"/>
                <w:bCs w:val="0"/>
                <w:color w:val="auto"/>
                <w:sz w:val="24"/>
                <w:szCs w:val="20"/>
                <w:lang w:val="en-US" w:eastAsia="zh-CN"/>
              </w:rPr>
              <w:t>循环使用，不外排，</w:t>
            </w:r>
            <w:r>
              <w:rPr>
                <w:rFonts w:hint="default" w:ascii="Times New Roman" w:hAnsi="Times New Roman" w:eastAsia="宋体" w:cs="Times New Roman"/>
                <w:b w:val="0"/>
                <w:bCs w:val="0"/>
                <w:color w:val="auto"/>
                <w:sz w:val="24"/>
                <w:szCs w:val="20"/>
                <w:lang w:val="en-US" w:eastAsia="zh-CN"/>
              </w:rPr>
              <w:t>定期补充</w:t>
            </w:r>
            <w:r>
              <w:rPr>
                <w:rFonts w:hint="eastAsia" w:cs="Times New Roman"/>
                <w:b w:val="0"/>
                <w:bCs w:val="0"/>
                <w:color w:val="auto"/>
                <w:sz w:val="24"/>
                <w:szCs w:val="20"/>
                <w:lang w:val="en-US" w:eastAsia="zh-CN"/>
              </w:rPr>
              <w:t>，定期捞渣，无需更换</w:t>
            </w:r>
            <w:r>
              <w:rPr>
                <w:rFonts w:hint="eastAsia" w:cs="Times New Roman"/>
                <w:color w:val="auto"/>
                <w:kern w:val="0"/>
                <w:sz w:val="24"/>
                <w:lang w:val="en-US" w:eastAsia="zh-CN"/>
              </w:rPr>
              <w:t>。</w:t>
            </w:r>
            <w:r>
              <w:rPr>
                <w:rFonts w:hint="eastAsia" w:ascii="Times New Roman" w:hAnsi="Times New Roman" w:cs="Times New Roman"/>
                <w:color w:val="auto"/>
                <w:kern w:val="0"/>
                <w:sz w:val="24"/>
                <w:lang w:val="en-US" w:eastAsia="zh-CN"/>
              </w:rPr>
              <w:t>每日耗损量约为混合</w:t>
            </w:r>
            <w:r>
              <w:rPr>
                <w:rFonts w:hint="eastAsia" w:cs="Times New Roman"/>
                <w:color w:val="auto"/>
                <w:kern w:val="0"/>
                <w:sz w:val="24"/>
                <w:lang w:val="en-US" w:eastAsia="zh-CN"/>
              </w:rPr>
              <w:t>水性磨削液</w:t>
            </w:r>
            <w:r>
              <w:rPr>
                <w:rFonts w:hint="eastAsia" w:ascii="Times New Roman" w:hAnsi="Times New Roman" w:cs="Times New Roman"/>
                <w:color w:val="auto"/>
                <w:kern w:val="0"/>
                <w:sz w:val="24"/>
                <w:lang w:val="en-US" w:eastAsia="zh-CN"/>
              </w:rPr>
              <w:t>的10%，</w:t>
            </w:r>
            <w:r>
              <w:rPr>
                <w:rFonts w:hint="default" w:ascii="Times New Roman" w:hAnsi="Times New Roman" w:cs="Times New Roman"/>
                <w:color w:val="auto"/>
                <w:kern w:val="0"/>
                <w:sz w:val="24"/>
                <w:lang w:val="en-US" w:eastAsia="zh-CN"/>
              </w:rPr>
              <w:t>本项目年工作3</w:t>
            </w:r>
            <w:r>
              <w:rPr>
                <w:rFonts w:hint="eastAsia" w:ascii="Times New Roman" w:hAnsi="Times New Roman" w:cs="Times New Roman"/>
                <w:color w:val="auto"/>
                <w:kern w:val="0"/>
                <w:sz w:val="24"/>
                <w:lang w:val="en-US" w:eastAsia="zh-CN"/>
              </w:rPr>
              <w:t>2</w:t>
            </w:r>
            <w:r>
              <w:rPr>
                <w:rFonts w:hint="default" w:ascii="Times New Roman" w:hAnsi="Times New Roman" w:cs="Times New Roman"/>
                <w:color w:val="auto"/>
                <w:kern w:val="0"/>
                <w:sz w:val="24"/>
                <w:lang w:val="en-US" w:eastAsia="zh-CN"/>
              </w:rPr>
              <w:t>0天，则</w:t>
            </w:r>
            <w:r>
              <w:rPr>
                <w:rFonts w:hint="eastAsia" w:ascii="Times New Roman" w:hAnsi="Times New Roman" w:eastAsia="宋体" w:cs="Times New Roman"/>
                <w:color w:val="auto"/>
                <w:kern w:val="0"/>
                <w:sz w:val="24"/>
                <w:lang w:val="en-US" w:eastAsia="zh-CN"/>
              </w:rPr>
              <w:t>磨削</w:t>
            </w:r>
            <w:r>
              <w:rPr>
                <w:rFonts w:hint="eastAsia" w:ascii="Times New Roman" w:hAnsi="Times New Roman" w:cs="Times New Roman"/>
                <w:color w:val="auto"/>
                <w:kern w:val="0"/>
                <w:sz w:val="24"/>
                <w:lang w:val="en-US" w:eastAsia="zh-CN"/>
              </w:rPr>
              <w:t>耗损</w:t>
            </w:r>
            <w:r>
              <w:rPr>
                <w:rFonts w:hint="default" w:ascii="Times New Roman" w:hAnsi="Times New Roman" w:cs="Times New Roman"/>
                <w:color w:val="auto"/>
                <w:kern w:val="0"/>
                <w:sz w:val="24"/>
                <w:lang w:val="en-US" w:eastAsia="zh-CN"/>
              </w:rPr>
              <w:t>量为0.0</w:t>
            </w:r>
            <w:r>
              <w:rPr>
                <w:rFonts w:hint="eastAsia" w:ascii="Times New Roman" w:hAnsi="Times New Roman" w:cs="Times New Roman"/>
                <w:color w:val="auto"/>
                <w:kern w:val="0"/>
                <w:sz w:val="24"/>
                <w:lang w:val="en-US" w:eastAsia="zh-CN"/>
              </w:rPr>
              <w:t>71</w:t>
            </w:r>
            <w:r>
              <w:rPr>
                <w:rFonts w:hint="default" w:ascii="Times New Roman" w:hAnsi="Times New Roman" w:cs="Times New Roman"/>
                <w:color w:val="auto"/>
                <w:kern w:val="0"/>
                <w:sz w:val="24"/>
                <w:lang w:val="en-US" w:eastAsia="zh-CN"/>
              </w:rPr>
              <w:t>t/d，</w:t>
            </w:r>
            <w:r>
              <w:rPr>
                <w:rFonts w:hint="eastAsia" w:ascii="Times New Roman" w:hAnsi="Times New Roman" w:cs="Times New Roman"/>
                <w:color w:val="auto"/>
                <w:kern w:val="0"/>
                <w:sz w:val="24"/>
                <w:lang w:val="en-US" w:eastAsia="zh-CN"/>
              </w:rPr>
              <w:t>22.68</w:t>
            </w:r>
            <w:r>
              <w:rPr>
                <w:rFonts w:hint="default" w:ascii="Times New Roman" w:hAnsi="Times New Roman" w:cs="Times New Roman"/>
                <w:color w:val="auto"/>
                <w:kern w:val="0"/>
                <w:sz w:val="24"/>
                <w:lang w:val="en-US" w:eastAsia="zh-CN"/>
              </w:rPr>
              <w:t>t/a，</w:t>
            </w:r>
            <w:r>
              <w:rPr>
                <w:rFonts w:hint="eastAsia" w:ascii="Times New Roman" w:hAnsi="Times New Roman" w:eastAsia="宋体" w:cs="Times New Roman"/>
                <w:color w:val="auto"/>
                <w:kern w:val="0"/>
                <w:sz w:val="24"/>
                <w:lang w:val="en-US" w:eastAsia="zh-CN"/>
              </w:rPr>
              <w:t>磨削</w:t>
            </w:r>
            <w:r>
              <w:rPr>
                <w:rFonts w:hint="eastAsia" w:ascii="Times New Roman" w:hAnsi="Times New Roman" w:cs="Times New Roman"/>
                <w:color w:val="auto"/>
                <w:kern w:val="0"/>
                <w:sz w:val="24"/>
                <w:lang w:val="en-US" w:eastAsia="zh-CN"/>
              </w:rPr>
              <w:t>废水</w:t>
            </w:r>
            <w:r>
              <w:rPr>
                <w:rFonts w:hint="default" w:ascii="Times New Roman" w:hAnsi="Times New Roman" w:cs="Times New Roman"/>
                <w:color w:val="auto"/>
                <w:kern w:val="0"/>
                <w:sz w:val="24"/>
                <w:lang w:val="en-US" w:eastAsia="zh-CN"/>
              </w:rPr>
              <w:t>量为0.</w:t>
            </w:r>
            <w:r>
              <w:rPr>
                <w:rFonts w:hint="eastAsia" w:ascii="Times New Roman" w:hAnsi="Times New Roman" w:cs="Times New Roman"/>
                <w:color w:val="auto"/>
                <w:kern w:val="0"/>
                <w:sz w:val="24"/>
                <w:lang w:val="en-US" w:eastAsia="zh-CN"/>
              </w:rPr>
              <w:t>638</w:t>
            </w:r>
            <w:r>
              <w:rPr>
                <w:rFonts w:hint="default" w:ascii="Times New Roman" w:hAnsi="Times New Roman" w:cs="Times New Roman"/>
                <w:color w:val="auto"/>
                <w:kern w:val="0"/>
                <w:sz w:val="24"/>
                <w:lang w:val="en-US" w:eastAsia="zh-CN"/>
              </w:rPr>
              <w:t>t/d，</w:t>
            </w:r>
            <w:r>
              <w:rPr>
                <w:rFonts w:hint="eastAsia" w:ascii="Times New Roman" w:hAnsi="Times New Roman" w:cs="Times New Roman"/>
                <w:color w:val="auto"/>
                <w:kern w:val="0"/>
                <w:sz w:val="24"/>
                <w:lang w:val="en-US" w:eastAsia="zh-CN"/>
              </w:rPr>
              <w:t>204.12</w:t>
            </w:r>
            <w:r>
              <w:rPr>
                <w:rFonts w:hint="default" w:ascii="Times New Roman" w:hAnsi="Times New Roman" w:cs="Times New Roman"/>
                <w:color w:val="auto"/>
                <w:sz w:val="24"/>
                <w:szCs w:val="24"/>
                <w:highlight w:val="none"/>
                <w:lang w:val="en-US" w:eastAsia="zh-CN"/>
              </w:rPr>
              <w:t>t/a。</w:t>
            </w:r>
          </w:p>
          <w:p w14:paraId="3301A1EA">
            <w:pPr>
              <w:widowControl/>
              <w:numPr>
                <w:ilvl w:val="0"/>
                <w:numId w:val="6"/>
              </w:numPr>
              <w:autoSpaceDE w:val="0"/>
              <w:autoSpaceDN w:val="0"/>
              <w:adjustRightInd w:val="0"/>
              <w:spacing w:line="360" w:lineRule="auto"/>
              <w:ind w:firstLine="480" w:firstLineChars="200"/>
              <w:jc w:val="left"/>
              <w:rPr>
                <w:rFonts w:hint="eastAsia" w:cs="Times New Roman"/>
                <w:color w:val="auto"/>
                <w:kern w:val="0"/>
                <w:sz w:val="24"/>
                <w:lang w:eastAsia="zh-CN"/>
              </w:rPr>
            </w:pPr>
            <w:r>
              <w:rPr>
                <w:rFonts w:hint="eastAsia" w:cs="Times New Roman"/>
                <w:color w:val="auto"/>
                <w:kern w:val="0"/>
                <w:sz w:val="24"/>
                <w:lang w:val="en-US" w:eastAsia="zh-CN"/>
              </w:rPr>
              <w:t>循环冷却水补水</w:t>
            </w:r>
          </w:p>
          <w:p w14:paraId="75B1A83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kern w:val="0"/>
                <w:sz w:val="24"/>
                <w:lang w:val="en-US" w:eastAsia="zh-CN"/>
              </w:rPr>
            </w:pPr>
            <w:r>
              <w:rPr>
                <w:rFonts w:hint="eastAsia" w:cs="Times New Roman"/>
                <w:color w:val="auto"/>
                <w:kern w:val="0"/>
                <w:sz w:val="24"/>
                <w:lang w:val="en-US" w:eastAsia="zh-CN"/>
              </w:rPr>
              <w:t>根据企业提供资料，</w:t>
            </w:r>
            <w:r>
              <w:rPr>
                <w:rFonts w:hint="eastAsia" w:ascii="Times New Roman" w:hAnsi="Times New Roman" w:cs="Times New Roman"/>
                <w:color w:val="auto"/>
                <w:kern w:val="0"/>
                <w:sz w:val="24"/>
                <w:lang w:val="en-US" w:eastAsia="zh-CN"/>
              </w:rPr>
              <w:t>项目感应加热、</w:t>
            </w:r>
            <w:r>
              <w:rPr>
                <w:rFonts w:hint="eastAsia" w:cs="Times New Roman"/>
                <w:color w:val="auto"/>
                <w:kern w:val="0"/>
                <w:sz w:val="24"/>
                <w:lang w:val="en-US" w:eastAsia="zh-CN"/>
              </w:rPr>
              <w:t>锻造</w:t>
            </w:r>
            <w:r>
              <w:rPr>
                <w:rFonts w:hint="eastAsia" w:ascii="Times New Roman" w:hAnsi="Times New Roman" w:cs="Times New Roman"/>
                <w:color w:val="auto"/>
                <w:kern w:val="0"/>
                <w:sz w:val="24"/>
                <w:lang w:val="en-US" w:eastAsia="zh-CN"/>
              </w:rPr>
              <w:t>、淬火回火工序均</w:t>
            </w:r>
            <w:r>
              <w:rPr>
                <w:rFonts w:hint="eastAsia" w:cs="Times New Roman"/>
                <w:color w:val="auto"/>
                <w:sz w:val="24"/>
                <w:szCs w:val="24"/>
                <w:lang w:val="en-US" w:eastAsia="zh-CN"/>
              </w:rPr>
              <w:t>设备自带冷却水箱进行对模具进行间接冷却，</w:t>
            </w:r>
            <w:r>
              <w:rPr>
                <w:rFonts w:hint="eastAsia" w:ascii="Times New Roman" w:hAnsi="Times New Roman" w:cs="Times New Roman"/>
                <w:color w:val="auto"/>
                <w:kern w:val="0"/>
                <w:sz w:val="24"/>
                <w:lang w:val="en-US" w:eastAsia="zh-CN"/>
              </w:rPr>
              <w:t>循环冷却水循环使用，定期补充，不外排。</w:t>
            </w:r>
            <w:r>
              <w:rPr>
                <w:rFonts w:hint="eastAsia" w:cs="Times New Roman"/>
                <w:color w:val="auto"/>
                <w:kern w:val="0"/>
                <w:sz w:val="24"/>
                <w:lang w:val="en-US" w:eastAsia="zh-CN"/>
              </w:rPr>
              <w:t>水箱尺寸均为1.2m*1.2m*1.1m，有效容积为1.3m</w:t>
            </w:r>
            <w:r>
              <w:rPr>
                <w:rFonts w:hint="eastAsia" w:cs="Times New Roman"/>
                <w:color w:val="auto"/>
                <w:kern w:val="0"/>
                <w:sz w:val="24"/>
                <w:vertAlign w:val="superscript"/>
                <w:lang w:val="en-US" w:eastAsia="zh-CN"/>
              </w:rPr>
              <w:t>3</w:t>
            </w:r>
            <w:r>
              <w:rPr>
                <w:rFonts w:hint="eastAsia" w:cs="Times New Roman"/>
                <w:color w:val="auto"/>
                <w:kern w:val="0"/>
                <w:sz w:val="24"/>
                <w:lang w:val="en-US" w:eastAsia="zh-CN"/>
              </w:rPr>
              <w:t>，</w:t>
            </w:r>
            <w:r>
              <w:rPr>
                <w:rFonts w:hint="default" w:ascii="Times New Roman" w:hAnsi="Times New Roman" w:cs="Times New Roman"/>
                <w:b w:val="0"/>
                <w:bCs/>
                <w:color w:val="auto"/>
                <w:kern w:val="0"/>
                <w:sz w:val="24"/>
                <w:szCs w:val="24"/>
                <w:lang w:val="en-US" w:eastAsia="zh-CN" w:bidi="ar-SA"/>
              </w:rPr>
              <w:t>根据企业提供资料，</w:t>
            </w:r>
            <w:r>
              <w:rPr>
                <w:rFonts w:hint="default" w:ascii="Times New Roman" w:hAnsi="Times New Roman" w:eastAsia="宋体" w:cs="Times New Roman"/>
                <w:b w:val="0"/>
                <w:bCs/>
                <w:color w:val="auto"/>
                <w:kern w:val="0"/>
                <w:sz w:val="24"/>
                <w:szCs w:val="24"/>
                <w:lang w:val="en-US" w:eastAsia="zh-CN" w:bidi="ar-SA"/>
              </w:rPr>
              <w:t>循环水量</w:t>
            </w:r>
            <w:r>
              <w:rPr>
                <w:rFonts w:hint="eastAsia" w:cs="Times New Roman"/>
                <w:b w:val="0"/>
                <w:bCs/>
                <w:color w:val="auto"/>
                <w:kern w:val="0"/>
                <w:sz w:val="24"/>
                <w:szCs w:val="24"/>
                <w:lang w:val="en-US" w:eastAsia="zh-CN" w:bidi="ar-SA"/>
              </w:rPr>
              <w:t>均</w:t>
            </w:r>
            <w:r>
              <w:rPr>
                <w:rFonts w:hint="default" w:ascii="Times New Roman" w:hAnsi="Times New Roman" w:eastAsia="宋体" w:cs="Times New Roman"/>
                <w:b w:val="0"/>
                <w:bCs/>
                <w:color w:val="auto"/>
                <w:kern w:val="0"/>
                <w:sz w:val="24"/>
                <w:szCs w:val="24"/>
                <w:lang w:val="en-US" w:eastAsia="zh-CN" w:bidi="ar-SA"/>
              </w:rPr>
              <w:t>为0.25m</w:t>
            </w:r>
            <w:r>
              <w:rPr>
                <w:rFonts w:hint="default" w:ascii="Times New Roman" w:hAnsi="Times New Roman" w:eastAsia="宋体" w:cs="Times New Roman"/>
                <w:b w:val="0"/>
                <w:bCs/>
                <w:color w:val="auto"/>
                <w:kern w:val="0"/>
                <w:sz w:val="24"/>
                <w:szCs w:val="24"/>
                <w:vertAlign w:val="superscript"/>
                <w:lang w:val="en-US" w:eastAsia="zh-CN" w:bidi="ar-SA"/>
              </w:rPr>
              <w:t>3</w:t>
            </w:r>
            <w:r>
              <w:rPr>
                <w:rFonts w:hint="default" w:ascii="Times New Roman" w:hAnsi="Times New Roman" w:eastAsia="宋体" w:cs="Times New Roman"/>
                <w:b w:val="0"/>
                <w:bCs/>
                <w:color w:val="auto"/>
                <w:kern w:val="0"/>
                <w:sz w:val="24"/>
                <w:szCs w:val="24"/>
                <w:lang w:val="en-US" w:eastAsia="zh-CN" w:bidi="ar-SA"/>
              </w:rPr>
              <w:t>/h，则总循环水量为</w:t>
            </w:r>
            <w:r>
              <w:rPr>
                <w:rFonts w:hint="default" w:ascii="Times New Roman" w:hAnsi="Times New Roman" w:cs="Times New Roman"/>
                <w:b w:val="0"/>
                <w:bCs/>
                <w:color w:val="auto"/>
                <w:sz w:val="24"/>
                <w:lang w:val="en-US" w:eastAsia="zh-CN"/>
              </w:rPr>
              <w:t>0.25</w:t>
            </w:r>
            <w:r>
              <w:rPr>
                <w:rFonts w:hint="default" w:ascii="Times New Roman" w:hAnsi="Times New Roman" w:cs="Times New Roman"/>
                <w:b w:val="0"/>
                <w:bCs/>
                <w:color w:val="auto"/>
                <w:sz w:val="24"/>
              </w:rPr>
              <w:t>m</w:t>
            </w:r>
            <w:r>
              <w:rPr>
                <w:rFonts w:hint="default" w:ascii="Times New Roman" w:hAnsi="Times New Roman" w:cs="Times New Roman"/>
                <w:b w:val="0"/>
                <w:bCs/>
                <w:color w:val="auto"/>
                <w:sz w:val="24"/>
                <w:vertAlign w:val="superscript"/>
              </w:rPr>
              <w:t>3</w:t>
            </w:r>
            <w:r>
              <w:rPr>
                <w:rFonts w:hint="default" w:ascii="Times New Roman" w:hAnsi="Times New Roman" w:cs="Times New Roman"/>
                <w:b w:val="0"/>
                <w:bCs/>
                <w:color w:val="auto"/>
                <w:sz w:val="24"/>
              </w:rPr>
              <w:t>/h*</w:t>
            </w:r>
            <w:r>
              <w:rPr>
                <w:rFonts w:hint="default" w:ascii="Times New Roman" w:hAnsi="Times New Roman" w:cs="Times New Roman"/>
                <w:b w:val="0"/>
                <w:bCs/>
                <w:color w:val="auto"/>
                <w:sz w:val="24"/>
                <w:lang w:val="en-US" w:eastAsia="zh-CN"/>
              </w:rPr>
              <w:t>16</w:t>
            </w:r>
            <w:r>
              <w:rPr>
                <w:rFonts w:hint="default" w:ascii="Times New Roman" w:hAnsi="Times New Roman" w:cs="Times New Roman"/>
                <w:b w:val="0"/>
                <w:bCs/>
                <w:color w:val="auto"/>
                <w:sz w:val="24"/>
              </w:rPr>
              <w:t>h/d *3</w:t>
            </w:r>
            <w:r>
              <w:rPr>
                <w:rFonts w:hint="eastAsia" w:cs="Times New Roman"/>
                <w:b w:val="0"/>
                <w:bCs/>
                <w:color w:val="auto"/>
                <w:sz w:val="24"/>
                <w:lang w:val="en-US" w:eastAsia="zh-CN"/>
              </w:rPr>
              <w:t>2</w:t>
            </w:r>
            <w:r>
              <w:rPr>
                <w:rFonts w:hint="default" w:ascii="Times New Roman" w:hAnsi="Times New Roman" w:cs="Times New Roman"/>
                <w:b w:val="0"/>
                <w:bCs/>
                <w:color w:val="auto"/>
                <w:sz w:val="24"/>
              </w:rPr>
              <w:t>0d/a*</w:t>
            </w:r>
            <w:r>
              <w:rPr>
                <w:rFonts w:hint="eastAsia" w:cs="Times New Roman"/>
                <w:b w:val="0"/>
                <w:bCs/>
                <w:color w:val="auto"/>
                <w:sz w:val="24"/>
                <w:lang w:val="en-US" w:eastAsia="zh-CN"/>
              </w:rPr>
              <w:t>3</w:t>
            </w:r>
            <w:r>
              <w:rPr>
                <w:rFonts w:hint="default" w:ascii="Times New Roman" w:hAnsi="Times New Roman" w:cs="Times New Roman"/>
                <w:b w:val="0"/>
                <w:bCs/>
                <w:color w:val="auto"/>
                <w:sz w:val="24"/>
              </w:rPr>
              <w:t>=</w:t>
            </w:r>
            <w:r>
              <w:rPr>
                <w:rFonts w:hint="eastAsia" w:cs="Times New Roman"/>
                <w:b w:val="0"/>
                <w:bCs/>
                <w:color w:val="auto"/>
                <w:sz w:val="24"/>
                <w:lang w:val="en-US" w:eastAsia="zh-CN"/>
              </w:rPr>
              <w:t>3840</w:t>
            </w:r>
            <w:r>
              <w:rPr>
                <w:rFonts w:hint="default" w:ascii="Times New Roman" w:hAnsi="Times New Roman" w:cs="Times New Roman"/>
                <w:b w:val="0"/>
                <w:bCs/>
                <w:color w:val="auto"/>
                <w:sz w:val="24"/>
              </w:rPr>
              <w:t>m</w:t>
            </w:r>
            <w:r>
              <w:rPr>
                <w:rFonts w:hint="default" w:ascii="Times New Roman" w:hAnsi="Times New Roman" w:cs="Times New Roman"/>
                <w:b w:val="0"/>
                <w:bCs/>
                <w:color w:val="auto"/>
                <w:sz w:val="24"/>
                <w:vertAlign w:val="superscript"/>
              </w:rPr>
              <w:t>3</w:t>
            </w:r>
            <w:r>
              <w:rPr>
                <w:rFonts w:hint="default" w:ascii="Times New Roman" w:hAnsi="Times New Roman" w:cs="Times New Roman"/>
                <w:b w:val="0"/>
                <w:bCs/>
                <w:color w:val="auto"/>
                <w:sz w:val="24"/>
              </w:rPr>
              <w:t>/a</w:t>
            </w:r>
            <w:r>
              <w:rPr>
                <w:rFonts w:hint="default" w:ascii="Times New Roman" w:hAnsi="Times New Roman" w:cs="Times New Roman"/>
                <w:b w:val="0"/>
                <w:bCs/>
                <w:color w:val="auto"/>
                <w:sz w:val="24"/>
                <w:lang w:eastAsia="zh-CN"/>
              </w:rPr>
              <w:t>，</w:t>
            </w:r>
            <w:r>
              <w:rPr>
                <w:rFonts w:hint="eastAsia" w:cs="Times New Roman"/>
                <w:b w:val="0"/>
                <w:bCs/>
                <w:color w:val="auto"/>
                <w:sz w:val="24"/>
                <w:lang w:val="en-US" w:eastAsia="zh-CN"/>
              </w:rPr>
              <w:t>12</w:t>
            </w:r>
            <w:r>
              <w:rPr>
                <w:rFonts w:hint="default" w:ascii="Times New Roman" w:hAnsi="Times New Roman" w:cs="Times New Roman"/>
                <w:b w:val="0"/>
                <w:bCs/>
                <w:color w:val="auto"/>
                <w:sz w:val="24"/>
              </w:rPr>
              <w:t>m</w:t>
            </w:r>
            <w:r>
              <w:rPr>
                <w:rFonts w:hint="default" w:ascii="Times New Roman" w:hAnsi="Times New Roman" w:cs="Times New Roman"/>
                <w:b w:val="0"/>
                <w:bCs/>
                <w:color w:val="auto"/>
                <w:sz w:val="24"/>
                <w:vertAlign w:val="superscript"/>
              </w:rPr>
              <w:t>3</w:t>
            </w:r>
            <w:r>
              <w:rPr>
                <w:rFonts w:hint="default" w:ascii="Times New Roman" w:hAnsi="Times New Roman" w:cs="Times New Roman"/>
                <w:b w:val="0"/>
                <w:bCs/>
                <w:color w:val="auto"/>
                <w:sz w:val="24"/>
              </w:rPr>
              <w:t>/</w:t>
            </w:r>
            <w:r>
              <w:rPr>
                <w:rFonts w:hint="default" w:ascii="Times New Roman" w:hAnsi="Times New Roman" w:cs="Times New Roman"/>
                <w:b w:val="0"/>
                <w:bCs/>
                <w:color w:val="auto"/>
                <w:sz w:val="24"/>
                <w:lang w:val="en-US" w:eastAsia="zh-CN"/>
              </w:rPr>
              <w:t>d</w:t>
            </w:r>
            <w:r>
              <w:rPr>
                <w:rFonts w:hint="eastAsia" w:cs="Times New Roman"/>
                <w:b w:val="0"/>
                <w:bCs/>
                <w:color w:val="auto"/>
                <w:sz w:val="24"/>
                <w:lang w:val="en-US" w:eastAsia="zh-CN"/>
              </w:rPr>
              <w:t>，</w:t>
            </w:r>
            <w:r>
              <w:rPr>
                <w:rFonts w:hint="default" w:ascii="Times New Roman" w:hAnsi="Times New Roman" w:cs="Times New Roman"/>
                <w:color w:val="auto"/>
                <w:sz w:val="24"/>
                <w:szCs w:val="24"/>
                <w:highlight w:val="none"/>
              </w:rPr>
              <w:t>补充水量按循环水量的2%确定</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本项目年工作</w:t>
            </w:r>
            <w:r>
              <w:rPr>
                <w:rFonts w:hint="eastAsia" w:cs="Times New Roman"/>
                <w:color w:val="auto"/>
                <w:sz w:val="24"/>
                <w:szCs w:val="24"/>
                <w:highlight w:val="none"/>
                <w:lang w:val="en-US" w:eastAsia="zh-CN"/>
              </w:rPr>
              <w:t>32</w:t>
            </w:r>
            <w:r>
              <w:rPr>
                <w:rFonts w:hint="default" w:ascii="Times New Roman" w:hAnsi="Times New Roman" w:cs="Times New Roman"/>
                <w:color w:val="auto"/>
                <w:sz w:val="24"/>
                <w:szCs w:val="24"/>
                <w:highlight w:val="none"/>
              </w:rPr>
              <w:t>0天，</w:t>
            </w:r>
            <w:r>
              <w:rPr>
                <w:rFonts w:hint="default" w:ascii="Times New Roman" w:hAnsi="Times New Roman" w:eastAsia="宋体" w:cs="Times New Roman"/>
                <w:color w:val="auto"/>
                <w:sz w:val="24"/>
                <w:szCs w:val="24"/>
                <w:highlight w:val="none"/>
              </w:rPr>
              <w:t>日工作</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rPr>
              <w:t>小时</w:t>
            </w:r>
            <w:r>
              <w:rPr>
                <w:rFonts w:hint="default" w:ascii="Times New Roman" w:hAnsi="Times New Roman" w:cs="Times New Roman"/>
                <w:color w:val="auto"/>
                <w:sz w:val="24"/>
                <w:szCs w:val="24"/>
                <w:highlight w:val="none"/>
              </w:rPr>
              <w:t>，故循环补水量为</w:t>
            </w:r>
            <w:r>
              <w:rPr>
                <w:rFonts w:hint="default" w:ascii="Times New Roman" w:hAnsi="Times New Roman" w:cs="Times New Roman"/>
                <w:color w:val="auto"/>
                <w:sz w:val="24"/>
                <w:szCs w:val="24"/>
                <w:highlight w:val="none"/>
                <w:lang w:val="en-US" w:eastAsia="zh-CN"/>
              </w:rPr>
              <w:t>0.</w:t>
            </w:r>
            <w:r>
              <w:rPr>
                <w:rFonts w:hint="eastAsia" w:cs="Times New Roman"/>
                <w:color w:val="auto"/>
                <w:sz w:val="24"/>
                <w:szCs w:val="24"/>
                <w:highlight w:val="none"/>
                <w:lang w:val="en-US" w:eastAsia="zh-CN"/>
              </w:rPr>
              <w:t>24</w:t>
            </w:r>
            <w:r>
              <w:rPr>
                <w:rFonts w:hint="default" w:ascii="Times New Roman" w:hAnsi="Times New Roman" w:cs="Times New Roman"/>
                <w:color w:val="auto"/>
                <w:sz w:val="24"/>
                <w:szCs w:val="24"/>
                <w:highlight w:val="none"/>
              </w:rPr>
              <w:t>m</w:t>
            </w:r>
            <w:r>
              <w:rPr>
                <w:rFonts w:hint="default" w:ascii="Times New Roman" w:hAnsi="Times New Roman" w:cs="Times New Roman"/>
                <w:color w:val="auto"/>
                <w:sz w:val="24"/>
                <w:szCs w:val="24"/>
                <w:highlight w:val="none"/>
                <w:vertAlign w:val="superscript"/>
              </w:rPr>
              <w:t>3</w:t>
            </w:r>
            <w:r>
              <w:rPr>
                <w:rFonts w:hint="default" w:ascii="Times New Roman" w:hAnsi="Times New Roman" w:cs="Times New Roman"/>
                <w:color w:val="auto"/>
                <w:sz w:val="24"/>
                <w:szCs w:val="24"/>
                <w:highlight w:val="none"/>
              </w:rPr>
              <w:t>/d</w:t>
            </w:r>
            <w:r>
              <w:rPr>
                <w:rFonts w:hint="default" w:ascii="Times New Roman" w:hAnsi="Times New Roman" w:cs="Times New Roman"/>
                <w:color w:val="auto"/>
                <w:sz w:val="24"/>
                <w:szCs w:val="24"/>
                <w:highlight w:val="none"/>
                <w:lang w:eastAsia="zh-CN"/>
              </w:rPr>
              <w:t>，</w:t>
            </w:r>
            <w:r>
              <w:rPr>
                <w:rFonts w:hint="eastAsia" w:cs="Times New Roman"/>
                <w:color w:val="auto"/>
                <w:sz w:val="24"/>
                <w:szCs w:val="24"/>
                <w:highlight w:val="none"/>
                <w:lang w:val="en-US" w:eastAsia="zh-CN"/>
              </w:rPr>
              <w:t>76.8</w:t>
            </w:r>
            <w:r>
              <w:rPr>
                <w:rFonts w:hint="default" w:ascii="Times New Roman" w:hAnsi="Times New Roman" w:cs="Times New Roman"/>
                <w:color w:val="auto"/>
                <w:sz w:val="24"/>
                <w:szCs w:val="24"/>
                <w:highlight w:val="none"/>
              </w:rPr>
              <w:t>m</w:t>
            </w:r>
            <w:r>
              <w:rPr>
                <w:rFonts w:hint="default" w:ascii="Times New Roman" w:hAnsi="Times New Roman" w:cs="Times New Roman"/>
                <w:color w:val="auto"/>
                <w:sz w:val="24"/>
                <w:szCs w:val="24"/>
                <w:highlight w:val="none"/>
                <w:vertAlign w:val="superscript"/>
              </w:rPr>
              <w:t>3</w:t>
            </w:r>
            <w:r>
              <w:rPr>
                <w:rFonts w:hint="default" w:ascii="Times New Roman" w:hAnsi="Times New Roman" w:cs="Times New Roman"/>
                <w:color w:val="auto"/>
                <w:sz w:val="24"/>
                <w:szCs w:val="24"/>
                <w:highlight w:val="none"/>
              </w:rPr>
              <w:t>/a。</w:t>
            </w:r>
          </w:p>
          <w:p w14:paraId="2A51084B">
            <w:pPr>
              <w:widowControl/>
              <w:numPr>
                <w:ilvl w:val="0"/>
                <w:numId w:val="0"/>
              </w:numPr>
              <w:autoSpaceDE w:val="0"/>
              <w:autoSpaceDN w:val="0"/>
              <w:adjustRightInd w:val="0"/>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本项目水平衡见下图。</w:t>
            </w:r>
          </w:p>
          <w:p w14:paraId="24E0D678">
            <w:pPr>
              <w:spacing w:line="360" w:lineRule="auto"/>
              <w:jc w:val="center"/>
              <w:rPr>
                <w:rFonts w:hint="default" w:ascii="Times New Roman" w:hAnsi="Times New Roman" w:cs="Times New Roman"/>
                <w:b w:val="0"/>
                <w:bCs/>
                <w:color w:val="auto"/>
                <w:kern w:val="0"/>
                <w:sz w:val="24"/>
              </w:rPr>
            </w:pPr>
            <w:r>
              <w:rPr>
                <w:rFonts w:hint="default" w:ascii="Times New Roman" w:hAnsi="Times New Roman" w:cs="Times New Roman"/>
                <w:b w:val="0"/>
                <w:bCs/>
                <w:color w:val="auto"/>
                <w:kern w:val="0"/>
                <w:sz w:val="24"/>
              </w:rPr>
              <w:object>
                <v:shape id="_x0000_i1025" o:spt="75" type="#_x0000_t75" style="height:485.05pt;width:417.3pt;" o:ole="t" filled="f" o:preferrelative="t" stroked="f" coordsize="21600,21600">
                  <v:path/>
                  <v:fill on="f" focussize="0,0"/>
                  <v:stroke on="f"/>
                  <v:imagedata r:id="rId10" o:title=""/>
                  <o:lock v:ext="edit" aspectratio="f"/>
                  <w10:wrap type="none"/>
                  <w10:anchorlock/>
                </v:shape>
                <o:OLEObject Type="Embed" ProgID="Visio.Drawing.11" ShapeID="_x0000_i1025" DrawAspect="Content" ObjectID="_1468075725" r:id="rId9">
                  <o:LockedField>false</o:LockedField>
                </o:OLEObject>
              </w:object>
            </w:r>
          </w:p>
          <w:p w14:paraId="05863F4C">
            <w:pPr>
              <w:adjustRightInd w:val="0"/>
              <w:snapToGrid w:val="0"/>
              <w:spacing w:line="360" w:lineRule="auto"/>
              <w:jc w:val="center"/>
              <w:rPr>
                <w:rFonts w:hint="default" w:ascii="Times New Roman" w:hAnsi="Times New Roman" w:cs="Times New Roman"/>
                <w:b/>
                <w:color w:val="auto"/>
                <w:sz w:val="24"/>
              </w:rPr>
            </w:pPr>
            <w:r>
              <w:rPr>
                <w:rFonts w:hint="default" w:ascii="Times New Roman" w:hAnsi="Times New Roman" w:cs="Times New Roman"/>
                <w:b/>
                <w:color w:val="auto"/>
                <w:sz w:val="24"/>
              </w:rPr>
              <w:t>图2-1  项目水平衡图（</w:t>
            </w:r>
            <w:r>
              <w:rPr>
                <w:rFonts w:hint="eastAsia" w:cs="Times New Roman"/>
                <w:b/>
                <w:color w:val="auto"/>
                <w:sz w:val="24"/>
                <w:lang w:val="en-US" w:eastAsia="zh-CN"/>
              </w:rPr>
              <w:t>m</w:t>
            </w:r>
            <w:r>
              <w:rPr>
                <w:rFonts w:hint="eastAsia" w:cs="Times New Roman"/>
                <w:b/>
                <w:color w:val="auto"/>
                <w:sz w:val="24"/>
                <w:vertAlign w:val="superscript"/>
                <w:lang w:val="en-US" w:eastAsia="zh-CN"/>
              </w:rPr>
              <w:t>3</w:t>
            </w:r>
            <w:r>
              <w:rPr>
                <w:rFonts w:hint="default" w:ascii="Times New Roman" w:hAnsi="Times New Roman" w:cs="Times New Roman"/>
                <w:b/>
                <w:color w:val="auto"/>
                <w:sz w:val="24"/>
              </w:rPr>
              <w:t>/</w:t>
            </w:r>
            <w:r>
              <w:rPr>
                <w:rFonts w:hint="default" w:ascii="Times New Roman" w:hAnsi="Times New Roman" w:cs="Times New Roman"/>
                <w:b/>
                <w:color w:val="auto"/>
                <w:sz w:val="24"/>
                <w:lang w:val="en-US" w:eastAsia="zh-CN"/>
              </w:rPr>
              <w:t>d</w:t>
            </w:r>
            <w:r>
              <w:rPr>
                <w:rFonts w:hint="default" w:ascii="Times New Roman" w:hAnsi="Times New Roman" w:cs="Times New Roman"/>
                <w:b/>
                <w:color w:val="auto"/>
                <w:sz w:val="24"/>
              </w:rPr>
              <w:t>）</w:t>
            </w:r>
          </w:p>
          <w:p w14:paraId="4DEB76EC">
            <w:pPr>
              <w:adjustRightInd w:val="0"/>
              <w:snapToGrid w:val="0"/>
              <w:spacing w:line="360" w:lineRule="auto"/>
              <w:ind w:firstLine="482" w:firstLineChars="200"/>
              <w:rPr>
                <w:rFonts w:hint="default" w:ascii="Times New Roman" w:hAnsi="Times New Roman" w:cs="Times New Roman"/>
                <w:b/>
                <w:color w:val="auto"/>
                <w:kern w:val="0"/>
                <w:sz w:val="24"/>
              </w:rPr>
            </w:pPr>
            <w:r>
              <w:rPr>
                <w:rFonts w:hint="default" w:ascii="Times New Roman" w:hAnsi="Times New Roman" w:cs="Times New Roman"/>
                <w:b/>
                <w:color w:val="auto"/>
                <w:kern w:val="0"/>
                <w:sz w:val="24"/>
                <w:lang w:val="en-US" w:eastAsia="zh-CN"/>
              </w:rPr>
              <w:t>8</w:t>
            </w:r>
            <w:r>
              <w:rPr>
                <w:rFonts w:hint="default" w:ascii="Times New Roman" w:hAnsi="Times New Roman" w:cs="Times New Roman"/>
                <w:b/>
                <w:color w:val="auto"/>
                <w:kern w:val="0"/>
                <w:sz w:val="24"/>
              </w:rPr>
              <w:t>、项目平面布局合理性</w:t>
            </w:r>
          </w:p>
          <w:p w14:paraId="62B615CD">
            <w:pPr>
              <w:spacing w:line="360" w:lineRule="auto"/>
              <w:ind w:firstLine="480" w:firstLineChars="200"/>
              <w:jc w:val="left"/>
              <w:rPr>
                <w:rFonts w:hint="default" w:ascii="Times New Roman" w:hAnsi="Times New Roman" w:eastAsia="宋体" w:cs="Times New Roman"/>
                <w:color w:val="auto"/>
                <w:kern w:val="24"/>
                <w:sz w:val="24"/>
              </w:rPr>
            </w:pPr>
            <w:r>
              <w:rPr>
                <w:rFonts w:hint="default" w:ascii="Times New Roman" w:hAnsi="Times New Roman" w:cs="Times New Roman"/>
                <w:color w:val="auto"/>
                <w:kern w:val="24"/>
                <w:sz w:val="24"/>
              </w:rPr>
              <w:t>本项目租赁</w:t>
            </w:r>
            <w:r>
              <w:rPr>
                <w:rFonts w:hint="eastAsia" w:cs="Times New Roman"/>
                <w:color w:val="auto"/>
                <w:kern w:val="0"/>
                <w:sz w:val="24"/>
                <w:lang w:eastAsia="zh-CN"/>
              </w:rPr>
              <w:t>芜湖市湾沚区安徽新芜经济开发区西支六路222号</w:t>
            </w:r>
            <w:r>
              <w:rPr>
                <w:rFonts w:hint="default" w:ascii="Times New Roman" w:hAnsi="Times New Roman" w:eastAsia="宋体" w:cs="Times New Roman"/>
                <w:color w:val="auto"/>
                <w:kern w:val="24"/>
                <w:sz w:val="24"/>
              </w:rPr>
              <w:t>内建设“</w:t>
            </w:r>
            <w:r>
              <w:rPr>
                <w:rFonts w:hint="eastAsia" w:cs="Times New Roman"/>
                <w:color w:val="auto"/>
                <w:kern w:val="24"/>
                <w:sz w:val="24"/>
                <w:lang w:eastAsia="zh-CN"/>
              </w:rPr>
              <w:t>汽车轮毂单元生产项目</w:t>
            </w:r>
            <w:r>
              <w:rPr>
                <w:rFonts w:hint="default" w:ascii="Times New Roman" w:hAnsi="Times New Roman" w:eastAsia="宋体" w:cs="Times New Roman"/>
                <w:color w:val="auto"/>
                <w:kern w:val="24"/>
                <w:sz w:val="24"/>
              </w:rPr>
              <w:t>”，不涉及土</w:t>
            </w:r>
            <w:r>
              <w:rPr>
                <w:rFonts w:hint="default" w:ascii="Times New Roman" w:hAnsi="Times New Roman" w:eastAsia="宋体" w:cs="Times New Roman"/>
                <w:color w:val="auto"/>
                <w:kern w:val="24"/>
                <w:sz w:val="24"/>
                <w:lang w:eastAsia="zh-CN"/>
              </w:rPr>
              <w:t>建。</w:t>
            </w:r>
            <w:r>
              <w:rPr>
                <w:rFonts w:hint="eastAsia" w:cs="Times New Roman"/>
                <w:color w:val="auto"/>
                <w:kern w:val="24"/>
                <w:sz w:val="24"/>
                <w:lang w:val="en-US" w:eastAsia="zh-CN"/>
              </w:rPr>
              <w:t>项目共租赁3栋厂房，均</w:t>
            </w:r>
            <w:r>
              <w:rPr>
                <w:rFonts w:hint="default" w:ascii="Times New Roman" w:hAnsi="Times New Roman" w:eastAsia="宋体" w:cs="Times New Roman"/>
                <w:color w:val="auto"/>
                <w:kern w:val="0"/>
                <w:sz w:val="24"/>
                <w:lang w:eastAsia="zh-CN"/>
              </w:rPr>
              <w:t>为矩形，</w:t>
            </w:r>
            <w:r>
              <w:rPr>
                <w:rFonts w:hint="eastAsia" w:ascii="Times New Roman" w:hAnsi="Times New Roman" w:eastAsia="宋体" w:cs="Times New Roman"/>
                <w:color w:val="auto"/>
                <w:kern w:val="0"/>
                <w:sz w:val="24"/>
                <w:lang w:val="en-US" w:eastAsia="zh-CN"/>
              </w:rPr>
              <w:t>其中1#</w:t>
            </w:r>
            <w:r>
              <w:rPr>
                <w:rFonts w:hint="eastAsia" w:ascii="Times New Roman" w:hAnsi="Times New Roman" w:eastAsia="宋体" w:cs="Times New Roman"/>
                <w:color w:val="auto"/>
                <w:kern w:val="0"/>
                <w:sz w:val="24"/>
                <w:lang w:eastAsia="zh-CN"/>
              </w:rPr>
              <w:t>厂房</w:t>
            </w:r>
            <w:r>
              <w:rPr>
                <w:rFonts w:hint="eastAsia" w:ascii="Times New Roman" w:hAnsi="Times New Roman" w:eastAsia="宋体" w:cs="Times New Roman"/>
                <w:color w:val="auto"/>
                <w:kern w:val="0"/>
                <w:sz w:val="24"/>
                <w:lang w:val="en-US" w:eastAsia="zh-CN"/>
              </w:rPr>
              <w:t>和2#厂房为生产车间，共1F，3#厂房为办公楼，共4F；1#厂房</w:t>
            </w:r>
            <w:r>
              <w:rPr>
                <w:rFonts w:hint="default" w:ascii="Times New Roman" w:hAnsi="Times New Roman" w:eastAsia="宋体" w:cs="Times New Roman"/>
                <w:color w:val="auto"/>
                <w:kern w:val="0"/>
                <w:sz w:val="24"/>
                <w:lang w:val="en-US" w:eastAsia="zh-CN"/>
              </w:rPr>
              <w:t>设有</w:t>
            </w:r>
            <w:r>
              <w:rPr>
                <w:rFonts w:hint="eastAsia" w:ascii="Times New Roman" w:hAnsi="Times New Roman" w:eastAsia="宋体" w:cs="Times New Roman"/>
                <w:color w:val="auto"/>
                <w:kern w:val="0"/>
                <w:sz w:val="24"/>
                <w:lang w:val="en-US" w:eastAsia="zh-CN"/>
              </w:rPr>
              <w:t>锻压区、感应加热区、湿式磨削区、下料区、抛丸区</w:t>
            </w:r>
            <w:r>
              <w:rPr>
                <w:rFonts w:hint="eastAsia" w:ascii="Times New Roman" w:hAnsi="Times New Roman" w:eastAsia="宋体" w:cs="Times New Roman"/>
                <w:color w:val="auto"/>
                <w:kern w:val="24"/>
                <w:sz w:val="24"/>
                <w:lang w:val="en-US" w:eastAsia="zh-CN"/>
              </w:rPr>
              <w:t>、成品区、原料区</w:t>
            </w:r>
            <w:r>
              <w:rPr>
                <w:rFonts w:hint="default" w:ascii="Times New Roman" w:hAnsi="Times New Roman" w:eastAsia="宋体" w:cs="Times New Roman"/>
                <w:color w:val="auto"/>
                <w:kern w:val="24"/>
                <w:sz w:val="24"/>
                <w:lang w:val="en-US" w:eastAsia="zh-CN"/>
              </w:rPr>
              <w:t>等</w:t>
            </w:r>
            <w:r>
              <w:rPr>
                <w:rFonts w:hint="eastAsia" w:ascii="Times New Roman" w:hAnsi="Times New Roman" w:eastAsia="宋体" w:cs="Times New Roman"/>
                <w:color w:val="auto"/>
                <w:kern w:val="24"/>
                <w:sz w:val="24"/>
                <w:lang w:val="en-US" w:eastAsia="zh-CN"/>
              </w:rPr>
              <w:t>，2#厂房</w:t>
            </w:r>
            <w:r>
              <w:rPr>
                <w:rFonts w:hint="default" w:ascii="Times New Roman" w:hAnsi="Times New Roman" w:eastAsia="宋体" w:cs="Times New Roman"/>
                <w:color w:val="auto"/>
                <w:kern w:val="24"/>
                <w:sz w:val="24"/>
                <w:lang w:val="en-US" w:eastAsia="zh-CN"/>
              </w:rPr>
              <w:t>设有</w:t>
            </w:r>
            <w:r>
              <w:rPr>
                <w:rFonts w:hint="eastAsia" w:ascii="Times New Roman" w:hAnsi="Times New Roman" w:eastAsia="宋体" w:cs="Times New Roman"/>
                <w:color w:val="auto"/>
                <w:kern w:val="24"/>
                <w:sz w:val="24"/>
                <w:lang w:val="en-US" w:eastAsia="zh-CN"/>
              </w:rPr>
              <w:t>淬火区、回火区、粗、精加工、半</w:t>
            </w:r>
            <w:r>
              <w:rPr>
                <w:rFonts w:hint="eastAsia" w:ascii="Times New Roman" w:hAnsi="Times New Roman" w:eastAsia="宋体" w:cs="Times New Roman"/>
                <w:color w:val="auto"/>
                <w:kern w:val="0"/>
                <w:sz w:val="24"/>
                <w:lang w:val="en-US" w:eastAsia="zh-CN"/>
              </w:rPr>
              <w:t>成品区；3#厂房办公楼位于2#厂房南侧，</w:t>
            </w:r>
            <w:r>
              <w:rPr>
                <w:rFonts w:hint="default" w:ascii="Times New Roman" w:hAnsi="Times New Roman" w:eastAsia="宋体" w:cs="Times New Roman"/>
                <w:color w:val="auto"/>
                <w:kern w:val="0"/>
                <w:sz w:val="24"/>
                <w:lang w:val="en-US" w:eastAsia="zh-CN"/>
              </w:rPr>
              <w:t>一般固废库</w:t>
            </w:r>
            <w:r>
              <w:rPr>
                <w:rFonts w:hint="eastAsia" w:ascii="Times New Roman" w:hAnsi="Times New Roman" w:eastAsia="宋体" w:cs="Times New Roman"/>
                <w:color w:val="auto"/>
                <w:kern w:val="0"/>
                <w:sz w:val="24"/>
                <w:lang w:val="en-US" w:eastAsia="zh-CN"/>
              </w:rPr>
              <w:t>、危废库均</w:t>
            </w:r>
            <w:r>
              <w:rPr>
                <w:rFonts w:hint="default" w:ascii="Times New Roman" w:hAnsi="Times New Roman" w:eastAsia="宋体" w:cs="Times New Roman"/>
                <w:color w:val="auto"/>
                <w:kern w:val="0"/>
                <w:sz w:val="24"/>
                <w:lang w:val="en-US" w:eastAsia="zh-CN"/>
              </w:rPr>
              <w:t>位于</w:t>
            </w:r>
            <w:r>
              <w:rPr>
                <w:rFonts w:hint="eastAsia" w:ascii="Times New Roman" w:hAnsi="Times New Roman" w:eastAsia="宋体" w:cs="Times New Roman"/>
                <w:color w:val="auto"/>
                <w:kern w:val="0"/>
                <w:sz w:val="24"/>
                <w:lang w:val="en-US" w:eastAsia="zh-CN"/>
              </w:rPr>
              <w:t>办公楼东</w:t>
            </w:r>
            <w:r>
              <w:rPr>
                <w:rFonts w:hint="default" w:ascii="Times New Roman" w:hAnsi="Times New Roman" w:eastAsia="宋体" w:cs="Times New Roman"/>
                <w:color w:val="auto"/>
                <w:kern w:val="0"/>
                <w:sz w:val="24"/>
                <w:lang w:val="en-US" w:eastAsia="zh-CN"/>
              </w:rPr>
              <w:t>侧</w:t>
            </w:r>
            <w:r>
              <w:rPr>
                <w:rFonts w:hint="eastAsia" w:ascii="Times New Roman" w:hAnsi="Times New Roman" w:eastAsia="宋体" w:cs="Times New Roman"/>
                <w:color w:val="auto"/>
                <w:kern w:val="0"/>
                <w:sz w:val="24"/>
                <w:lang w:val="en-US" w:eastAsia="zh-CN"/>
              </w:rPr>
              <w:t>，</w:t>
            </w:r>
            <w:r>
              <w:rPr>
                <w:rFonts w:hint="default" w:ascii="Times New Roman" w:hAnsi="Times New Roman" w:eastAsia="宋体" w:cs="Times New Roman"/>
                <w:color w:val="auto"/>
                <w:kern w:val="0"/>
                <w:sz w:val="24"/>
                <w:lang w:val="en-US" w:eastAsia="zh-CN"/>
              </w:rPr>
              <w:t>人员活动较少区域。</w:t>
            </w:r>
          </w:p>
          <w:p w14:paraId="7F332D1F">
            <w:pPr>
              <w:autoSpaceDE w:val="0"/>
              <w:autoSpaceDN w:val="0"/>
              <w:adjustRightInd w:val="0"/>
              <w:snapToGrid w:val="0"/>
              <w:spacing w:line="360" w:lineRule="auto"/>
              <w:ind w:firstLine="480" w:firstLineChars="200"/>
              <w:rPr>
                <w:rFonts w:hint="default" w:ascii="Times New Roman" w:hAnsi="Times New Roman" w:cs="Times New Roman"/>
                <w:color w:val="auto"/>
                <w:kern w:val="24"/>
                <w:sz w:val="24"/>
              </w:rPr>
            </w:pPr>
            <w:r>
              <w:rPr>
                <w:rFonts w:hint="default" w:ascii="Times New Roman" w:hAnsi="Times New Roman" w:cs="Times New Roman"/>
                <w:color w:val="auto"/>
                <w:kern w:val="24"/>
                <w:sz w:val="24"/>
              </w:rPr>
              <w:t>本项目人流、物流路线清晰，厂区平面布置有利于项目生产运行过程中各部门的生产协作，提高生产效率。总体来说，拟建项目的总平面布置较为合理。</w:t>
            </w:r>
          </w:p>
          <w:p w14:paraId="0AD2511B">
            <w:pPr>
              <w:autoSpaceDE w:val="0"/>
              <w:autoSpaceDN w:val="0"/>
              <w:adjustRightInd w:val="0"/>
              <w:snapToGrid w:val="0"/>
              <w:spacing w:line="360" w:lineRule="auto"/>
              <w:ind w:firstLine="480" w:firstLineChars="200"/>
              <w:rPr>
                <w:rFonts w:hint="default" w:ascii="Times New Roman" w:hAnsi="Times New Roman" w:cs="Times New Roman"/>
                <w:color w:val="auto"/>
                <w:kern w:val="24"/>
                <w:sz w:val="24"/>
              </w:rPr>
            </w:pPr>
            <w:r>
              <w:rPr>
                <w:rFonts w:hint="default" w:ascii="Times New Roman" w:hAnsi="Times New Roman" w:cs="Times New Roman"/>
                <w:color w:val="auto"/>
                <w:kern w:val="24"/>
                <w:sz w:val="24"/>
              </w:rPr>
              <w:t>本项目人流、物流路线清晰，厂区平面布置有利于项目生产运行过程中各部门的生产协作，提高生产效率。总体来说，拟建项目的总平面布置较为合理。</w:t>
            </w:r>
          </w:p>
          <w:p w14:paraId="3EB9ECF8">
            <w:pPr>
              <w:adjustRightInd w:val="0"/>
              <w:snapToGrid w:val="0"/>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color w:val="auto"/>
                <w:kern w:val="0"/>
                <w:sz w:val="24"/>
                <w:lang w:val="en-US" w:eastAsia="zh-CN"/>
              </w:rPr>
              <w:t>9</w:t>
            </w:r>
            <w:r>
              <w:rPr>
                <w:rFonts w:hint="default" w:ascii="Times New Roman" w:hAnsi="Times New Roman" w:cs="Times New Roman"/>
                <w:b/>
                <w:color w:val="auto"/>
                <w:kern w:val="0"/>
                <w:sz w:val="24"/>
              </w:rPr>
              <w:t>、生产制度和劳动定员</w:t>
            </w:r>
          </w:p>
          <w:p w14:paraId="2B78A2FA">
            <w:pPr>
              <w:adjustRightInd w:val="0"/>
              <w:snapToGrid w:val="0"/>
              <w:spacing w:line="360" w:lineRule="auto"/>
              <w:ind w:firstLine="480" w:firstLineChars="200"/>
              <w:rPr>
                <w:rFonts w:hint="default" w:ascii="Times New Roman" w:hAnsi="Times New Roman" w:cs="Times New Roman" w:eastAsiaTheme="minorEastAsia"/>
                <w:color w:val="auto"/>
                <w:sz w:val="24"/>
              </w:rPr>
            </w:pPr>
            <w:r>
              <w:rPr>
                <w:rFonts w:hint="default" w:ascii="Times New Roman" w:hAnsi="Times New Roman" w:cs="Times New Roman" w:eastAsiaTheme="minorEastAsia"/>
                <w:color w:val="auto"/>
                <w:sz w:val="24"/>
              </w:rPr>
              <w:t>劳动定员：本项目劳动人员</w:t>
            </w:r>
            <w:r>
              <w:rPr>
                <w:rFonts w:hint="eastAsia" w:ascii="Times New Roman" w:hAnsi="Times New Roman" w:cs="Times New Roman" w:eastAsiaTheme="minorEastAsia"/>
                <w:color w:val="auto"/>
                <w:sz w:val="24"/>
                <w:lang w:val="en-US" w:eastAsia="zh-CN"/>
              </w:rPr>
              <w:t>100</w:t>
            </w:r>
            <w:r>
              <w:rPr>
                <w:rFonts w:hint="default" w:ascii="Times New Roman" w:hAnsi="Times New Roman" w:cs="Times New Roman" w:eastAsiaTheme="minorEastAsia"/>
                <w:color w:val="auto"/>
                <w:sz w:val="24"/>
              </w:rPr>
              <w:t>人，不在厂区内食宿。</w:t>
            </w:r>
          </w:p>
          <w:p w14:paraId="72A1C3EF">
            <w:pPr>
              <w:adjustRightInd w:val="0"/>
              <w:snapToGrid w:val="0"/>
              <w:spacing w:line="360" w:lineRule="auto"/>
              <w:ind w:firstLine="480" w:firstLineChars="200"/>
              <w:rPr>
                <w:rFonts w:hint="eastAsia" w:ascii="Times New Roman" w:hAnsi="Times New Roman" w:cs="Times New Roman" w:eastAsiaTheme="minorEastAsia"/>
                <w:color w:val="auto"/>
                <w:sz w:val="24"/>
                <w:lang w:eastAsia="zh-CN"/>
              </w:rPr>
            </w:pPr>
            <w:r>
              <w:rPr>
                <w:rFonts w:hint="default" w:ascii="Times New Roman" w:hAnsi="Times New Roman" w:cs="Times New Roman" w:eastAsiaTheme="minorEastAsia"/>
                <w:color w:val="auto"/>
                <w:sz w:val="24"/>
              </w:rPr>
              <w:t>工作制度：制定年工作日为</w:t>
            </w:r>
            <w:r>
              <w:rPr>
                <w:rFonts w:hint="eastAsia" w:ascii="Times New Roman" w:hAnsi="Times New Roman" w:cs="Times New Roman" w:eastAsiaTheme="minorEastAsia"/>
                <w:color w:val="auto"/>
                <w:sz w:val="24"/>
                <w:lang w:val="en-US" w:eastAsia="zh-CN"/>
              </w:rPr>
              <w:t>320</w:t>
            </w:r>
            <w:r>
              <w:rPr>
                <w:rFonts w:hint="default" w:ascii="Times New Roman" w:hAnsi="Times New Roman" w:cs="Times New Roman" w:eastAsiaTheme="minorEastAsia"/>
                <w:color w:val="auto"/>
                <w:sz w:val="24"/>
              </w:rPr>
              <w:t>天，采用双班制，一班工作</w:t>
            </w:r>
            <w:r>
              <w:rPr>
                <w:rFonts w:hint="eastAsia" w:ascii="Times New Roman" w:hAnsi="Times New Roman" w:cs="Times New Roman" w:eastAsiaTheme="minorEastAsia"/>
                <w:color w:val="auto"/>
                <w:sz w:val="24"/>
                <w:lang w:val="en-US" w:eastAsia="zh-CN"/>
              </w:rPr>
              <w:t>8</w:t>
            </w:r>
            <w:r>
              <w:rPr>
                <w:rFonts w:hint="default" w:ascii="Times New Roman" w:hAnsi="Times New Roman" w:cs="Times New Roman" w:eastAsiaTheme="minorEastAsia"/>
                <w:color w:val="auto"/>
                <w:sz w:val="24"/>
              </w:rPr>
              <w:t>小时</w:t>
            </w:r>
            <w:r>
              <w:rPr>
                <w:rFonts w:hint="eastAsia" w:ascii="Times New Roman" w:hAnsi="Times New Roman" w:cs="Times New Roman" w:eastAsiaTheme="minorEastAsia"/>
                <w:color w:val="auto"/>
                <w:sz w:val="24"/>
                <w:lang w:eastAsia="zh-CN"/>
              </w:rPr>
              <w:t>。</w:t>
            </w:r>
          </w:p>
          <w:p w14:paraId="57E99FA4">
            <w:pPr>
              <w:adjustRightInd w:val="0"/>
              <w:snapToGrid w:val="0"/>
              <w:spacing w:line="360" w:lineRule="auto"/>
              <w:ind w:firstLine="480" w:firstLineChars="200"/>
              <w:rPr>
                <w:rFonts w:hint="eastAsia" w:cs="Times New Roman" w:eastAsiaTheme="minorEastAsia"/>
                <w:color w:val="auto"/>
                <w:kern w:val="0"/>
                <w:sz w:val="24"/>
                <w:szCs w:val="32"/>
                <w:lang w:eastAsia="zh-CN"/>
              </w:rPr>
            </w:pPr>
          </w:p>
          <w:p w14:paraId="3847A166">
            <w:pPr>
              <w:adjustRightInd w:val="0"/>
              <w:snapToGrid w:val="0"/>
              <w:spacing w:line="360" w:lineRule="auto"/>
              <w:ind w:firstLine="480" w:firstLineChars="200"/>
              <w:rPr>
                <w:rFonts w:hint="eastAsia" w:cs="Times New Roman" w:eastAsiaTheme="minorEastAsia"/>
                <w:color w:val="auto"/>
                <w:kern w:val="0"/>
                <w:sz w:val="24"/>
                <w:szCs w:val="32"/>
                <w:lang w:eastAsia="zh-CN"/>
              </w:rPr>
            </w:pPr>
          </w:p>
          <w:p w14:paraId="29366D8B">
            <w:pPr>
              <w:adjustRightInd w:val="0"/>
              <w:snapToGrid w:val="0"/>
              <w:spacing w:line="360" w:lineRule="auto"/>
              <w:ind w:firstLine="480" w:firstLineChars="200"/>
              <w:rPr>
                <w:rFonts w:hint="eastAsia" w:cs="Times New Roman" w:eastAsiaTheme="minorEastAsia"/>
                <w:color w:val="auto"/>
                <w:kern w:val="0"/>
                <w:sz w:val="24"/>
                <w:szCs w:val="32"/>
                <w:lang w:eastAsia="zh-CN"/>
              </w:rPr>
            </w:pPr>
          </w:p>
          <w:p w14:paraId="041D52C8">
            <w:pPr>
              <w:adjustRightInd w:val="0"/>
              <w:snapToGrid w:val="0"/>
              <w:spacing w:line="360" w:lineRule="auto"/>
              <w:ind w:firstLine="480" w:firstLineChars="200"/>
              <w:rPr>
                <w:rFonts w:hint="eastAsia" w:cs="Times New Roman" w:eastAsiaTheme="minorEastAsia"/>
                <w:color w:val="auto"/>
                <w:kern w:val="0"/>
                <w:sz w:val="24"/>
                <w:szCs w:val="32"/>
                <w:lang w:eastAsia="zh-CN"/>
              </w:rPr>
            </w:pPr>
          </w:p>
          <w:p w14:paraId="362DDB56">
            <w:pPr>
              <w:adjustRightInd w:val="0"/>
              <w:snapToGrid w:val="0"/>
              <w:spacing w:line="360" w:lineRule="auto"/>
              <w:ind w:firstLine="480" w:firstLineChars="200"/>
              <w:rPr>
                <w:rFonts w:hint="eastAsia" w:cs="Times New Roman" w:eastAsiaTheme="minorEastAsia"/>
                <w:color w:val="auto"/>
                <w:kern w:val="0"/>
                <w:sz w:val="24"/>
                <w:szCs w:val="32"/>
                <w:lang w:eastAsia="zh-CN"/>
              </w:rPr>
            </w:pPr>
          </w:p>
          <w:p w14:paraId="6C203B32">
            <w:pPr>
              <w:adjustRightInd w:val="0"/>
              <w:snapToGrid w:val="0"/>
              <w:spacing w:line="360" w:lineRule="auto"/>
              <w:ind w:firstLine="480" w:firstLineChars="200"/>
              <w:rPr>
                <w:rFonts w:hint="eastAsia" w:cs="Times New Roman" w:eastAsiaTheme="minorEastAsia"/>
                <w:color w:val="auto"/>
                <w:kern w:val="0"/>
                <w:sz w:val="24"/>
                <w:szCs w:val="32"/>
                <w:lang w:eastAsia="zh-CN"/>
              </w:rPr>
            </w:pPr>
          </w:p>
          <w:p w14:paraId="500F924A">
            <w:pPr>
              <w:adjustRightInd w:val="0"/>
              <w:snapToGrid w:val="0"/>
              <w:spacing w:line="360" w:lineRule="auto"/>
              <w:ind w:firstLine="480" w:firstLineChars="200"/>
              <w:rPr>
                <w:rFonts w:hint="eastAsia" w:cs="Times New Roman" w:eastAsiaTheme="minorEastAsia"/>
                <w:color w:val="auto"/>
                <w:kern w:val="0"/>
                <w:sz w:val="24"/>
                <w:szCs w:val="32"/>
                <w:lang w:eastAsia="zh-CN"/>
              </w:rPr>
            </w:pPr>
          </w:p>
          <w:p w14:paraId="72384064">
            <w:pPr>
              <w:adjustRightInd w:val="0"/>
              <w:snapToGrid w:val="0"/>
              <w:spacing w:line="360" w:lineRule="auto"/>
              <w:ind w:firstLine="480" w:firstLineChars="200"/>
              <w:rPr>
                <w:rFonts w:hint="eastAsia" w:cs="Times New Roman" w:eastAsiaTheme="minorEastAsia"/>
                <w:color w:val="auto"/>
                <w:kern w:val="0"/>
                <w:sz w:val="24"/>
                <w:szCs w:val="32"/>
                <w:lang w:eastAsia="zh-CN"/>
              </w:rPr>
            </w:pPr>
          </w:p>
          <w:p w14:paraId="6DABBBFF">
            <w:pPr>
              <w:adjustRightInd w:val="0"/>
              <w:snapToGrid w:val="0"/>
              <w:spacing w:line="360" w:lineRule="auto"/>
              <w:ind w:firstLine="480" w:firstLineChars="200"/>
              <w:rPr>
                <w:rFonts w:hint="eastAsia" w:cs="Times New Roman" w:eastAsiaTheme="minorEastAsia"/>
                <w:color w:val="auto"/>
                <w:kern w:val="0"/>
                <w:sz w:val="24"/>
                <w:szCs w:val="32"/>
                <w:lang w:eastAsia="zh-CN"/>
              </w:rPr>
            </w:pPr>
          </w:p>
          <w:p w14:paraId="5F7FCD62">
            <w:pPr>
              <w:adjustRightInd w:val="0"/>
              <w:snapToGrid w:val="0"/>
              <w:spacing w:line="360" w:lineRule="auto"/>
              <w:ind w:firstLine="480" w:firstLineChars="200"/>
              <w:rPr>
                <w:rFonts w:hint="eastAsia" w:cs="Times New Roman" w:eastAsiaTheme="minorEastAsia"/>
                <w:color w:val="auto"/>
                <w:kern w:val="0"/>
                <w:sz w:val="24"/>
                <w:szCs w:val="32"/>
                <w:lang w:eastAsia="zh-CN"/>
              </w:rPr>
            </w:pPr>
          </w:p>
          <w:p w14:paraId="3C2FD431">
            <w:pPr>
              <w:adjustRightInd w:val="0"/>
              <w:snapToGrid w:val="0"/>
              <w:spacing w:line="360" w:lineRule="auto"/>
              <w:ind w:firstLine="480" w:firstLineChars="200"/>
              <w:rPr>
                <w:rFonts w:hint="eastAsia" w:cs="Times New Roman" w:eastAsiaTheme="minorEastAsia"/>
                <w:color w:val="auto"/>
                <w:kern w:val="0"/>
                <w:sz w:val="24"/>
                <w:szCs w:val="32"/>
                <w:lang w:eastAsia="zh-CN"/>
              </w:rPr>
            </w:pPr>
          </w:p>
          <w:p w14:paraId="1AD3CCB9">
            <w:pPr>
              <w:adjustRightInd w:val="0"/>
              <w:snapToGrid w:val="0"/>
              <w:spacing w:line="360" w:lineRule="auto"/>
              <w:ind w:firstLine="480" w:firstLineChars="200"/>
              <w:rPr>
                <w:rFonts w:hint="eastAsia" w:cs="Times New Roman" w:eastAsiaTheme="minorEastAsia"/>
                <w:color w:val="auto"/>
                <w:kern w:val="0"/>
                <w:sz w:val="24"/>
                <w:szCs w:val="32"/>
                <w:lang w:eastAsia="zh-CN"/>
              </w:rPr>
            </w:pPr>
          </w:p>
          <w:p w14:paraId="612796B2">
            <w:pPr>
              <w:adjustRightInd w:val="0"/>
              <w:snapToGrid w:val="0"/>
              <w:spacing w:line="360" w:lineRule="auto"/>
              <w:ind w:firstLine="480" w:firstLineChars="200"/>
              <w:rPr>
                <w:rFonts w:hint="eastAsia" w:cs="Times New Roman" w:eastAsiaTheme="minorEastAsia"/>
                <w:color w:val="auto"/>
                <w:kern w:val="0"/>
                <w:sz w:val="24"/>
                <w:szCs w:val="32"/>
                <w:lang w:eastAsia="zh-CN"/>
              </w:rPr>
            </w:pPr>
          </w:p>
          <w:p w14:paraId="6E3CE7B1">
            <w:pPr>
              <w:adjustRightInd w:val="0"/>
              <w:snapToGrid w:val="0"/>
              <w:spacing w:line="360" w:lineRule="auto"/>
              <w:ind w:firstLine="480" w:firstLineChars="200"/>
              <w:rPr>
                <w:rFonts w:hint="eastAsia" w:cs="Times New Roman" w:eastAsiaTheme="minorEastAsia"/>
                <w:color w:val="auto"/>
                <w:kern w:val="0"/>
                <w:sz w:val="24"/>
                <w:szCs w:val="32"/>
                <w:lang w:eastAsia="zh-CN"/>
              </w:rPr>
            </w:pPr>
          </w:p>
          <w:p w14:paraId="45CDE95E">
            <w:pPr>
              <w:adjustRightInd w:val="0"/>
              <w:snapToGrid w:val="0"/>
              <w:spacing w:line="360" w:lineRule="auto"/>
              <w:ind w:firstLine="480" w:firstLineChars="200"/>
              <w:rPr>
                <w:rFonts w:hint="eastAsia" w:cs="Times New Roman" w:eastAsiaTheme="minorEastAsia"/>
                <w:color w:val="auto"/>
                <w:kern w:val="0"/>
                <w:sz w:val="24"/>
                <w:szCs w:val="32"/>
                <w:lang w:eastAsia="zh-CN"/>
              </w:rPr>
            </w:pPr>
          </w:p>
          <w:p w14:paraId="5242A295">
            <w:pPr>
              <w:adjustRightInd w:val="0"/>
              <w:snapToGrid w:val="0"/>
              <w:spacing w:line="360" w:lineRule="auto"/>
              <w:ind w:firstLine="480" w:firstLineChars="200"/>
              <w:rPr>
                <w:rFonts w:hint="eastAsia" w:cs="Times New Roman" w:eastAsiaTheme="minorEastAsia"/>
                <w:color w:val="auto"/>
                <w:kern w:val="0"/>
                <w:sz w:val="24"/>
                <w:szCs w:val="32"/>
                <w:lang w:eastAsia="zh-CN"/>
              </w:rPr>
            </w:pPr>
          </w:p>
          <w:p w14:paraId="1F2BA96E">
            <w:pPr>
              <w:adjustRightInd w:val="0"/>
              <w:snapToGrid w:val="0"/>
              <w:spacing w:line="360" w:lineRule="auto"/>
              <w:ind w:firstLine="480" w:firstLineChars="200"/>
              <w:rPr>
                <w:rFonts w:hint="eastAsia" w:cs="Times New Roman" w:eastAsiaTheme="minorEastAsia"/>
                <w:color w:val="auto"/>
                <w:kern w:val="0"/>
                <w:sz w:val="24"/>
                <w:szCs w:val="32"/>
                <w:lang w:eastAsia="zh-CN"/>
              </w:rPr>
            </w:pPr>
          </w:p>
          <w:p w14:paraId="6BCF061A">
            <w:pPr>
              <w:adjustRightInd w:val="0"/>
              <w:snapToGrid w:val="0"/>
              <w:spacing w:line="360" w:lineRule="auto"/>
              <w:ind w:firstLine="480" w:firstLineChars="200"/>
              <w:rPr>
                <w:rFonts w:hint="eastAsia" w:cs="Times New Roman" w:eastAsiaTheme="minorEastAsia"/>
                <w:color w:val="auto"/>
                <w:kern w:val="0"/>
                <w:sz w:val="24"/>
                <w:szCs w:val="32"/>
                <w:lang w:eastAsia="zh-CN"/>
              </w:rPr>
            </w:pPr>
          </w:p>
          <w:p w14:paraId="3A6CCFA3">
            <w:pPr>
              <w:adjustRightInd w:val="0"/>
              <w:snapToGrid w:val="0"/>
              <w:spacing w:line="360" w:lineRule="auto"/>
              <w:ind w:firstLine="480" w:firstLineChars="200"/>
              <w:rPr>
                <w:rFonts w:hint="eastAsia" w:cs="Times New Roman" w:eastAsiaTheme="minorEastAsia"/>
                <w:color w:val="auto"/>
                <w:kern w:val="0"/>
                <w:sz w:val="24"/>
                <w:szCs w:val="32"/>
                <w:lang w:eastAsia="zh-CN"/>
              </w:rPr>
            </w:pPr>
          </w:p>
          <w:p w14:paraId="47ACF0BF">
            <w:pPr>
              <w:adjustRightInd w:val="0"/>
              <w:snapToGrid w:val="0"/>
              <w:spacing w:line="360" w:lineRule="auto"/>
              <w:ind w:firstLine="480" w:firstLineChars="200"/>
              <w:rPr>
                <w:rFonts w:hint="eastAsia" w:cs="Times New Roman" w:eastAsiaTheme="minorEastAsia"/>
                <w:color w:val="auto"/>
                <w:kern w:val="0"/>
                <w:sz w:val="24"/>
                <w:szCs w:val="32"/>
                <w:lang w:eastAsia="zh-CN"/>
              </w:rPr>
            </w:pPr>
          </w:p>
          <w:p w14:paraId="0640A712">
            <w:pPr>
              <w:adjustRightInd w:val="0"/>
              <w:snapToGrid w:val="0"/>
              <w:spacing w:line="360" w:lineRule="auto"/>
              <w:rPr>
                <w:rFonts w:hint="default" w:cs="Times New Roman" w:eastAsiaTheme="minorEastAsia"/>
                <w:color w:val="auto"/>
                <w:kern w:val="0"/>
                <w:sz w:val="24"/>
                <w:szCs w:val="32"/>
                <w:lang w:eastAsia="zh-CN"/>
              </w:rPr>
            </w:pPr>
          </w:p>
        </w:tc>
      </w:tr>
    </w:tbl>
    <w:p w14:paraId="54D4C9BE">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br w:type="page"/>
      </w:r>
    </w:p>
    <w:tbl>
      <w:tblPr>
        <w:tblStyle w:val="63"/>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605"/>
      </w:tblGrid>
      <w:tr w14:paraId="75B153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59" w:hRule="atLeast"/>
          <w:jc w:val="center"/>
        </w:trPr>
        <w:tc>
          <w:tcPr>
            <w:tcW w:w="455" w:type="dxa"/>
            <w:vAlign w:val="center"/>
          </w:tcPr>
          <w:p w14:paraId="5852D144">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工艺流程和产排污环节</w:t>
            </w:r>
          </w:p>
        </w:tc>
        <w:tc>
          <w:tcPr>
            <w:tcW w:w="8606" w:type="dxa"/>
          </w:tcPr>
          <w:p w14:paraId="26101EA1">
            <w:pPr>
              <w:autoSpaceDE w:val="0"/>
              <w:autoSpaceDN w:val="0"/>
              <w:adjustRightInd w:val="0"/>
              <w:snapToGrid w:val="0"/>
              <w:spacing w:before="120" w:beforeLines="50" w:line="360" w:lineRule="auto"/>
              <w:ind w:firstLine="482" w:firstLineChars="200"/>
              <w:jc w:val="left"/>
              <w:rPr>
                <w:rFonts w:cs="宋体"/>
                <w:b/>
                <w:color w:val="auto"/>
                <w:kern w:val="0"/>
                <w:sz w:val="24"/>
              </w:rPr>
            </w:pPr>
            <w:r>
              <w:rPr>
                <w:rFonts w:hint="eastAsia" w:cs="宋体"/>
                <w:b/>
                <w:color w:val="auto"/>
                <w:kern w:val="0"/>
                <w:sz w:val="24"/>
                <w:lang w:val="en-US" w:eastAsia="zh-CN"/>
              </w:rPr>
              <w:t>1</w:t>
            </w:r>
            <w:r>
              <w:rPr>
                <w:rFonts w:hint="eastAsia" w:cs="宋体"/>
                <w:b/>
                <w:color w:val="auto"/>
                <w:kern w:val="0"/>
                <w:sz w:val="24"/>
              </w:rPr>
              <w:t>、营运期</w:t>
            </w:r>
            <w:r>
              <w:rPr>
                <w:rFonts w:cs="宋体"/>
                <w:b/>
                <w:bCs/>
                <w:color w:val="auto"/>
                <w:kern w:val="0"/>
                <w:sz w:val="24"/>
              </w:rPr>
              <w:t>工艺流程及产污环节分析</w:t>
            </w:r>
          </w:p>
          <w:p w14:paraId="1C1C1D17">
            <w:pPr>
              <w:pStyle w:val="59"/>
              <w:numPr>
                <w:ilvl w:val="0"/>
                <w:numId w:val="0"/>
              </w:numPr>
              <w:spacing w:before="0" w:beforeAutospacing="0" w:after="0" w:afterAutospacing="0" w:line="460" w:lineRule="exact"/>
              <w:ind w:firstLine="482" w:firstLineChars="200"/>
              <w:rPr>
                <w:rFonts w:hint="default" w:ascii="Times New Roman" w:hAnsi="Times New Roman" w:cs="Times New Roman"/>
                <w:b/>
                <w:bCs/>
                <w:color w:val="auto"/>
                <w:kern w:val="2"/>
                <w:szCs w:val="24"/>
              </w:rPr>
            </w:pPr>
            <w:r>
              <w:rPr>
                <w:rFonts w:hint="default" w:ascii="Times New Roman" w:hAnsi="Times New Roman" w:cs="Times New Roman"/>
                <w:b/>
                <w:bCs/>
                <w:color w:val="auto"/>
                <w:kern w:val="2"/>
                <w:szCs w:val="24"/>
              </w:rPr>
              <w:t>工艺流程：</w:t>
            </w:r>
          </w:p>
          <w:p w14:paraId="2B70D16D">
            <w:pPr>
              <w:spacing w:line="360" w:lineRule="auto"/>
              <w:jc w:val="center"/>
              <w:rPr>
                <w:rFonts w:hint="default" w:ascii="Times New Roman" w:hAnsi="Times New Roman" w:eastAsia="宋体" w:cs="Times New Roman"/>
                <w:b/>
                <w:color w:val="auto"/>
                <w:sz w:val="21"/>
                <w:szCs w:val="21"/>
                <w:lang w:eastAsia="zh-CN"/>
              </w:rPr>
            </w:pPr>
            <w:r>
              <w:rPr>
                <w:rFonts w:hint="default" w:ascii="Times New Roman" w:hAnsi="Times New Roman" w:eastAsia="宋体" w:cs="Times New Roman"/>
                <w:b/>
                <w:color w:val="auto"/>
                <w:sz w:val="21"/>
                <w:szCs w:val="21"/>
                <w:lang w:eastAsia="zh-CN"/>
              </w:rPr>
              <w:object>
                <v:shape id="_x0000_i1026" o:spt="75" type="#_x0000_t75" style="height:559.8pt;width:344.65pt;" o:ole="t" filled="f" o:preferrelative="t" stroked="f" coordsize="21600,21600">
                  <v:path/>
                  <v:fill on="f" focussize="0,0"/>
                  <v:stroke on="f"/>
                  <v:imagedata r:id="rId12" o:title=""/>
                  <o:lock v:ext="edit" aspectratio="f"/>
                  <w10:wrap type="none"/>
                  <w10:anchorlock/>
                </v:shape>
                <o:OLEObject Type="Embed" ProgID="Visio.Drawing.11" ShapeID="_x0000_i1026" DrawAspect="Content" ObjectID="_1468075726" r:id="rId11">
                  <o:LockedField>false</o:LockedField>
                </o:OLEObject>
              </w:object>
            </w:r>
          </w:p>
          <w:p w14:paraId="65F1AF00">
            <w:pPr>
              <w:spacing w:line="360" w:lineRule="auto"/>
              <w:jc w:val="center"/>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图2-2  本项目生产工艺流程及产污环节图</w:t>
            </w:r>
          </w:p>
          <w:p w14:paraId="0ED472ED">
            <w:pPr>
              <w:spacing w:line="360" w:lineRule="auto"/>
              <w:ind w:left="504" w:leftChars="240"/>
              <w:rPr>
                <w:rFonts w:hint="default" w:ascii="Times New Roman" w:hAnsi="Times New Roman" w:eastAsia="宋体" w:cs="Times New Roman"/>
                <w:color w:val="auto"/>
                <w:sz w:val="24"/>
                <w:szCs w:val="24"/>
                <w:lang w:eastAsia="zh-CN"/>
              </w:rPr>
            </w:pPr>
            <w:r>
              <w:rPr>
                <w:rFonts w:hint="default" w:ascii="Times New Roman" w:hAnsi="Times New Roman" w:cs="Times New Roman"/>
                <w:b/>
                <w:color w:val="auto"/>
                <w:kern w:val="0"/>
                <w:sz w:val="24"/>
              </w:rPr>
              <w:t>生产工艺流程简述：</w:t>
            </w:r>
          </w:p>
          <w:p w14:paraId="6922BAF5">
            <w:pPr>
              <w:widowControl/>
              <w:numPr>
                <w:ilvl w:val="0"/>
                <w:numId w:val="7"/>
              </w:numPr>
              <w:autoSpaceDE w:val="0"/>
              <w:autoSpaceDN w:val="0"/>
              <w:adjustRightInd w:val="0"/>
              <w:spacing w:line="360" w:lineRule="auto"/>
              <w:ind w:left="0" w:leftChars="0" w:firstLine="480" w:firstLineChars="200"/>
              <w:jc w:val="left"/>
              <w:textAlignment w:val="center"/>
              <w:rPr>
                <w:rFonts w:hint="default"/>
                <w:color w:val="auto"/>
                <w:lang w:val="en-US" w:eastAsia="zh-CN"/>
              </w:rPr>
            </w:pPr>
            <w:r>
              <w:rPr>
                <w:rFonts w:hint="eastAsia" w:cs="Times New Roman"/>
                <w:color w:val="auto"/>
                <w:sz w:val="24"/>
                <w:szCs w:val="24"/>
                <w:lang w:val="en-US" w:eastAsia="zh-CN"/>
              </w:rPr>
              <w:t>下料</w:t>
            </w:r>
          </w:p>
          <w:p w14:paraId="2C09818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color w:val="auto"/>
                <w:lang w:val="en-US" w:eastAsia="zh-CN"/>
              </w:rPr>
            </w:pPr>
            <w:r>
              <w:rPr>
                <w:rFonts w:hint="default" w:ascii="Times New Roman" w:hAnsi="Times New Roman" w:eastAsia="宋体" w:cs="Times New Roman"/>
                <w:b w:val="0"/>
                <w:bCs w:val="0"/>
                <w:color w:val="auto"/>
                <w:sz w:val="24"/>
                <w:szCs w:val="24"/>
                <w:lang w:eastAsia="zh-CN"/>
              </w:rPr>
              <w:t>将外购的</w:t>
            </w:r>
            <w:r>
              <w:rPr>
                <w:rFonts w:hint="eastAsia" w:ascii="Times New Roman" w:hAnsi="Times New Roman" w:cs="Times New Roman"/>
                <w:b w:val="0"/>
                <w:bCs w:val="0"/>
                <w:color w:val="auto"/>
                <w:sz w:val="24"/>
                <w:szCs w:val="24"/>
                <w:lang w:val="en-US" w:eastAsia="zh-CN"/>
              </w:rPr>
              <w:t>钢件毛坯</w:t>
            </w:r>
            <w:r>
              <w:rPr>
                <w:rFonts w:hint="default" w:ascii="Times New Roman" w:hAnsi="Times New Roman" w:eastAsia="宋体" w:cs="Times New Roman"/>
                <w:b w:val="0"/>
                <w:bCs w:val="0"/>
                <w:color w:val="auto"/>
                <w:sz w:val="24"/>
                <w:szCs w:val="24"/>
                <w:lang w:eastAsia="zh-CN"/>
              </w:rPr>
              <w:t>按照设计</w:t>
            </w:r>
            <w:r>
              <w:rPr>
                <w:rFonts w:hint="default" w:ascii="Times New Roman" w:hAnsi="Times New Roman" w:eastAsia="宋体" w:cs="Times New Roman"/>
                <w:b w:val="0"/>
                <w:bCs w:val="0"/>
                <w:color w:val="auto"/>
                <w:sz w:val="24"/>
                <w:szCs w:val="24"/>
                <w:lang w:val="en-US" w:eastAsia="zh-CN"/>
              </w:rPr>
              <w:t>图纸，利用</w:t>
            </w:r>
            <w:r>
              <w:rPr>
                <w:rFonts w:hint="eastAsia" w:ascii="Times New Roman" w:hAnsi="Times New Roman" w:eastAsia="宋体" w:cs="Times New Roman"/>
                <w:b w:val="0"/>
                <w:bCs w:val="0"/>
                <w:color w:val="auto"/>
                <w:sz w:val="24"/>
                <w:szCs w:val="24"/>
                <w:lang w:val="en-US" w:eastAsia="zh-CN"/>
              </w:rPr>
              <w:t>圆盘锯切机</w:t>
            </w:r>
            <w:r>
              <w:rPr>
                <w:rFonts w:hint="default" w:ascii="Times New Roman" w:hAnsi="Times New Roman" w:eastAsia="宋体" w:cs="Times New Roman"/>
                <w:b w:val="0"/>
                <w:bCs w:val="0"/>
                <w:color w:val="auto"/>
                <w:sz w:val="24"/>
                <w:szCs w:val="24"/>
                <w:lang w:val="en-US" w:eastAsia="zh-CN"/>
              </w:rPr>
              <w:t>进行</w:t>
            </w:r>
            <w:r>
              <w:rPr>
                <w:rFonts w:hint="eastAsia" w:ascii="Times New Roman" w:hAnsi="Times New Roman" w:eastAsia="宋体" w:cs="Times New Roman"/>
                <w:b w:val="0"/>
                <w:bCs w:val="0"/>
                <w:color w:val="auto"/>
                <w:sz w:val="24"/>
                <w:szCs w:val="24"/>
                <w:lang w:val="en-US" w:eastAsia="zh-CN"/>
              </w:rPr>
              <w:t>切断，无粉尘产生</w:t>
            </w:r>
            <w:r>
              <w:rPr>
                <w:rFonts w:hint="default" w:ascii="Times New Roman" w:hAnsi="Times New Roman" w:cs="Times New Roman"/>
                <w:b w:val="0"/>
                <w:bCs w:val="0"/>
                <w:color w:val="auto"/>
                <w:sz w:val="24"/>
                <w:szCs w:val="24"/>
                <w:lang w:val="en-US" w:eastAsia="zh-CN"/>
              </w:rPr>
              <w:t>。此工序产生废金属屑及边角料S1和设备噪声N；</w:t>
            </w:r>
          </w:p>
          <w:p w14:paraId="0A93B7E7">
            <w:pPr>
              <w:widowControl/>
              <w:numPr>
                <w:ilvl w:val="0"/>
                <w:numId w:val="7"/>
              </w:numPr>
              <w:autoSpaceDE w:val="0"/>
              <w:autoSpaceDN w:val="0"/>
              <w:adjustRightInd w:val="0"/>
              <w:spacing w:line="360" w:lineRule="auto"/>
              <w:ind w:left="0" w:leftChars="0" w:firstLine="480" w:firstLineChars="200"/>
              <w:jc w:val="left"/>
              <w:textAlignment w:val="center"/>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感应加热</w:t>
            </w:r>
          </w:p>
          <w:p w14:paraId="07EA1FE7">
            <w:pPr>
              <w:widowControl/>
              <w:numPr>
                <w:ilvl w:val="0"/>
                <w:numId w:val="0"/>
              </w:numPr>
              <w:autoSpaceDE w:val="0"/>
              <w:autoSpaceDN w:val="0"/>
              <w:adjustRightInd w:val="0"/>
              <w:spacing w:line="360" w:lineRule="auto"/>
              <w:ind w:firstLine="480" w:firstLineChars="200"/>
              <w:jc w:val="left"/>
              <w:textAlignment w:val="center"/>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利用高频炉进行感应加热，采用电加热，温度1200</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vertAlign w:val="superscript"/>
                <w:lang w:val="en-US" w:eastAsia="zh-CN"/>
              </w:rPr>
              <w:t>o</w:t>
            </w:r>
            <w:r>
              <w:rPr>
                <w:rFonts w:hint="default" w:ascii="Times New Roman" w:hAnsi="Times New Roman" w:eastAsia="宋体" w:cs="Times New Roman"/>
                <w:color w:val="auto"/>
                <w:sz w:val="24"/>
                <w:szCs w:val="24"/>
                <w:lang w:val="en-US" w:eastAsia="zh-CN"/>
              </w:rPr>
              <w:t>C</w:t>
            </w:r>
            <w:r>
              <w:rPr>
                <w:rFonts w:hint="eastAsia" w:ascii="Times New Roman" w:hAnsi="Times New Roman" w:eastAsia="宋体" w:cs="Times New Roman"/>
                <w:color w:val="auto"/>
                <w:sz w:val="24"/>
                <w:szCs w:val="24"/>
                <w:lang w:val="en-US" w:eastAsia="zh-CN"/>
              </w:rPr>
              <w:t>左右，提高钢件的塑性，降低其变形抗力，使之</w:t>
            </w:r>
            <w:r>
              <w:rPr>
                <w:rFonts w:hint="eastAsia" w:cs="Times New Roman"/>
                <w:color w:val="auto"/>
                <w:sz w:val="24"/>
                <w:szCs w:val="24"/>
                <w:lang w:val="en-US" w:eastAsia="zh-CN"/>
              </w:rPr>
              <w:t>易于成型。设备自带自带冷却水箱对工件进行间接冷却，冷却水循环使用，定期补充，不外排。此</w:t>
            </w:r>
            <w:r>
              <w:rPr>
                <w:rFonts w:hint="eastAsia" w:ascii="Times New Roman" w:hAnsi="Times New Roman" w:eastAsia="宋体" w:cs="Times New Roman"/>
                <w:color w:val="auto"/>
                <w:sz w:val="24"/>
                <w:szCs w:val="24"/>
                <w:lang w:val="en-US" w:eastAsia="zh-CN"/>
              </w:rPr>
              <w:t>工序产生循环冷却水W1-1</w:t>
            </w:r>
            <w:r>
              <w:rPr>
                <w:rFonts w:hint="eastAsia" w:ascii="Times New Roman" w:hAnsi="Times New Roman" w:cs="Times New Roman"/>
                <w:color w:val="auto"/>
                <w:sz w:val="24"/>
                <w:lang w:val="en-US" w:eastAsia="zh-CN"/>
              </w:rPr>
              <w:t>和设备噪声N</w:t>
            </w:r>
            <w:r>
              <w:rPr>
                <w:rFonts w:hint="default" w:ascii="Times New Roman" w:hAnsi="Times New Roman" w:eastAsia="宋体" w:cs="Times New Roman"/>
                <w:color w:val="auto"/>
                <w:sz w:val="24"/>
              </w:rPr>
              <w:t>。</w:t>
            </w:r>
            <w:r>
              <w:rPr>
                <w:rFonts w:hint="eastAsia" w:ascii="Times New Roman" w:hAnsi="Times New Roman" w:eastAsia="宋体" w:cs="Times New Roman"/>
                <w:color w:val="auto"/>
                <w:sz w:val="24"/>
                <w:szCs w:val="24"/>
                <w:lang w:val="en-US" w:eastAsia="zh-CN"/>
              </w:rPr>
              <w:t>。</w:t>
            </w:r>
          </w:p>
          <w:p w14:paraId="03DA8E9C">
            <w:pPr>
              <w:widowControl/>
              <w:numPr>
                <w:ilvl w:val="0"/>
                <w:numId w:val="0"/>
              </w:numPr>
              <w:autoSpaceDE w:val="0"/>
              <w:autoSpaceDN w:val="0"/>
              <w:adjustRightInd w:val="0"/>
              <w:spacing w:line="360" w:lineRule="auto"/>
              <w:ind w:firstLine="480" w:firstLineChars="200"/>
              <w:jc w:val="left"/>
              <w:textAlignment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高频炉感应加热原理：将工件放到感应器内，感应器一般是输入中频或高频交流电（1000-300000Hz或更高）的空心铜管。产生交变磁场在工件中产生出同频率的感应电流，这种感应电流在工件的分布是不均匀的，在表面强，而在内部很弱，到心部接近于0，利用这个集肤效应，可使工件表面迅速加热，在几秒钟内表面温度上升到800-1000℃，而心部温度升高很小。</w:t>
            </w:r>
          </w:p>
          <w:p w14:paraId="4E181A84">
            <w:pPr>
              <w:widowControl/>
              <w:numPr>
                <w:ilvl w:val="0"/>
                <w:numId w:val="7"/>
              </w:numPr>
              <w:autoSpaceDE w:val="0"/>
              <w:autoSpaceDN w:val="0"/>
              <w:adjustRightInd w:val="0"/>
              <w:spacing w:line="360" w:lineRule="auto"/>
              <w:ind w:left="0" w:leftChars="0" w:firstLine="480" w:firstLineChars="200"/>
              <w:jc w:val="left"/>
              <w:textAlignment w:val="center"/>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锻造</w:t>
            </w:r>
          </w:p>
          <w:p w14:paraId="389D5E8E">
            <w:pPr>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textAlignment w:val="auto"/>
              <w:rPr>
                <w:rFonts w:hint="default" w:ascii="Times New Roman" w:hAnsi="Times New Roman" w:eastAsia="宋体" w:cs="Times New Roman"/>
                <w:color w:val="auto"/>
                <w:sz w:val="24"/>
              </w:rPr>
            </w:pPr>
            <w:r>
              <w:rPr>
                <w:rFonts w:hint="eastAsia" w:cs="Times New Roman"/>
                <w:color w:val="auto"/>
                <w:sz w:val="24"/>
                <w:szCs w:val="24"/>
                <w:lang w:val="en-US" w:eastAsia="zh-CN"/>
              </w:rPr>
              <w:t>人工将加热冷却后的工件放入高速锻压机凹模内，通过压力进行锻造成型，采用电加热，温度1200</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vertAlign w:val="superscript"/>
                <w:lang w:val="en-US" w:eastAsia="zh-CN"/>
              </w:rPr>
              <w:t>o</w:t>
            </w:r>
            <w:r>
              <w:rPr>
                <w:rFonts w:hint="default" w:ascii="Times New Roman" w:hAnsi="Times New Roman" w:eastAsia="宋体" w:cs="Times New Roman"/>
                <w:color w:val="auto"/>
                <w:sz w:val="24"/>
                <w:szCs w:val="24"/>
                <w:lang w:val="en-US" w:eastAsia="zh-CN"/>
              </w:rPr>
              <w:t>C</w:t>
            </w:r>
            <w:r>
              <w:rPr>
                <w:rFonts w:hint="eastAsia" w:ascii="Times New Roman" w:hAnsi="Times New Roman" w:eastAsia="宋体" w:cs="Times New Roman"/>
                <w:color w:val="auto"/>
                <w:sz w:val="24"/>
                <w:szCs w:val="24"/>
                <w:lang w:val="en-US" w:eastAsia="zh-CN"/>
              </w:rPr>
              <w:t>左右</w:t>
            </w:r>
            <w:r>
              <w:rPr>
                <w:rFonts w:hint="eastAsia" w:cs="Times New Roman"/>
                <w:color w:val="auto"/>
                <w:sz w:val="24"/>
                <w:szCs w:val="24"/>
                <w:lang w:val="en-US" w:eastAsia="zh-CN"/>
              </w:rPr>
              <w:t>。项目高速锻压机设备自带一个储存水性脱模剂的容器，在凹模模具内喷上一层水性脱模剂，方便锻造后脱模，水性脱模剂</w:t>
            </w:r>
            <w:r>
              <w:rPr>
                <w:rFonts w:hint="default" w:cs="Times New Roman"/>
                <w:color w:val="auto"/>
                <w:sz w:val="24"/>
                <w:szCs w:val="24"/>
                <w:lang w:val="en-US" w:eastAsia="zh-CN"/>
              </w:rPr>
              <w:t>与水进行配比，水性</w:t>
            </w:r>
            <w:r>
              <w:rPr>
                <w:rFonts w:hint="eastAsia" w:cs="Times New Roman"/>
                <w:color w:val="auto"/>
                <w:sz w:val="24"/>
                <w:szCs w:val="24"/>
                <w:lang w:val="en-US" w:eastAsia="zh-CN"/>
              </w:rPr>
              <w:t>水性脱模剂</w:t>
            </w:r>
            <w:r>
              <w:rPr>
                <w:rFonts w:hint="default" w:cs="Times New Roman"/>
                <w:color w:val="auto"/>
                <w:sz w:val="24"/>
                <w:szCs w:val="24"/>
                <w:lang w:val="en-US" w:eastAsia="zh-CN"/>
              </w:rPr>
              <w:t>：水=1</w:t>
            </w:r>
            <w:r>
              <w:rPr>
                <w:rFonts w:hint="eastAsia" w:cs="Times New Roman"/>
                <w:color w:val="auto"/>
                <w:sz w:val="24"/>
                <w:szCs w:val="24"/>
                <w:lang w:val="en-US" w:eastAsia="zh-CN"/>
              </w:rPr>
              <w:t>：2</w:t>
            </w:r>
            <w:r>
              <w:rPr>
                <w:rFonts w:hint="default" w:cs="Times New Roman"/>
                <w:color w:val="auto"/>
                <w:sz w:val="24"/>
                <w:szCs w:val="24"/>
                <w:lang w:val="en-US" w:eastAsia="zh-CN"/>
              </w:rPr>
              <w:t>0。</w:t>
            </w:r>
            <w:r>
              <w:rPr>
                <w:rFonts w:hint="eastAsia" w:cs="Times New Roman"/>
                <w:color w:val="auto"/>
                <w:sz w:val="24"/>
                <w:szCs w:val="24"/>
                <w:lang w:val="en-US" w:eastAsia="zh-CN"/>
              </w:rPr>
              <w:t>设备自带冷却水箱进行对模具进行间接冷却，冷却水循环使用，定期补充，不外排</w:t>
            </w:r>
            <w:r>
              <w:rPr>
                <w:rFonts w:hint="default" w:cs="Times New Roman"/>
                <w:color w:val="auto"/>
                <w:sz w:val="24"/>
                <w:szCs w:val="24"/>
                <w:lang w:val="en-US" w:eastAsia="zh-CN"/>
              </w:rPr>
              <w:t>。此</w:t>
            </w:r>
            <w:r>
              <w:rPr>
                <w:rFonts w:hint="default" w:ascii="Times New Roman" w:hAnsi="Times New Roman" w:eastAsia="宋体" w:cs="Times New Roman"/>
                <w:color w:val="auto"/>
                <w:sz w:val="24"/>
              </w:rPr>
              <w:t>工序会产生</w:t>
            </w:r>
            <w:r>
              <w:rPr>
                <w:rFonts w:hint="eastAsia" w:cs="Times New Roman"/>
                <w:color w:val="auto"/>
                <w:sz w:val="24"/>
                <w:lang w:eastAsia="zh-CN"/>
              </w:rPr>
              <w:t>脱模油雾废气G1</w:t>
            </w:r>
            <w:r>
              <w:rPr>
                <w:rFonts w:hint="eastAsia" w:ascii="Times New Roman" w:hAnsi="Times New Roman" w:cs="Times New Roman"/>
                <w:color w:val="auto"/>
                <w:sz w:val="24"/>
                <w:lang w:val="en-US" w:eastAsia="zh-CN"/>
              </w:rPr>
              <w:t>、</w:t>
            </w:r>
            <w:r>
              <w:rPr>
                <w:rFonts w:hint="default" w:ascii="Times New Roman" w:hAnsi="Times New Roman" w:eastAsia="宋体" w:cs="Times New Roman"/>
                <w:color w:val="auto"/>
                <w:sz w:val="24"/>
                <w:lang w:val="en-US" w:eastAsia="zh-CN"/>
              </w:rPr>
              <w:t>循环冷却水W</w:t>
            </w:r>
            <w:r>
              <w:rPr>
                <w:rFonts w:hint="eastAsia" w:ascii="Times New Roman" w:hAnsi="Times New Roman" w:cs="Times New Roman"/>
                <w:color w:val="auto"/>
                <w:sz w:val="24"/>
                <w:lang w:val="en-US" w:eastAsia="zh-CN"/>
              </w:rPr>
              <w:t>1-2、</w:t>
            </w:r>
            <w:r>
              <w:rPr>
                <w:rFonts w:hint="default" w:ascii="Times New Roman" w:hAnsi="Times New Roman" w:cs="Times New Roman"/>
                <w:color w:val="auto"/>
                <w:sz w:val="24"/>
                <w:szCs w:val="24"/>
              </w:rPr>
              <w:t>废</w:t>
            </w:r>
            <w:r>
              <w:rPr>
                <w:rFonts w:hint="default" w:ascii="Times New Roman" w:hAnsi="Times New Roman" w:eastAsia="宋体" w:cs="Times New Roman"/>
                <w:color w:val="auto"/>
                <w:sz w:val="24"/>
                <w:szCs w:val="24"/>
              </w:rPr>
              <w:t>金属屑</w:t>
            </w:r>
            <w:r>
              <w:rPr>
                <w:rFonts w:hint="default" w:ascii="Times New Roman" w:hAnsi="Times New Roman" w:cs="Times New Roman"/>
                <w:color w:val="auto"/>
                <w:sz w:val="24"/>
                <w:szCs w:val="24"/>
                <w:lang w:eastAsia="zh-CN"/>
              </w:rPr>
              <w:t>及边角料</w:t>
            </w:r>
            <w:r>
              <w:rPr>
                <w:rFonts w:hint="default" w:ascii="Times New Roman" w:hAnsi="Times New Roman" w:eastAsia="宋体" w:cs="Times New Roman"/>
                <w:color w:val="auto"/>
                <w:sz w:val="24"/>
                <w:szCs w:val="24"/>
                <w:lang w:val="en-US" w:eastAsia="zh-CN"/>
              </w:rPr>
              <w:t>S</w:t>
            </w:r>
            <w:r>
              <w:rPr>
                <w:rFonts w:hint="eastAsia" w:cs="Times New Roman"/>
                <w:color w:val="auto"/>
                <w:sz w:val="24"/>
                <w:szCs w:val="24"/>
                <w:lang w:val="en-US" w:eastAsia="zh-CN"/>
              </w:rPr>
              <w:t>1</w:t>
            </w:r>
            <w:r>
              <w:rPr>
                <w:rFonts w:hint="default" w:ascii="Times New Roman" w:hAnsi="Times New Roman" w:cs="Times New Roman"/>
                <w:color w:val="auto"/>
                <w:sz w:val="24"/>
                <w:szCs w:val="24"/>
                <w:lang w:val="en-US" w:eastAsia="zh-CN"/>
              </w:rPr>
              <w:t>、含油金属屑S</w:t>
            </w:r>
            <w:r>
              <w:rPr>
                <w:rFonts w:hint="eastAsia" w:cs="Times New Roman"/>
                <w:color w:val="auto"/>
                <w:sz w:val="24"/>
                <w:szCs w:val="24"/>
                <w:lang w:val="en-US" w:eastAsia="zh-CN"/>
              </w:rPr>
              <w:t>2</w:t>
            </w:r>
            <w:r>
              <w:rPr>
                <w:rFonts w:hint="eastAsia" w:ascii="Times New Roman" w:hAnsi="Times New Roman" w:cs="Times New Roman"/>
                <w:color w:val="auto"/>
                <w:sz w:val="24"/>
                <w:szCs w:val="24"/>
                <w:lang w:val="en-US" w:eastAsia="zh-CN"/>
              </w:rPr>
              <w:t>、</w:t>
            </w:r>
            <w:r>
              <w:rPr>
                <w:rFonts w:hint="eastAsia" w:ascii="Times New Roman" w:hAnsi="Times New Roman" w:eastAsia="宋体" w:cs="Times New Roman"/>
                <w:color w:val="auto"/>
                <w:sz w:val="24"/>
                <w:lang w:val="en-US" w:eastAsia="zh-CN"/>
              </w:rPr>
              <w:t>废</w:t>
            </w:r>
            <w:r>
              <w:rPr>
                <w:rFonts w:hint="eastAsia" w:cs="Times New Roman"/>
                <w:color w:val="auto"/>
                <w:sz w:val="24"/>
                <w:lang w:val="en-US" w:eastAsia="zh-CN"/>
              </w:rPr>
              <w:t>水性脱模剂</w:t>
            </w:r>
            <w:r>
              <w:rPr>
                <w:rFonts w:hint="default" w:ascii="Times New Roman" w:hAnsi="Times New Roman" w:cs="Times New Roman"/>
                <w:color w:val="auto"/>
                <w:sz w:val="24"/>
                <w:lang w:val="en-US" w:eastAsia="zh-CN"/>
              </w:rPr>
              <w:t>S</w:t>
            </w:r>
            <w:r>
              <w:rPr>
                <w:rFonts w:hint="eastAsia" w:cs="Times New Roman"/>
                <w:color w:val="auto"/>
                <w:sz w:val="24"/>
                <w:lang w:val="en-US" w:eastAsia="zh-CN"/>
              </w:rPr>
              <w:t>3</w:t>
            </w:r>
            <w:r>
              <w:rPr>
                <w:rFonts w:hint="default" w:ascii="Times New Roman" w:hAnsi="Times New Roman" w:eastAsia="宋体" w:cs="Times New Roman"/>
                <w:color w:val="auto"/>
                <w:sz w:val="24"/>
                <w:lang w:val="en-US" w:eastAsia="zh-CN"/>
              </w:rPr>
              <w:t>、</w:t>
            </w:r>
            <w:r>
              <w:rPr>
                <w:rFonts w:hint="eastAsia" w:cs="Times New Roman"/>
                <w:color w:val="auto"/>
                <w:sz w:val="24"/>
                <w:lang w:val="en-US" w:eastAsia="zh-CN"/>
              </w:rPr>
              <w:t>废化学品包装桶</w:t>
            </w:r>
            <w:r>
              <w:rPr>
                <w:rFonts w:hint="default" w:ascii="Times New Roman" w:hAnsi="Times New Roman" w:eastAsia="宋体" w:cs="Times New Roman"/>
                <w:color w:val="auto"/>
                <w:sz w:val="24"/>
                <w:lang w:val="en-US" w:eastAsia="zh-CN"/>
              </w:rPr>
              <w:t>S</w:t>
            </w:r>
            <w:r>
              <w:rPr>
                <w:rFonts w:hint="eastAsia" w:cs="Times New Roman"/>
                <w:color w:val="auto"/>
                <w:sz w:val="24"/>
                <w:lang w:val="en-US" w:eastAsia="zh-CN"/>
              </w:rPr>
              <w:t>4</w:t>
            </w:r>
            <w:r>
              <w:rPr>
                <w:rFonts w:hint="eastAsia" w:ascii="Times New Roman" w:hAnsi="Times New Roman" w:cs="Times New Roman"/>
                <w:color w:val="auto"/>
                <w:sz w:val="24"/>
                <w:lang w:val="en-US" w:eastAsia="zh-CN"/>
              </w:rPr>
              <w:t>和设备噪声N</w:t>
            </w:r>
            <w:r>
              <w:rPr>
                <w:rFonts w:hint="default" w:ascii="Times New Roman" w:hAnsi="Times New Roman" w:eastAsia="宋体" w:cs="Times New Roman"/>
                <w:color w:val="auto"/>
                <w:sz w:val="24"/>
              </w:rPr>
              <w:t>。</w:t>
            </w:r>
          </w:p>
          <w:p w14:paraId="7AA3A056">
            <w:pPr>
              <w:widowControl/>
              <w:numPr>
                <w:ilvl w:val="0"/>
                <w:numId w:val="7"/>
              </w:numPr>
              <w:autoSpaceDE w:val="0"/>
              <w:autoSpaceDN w:val="0"/>
              <w:adjustRightInd w:val="0"/>
              <w:spacing w:line="360" w:lineRule="auto"/>
              <w:ind w:left="0" w:leftChars="0" w:firstLine="480" w:firstLineChars="200"/>
              <w:jc w:val="left"/>
              <w:textAlignment w:val="center"/>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val="0"/>
                <w:bCs w:val="0"/>
                <w:color w:val="auto"/>
                <w:sz w:val="24"/>
                <w:szCs w:val="20"/>
                <w:lang w:val="en-US" w:eastAsia="zh-CN"/>
              </w:rPr>
              <w:t>抛丸</w:t>
            </w:r>
          </w:p>
          <w:p w14:paraId="5097C6C2">
            <w:pPr>
              <w:widowControl/>
              <w:numPr>
                <w:ilvl w:val="0"/>
                <w:numId w:val="0"/>
              </w:numPr>
              <w:autoSpaceDE w:val="0"/>
              <w:autoSpaceDN w:val="0"/>
              <w:adjustRightInd w:val="0"/>
              <w:spacing w:line="360" w:lineRule="auto"/>
              <w:ind w:firstLine="480" w:firstLineChars="200"/>
              <w:jc w:val="left"/>
              <w:textAlignment w:val="center"/>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val="0"/>
                <w:bCs w:val="0"/>
                <w:color w:val="auto"/>
                <w:sz w:val="24"/>
                <w:szCs w:val="20"/>
                <w:lang w:val="en-US" w:eastAsia="zh-CN"/>
              </w:rPr>
              <w:t>因部分产品对工件表面要求较高，约5%的钢件毛坯需进行抛丸处理工件进入抛丸机进行抛丸处理，</w:t>
            </w:r>
            <w:r>
              <w:rPr>
                <w:rFonts w:hint="eastAsia" w:ascii="Times New Roman" w:hAnsi="Times New Roman" w:eastAsia="宋体" w:cs="Times New Roman"/>
                <w:b w:val="0"/>
                <w:bCs w:val="0"/>
                <w:color w:val="auto"/>
                <w:sz w:val="24"/>
                <w:szCs w:val="20"/>
                <w:lang w:val="en-US" w:eastAsia="zh-CN"/>
              </w:rPr>
              <w:t>采用钢丸作为</w:t>
            </w:r>
            <w:r>
              <w:rPr>
                <w:rFonts w:hint="eastAsia" w:eastAsia="宋体" w:cs="Times New Roman"/>
                <w:b w:val="0"/>
                <w:bCs w:val="0"/>
                <w:color w:val="auto"/>
                <w:sz w:val="24"/>
                <w:szCs w:val="20"/>
                <w:lang w:val="en-US" w:eastAsia="zh-CN"/>
              </w:rPr>
              <w:t>磨料，</w:t>
            </w:r>
            <w:r>
              <w:rPr>
                <w:rFonts w:hint="default" w:ascii="Times New Roman" w:hAnsi="Times New Roman" w:eastAsia="宋体" w:cs="Times New Roman"/>
                <w:color w:val="auto"/>
                <w:sz w:val="24"/>
                <w:szCs w:val="24"/>
              </w:rPr>
              <w:t>使钢材表面上的锈蚀层、氧化皮及其污物迅速脱落，获得一定粗糙度的光洁表面，提高</w:t>
            </w:r>
            <w:r>
              <w:rPr>
                <w:rFonts w:hint="default" w:ascii="Times New Roman" w:hAnsi="Times New Roman" w:eastAsia="宋体" w:cs="Times New Roman"/>
                <w:color w:val="auto"/>
                <w:sz w:val="24"/>
                <w:szCs w:val="24"/>
                <w:lang w:eastAsia="zh-CN"/>
              </w:rPr>
              <w:t>后续</w:t>
            </w:r>
            <w:r>
              <w:rPr>
                <w:rFonts w:hint="default" w:ascii="Times New Roman" w:hAnsi="Times New Roman" w:eastAsia="宋体" w:cs="Times New Roman"/>
                <w:color w:val="auto"/>
                <w:sz w:val="24"/>
                <w:szCs w:val="24"/>
              </w:rPr>
              <w:t>钢材表面的附着力，并提高钢材的抗疲劳强度和抗腐蚀能力，改善了钢材内在质量，延长其使用寿命。</w:t>
            </w:r>
            <w:r>
              <w:rPr>
                <w:rFonts w:hint="default" w:ascii="Times New Roman" w:hAnsi="Times New Roman" w:eastAsia="宋体" w:cs="Times New Roman"/>
                <w:color w:val="auto"/>
                <w:sz w:val="24"/>
                <w:szCs w:val="24"/>
                <w:lang w:val="en-US" w:eastAsia="zh-CN"/>
              </w:rPr>
              <w:t>此工序会产生抛丸粉尘</w:t>
            </w:r>
            <w:r>
              <w:rPr>
                <w:rFonts w:hint="eastAsia" w:cs="Times New Roman"/>
                <w:color w:val="auto"/>
                <w:sz w:val="24"/>
                <w:szCs w:val="24"/>
                <w:lang w:val="en-US" w:eastAsia="zh-CN"/>
              </w:rPr>
              <w:t>G2</w:t>
            </w:r>
            <w:r>
              <w:rPr>
                <w:rFonts w:hint="default" w:ascii="Times New Roman" w:hAnsi="Times New Roman" w:eastAsia="宋体" w:cs="Times New Roman"/>
                <w:color w:val="auto"/>
                <w:sz w:val="24"/>
                <w:szCs w:val="24"/>
                <w:lang w:val="en-US" w:eastAsia="zh-CN"/>
              </w:rPr>
              <w:t>、废钢丸</w:t>
            </w:r>
            <w:r>
              <w:rPr>
                <w:rFonts w:hint="default" w:ascii="Times New Roman" w:hAnsi="Times New Roman" w:cs="Times New Roman"/>
                <w:color w:val="auto"/>
                <w:sz w:val="24"/>
                <w:szCs w:val="24"/>
                <w:lang w:val="en-US" w:eastAsia="zh-CN"/>
              </w:rPr>
              <w:t>S</w:t>
            </w:r>
            <w:r>
              <w:rPr>
                <w:rFonts w:hint="eastAsia" w:cs="Times New Roman"/>
                <w:color w:val="auto"/>
                <w:sz w:val="24"/>
                <w:szCs w:val="24"/>
                <w:lang w:val="en-US" w:eastAsia="zh-CN"/>
              </w:rPr>
              <w:t>5</w:t>
            </w:r>
            <w:r>
              <w:rPr>
                <w:rFonts w:hint="default" w:ascii="Times New Roman" w:hAnsi="Times New Roman" w:cs="Times New Roman"/>
                <w:color w:val="auto"/>
                <w:sz w:val="24"/>
                <w:szCs w:val="24"/>
                <w:lang w:val="en-US" w:eastAsia="zh-CN"/>
              </w:rPr>
              <w:t>和</w:t>
            </w:r>
            <w:r>
              <w:rPr>
                <w:rFonts w:hint="default" w:ascii="Times New Roman" w:hAnsi="Times New Roman" w:eastAsia="宋体" w:cs="Times New Roman"/>
                <w:color w:val="auto"/>
                <w:sz w:val="24"/>
                <w:szCs w:val="24"/>
                <w:lang w:val="en-US" w:eastAsia="zh-CN"/>
              </w:rPr>
              <w:t>设备噪声</w:t>
            </w:r>
            <w:r>
              <w:rPr>
                <w:rFonts w:hint="default" w:ascii="Times New Roman" w:hAnsi="Times New Roman" w:cs="Times New Roman"/>
                <w:color w:val="auto"/>
                <w:sz w:val="24"/>
                <w:szCs w:val="24"/>
                <w:lang w:val="en-US" w:eastAsia="zh-CN"/>
              </w:rPr>
              <w:t>N。</w:t>
            </w:r>
          </w:p>
          <w:p w14:paraId="3907B570">
            <w:pPr>
              <w:keepNext w:val="0"/>
              <w:keepLines w:val="0"/>
              <w:pageBreakBefore w:val="0"/>
              <w:widowControl w:val="0"/>
              <w:numPr>
                <w:ilvl w:val="0"/>
                <w:numId w:val="7"/>
              </w:numPr>
              <w:shd w:val="clear" w:color="auto" w:fill="auto"/>
              <w:kinsoku/>
              <w:wordWrap/>
              <w:overflowPunct/>
              <w:topLinePunct w:val="0"/>
              <w:autoSpaceDE/>
              <w:autoSpaceDN/>
              <w:bidi w:val="0"/>
              <w:adjustRightInd/>
              <w:snapToGrid/>
              <w:spacing w:line="360" w:lineRule="auto"/>
              <w:ind w:left="0" w:leftChars="0" w:firstLine="480" w:firstLineChars="200"/>
              <w:textAlignment w:val="auto"/>
              <w:rPr>
                <w:color w:val="auto"/>
              </w:rPr>
            </w:pPr>
            <w:r>
              <w:rPr>
                <w:rFonts w:hint="eastAsia" w:cs="Times New Roman"/>
                <w:b w:val="0"/>
                <w:bCs w:val="0"/>
                <w:color w:val="auto"/>
                <w:sz w:val="24"/>
                <w:szCs w:val="20"/>
                <w:lang w:val="en-US" w:eastAsia="zh-CN"/>
              </w:rPr>
              <w:t>粗</w:t>
            </w:r>
            <w:r>
              <w:rPr>
                <w:rFonts w:hint="default" w:ascii="Times New Roman" w:hAnsi="Times New Roman" w:eastAsia="宋体" w:cs="Times New Roman"/>
                <w:b w:val="0"/>
                <w:bCs w:val="0"/>
                <w:color w:val="auto"/>
                <w:sz w:val="24"/>
                <w:szCs w:val="20"/>
                <w:lang w:val="en-US" w:eastAsia="zh-CN"/>
              </w:rPr>
              <w:t>加工</w:t>
            </w:r>
          </w:p>
          <w:p w14:paraId="5656A003">
            <w:pPr>
              <w:widowControl/>
              <w:numPr>
                <w:ilvl w:val="0"/>
                <w:numId w:val="0"/>
              </w:numPr>
              <w:autoSpaceDE w:val="0"/>
              <w:autoSpaceDN w:val="0"/>
              <w:adjustRightInd w:val="0"/>
              <w:spacing w:line="360" w:lineRule="auto"/>
              <w:ind w:firstLine="480" w:firstLineChars="200"/>
              <w:jc w:val="left"/>
              <w:textAlignment w:val="center"/>
              <w:rPr>
                <w:rFonts w:hint="default"/>
                <w:color w:val="auto"/>
                <w:lang w:val="en-US" w:eastAsia="zh-CN"/>
              </w:rPr>
            </w:pPr>
            <w:r>
              <w:rPr>
                <w:rFonts w:hint="default" w:ascii="Times New Roman" w:hAnsi="Times New Roman" w:cs="Times New Roman"/>
                <w:color w:val="auto"/>
                <w:sz w:val="24"/>
                <w:szCs w:val="24"/>
              </w:rPr>
              <w:t>利</w:t>
            </w:r>
            <w:r>
              <w:rPr>
                <w:rFonts w:hint="default" w:ascii="Times New Roman" w:hAnsi="Times New Roman" w:eastAsia="宋体" w:cs="Times New Roman"/>
                <w:color w:val="auto"/>
                <w:sz w:val="24"/>
                <w:szCs w:val="24"/>
              </w:rPr>
              <w:t>用</w:t>
            </w:r>
            <w:r>
              <w:rPr>
                <w:rFonts w:hint="eastAsia" w:cs="Times New Roman"/>
                <w:b w:val="0"/>
                <w:bCs w:val="0"/>
                <w:color w:val="auto"/>
                <w:sz w:val="24"/>
                <w:szCs w:val="20"/>
                <w:lang w:val="en-US" w:eastAsia="zh-CN"/>
              </w:rPr>
              <w:t>数控车床、CNC加工中心</w:t>
            </w:r>
            <w:r>
              <w:rPr>
                <w:rFonts w:hint="default" w:ascii="Times New Roman" w:hAnsi="Times New Roman" w:eastAsia="宋体" w:cs="Times New Roman"/>
                <w:color w:val="auto"/>
                <w:sz w:val="24"/>
                <w:szCs w:val="24"/>
              </w:rPr>
              <w:t>进</w:t>
            </w:r>
            <w:r>
              <w:rPr>
                <w:rFonts w:hint="default" w:ascii="Times New Roman" w:hAnsi="Times New Roman" w:cs="Times New Roman"/>
                <w:color w:val="auto"/>
                <w:sz w:val="24"/>
                <w:szCs w:val="24"/>
              </w:rPr>
              <w:t>行</w:t>
            </w:r>
            <w:r>
              <w:rPr>
                <w:rFonts w:hint="eastAsia" w:cs="Times New Roman"/>
                <w:color w:val="auto"/>
                <w:sz w:val="24"/>
                <w:szCs w:val="24"/>
                <w:lang w:val="en-US" w:eastAsia="zh-CN"/>
              </w:rPr>
              <w:t>粗</w:t>
            </w:r>
            <w:r>
              <w:rPr>
                <w:rFonts w:hint="default" w:ascii="Times New Roman" w:hAnsi="Times New Roman" w:cs="Times New Roman"/>
                <w:color w:val="auto"/>
                <w:sz w:val="24"/>
                <w:szCs w:val="24"/>
              </w:rPr>
              <w:t>加工，</w:t>
            </w:r>
            <w:r>
              <w:rPr>
                <w:rFonts w:hint="eastAsia" w:ascii="Times New Roman" w:hAnsi="Times New Roman" w:eastAsia="宋体" w:cs="Times New Roman"/>
                <w:b w:val="0"/>
                <w:bCs w:val="0"/>
                <w:color w:val="auto"/>
                <w:sz w:val="24"/>
                <w:szCs w:val="20"/>
                <w:lang w:val="en-US" w:eastAsia="zh-CN"/>
              </w:rPr>
              <w:t>通过大切削量、高进给速度快速去除毛坯余量，使工件接近成品形状。</w:t>
            </w:r>
            <w:r>
              <w:rPr>
                <w:rFonts w:hint="eastAsia" w:cs="Times New Roman"/>
                <w:color w:val="auto"/>
                <w:sz w:val="24"/>
                <w:szCs w:val="24"/>
                <w:lang w:val="en-US" w:eastAsia="zh-CN"/>
              </w:rPr>
              <w:t>粗</w:t>
            </w:r>
            <w:r>
              <w:rPr>
                <w:rFonts w:hint="default" w:ascii="Times New Roman" w:hAnsi="Times New Roman" w:cs="Times New Roman"/>
                <w:color w:val="auto"/>
                <w:sz w:val="24"/>
                <w:szCs w:val="24"/>
              </w:rPr>
              <w:t>加工</w:t>
            </w:r>
            <w:r>
              <w:rPr>
                <w:rFonts w:hint="eastAsia" w:cs="Times New Roman"/>
                <w:color w:val="auto"/>
                <w:sz w:val="24"/>
                <w:szCs w:val="24"/>
                <w:lang w:val="en-US" w:eastAsia="zh-CN"/>
              </w:rPr>
              <w:t>为</w:t>
            </w:r>
            <w:r>
              <w:rPr>
                <w:rFonts w:hint="default" w:ascii="Times New Roman" w:hAnsi="Times New Roman" w:cs="Times New Roman"/>
                <w:color w:val="auto"/>
                <w:sz w:val="24"/>
                <w:lang w:val="en-US" w:eastAsia="zh-CN"/>
              </w:rPr>
              <w:t>湿式作业</w:t>
            </w:r>
            <w:r>
              <w:rPr>
                <w:rFonts w:hint="default" w:ascii="Times New Roman" w:hAnsi="Times New Roman" w:cs="Times New Roman"/>
                <w:color w:val="auto"/>
                <w:sz w:val="24"/>
                <w:szCs w:val="24"/>
              </w:rPr>
              <w:t>，</w:t>
            </w:r>
            <w:r>
              <w:rPr>
                <w:rFonts w:hint="default" w:ascii="Times New Roman" w:hAnsi="Times New Roman" w:cs="Times New Roman"/>
                <w:color w:val="auto"/>
                <w:sz w:val="24"/>
                <w:lang w:val="en-US" w:eastAsia="zh-CN"/>
              </w:rPr>
              <w:t>切削液与水配比使用</w:t>
            </w:r>
            <w:r>
              <w:rPr>
                <w:rFonts w:hint="default"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szCs w:val="24"/>
                <w:lang w:eastAsia="zh-CN"/>
              </w:rPr>
              <w:t>切削</w:t>
            </w:r>
            <w:r>
              <w:rPr>
                <w:rFonts w:hint="default" w:ascii="Times New Roman" w:hAnsi="Times New Roman" w:eastAsia="宋体" w:cs="Times New Roman"/>
                <w:b w:val="0"/>
                <w:bCs w:val="0"/>
                <w:color w:val="auto"/>
                <w:sz w:val="24"/>
                <w:szCs w:val="20"/>
                <w:lang w:val="en-US" w:eastAsia="zh-CN"/>
              </w:rPr>
              <w:t>液：水=1:20。此工序</w:t>
            </w:r>
            <w:r>
              <w:rPr>
                <w:rFonts w:hint="default" w:ascii="Times New Roman" w:hAnsi="Times New Roman" w:cs="Times New Roman"/>
                <w:color w:val="auto"/>
                <w:sz w:val="24"/>
                <w:szCs w:val="24"/>
              </w:rPr>
              <w:t>产生废</w:t>
            </w:r>
            <w:r>
              <w:rPr>
                <w:rFonts w:hint="default" w:ascii="Times New Roman" w:hAnsi="Times New Roman" w:eastAsia="宋体" w:cs="Times New Roman"/>
                <w:color w:val="auto"/>
                <w:sz w:val="24"/>
                <w:szCs w:val="24"/>
              </w:rPr>
              <w:t>金属屑</w:t>
            </w:r>
            <w:r>
              <w:rPr>
                <w:rFonts w:hint="default" w:ascii="Times New Roman" w:hAnsi="Times New Roman" w:cs="Times New Roman"/>
                <w:color w:val="auto"/>
                <w:sz w:val="24"/>
                <w:szCs w:val="24"/>
                <w:lang w:eastAsia="zh-CN"/>
              </w:rPr>
              <w:t>及边角料</w:t>
            </w:r>
            <w:r>
              <w:rPr>
                <w:rFonts w:hint="default" w:ascii="Times New Roman" w:hAnsi="Times New Roman" w:eastAsia="宋体" w:cs="Times New Roman"/>
                <w:color w:val="auto"/>
                <w:sz w:val="24"/>
                <w:szCs w:val="24"/>
                <w:lang w:val="en-US" w:eastAsia="zh-CN"/>
              </w:rPr>
              <w:t>S</w:t>
            </w:r>
            <w:r>
              <w:rPr>
                <w:rFonts w:hint="eastAsia" w:cs="Times New Roman"/>
                <w:color w:val="auto"/>
                <w:sz w:val="24"/>
                <w:szCs w:val="24"/>
                <w:lang w:val="en-US" w:eastAsia="zh-CN"/>
              </w:rPr>
              <w:t>1</w:t>
            </w:r>
            <w:r>
              <w:rPr>
                <w:rFonts w:hint="default" w:ascii="Times New Roman" w:hAnsi="Times New Roman" w:cs="Times New Roman"/>
                <w:color w:val="auto"/>
                <w:sz w:val="24"/>
                <w:szCs w:val="24"/>
                <w:lang w:val="en-US" w:eastAsia="zh-CN"/>
              </w:rPr>
              <w:t>、含油金属屑S</w:t>
            </w:r>
            <w:r>
              <w:rPr>
                <w:rFonts w:hint="eastAsia" w:cs="Times New Roman"/>
                <w:color w:val="auto"/>
                <w:sz w:val="24"/>
                <w:szCs w:val="24"/>
                <w:lang w:val="en-US" w:eastAsia="zh-CN"/>
              </w:rPr>
              <w:t>2</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eastAsia="zh-CN"/>
              </w:rPr>
              <w:t>废切削液</w:t>
            </w:r>
            <w:r>
              <w:rPr>
                <w:rFonts w:hint="default" w:ascii="Times New Roman" w:hAnsi="Times New Roman" w:cs="Times New Roman"/>
                <w:color w:val="auto"/>
                <w:sz w:val="24"/>
                <w:szCs w:val="24"/>
                <w:lang w:val="en-US" w:eastAsia="zh-CN"/>
              </w:rPr>
              <w:t>S</w:t>
            </w:r>
            <w:r>
              <w:rPr>
                <w:rFonts w:hint="eastAsia"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lang w:eastAsia="zh-CN"/>
              </w:rPr>
              <w:t>、</w:t>
            </w:r>
            <w:r>
              <w:rPr>
                <w:rFonts w:hint="eastAsia" w:cs="Times New Roman"/>
                <w:color w:val="auto"/>
                <w:sz w:val="24"/>
                <w:szCs w:val="24"/>
                <w:lang w:eastAsia="zh-CN"/>
              </w:rPr>
              <w:t>废化学品包装桶</w:t>
            </w:r>
            <w:r>
              <w:rPr>
                <w:rFonts w:hint="default" w:ascii="Times New Roman" w:hAnsi="Times New Roman" w:cs="Times New Roman"/>
                <w:color w:val="auto"/>
                <w:sz w:val="24"/>
                <w:szCs w:val="24"/>
                <w:lang w:val="en-US" w:eastAsia="zh-CN"/>
              </w:rPr>
              <w:t>S</w:t>
            </w:r>
            <w:r>
              <w:rPr>
                <w:rFonts w:hint="eastAsia" w:ascii="Times New Roman" w:hAnsi="Times New Roman" w:cs="Times New Roman"/>
                <w:color w:val="auto"/>
                <w:sz w:val="24"/>
                <w:szCs w:val="24"/>
                <w:lang w:val="en-US" w:eastAsia="zh-CN"/>
              </w:rPr>
              <w:t>4</w:t>
            </w:r>
            <w:r>
              <w:rPr>
                <w:rFonts w:hint="default" w:ascii="Times New Roman" w:hAnsi="Times New Roman" w:eastAsia="宋体" w:cs="Times New Roman"/>
                <w:color w:val="auto"/>
                <w:sz w:val="24"/>
                <w:szCs w:val="24"/>
              </w:rPr>
              <w:t>和设</w:t>
            </w:r>
            <w:r>
              <w:rPr>
                <w:rFonts w:hint="default" w:ascii="Times New Roman" w:hAnsi="Times New Roman" w:cs="Times New Roman"/>
                <w:color w:val="auto"/>
                <w:sz w:val="24"/>
                <w:szCs w:val="24"/>
              </w:rPr>
              <w:t>备噪声N。</w:t>
            </w:r>
          </w:p>
          <w:p w14:paraId="38F2C2CD">
            <w:pPr>
              <w:keepNext w:val="0"/>
              <w:keepLines w:val="0"/>
              <w:pageBreakBefore w:val="0"/>
              <w:widowControl w:val="0"/>
              <w:numPr>
                <w:ilvl w:val="0"/>
                <w:numId w:val="7"/>
              </w:numPr>
              <w:shd w:val="clear" w:color="auto" w:fill="auto"/>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b w:val="0"/>
                <w:bCs w:val="0"/>
                <w:color w:val="auto"/>
                <w:sz w:val="24"/>
                <w:szCs w:val="20"/>
                <w:lang w:val="en-US" w:eastAsia="zh-CN"/>
              </w:rPr>
            </w:pPr>
            <w:r>
              <w:rPr>
                <w:rFonts w:hint="eastAsia" w:eastAsia="宋体" w:cs="Times New Roman"/>
                <w:b w:val="0"/>
                <w:bCs w:val="0"/>
                <w:color w:val="auto"/>
                <w:sz w:val="24"/>
                <w:szCs w:val="20"/>
                <w:lang w:val="en-US" w:eastAsia="zh-CN"/>
              </w:rPr>
              <w:t>热处理：本项目热处理包括淬火和回火两道工序</w:t>
            </w:r>
            <w:r>
              <w:rPr>
                <w:rFonts w:hint="eastAsia" w:cs="Times New Roman"/>
                <w:b w:val="0"/>
                <w:bCs w:val="0"/>
                <w:color w:val="auto"/>
                <w:sz w:val="24"/>
                <w:szCs w:val="20"/>
                <w:lang w:val="en-US" w:eastAsia="zh-CN"/>
              </w:rPr>
              <w:t>。</w:t>
            </w:r>
          </w:p>
          <w:p w14:paraId="7EF31266">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60" w:lineRule="auto"/>
              <w:ind w:firstLine="480" w:firstLineChars="200"/>
              <w:textAlignment w:val="auto"/>
              <w:rPr>
                <w:rFonts w:hint="eastAsia" w:cs="Times New Roman"/>
                <w:b w:val="0"/>
                <w:bCs w:val="0"/>
                <w:color w:val="auto"/>
                <w:sz w:val="24"/>
                <w:szCs w:val="20"/>
                <w:lang w:val="en-US" w:eastAsia="zh-CN"/>
              </w:rPr>
            </w:pPr>
            <w:r>
              <w:rPr>
                <w:rFonts w:hint="eastAsia" w:cs="Times New Roman"/>
                <w:b w:val="0"/>
                <w:bCs w:val="0"/>
                <w:color w:val="auto"/>
                <w:sz w:val="24"/>
                <w:szCs w:val="20"/>
                <w:lang w:val="en-US" w:eastAsia="zh-CN"/>
              </w:rPr>
              <w:t>a、</w:t>
            </w:r>
            <w:r>
              <w:rPr>
                <w:rFonts w:hint="default" w:ascii="Times New Roman" w:hAnsi="Times New Roman" w:eastAsia="宋体" w:cs="Times New Roman"/>
                <w:b w:val="0"/>
                <w:bCs w:val="0"/>
                <w:color w:val="auto"/>
                <w:sz w:val="24"/>
                <w:szCs w:val="20"/>
                <w:lang w:val="en-US" w:eastAsia="zh-CN"/>
              </w:rPr>
              <w:t>淬火</w:t>
            </w:r>
            <w:r>
              <w:rPr>
                <w:rFonts w:hint="eastAsia" w:eastAsia="宋体" w:cs="Times New Roman"/>
                <w:b w:val="0"/>
                <w:bCs w:val="0"/>
                <w:color w:val="auto"/>
                <w:sz w:val="24"/>
                <w:szCs w:val="20"/>
                <w:lang w:val="en-US" w:eastAsia="zh-CN"/>
              </w:rPr>
              <w:t>：</w:t>
            </w:r>
            <w:r>
              <w:rPr>
                <w:rFonts w:hint="eastAsia" w:cs="Times New Roman"/>
                <w:b w:val="0"/>
                <w:bCs w:val="0"/>
                <w:color w:val="auto"/>
                <w:sz w:val="24"/>
                <w:szCs w:val="20"/>
                <w:lang w:val="en-US" w:eastAsia="zh-CN"/>
              </w:rPr>
              <w:t>人工将工件放入数控感应淬火机床中，设定</w:t>
            </w:r>
            <w:r>
              <w:rPr>
                <w:rFonts w:hint="eastAsia" w:ascii="Times New Roman" w:hAnsi="Times New Roman" w:eastAsia="宋体" w:cs="Times New Roman"/>
                <w:b w:val="0"/>
                <w:bCs w:val="0"/>
                <w:color w:val="auto"/>
                <w:sz w:val="24"/>
                <w:szCs w:val="20"/>
                <w:lang w:val="en-US" w:eastAsia="zh-CN"/>
              </w:rPr>
              <w:t>温度</w:t>
            </w:r>
            <w:r>
              <w:rPr>
                <w:rFonts w:hint="default" w:ascii="Times New Roman" w:hAnsi="Times New Roman" w:eastAsia="宋体" w:cs="Times New Roman"/>
                <w:b w:val="0"/>
                <w:bCs w:val="0"/>
                <w:color w:val="auto"/>
                <w:sz w:val="24"/>
                <w:szCs w:val="20"/>
                <w:lang w:val="en-US" w:eastAsia="zh-CN"/>
              </w:rPr>
              <w:t>800</w:t>
            </w:r>
            <w:r>
              <w:rPr>
                <w:rFonts w:hint="eastAsia" w:cs="Times New Roman"/>
                <w:b w:val="0"/>
                <w:bCs w:val="0"/>
                <w:color w:val="auto"/>
                <w:sz w:val="24"/>
                <w:szCs w:val="20"/>
                <w:lang w:val="en-US" w:eastAsia="zh-CN"/>
              </w:rPr>
              <w:t>~1000</w:t>
            </w:r>
            <w:r>
              <w:rPr>
                <w:rFonts w:hint="eastAsia" w:ascii="Times New Roman" w:hAnsi="Times New Roman" w:eastAsia="宋体" w:cs="Times New Roman"/>
                <w:b w:val="0"/>
                <w:bCs w:val="0"/>
                <w:color w:val="auto"/>
                <w:sz w:val="24"/>
                <w:szCs w:val="20"/>
                <w:lang w:val="en-US" w:eastAsia="zh-CN"/>
              </w:rPr>
              <w:t>℃左右，设备底部设有一个淬火液槽，尺寸为0.7m</w:t>
            </w:r>
            <w:r>
              <w:rPr>
                <w:rFonts w:hint="default" w:ascii="Times New Roman" w:hAnsi="Times New Roman" w:eastAsia="宋体" w:cs="Times New Roman"/>
                <w:b w:val="0"/>
                <w:bCs w:val="0"/>
                <w:color w:val="auto"/>
                <w:sz w:val="24"/>
                <w:szCs w:val="20"/>
                <w:lang w:val="en-US" w:eastAsia="zh-CN"/>
              </w:rPr>
              <w:t>×</w:t>
            </w:r>
            <w:r>
              <w:rPr>
                <w:rFonts w:hint="eastAsia" w:ascii="Times New Roman" w:hAnsi="Times New Roman" w:eastAsia="宋体" w:cs="Times New Roman"/>
                <w:b w:val="0"/>
                <w:bCs w:val="0"/>
                <w:color w:val="auto"/>
                <w:sz w:val="24"/>
                <w:szCs w:val="20"/>
                <w:lang w:val="en-US" w:eastAsia="zh-CN"/>
              </w:rPr>
              <w:t>0.6m</w:t>
            </w:r>
            <w:r>
              <w:rPr>
                <w:rFonts w:hint="default" w:ascii="Times New Roman" w:hAnsi="Times New Roman" w:eastAsia="宋体" w:cs="Times New Roman"/>
                <w:b w:val="0"/>
                <w:bCs w:val="0"/>
                <w:color w:val="auto"/>
                <w:sz w:val="24"/>
                <w:szCs w:val="20"/>
                <w:lang w:val="en-US" w:eastAsia="zh-CN"/>
              </w:rPr>
              <w:t>×</w:t>
            </w:r>
            <w:r>
              <w:rPr>
                <w:rFonts w:hint="eastAsia" w:ascii="Times New Roman" w:hAnsi="Times New Roman" w:eastAsia="宋体" w:cs="Times New Roman"/>
                <w:b w:val="0"/>
                <w:bCs w:val="0"/>
                <w:color w:val="auto"/>
                <w:sz w:val="24"/>
                <w:szCs w:val="20"/>
                <w:lang w:val="en-US" w:eastAsia="zh-CN"/>
              </w:rPr>
              <w:t>1.8m，水性淬火液由设备内部机泵抽到设备内部，向下喷淋工件，喷淋后的水性淬火液回流到淬火液槽中，使水性淬火液</w:t>
            </w:r>
            <w:r>
              <w:rPr>
                <w:rFonts w:hint="eastAsia" w:cs="Times New Roman"/>
                <w:b w:val="0"/>
                <w:bCs w:val="0"/>
                <w:color w:val="auto"/>
                <w:sz w:val="24"/>
                <w:szCs w:val="20"/>
                <w:lang w:val="en-US" w:eastAsia="zh-CN"/>
              </w:rPr>
              <w:t>循环使用，不外排，</w:t>
            </w:r>
            <w:r>
              <w:rPr>
                <w:rFonts w:hint="default" w:ascii="Times New Roman" w:hAnsi="Times New Roman" w:eastAsia="宋体" w:cs="Times New Roman"/>
                <w:b w:val="0"/>
                <w:bCs w:val="0"/>
                <w:color w:val="auto"/>
                <w:sz w:val="24"/>
                <w:szCs w:val="20"/>
                <w:lang w:val="en-US" w:eastAsia="zh-CN"/>
              </w:rPr>
              <w:t>定期补充</w:t>
            </w:r>
            <w:r>
              <w:rPr>
                <w:rFonts w:hint="eastAsia" w:cs="Times New Roman"/>
                <w:b w:val="0"/>
                <w:bCs w:val="0"/>
                <w:color w:val="auto"/>
                <w:sz w:val="24"/>
                <w:szCs w:val="20"/>
                <w:lang w:val="en-US" w:eastAsia="zh-CN"/>
              </w:rPr>
              <w:t>，定期捞渣，无需更换</w:t>
            </w:r>
            <w:r>
              <w:rPr>
                <w:rFonts w:hint="eastAsia" w:ascii="Times New Roman" w:hAnsi="Times New Roman" w:eastAsia="宋体" w:cs="Times New Roman"/>
                <w:b w:val="0"/>
                <w:bCs w:val="0"/>
                <w:color w:val="auto"/>
                <w:sz w:val="24"/>
                <w:szCs w:val="20"/>
                <w:lang w:val="en-US" w:eastAsia="zh-CN"/>
              </w:rPr>
              <w:t>。加热过程中利用设备自带的冷却水箱进行间接冷却，容积为1.5m</w:t>
            </w:r>
            <w:r>
              <w:rPr>
                <w:rFonts w:hint="eastAsia" w:ascii="Times New Roman" w:hAnsi="Times New Roman" w:eastAsia="宋体" w:cs="Times New Roman"/>
                <w:b w:val="0"/>
                <w:bCs w:val="0"/>
                <w:color w:val="auto"/>
                <w:sz w:val="24"/>
                <w:szCs w:val="20"/>
                <w:vertAlign w:val="superscript"/>
                <w:lang w:val="en-US" w:eastAsia="zh-CN"/>
              </w:rPr>
              <w:t>3</w:t>
            </w:r>
            <w:r>
              <w:rPr>
                <w:rFonts w:hint="eastAsia" w:ascii="Times New Roman" w:hAnsi="Times New Roman" w:eastAsia="宋体" w:cs="Times New Roman"/>
                <w:b w:val="0"/>
                <w:bCs w:val="0"/>
                <w:color w:val="auto"/>
                <w:sz w:val="24"/>
                <w:szCs w:val="20"/>
                <w:lang w:val="en-US" w:eastAsia="zh-CN"/>
              </w:rPr>
              <w:t>，冷却水循环使用，定期补充，不外排。数控感</w:t>
            </w:r>
            <w:r>
              <w:rPr>
                <w:rFonts w:hint="eastAsia" w:cs="Times New Roman"/>
                <w:b w:val="0"/>
                <w:bCs w:val="0"/>
                <w:color w:val="auto"/>
                <w:sz w:val="24"/>
                <w:szCs w:val="20"/>
                <w:lang w:val="en-US" w:eastAsia="zh-CN"/>
              </w:rPr>
              <w:t>应淬火机床自带移门，淬火时处于关闭状态，设备顶端设有排气口，淬火完成后将移门打开。</w:t>
            </w:r>
          </w:p>
          <w:p w14:paraId="6BC919C5">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60" w:lineRule="auto"/>
              <w:ind w:firstLine="480" w:firstLineChars="200"/>
              <w:textAlignment w:val="auto"/>
              <w:rPr>
                <w:rFonts w:hint="eastAsia" w:cs="Times New Roman"/>
                <w:b w:val="0"/>
                <w:bCs w:val="0"/>
                <w:color w:val="auto"/>
                <w:sz w:val="24"/>
                <w:szCs w:val="20"/>
                <w:lang w:val="en-US" w:eastAsia="zh-CN"/>
              </w:rPr>
            </w:pPr>
            <w:r>
              <w:rPr>
                <w:rFonts w:hint="eastAsia" w:ascii="Times New Roman" w:hAnsi="Times New Roman" w:eastAsia="宋体" w:cs="Times New Roman"/>
                <w:b w:val="0"/>
                <w:bCs w:val="0"/>
                <w:color w:val="auto"/>
                <w:sz w:val="24"/>
                <w:szCs w:val="20"/>
                <w:lang w:val="en-US" w:eastAsia="zh-CN"/>
              </w:rPr>
              <w:t>项目</w:t>
            </w:r>
            <w:r>
              <w:rPr>
                <w:rFonts w:hint="eastAsia" w:cs="Times New Roman"/>
                <w:b w:val="0"/>
                <w:bCs w:val="0"/>
                <w:color w:val="auto"/>
                <w:sz w:val="24"/>
                <w:szCs w:val="20"/>
                <w:lang w:val="en-US" w:eastAsia="zh-CN"/>
              </w:rPr>
              <w:t>水性淬火液</w:t>
            </w:r>
            <w:r>
              <w:rPr>
                <w:rFonts w:hint="eastAsia" w:ascii="Times New Roman" w:hAnsi="Times New Roman" w:eastAsia="宋体" w:cs="Times New Roman"/>
                <w:b w:val="0"/>
                <w:bCs w:val="0"/>
                <w:color w:val="auto"/>
                <w:sz w:val="24"/>
                <w:szCs w:val="20"/>
                <w:lang w:val="en-US" w:eastAsia="zh-CN"/>
              </w:rPr>
              <w:t>是由</w:t>
            </w:r>
            <w:r>
              <w:rPr>
                <w:rFonts w:hint="eastAsia" w:cs="Times New Roman"/>
                <w:b w:val="0"/>
                <w:bCs w:val="0"/>
                <w:color w:val="auto"/>
                <w:sz w:val="24"/>
                <w:szCs w:val="20"/>
                <w:lang w:val="en-US" w:eastAsia="zh-CN"/>
              </w:rPr>
              <w:t>水性淬火液和自来水按1:20的比例调配而成的混合溶液，根据企业提供的MSDS，水性淬火液成分为60</w:t>
            </w:r>
            <w:r>
              <w:rPr>
                <w:rFonts w:hint="default" w:cs="Times New Roman"/>
                <w:b w:val="0"/>
                <w:bCs w:val="0"/>
                <w:color w:val="auto"/>
                <w:sz w:val="24"/>
                <w:szCs w:val="20"/>
                <w:lang w:val="en-US" w:eastAsia="zh-CN"/>
              </w:rPr>
              <w:t>%</w:t>
            </w:r>
            <w:r>
              <w:rPr>
                <w:rFonts w:hint="eastAsia" w:cs="Times New Roman"/>
                <w:b w:val="0"/>
                <w:bCs w:val="0"/>
                <w:color w:val="auto"/>
                <w:sz w:val="24"/>
                <w:szCs w:val="20"/>
                <w:lang w:val="en-US" w:eastAsia="zh-CN"/>
              </w:rPr>
              <w:t>聚烷基醇</w:t>
            </w:r>
            <w:r>
              <w:rPr>
                <w:rFonts w:hint="default" w:cs="Times New Roman"/>
                <w:b w:val="0"/>
                <w:bCs w:val="0"/>
                <w:color w:val="auto"/>
                <w:sz w:val="24"/>
                <w:szCs w:val="20"/>
                <w:lang w:val="en-US" w:eastAsia="zh-CN"/>
              </w:rPr>
              <w:t>、</w:t>
            </w:r>
            <w:r>
              <w:rPr>
                <w:rFonts w:hint="eastAsia" w:cs="Times New Roman"/>
                <w:b w:val="0"/>
                <w:bCs w:val="0"/>
                <w:color w:val="auto"/>
                <w:sz w:val="24"/>
                <w:szCs w:val="20"/>
                <w:lang w:val="en-US" w:eastAsia="zh-CN"/>
              </w:rPr>
              <w:t>1</w:t>
            </w:r>
            <w:r>
              <w:rPr>
                <w:rFonts w:hint="default" w:cs="Times New Roman"/>
                <w:b w:val="0"/>
                <w:bCs w:val="0"/>
                <w:color w:val="auto"/>
                <w:sz w:val="24"/>
                <w:szCs w:val="20"/>
                <w:lang w:val="en-US" w:eastAsia="zh-CN"/>
              </w:rPr>
              <w:t>%</w:t>
            </w:r>
            <w:r>
              <w:rPr>
                <w:rFonts w:hint="eastAsia" w:cs="Times New Roman"/>
                <w:b w:val="0"/>
                <w:bCs w:val="0"/>
                <w:color w:val="auto"/>
                <w:sz w:val="24"/>
                <w:szCs w:val="20"/>
                <w:lang w:val="en-US" w:eastAsia="zh-CN"/>
              </w:rPr>
              <w:t>杀菌剂</w:t>
            </w:r>
            <w:r>
              <w:rPr>
                <w:rFonts w:hint="default" w:cs="Times New Roman"/>
                <w:b w:val="0"/>
                <w:bCs w:val="0"/>
                <w:color w:val="auto"/>
                <w:sz w:val="24"/>
                <w:szCs w:val="20"/>
                <w:lang w:val="en-US" w:eastAsia="zh-CN"/>
              </w:rPr>
              <w:t>、</w:t>
            </w:r>
            <w:r>
              <w:rPr>
                <w:rFonts w:hint="eastAsia" w:cs="Times New Roman"/>
                <w:b w:val="0"/>
                <w:bCs w:val="0"/>
                <w:color w:val="auto"/>
                <w:sz w:val="24"/>
                <w:szCs w:val="20"/>
                <w:lang w:val="en-US" w:eastAsia="zh-CN"/>
              </w:rPr>
              <w:t>1</w:t>
            </w:r>
            <w:r>
              <w:rPr>
                <w:rFonts w:hint="default" w:cs="Times New Roman"/>
                <w:b w:val="0"/>
                <w:bCs w:val="0"/>
                <w:color w:val="auto"/>
                <w:sz w:val="24"/>
                <w:szCs w:val="20"/>
                <w:lang w:val="en-US" w:eastAsia="zh-CN"/>
              </w:rPr>
              <w:t>%</w:t>
            </w:r>
            <w:r>
              <w:rPr>
                <w:rFonts w:hint="eastAsia" w:cs="Times New Roman"/>
                <w:b w:val="0"/>
                <w:bCs w:val="0"/>
                <w:color w:val="auto"/>
                <w:sz w:val="24"/>
                <w:szCs w:val="20"/>
                <w:lang w:val="en-US" w:eastAsia="zh-CN"/>
              </w:rPr>
              <w:t>非铁重金属减活化剂、5</w:t>
            </w:r>
            <w:r>
              <w:rPr>
                <w:rFonts w:hint="default" w:cs="Times New Roman"/>
                <w:b w:val="0"/>
                <w:bCs w:val="0"/>
                <w:color w:val="auto"/>
                <w:sz w:val="24"/>
                <w:szCs w:val="20"/>
                <w:lang w:val="en-US" w:eastAsia="zh-CN"/>
              </w:rPr>
              <w:t>%</w:t>
            </w:r>
            <w:r>
              <w:rPr>
                <w:rFonts w:hint="eastAsia" w:cs="Times New Roman"/>
                <w:b w:val="0"/>
                <w:bCs w:val="0"/>
                <w:color w:val="auto"/>
                <w:sz w:val="24"/>
                <w:szCs w:val="20"/>
                <w:lang w:val="en-US" w:eastAsia="zh-CN"/>
              </w:rPr>
              <w:t>乙酸、10</w:t>
            </w:r>
            <w:r>
              <w:rPr>
                <w:rFonts w:hint="default" w:cs="Times New Roman"/>
                <w:b w:val="0"/>
                <w:bCs w:val="0"/>
                <w:color w:val="auto"/>
                <w:sz w:val="24"/>
                <w:szCs w:val="20"/>
                <w:lang w:val="en-US" w:eastAsia="zh-CN"/>
              </w:rPr>
              <w:t>%</w:t>
            </w:r>
            <w:r>
              <w:rPr>
                <w:rFonts w:hint="eastAsia" w:cs="Times New Roman"/>
                <w:b w:val="0"/>
                <w:bCs w:val="0"/>
                <w:color w:val="auto"/>
                <w:sz w:val="24"/>
                <w:szCs w:val="20"/>
                <w:lang w:val="en-US" w:eastAsia="zh-CN"/>
              </w:rPr>
              <w:t>甲胺、23%水，其中</w:t>
            </w:r>
            <w:r>
              <w:rPr>
                <w:rFonts w:hint="default" w:cs="Times New Roman"/>
                <w:b w:val="0"/>
                <w:bCs w:val="0"/>
                <w:color w:val="auto"/>
                <w:sz w:val="24"/>
                <w:szCs w:val="20"/>
                <w:lang w:val="en-US" w:eastAsia="zh-CN"/>
              </w:rPr>
              <w:t>，</w:t>
            </w:r>
            <w:r>
              <w:rPr>
                <w:rFonts w:hint="eastAsia" w:cs="Times New Roman"/>
                <w:b w:val="0"/>
                <w:bCs w:val="0"/>
                <w:color w:val="auto"/>
                <w:sz w:val="24"/>
                <w:szCs w:val="20"/>
                <w:lang w:val="en-US" w:eastAsia="zh-CN"/>
              </w:rPr>
              <w:t>乙酸和甲胺为挥发份，</w:t>
            </w:r>
            <w:r>
              <w:rPr>
                <w:rFonts w:hint="eastAsia" w:cs="Times New Roman"/>
                <w:b w:val="0"/>
                <w:bCs w:val="0"/>
                <w:color w:val="auto"/>
                <w:sz w:val="24"/>
                <w:szCs w:val="20"/>
                <w:lang w:val="zh-CN" w:eastAsia="zh-CN"/>
              </w:rPr>
              <w:t>会产生有机废气。</w:t>
            </w:r>
            <w:r>
              <w:rPr>
                <w:rFonts w:hint="eastAsia" w:cs="Times New Roman"/>
                <w:b w:val="0"/>
                <w:bCs w:val="0"/>
                <w:color w:val="auto"/>
                <w:sz w:val="24"/>
                <w:szCs w:val="20"/>
                <w:lang w:val="en-US" w:eastAsia="zh-CN"/>
              </w:rPr>
              <w:t>此工序产生淬火废气G3、废化学品包装桶</w:t>
            </w:r>
            <w:r>
              <w:rPr>
                <w:rFonts w:hint="default" w:cs="Times New Roman"/>
                <w:b w:val="0"/>
                <w:bCs w:val="0"/>
                <w:color w:val="auto"/>
                <w:sz w:val="24"/>
                <w:szCs w:val="20"/>
                <w:lang w:val="en-US" w:eastAsia="zh-CN"/>
              </w:rPr>
              <w:t>S</w:t>
            </w:r>
            <w:r>
              <w:rPr>
                <w:rFonts w:hint="eastAsia" w:cs="Times New Roman"/>
                <w:b w:val="0"/>
                <w:bCs w:val="0"/>
                <w:color w:val="auto"/>
                <w:sz w:val="24"/>
                <w:szCs w:val="20"/>
                <w:lang w:val="en-US" w:eastAsia="zh-CN"/>
              </w:rPr>
              <w:t>4、</w:t>
            </w:r>
            <w:r>
              <w:rPr>
                <w:rFonts w:hint="eastAsia" w:cs="Times New Roman"/>
                <w:color w:val="auto"/>
                <w:sz w:val="24"/>
                <w:szCs w:val="24"/>
                <w:lang w:val="en-US" w:eastAsia="zh-CN"/>
              </w:rPr>
              <w:t>淬火废水</w:t>
            </w:r>
            <w:r>
              <w:rPr>
                <w:rFonts w:hint="eastAsia" w:ascii="Times New Roman" w:hAnsi="Times New Roman" w:cs="Times New Roman"/>
                <w:color w:val="auto"/>
                <w:sz w:val="24"/>
                <w:szCs w:val="24"/>
                <w:lang w:val="en-US" w:eastAsia="zh-CN"/>
              </w:rPr>
              <w:t>W</w:t>
            </w:r>
            <w:r>
              <w:rPr>
                <w:rFonts w:hint="eastAsia" w:cs="Times New Roman"/>
                <w:color w:val="auto"/>
                <w:sz w:val="24"/>
                <w:szCs w:val="24"/>
                <w:lang w:val="en-US" w:eastAsia="zh-CN"/>
              </w:rPr>
              <w:t>2</w:t>
            </w:r>
            <w:r>
              <w:rPr>
                <w:rFonts w:hint="eastAsia" w:ascii="Times New Roman" w:hAnsi="Times New Roman" w:cs="Times New Roman"/>
                <w:color w:val="auto"/>
                <w:sz w:val="24"/>
                <w:szCs w:val="24"/>
                <w:lang w:val="en-US" w:eastAsia="zh-CN"/>
              </w:rPr>
              <w:t>、循环冷却水W1-3、</w:t>
            </w:r>
            <w:r>
              <w:rPr>
                <w:rFonts w:hint="eastAsia" w:cs="Times New Roman"/>
                <w:b w:val="0"/>
                <w:bCs w:val="0"/>
                <w:color w:val="auto"/>
                <w:sz w:val="24"/>
                <w:szCs w:val="20"/>
                <w:lang w:val="en-US" w:eastAsia="zh-CN"/>
              </w:rPr>
              <w:t>淬火槽槽渣S6和设备噪声N。</w:t>
            </w:r>
          </w:p>
          <w:p w14:paraId="08A34684">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color w:val="auto"/>
                <w:sz w:val="24"/>
                <w:szCs w:val="20"/>
                <w:lang w:val="en-US" w:eastAsia="zh-CN"/>
              </w:rPr>
            </w:pPr>
            <w:r>
              <w:rPr>
                <w:rFonts w:hint="eastAsia" w:cs="Times New Roman"/>
                <w:b w:val="0"/>
                <w:bCs w:val="0"/>
                <w:color w:val="auto"/>
                <w:sz w:val="24"/>
                <w:szCs w:val="20"/>
                <w:lang w:val="en-US" w:eastAsia="zh-CN"/>
              </w:rPr>
              <w:t>b、</w:t>
            </w:r>
            <w:r>
              <w:rPr>
                <w:rFonts w:hint="default" w:ascii="Times New Roman" w:hAnsi="Times New Roman" w:eastAsia="宋体" w:cs="Times New Roman"/>
                <w:b w:val="0"/>
                <w:bCs w:val="0"/>
                <w:color w:val="auto"/>
                <w:sz w:val="24"/>
                <w:szCs w:val="20"/>
                <w:lang w:val="en-US" w:eastAsia="zh-CN"/>
              </w:rPr>
              <w:t>回火</w:t>
            </w:r>
            <w:r>
              <w:rPr>
                <w:rFonts w:hint="eastAsia" w:ascii="Times New Roman" w:hAnsi="Times New Roman" w:eastAsia="宋体" w:cs="Times New Roman"/>
                <w:b w:val="0"/>
                <w:bCs w:val="0"/>
                <w:color w:val="auto"/>
                <w:sz w:val="24"/>
                <w:szCs w:val="20"/>
                <w:lang w:val="en-US" w:eastAsia="zh-CN"/>
              </w:rPr>
              <w:t>：淬火后进行低温回火，采用电加热，回火温度为150-160℃，时间为1.5h，回火后的工件采用风冷的方式进行冷却，设置风扇进行冷却。</w:t>
            </w:r>
            <w:r>
              <w:rPr>
                <w:rFonts w:hint="eastAsia" w:cs="Times New Roman"/>
                <w:b w:val="0"/>
                <w:bCs w:val="0"/>
                <w:color w:val="auto"/>
                <w:sz w:val="24"/>
                <w:szCs w:val="20"/>
                <w:lang w:val="en-US" w:eastAsia="zh-CN"/>
              </w:rPr>
              <w:t>根据MSDS可知，</w:t>
            </w:r>
            <w:r>
              <w:rPr>
                <w:rFonts w:hint="eastAsia" w:ascii="Times New Roman" w:hAnsi="Times New Roman" w:eastAsia="宋体" w:cs="Times New Roman"/>
                <w:b w:val="0"/>
                <w:bCs w:val="0"/>
                <w:color w:val="auto"/>
                <w:sz w:val="24"/>
                <w:szCs w:val="20"/>
                <w:lang w:val="en-US" w:eastAsia="zh-CN"/>
              </w:rPr>
              <w:t>水性淬火液中</w:t>
            </w:r>
            <w:r>
              <w:rPr>
                <w:rFonts w:hint="eastAsia" w:cs="Times New Roman"/>
                <w:b w:val="0"/>
                <w:bCs w:val="0"/>
                <w:color w:val="auto"/>
                <w:sz w:val="24"/>
                <w:szCs w:val="20"/>
                <w:lang w:val="en-US" w:eastAsia="zh-CN"/>
              </w:rPr>
              <w:t>的挥发份主要为乙酸和甲胺，</w:t>
            </w:r>
            <w:r>
              <w:rPr>
                <w:rFonts w:hint="eastAsia" w:ascii="Times New Roman" w:hAnsi="Times New Roman" w:eastAsia="宋体" w:cs="Times New Roman"/>
                <w:b w:val="0"/>
                <w:bCs w:val="0"/>
                <w:color w:val="auto"/>
                <w:sz w:val="24"/>
                <w:szCs w:val="20"/>
                <w:lang w:val="en-US" w:eastAsia="zh-CN"/>
              </w:rPr>
              <w:t>根据物质理化性质可知，</w:t>
            </w:r>
            <w:r>
              <w:rPr>
                <w:rFonts w:hint="eastAsia" w:cs="Times New Roman"/>
                <w:b w:val="0"/>
                <w:bCs w:val="0"/>
                <w:color w:val="auto"/>
                <w:sz w:val="24"/>
                <w:szCs w:val="20"/>
                <w:lang w:val="en-US" w:eastAsia="zh-CN"/>
              </w:rPr>
              <w:t>乙酸常压下的</w:t>
            </w:r>
            <w:r>
              <w:rPr>
                <w:rFonts w:hint="eastAsia" w:ascii="Times New Roman" w:hAnsi="Times New Roman" w:eastAsia="宋体" w:cs="Times New Roman"/>
                <w:b w:val="0"/>
                <w:bCs w:val="0"/>
                <w:color w:val="auto"/>
                <w:sz w:val="24"/>
                <w:szCs w:val="20"/>
                <w:lang w:val="en-US" w:eastAsia="zh-CN"/>
              </w:rPr>
              <w:t>分解温度</w:t>
            </w:r>
            <w:r>
              <w:rPr>
                <w:rFonts w:hint="eastAsia" w:cs="Times New Roman"/>
                <w:b w:val="0"/>
                <w:bCs w:val="0"/>
                <w:color w:val="auto"/>
                <w:sz w:val="24"/>
                <w:szCs w:val="20"/>
                <w:lang w:val="en-US" w:eastAsia="zh-CN"/>
              </w:rPr>
              <w:t>为440</w:t>
            </w:r>
            <w:r>
              <w:rPr>
                <w:rFonts w:hint="eastAsia" w:ascii="Times New Roman" w:hAnsi="Times New Roman" w:eastAsia="宋体" w:cs="Times New Roman"/>
                <w:b w:val="0"/>
                <w:bCs w:val="0"/>
                <w:color w:val="auto"/>
                <w:sz w:val="24"/>
                <w:szCs w:val="20"/>
                <w:lang w:val="en-US" w:eastAsia="zh-CN"/>
              </w:rPr>
              <w:t>℃</w:t>
            </w:r>
            <w:r>
              <w:rPr>
                <w:rFonts w:hint="eastAsia" w:cs="Times New Roman"/>
                <w:b w:val="0"/>
                <w:bCs w:val="0"/>
                <w:color w:val="auto"/>
                <w:sz w:val="24"/>
                <w:szCs w:val="20"/>
                <w:lang w:val="en-US" w:eastAsia="zh-CN"/>
              </w:rPr>
              <w:t>，甲胺常压下的</w:t>
            </w:r>
            <w:r>
              <w:rPr>
                <w:rFonts w:hint="eastAsia" w:ascii="Times New Roman" w:hAnsi="Times New Roman" w:eastAsia="宋体" w:cs="Times New Roman"/>
                <w:b w:val="0"/>
                <w:bCs w:val="0"/>
                <w:color w:val="auto"/>
                <w:sz w:val="24"/>
                <w:szCs w:val="20"/>
                <w:lang w:val="en-US" w:eastAsia="zh-CN"/>
              </w:rPr>
              <w:t>分解温度</w:t>
            </w:r>
            <w:r>
              <w:rPr>
                <w:rFonts w:hint="eastAsia" w:cs="Times New Roman"/>
                <w:b w:val="0"/>
                <w:bCs w:val="0"/>
                <w:color w:val="auto"/>
                <w:sz w:val="24"/>
                <w:szCs w:val="20"/>
                <w:lang w:val="en-US" w:eastAsia="zh-CN"/>
              </w:rPr>
              <w:t>为200</w:t>
            </w:r>
            <w:r>
              <w:rPr>
                <w:rFonts w:hint="eastAsia" w:ascii="Times New Roman" w:hAnsi="Times New Roman" w:eastAsia="宋体" w:cs="Times New Roman"/>
                <w:b w:val="0"/>
                <w:bCs w:val="0"/>
                <w:color w:val="auto"/>
                <w:sz w:val="24"/>
                <w:szCs w:val="20"/>
                <w:lang w:val="en-US" w:eastAsia="zh-CN"/>
              </w:rPr>
              <w:t>℃，该工序工作温度未达分解温度，故此工序仅有少量水蒸气产生和设备噪声N。</w:t>
            </w:r>
          </w:p>
          <w:p w14:paraId="2DA332F4">
            <w:pPr>
              <w:keepNext w:val="0"/>
              <w:keepLines w:val="0"/>
              <w:pageBreakBefore w:val="0"/>
              <w:widowControl w:val="0"/>
              <w:numPr>
                <w:ilvl w:val="0"/>
                <w:numId w:val="7"/>
              </w:numPr>
              <w:shd w:val="clear" w:color="auto" w:fill="auto"/>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b w:val="0"/>
                <w:bCs w:val="0"/>
                <w:color w:val="auto"/>
                <w:sz w:val="24"/>
                <w:szCs w:val="20"/>
                <w:lang w:val="en-US" w:eastAsia="zh-CN"/>
              </w:rPr>
            </w:pPr>
            <w:r>
              <w:rPr>
                <w:rFonts w:hint="default" w:ascii="Times New Roman" w:hAnsi="Times New Roman" w:eastAsia="宋体" w:cs="Times New Roman"/>
                <w:b w:val="0"/>
                <w:bCs w:val="0"/>
                <w:color w:val="auto"/>
                <w:sz w:val="24"/>
                <w:szCs w:val="20"/>
                <w:lang w:val="en-US" w:eastAsia="zh-CN"/>
              </w:rPr>
              <w:t>精</w:t>
            </w:r>
            <w:r>
              <w:rPr>
                <w:rFonts w:hint="eastAsia" w:cs="Times New Roman"/>
                <w:b w:val="0"/>
                <w:bCs w:val="0"/>
                <w:color w:val="auto"/>
                <w:sz w:val="24"/>
                <w:szCs w:val="20"/>
                <w:lang w:val="en-US" w:eastAsia="zh-CN"/>
              </w:rPr>
              <w:t>加工</w:t>
            </w:r>
          </w:p>
          <w:p w14:paraId="0BF9ED67">
            <w:pPr>
              <w:widowControl/>
              <w:numPr>
                <w:ilvl w:val="0"/>
                <w:numId w:val="0"/>
              </w:numPr>
              <w:autoSpaceDE w:val="0"/>
              <w:autoSpaceDN w:val="0"/>
              <w:adjustRightInd w:val="0"/>
              <w:spacing w:line="360" w:lineRule="auto"/>
              <w:ind w:firstLine="480" w:firstLineChars="200"/>
              <w:jc w:val="left"/>
              <w:textAlignment w:val="center"/>
              <w:rPr>
                <w:rFonts w:hint="default"/>
                <w:color w:val="auto"/>
                <w:lang w:val="en-US" w:eastAsia="zh-CN"/>
              </w:rPr>
            </w:pPr>
            <w:r>
              <w:rPr>
                <w:rFonts w:hint="eastAsia" w:cs="Times New Roman"/>
                <w:b w:val="0"/>
                <w:bCs w:val="0"/>
                <w:color w:val="auto"/>
                <w:sz w:val="24"/>
                <w:szCs w:val="20"/>
                <w:lang w:val="en-US" w:eastAsia="zh-CN"/>
              </w:rPr>
              <w:t>利用数控车床、CNC加工中心进行</w:t>
            </w:r>
            <w:r>
              <w:rPr>
                <w:rFonts w:hint="default" w:cs="Times New Roman"/>
                <w:b w:val="0"/>
                <w:bCs w:val="0"/>
                <w:color w:val="auto"/>
                <w:sz w:val="24"/>
                <w:szCs w:val="20"/>
                <w:lang w:val="en-US" w:eastAsia="zh-CN"/>
              </w:rPr>
              <w:t>精加工，</w:t>
            </w:r>
            <w:r>
              <w:rPr>
                <w:rFonts w:hint="eastAsia" w:cs="Times New Roman"/>
                <w:b w:val="0"/>
                <w:bCs w:val="0"/>
                <w:color w:val="auto"/>
                <w:sz w:val="24"/>
                <w:szCs w:val="20"/>
                <w:lang w:val="en-US" w:eastAsia="zh-CN"/>
              </w:rPr>
              <w:t>以小切削量、低进给速度和高转速保证尺寸精度与表面质量，</w:t>
            </w:r>
            <w:r>
              <w:rPr>
                <w:rFonts w:hint="default" w:cs="Times New Roman"/>
                <w:b w:val="0"/>
                <w:bCs w:val="0"/>
                <w:color w:val="auto"/>
                <w:sz w:val="24"/>
                <w:szCs w:val="20"/>
                <w:lang w:val="en-US" w:eastAsia="zh-CN"/>
              </w:rPr>
              <w:t>得到精度±0.01mm的产品。精</w:t>
            </w:r>
            <w:r>
              <w:rPr>
                <w:rFonts w:hint="default" w:ascii="Times New Roman" w:hAnsi="Times New Roman" w:cs="Times New Roman"/>
                <w:color w:val="auto"/>
                <w:sz w:val="24"/>
                <w:szCs w:val="24"/>
              </w:rPr>
              <w:t>加工</w:t>
            </w:r>
            <w:r>
              <w:rPr>
                <w:rFonts w:hint="eastAsia" w:cs="Times New Roman"/>
                <w:color w:val="auto"/>
                <w:sz w:val="24"/>
                <w:szCs w:val="24"/>
                <w:lang w:val="en-US" w:eastAsia="zh-CN"/>
              </w:rPr>
              <w:t>为</w:t>
            </w:r>
            <w:r>
              <w:rPr>
                <w:rFonts w:hint="default" w:ascii="Times New Roman" w:hAnsi="Times New Roman" w:cs="Times New Roman"/>
                <w:color w:val="auto"/>
                <w:sz w:val="24"/>
                <w:lang w:val="en-US" w:eastAsia="zh-CN"/>
              </w:rPr>
              <w:t>湿式作业</w:t>
            </w:r>
            <w:r>
              <w:rPr>
                <w:rFonts w:hint="default" w:ascii="Times New Roman" w:hAnsi="Times New Roman" w:cs="Times New Roman"/>
                <w:color w:val="auto"/>
                <w:sz w:val="24"/>
                <w:szCs w:val="24"/>
              </w:rPr>
              <w:t>，</w:t>
            </w:r>
            <w:r>
              <w:rPr>
                <w:rFonts w:hint="default" w:ascii="Times New Roman" w:hAnsi="Times New Roman" w:cs="Times New Roman"/>
                <w:color w:val="auto"/>
                <w:sz w:val="24"/>
                <w:lang w:val="en-US" w:eastAsia="zh-CN"/>
              </w:rPr>
              <w:t>切削液与水配比使用</w:t>
            </w:r>
            <w:r>
              <w:rPr>
                <w:rFonts w:hint="default"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szCs w:val="24"/>
                <w:lang w:eastAsia="zh-CN"/>
              </w:rPr>
              <w:t>切削</w:t>
            </w:r>
            <w:r>
              <w:rPr>
                <w:rFonts w:hint="default" w:ascii="Times New Roman" w:hAnsi="Times New Roman" w:eastAsia="宋体" w:cs="Times New Roman"/>
                <w:b w:val="0"/>
                <w:bCs w:val="0"/>
                <w:color w:val="auto"/>
                <w:sz w:val="24"/>
                <w:szCs w:val="20"/>
                <w:lang w:val="en-US" w:eastAsia="zh-CN"/>
              </w:rPr>
              <w:t>液：水=1:20。此工序</w:t>
            </w:r>
            <w:r>
              <w:rPr>
                <w:rFonts w:hint="default" w:ascii="Times New Roman" w:hAnsi="Times New Roman" w:cs="Times New Roman"/>
                <w:color w:val="auto"/>
                <w:sz w:val="24"/>
                <w:szCs w:val="24"/>
              </w:rPr>
              <w:t>产生废</w:t>
            </w:r>
            <w:r>
              <w:rPr>
                <w:rFonts w:hint="default" w:ascii="Times New Roman" w:hAnsi="Times New Roman" w:eastAsia="宋体" w:cs="Times New Roman"/>
                <w:color w:val="auto"/>
                <w:sz w:val="24"/>
                <w:szCs w:val="24"/>
              </w:rPr>
              <w:t>金属屑</w:t>
            </w:r>
            <w:r>
              <w:rPr>
                <w:rFonts w:hint="default" w:ascii="Times New Roman" w:hAnsi="Times New Roman" w:cs="Times New Roman"/>
                <w:color w:val="auto"/>
                <w:sz w:val="24"/>
                <w:szCs w:val="24"/>
                <w:lang w:eastAsia="zh-CN"/>
              </w:rPr>
              <w:t>及边角料</w:t>
            </w:r>
            <w:r>
              <w:rPr>
                <w:rFonts w:hint="default" w:ascii="Times New Roman" w:hAnsi="Times New Roman" w:eastAsia="宋体" w:cs="Times New Roman"/>
                <w:color w:val="auto"/>
                <w:sz w:val="24"/>
                <w:szCs w:val="24"/>
                <w:lang w:val="en-US" w:eastAsia="zh-CN"/>
              </w:rPr>
              <w:t>S</w:t>
            </w:r>
            <w:r>
              <w:rPr>
                <w:rFonts w:hint="eastAsia" w:cs="Times New Roman"/>
                <w:color w:val="auto"/>
                <w:sz w:val="24"/>
                <w:szCs w:val="24"/>
                <w:lang w:val="en-US" w:eastAsia="zh-CN"/>
              </w:rPr>
              <w:t>1</w:t>
            </w:r>
            <w:r>
              <w:rPr>
                <w:rFonts w:hint="default" w:ascii="Times New Roman" w:hAnsi="Times New Roman" w:cs="Times New Roman"/>
                <w:color w:val="auto"/>
                <w:sz w:val="24"/>
                <w:szCs w:val="24"/>
                <w:lang w:val="en-US" w:eastAsia="zh-CN"/>
              </w:rPr>
              <w:t>、含油金属屑S</w:t>
            </w:r>
            <w:r>
              <w:rPr>
                <w:rFonts w:hint="eastAsia" w:cs="Times New Roman"/>
                <w:color w:val="auto"/>
                <w:sz w:val="24"/>
                <w:szCs w:val="24"/>
                <w:lang w:val="en-US" w:eastAsia="zh-CN"/>
              </w:rPr>
              <w:t>2</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eastAsia="zh-CN"/>
              </w:rPr>
              <w:t>废切削液</w:t>
            </w:r>
            <w:r>
              <w:rPr>
                <w:rFonts w:hint="default" w:ascii="Times New Roman" w:hAnsi="Times New Roman" w:cs="Times New Roman"/>
                <w:color w:val="auto"/>
                <w:sz w:val="24"/>
                <w:szCs w:val="24"/>
                <w:lang w:val="en-US" w:eastAsia="zh-CN"/>
              </w:rPr>
              <w:t>S</w:t>
            </w:r>
            <w:r>
              <w:rPr>
                <w:rFonts w:hint="eastAsia"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lang w:eastAsia="zh-CN"/>
              </w:rPr>
              <w:t>、</w:t>
            </w:r>
            <w:r>
              <w:rPr>
                <w:rFonts w:hint="eastAsia" w:cs="Times New Roman"/>
                <w:color w:val="auto"/>
                <w:sz w:val="24"/>
                <w:szCs w:val="24"/>
                <w:lang w:eastAsia="zh-CN"/>
              </w:rPr>
              <w:t>废化学品包装桶</w:t>
            </w:r>
            <w:r>
              <w:rPr>
                <w:rFonts w:hint="default" w:ascii="Times New Roman" w:hAnsi="Times New Roman" w:cs="Times New Roman"/>
                <w:color w:val="auto"/>
                <w:sz w:val="24"/>
                <w:szCs w:val="24"/>
                <w:lang w:val="en-US" w:eastAsia="zh-CN"/>
              </w:rPr>
              <w:t>S</w:t>
            </w:r>
            <w:r>
              <w:rPr>
                <w:rFonts w:hint="eastAsia" w:ascii="Times New Roman" w:hAnsi="Times New Roman" w:cs="Times New Roman"/>
                <w:color w:val="auto"/>
                <w:sz w:val="24"/>
                <w:szCs w:val="24"/>
                <w:lang w:val="en-US" w:eastAsia="zh-CN"/>
              </w:rPr>
              <w:t>4</w:t>
            </w:r>
            <w:r>
              <w:rPr>
                <w:rFonts w:hint="default" w:ascii="Times New Roman" w:hAnsi="Times New Roman" w:eastAsia="宋体" w:cs="Times New Roman"/>
                <w:color w:val="auto"/>
                <w:sz w:val="24"/>
                <w:szCs w:val="24"/>
              </w:rPr>
              <w:t>和设</w:t>
            </w:r>
            <w:r>
              <w:rPr>
                <w:rFonts w:hint="default" w:ascii="Times New Roman" w:hAnsi="Times New Roman" w:cs="Times New Roman"/>
                <w:color w:val="auto"/>
                <w:sz w:val="24"/>
                <w:szCs w:val="24"/>
              </w:rPr>
              <w:t>备噪声N。</w:t>
            </w:r>
          </w:p>
          <w:p w14:paraId="4B981453">
            <w:pPr>
              <w:keepNext w:val="0"/>
              <w:keepLines w:val="0"/>
              <w:pageBreakBefore w:val="0"/>
              <w:widowControl w:val="0"/>
              <w:numPr>
                <w:ilvl w:val="0"/>
                <w:numId w:val="7"/>
              </w:numPr>
              <w:shd w:val="clear" w:color="auto" w:fill="auto"/>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b w:val="0"/>
                <w:bCs w:val="0"/>
                <w:color w:val="auto"/>
                <w:sz w:val="24"/>
                <w:szCs w:val="20"/>
                <w:lang w:val="en-US" w:eastAsia="zh-CN"/>
              </w:rPr>
            </w:pPr>
            <w:r>
              <w:rPr>
                <w:rFonts w:hint="eastAsia" w:cs="Times New Roman"/>
                <w:color w:val="auto"/>
                <w:sz w:val="24"/>
                <w:szCs w:val="24"/>
                <w:lang w:val="en-US" w:eastAsia="zh-CN"/>
              </w:rPr>
              <w:t>湿式</w:t>
            </w:r>
            <w:r>
              <w:rPr>
                <w:rFonts w:hint="default" w:ascii="Times New Roman" w:hAnsi="Times New Roman" w:eastAsia="宋体" w:cs="Times New Roman"/>
                <w:b w:val="0"/>
                <w:bCs w:val="0"/>
                <w:color w:val="auto"/>
                <w:sz w:val="24"/>
                <w:szCs w:val="20"/>
                <w:lang w:val="en-US" w:eastAsia="zh-CN"/>
              </w:rPr>
              <w:t>磨削</w:t>
            </w:r>
          </w:p>
          <w:p w14:paraId="065F2441">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color w:val="auto"/>
                <w:sz w:val="24"/>
                <w:szCs w:val="20"/>
                <w:lang w:val="en-US" w:eastAsia="zh-CN"/>
              </w:rPr>
            </w:pPr>
            <w:r>
              <w:rPr>
                <w:rFonts w:hint="default" w:ascii="Times New Roman" w:hAnsi="Times New Roman" w:eastAsia="宋体" w:cs="Times New Roman"/>
                <w:b w:val="0"/>
                <w:bCs w:val="0"/>
                <w:color w:val="auto"/>
                <w:sz w:val="24"/>
                <w:szCs w:val="20"/>
                <w:lang w:val="en-US" w:eastAsia="zh-CN"/>
              </w:rPr>
              <w:t>经加工后的工件采用磨床进行磨削，使工件尺寸、外观达到要求即为成品。磨削加工工序</w:t>
            </w:r>
            <w:r>
              <w:rPr>
                <w:rFonts w:hint="eastAsia" w:cs="Times New Roman"/>
                <w:b w:val="0"/>
                <w:bCs w:val="0"/>
                <w:color w:val="auto"/>
                <w:sz w:val="24"/>
                <w:szCs w:val="20"/>
                <w:lang w:val="en-US" w:eastAsia="zh-CN"/>
              </w:rPr>
              <w:t>采用湿式加工，</w:t>
            </w:r>
            <w:r>
              <w:rPr>
                <w:rFonts w:hint="default" w:ascii="Times New Roman" w:hAnsi="Times New Roman" w:eastAsia="宋体" w:cs="Times New Roman"/>
                <w:b w:val="0"/>
                <w:bCs w:val="0"/>
                <w:color w:val="auto"/>
                <w:sz w:val="24"/>
                <w:szCs w:val="20"/>
                <w:lang w:val="en-US" w:eastAsia="zh-CN"/>
              </w:rPr>
              <w:t>采用</w:t>
            </w:r>
            <w:r>
              <w:rPr>
                <w:rFonts w:hint="eastAsia" w:cs="Times New Roman"/>
                <w:b w:val="0"/>
                <w:bCs w:val="0"/>
                <w:color w:val="auto"/>
                <w:sz w:val="24"/>
                <w:szCs w:val="20"/>
                <w:lang w:val="en-US" w:eastAsia="zh-CN"/>
              </w:rPr>
              <w:t>水性磨削液</w:t>
            </w:r>
            <w:r>
              <w:rPr>
                <w:rFonts w:hint="default" w:ascii="Times New Roman" w:hAnsi="Times New Roman" w:cs="Times New Roman"/>
                <w:color w:val="auto"/>
                <w:sz w:val="24"/>
                <w:lang w:val="en-US" w:eastAsia="zh-CN"/>
              </w:rPr>
              <w:t>与水配比使用</w:t>
            </w:r>
            <w:r>
              <w:rPr>
                <w:rFonts w:hint="default" w:ascii="Times New Roman" w:hAnsi="Times New Roman" w:eastAsia="宋体" w:cs="Times New Roman"/>
                <w:color w:val="auto"/>
                <w:sz w:val="24"/>
                <w:lang w:val="en-US" w:eastAsia="zh-CN"/>
              </w:rPr>
              <w:t>，</w:t>
            </w:r>
            <w:r>
              <w:rPr>
                <w:rFonts w:hint="eastAsia" w:cs="Times New Roman"/>
                <w:b w:val="0"/>
                <w:bCs w:val="0"/>
                <w:color w:val="auto"/>
                <w:sz w:val="24"/>
                <w:szCs w:val="20"/>
                <w:lang w:val="en-US" w:eastAsia="zh-CN"/>
              </w:rPr>
              <w:t>水性磨削液</w:t>
            </w:r>
            <w:r>
              <w:rPr>
                <w:rFonts w:hint="default" w:ascii="Times New Roman" w:hAnsi="Times New Roman" w:eastAsia="宋体" w:cs="Times New Roman"/>
                <w:b w:val="0"/>
                <w:bCs w:val="0"/>
                <w:color w:val="auto"/>
                <w:sz w:val="24"/>
                <w:szCs w:val="20"/>
                <w:lang w:val="en-US" w:eastAsia="zh-CN"/>
              </w:rPr>
              <w:t>：水=1:20</w:t>
            </w:r>
            <w:r>
              <w:rPr>
                <w:rFonts w:hint="eastAsia" w:ascii="Times New Roman" w:hAnsi="Times New Roman" w:eastAsia="宋体" w:cs="Times New Roman"/>
                <w:b w:val="0"/>
                <w:bCs w:val="0"/>
                <w:color w:val="auto"/>
                <w:sz w:val="24"/>
                <w:szCs w:val="20"/>
                <w:lang w:val="en-US" w:eastAsia="zh-CN"/>
              </w:rPr>
              <w:t>，</w:t>
            </w:r>
            <w:r>
              <w:rPr>
                <w:rFonts w:hint="default" w:ascii="Times New Roman" w:hAnsi="Times New Roman" w:eastAsia="宋体" w:cs="Times New Roman"/>
                <w:b w:val="0"/>
                <w:bCs w:val="0"/>
                <w:color w:val="auto"/>
                <w:sz w:val="24"/>
                <w:szCs w:val="20"/>
                <w:lang w:val="en-US" w:eastAsia="zh-CN"/>
              </w:rPr>
              <w:t>进行磨</w:t>
            </w:r>
            <w:r>
              <w:rPr>
                <w:rFonts w:hint="eastAsia" w:cs="Times New Roman"/>
                <w:b w:val="0"/>
                <w:bCs w:val="0"/>
                <w:color w:val="auto"/>
                <w:sz w:val="24"/>
                <w:szCs w:val="20"/>
                <w:lang w:val="en-US" w:eastAsia="zh-CN"/>
              </w:rPr>
              <w:t>削</w:t>
            </w:r>
            <w:r>
              <w:rPr>
                <w:rFonts w:hint="default" w:ascii="Times New Roman" w:hAnsi="Times New Roman" w:eastAsia="宋体" w:cs="Times New Roman"/>
                <w:b w:val="0"/>
                <w:bCs w:val="0"/>
                <w:color w:val="auto"/>
                <w:sz w:val="24"/>
                <w:szCs w:val="20"/>
                <w:lang w:val="en-US" w:eastAsia="zh-CN"/>
              </w:rPr>
              <w:t>加工冷却</w:t>
            </w:r>
            <w:r>
              <w:rPr>
                <w:rFonts w:hint="eastAsia" w:cs="Times New Roman"/>
                <w:b w:val="0"/>
                <w:bCs w:val="0"/>
                <w:color w:val="auto"/>
                <w:sz w:val="24"/>
                <w:szCs w:val="20"/>
                <w:lang w:val="en-US" w:eastAsia="zh-CN"/>
              </w:rPr>
              <w:t>润滑</w:t>
            </w:r>
            <w:r>
              <w:rPr>
                <w:rFonts w:hint="default" w:ascii="Times New Roman" w:hAnsi="Times New Roman" w:eastAsia="宋体" w:cs="Times New Roman"/>
                <w:b w:val="0"/>
                <w:bCs w:val="0"/>
                <w:color w:val="auto"/>
                <w:sz w:val="24"/>
                <w:szCs w:val="20"/>
                <w:lang w:val="en-US" w:eastAsia="zh-CN"/>
              </w:rPr>
              <w:t>，</w:t>
            </w:r>
            <w:r>
              <w:rPr>
                <w:rFonts w:hint="eastAsia" w:cs="Times New Roman"/>
                <w:color w:val="auto"/>
                <w:sz w:val="24"/>
                <w:szCs w:val="24"/>
                <w:lang w:val="en-US" w:eastAsia="zh-CN"/>
              </w:rPr>
              <w:t>湿式</w:t>
            </w:r>
            <w:r>
              <w:rPr>
                <w:rFonts w:hint="default" w:ascii="Times New Roman" w:hAnsi="Times New Roman" w:eastAsia="宋体" w:cs="Times New Roman"/>
                <w:b w:val="0"/>
                <w:bCs w:val="0"/>
                <w:color w:val="auto"/>
                <w:sz w:val="24"/>
                <w:szCs w:val="20"/>
                <w:lang w:val="en-US" w:eastAsia="zh-CN"/>
              </w:rPr>
              <w:t>磨削</w:t>
            </w:r>
            <w:r>
              <w:rPr>
                <w:rFonts w:hint="eastAsia" w:cs="Times New Roman"/>
                <w:b w:val="0"/>
                <w:bCs w:val="0"/>
                <w:color w:val="auto"/>
                <w:sz w:val="24"/>
                <w:szCs w:val="20"/>
                <w:lang w:val="en-US" w:eastAsia="zh-CN"/>
              </w:rPr>
              <w:t>过程中对水质要求不高，可循环使用，不外排，</w:t>
            </w:r>
            <w:r>
              <w:rPr>
                <w:rFonts w:hint="default" w:ascii="Times New Roman" w:hAnsi="Times New Roman" w:eastAsia="宋体" w:cs="Times New Roman"/>
                <w:b w:val="0"/>
                <w:bCs w:val="0"/>
                <w:color w:val="auto"/>
                <w:sz w:val="24"/>
                <w:szCs w:val="20"/>
                <w:lang w:val="en-US" w:eastAsia="zh-CN"/>
              </w:rPr>
              <w:t>定期补充</w:t>
            </w:r>
            <w:r>
              <w:rPr>
                <w:rFonts w:hint="eastAsia" w:cs="Times New Roman"/>
                <w:b w:val="0"/>
                <w:bCs w:val="0"/>
                <w:color w:val="auto"/>
                <w:sz w:val="24"/>
                <w:szCs w:val="20"/>
                <w:lang w:val="en-US" w:eastAsia="zh-CN"/>
              </w:rPr>
              <w:t>，定期捞渣，无需更换</w:t>
            </w:r>
            <w:r>
              <w:rPr>
                <w:rFonts w:hint="default" w:ascii="Times New Roman" w:hAnsi="Times New Roman" w:eastAsia="宋体" w:cs="Times New Roman"/>
                <w:b w:val="0"/>
                <w:bCs w:val="0"/>
                <w:color w:val="auto"/>
                <w:sz w:val="24"/>
                <w:szCs w:val="20"/>
                <w:lang w:val="en-US" w:eastAsia="zh-CN"/>
              </w:rPr>
              <w:t>。</w:t>
            </w:r>
            <w:r>
              <w:rPr>
                <w:rFonts w:hint="eastAsia" w:cs="Times New Roman"/>
                <w:color w:val="auto"/>
                <w:sz w:val="24"/>
                <w:szCs w:val="24"/>
                <w:lang w:val="en-US" w:eastAsia="zh-CN"/>
              </w:rPr>
              <w:t>湿式磨削废水设置一个</w:t>
            </w:r>
            <w:r>
              <w:rPr>
                <w:rFonts w:hint="eastAsia" w:ascii="Times New Roman" w:hAnsi="Times New Roman" w:eastAsia="宋体" w:cs="Times New Roman"/>
                <w:color w:val="auto"/>
                <w:kern w:val="0"/>
                <w:sz w:val="24"/>
                <w:lang w:val="en-US" w:eastAsia="zh-CN"/>
              </w:rPr>
              <w:t>沉淀池</w:t>
            </w:r>
            <w:r>
              <w:rPr>
                <w:rFonts w:hint="eastAsia" w:cs="Times New Roman"/>
                <w:color w:val="auto"/>
                <w:kern w:val="0"/>
                <w:sz w:val="24"/>
                <w:lang w:val="en-US" w:eastAsia="zh-CN"/>
              </w:rPr>
              <w:t>沉淀处理后循环使用，不外排，</w:t>
            </w:r>
            <w:r>
              <w:rPr>
                <w:rFonts w:hint="eastAsia" w:ascii="Times New Roman" w:hAnsi="Times New Roman" w:eastAsia="宋体" w:cs="Times New Roman"/>
                <w:color w:val="auto"/>
                <w:kern w:val="0"/>
                <w:sz w:val="24"/>
                <w:lang w:val="en-US" w:eastAsia="zh-CN"/>
              </w:rPr>
              <w:t>沉淀池尺寸为</w:t>
            </w:r>
            <w:r>
              <w:rPr>
                <w:rFonts w:hint="eastAsia"/>
                <w:color w:val="auto"/>
                <w:sz w:val="24"/>
              </w:rPr>
              <w:t>1.5m*1m*2m</w:t>
            </w:r>
            <w:r>
              <w:rPr>
                <w:rFonts w:hint="eastAsia" w:ascii="Times New Roman" w:hAnsi="Times New Roman" w:eastAsia="宋体" w:cs="Times New Roman"/>
                <w:color w:val="auto"/>
                <w:kern w:val="0"/>
                <w:sz w:val="24"/>
                <w:lang w:val="en-US" w:eastAsia="zh-CN"/>
              </w:rPr>
              <w:t>，有效容积为</w:t>
            </w:r>
            <w:r>
              <w:rPr>
                <w:rFonts w:hint="eastAsia" w:cs="Times New Roman"/>
                <w:color w:val="auto"/>
                <w:kern w:val="0"/>
                <w:sz w:val="24"/>
                <w:lang w:val="en-US" w:eastAsia="zh-CN"/>
              </w:rPr>
              <w:t>2.4</w:t>
            </w:r>
            <w:r>
              <w:rPr>
                <w:rFonts w:hint="eastAsia" w:ascii="Times New Roman" w:hAnsi="Times New Roman" w:eastAsia="宋体" w:cs="Times New Roman"/>
                <w:color w:val="auto"/>
                <w:kern w:val="0"/>
                <w:sz w:val="24"/>
                <w:lang w:val="en-US" w:eastAsia="zh-CN"/>
              </w:rPr>
              <w:t>m</w:t>
            </w:r>
            <w:r>
              <w:rPr>
                <w:rFonts w:hint="eastAsia" w:ascii="Times New Roman" w:hAnsi="Times New Roman" w:eastAsia="宋体" w:cs="Times New Roman"/>
                <w:color w:val="auto"/>
                <w:kern w:val="0"/>
                <w:sz w:val="24"/>
                <w:vertAlign w:val="superscript"/>
                <w:lang w:val="en-US" w:eastAsia="zh-CN"/>
              </w:rPr>
              <w:t>3</w:t>
            </w:r>
            <w:r>
              <w:rPr>
                <w:rFonts w:hint="eastAsia" w:cs="Times New Roman"/>
                <w:color w:val="auto"/>
                <w:kern w:val="0"/>
                <w:sz w:val="24"/>
                <w:lang w:val="en-US" w:eastAsia="zh-CN"/>
              </w:rPr>
              <w:t>。</w:t>
            </w:r>
            <w:r>
              <w:rPr>
                <w:rFonts w:hint="eastAsia" w:cs="Times New Roman"/>
                <w:b w:val="0"/>
                <w:bCs w:val="0"/>
                <w:color w:val="auto"/>
                <w:sz w:val="24"/>
                <w:szCs w:val="20"/>
                <w:lang w:val="en-US" w:eastAsia="zh-CN"/>
              </w:rPr>
              <w:t>此工序产生</w:t>
            </w:r>
            <w:r>
              <w:rPr>
                <w:rFonts w:hint="eastAsia" w:cs="Times New Roman"/>
                <w:color w:val="auto"/>
                <w:sz w:val="24"/>
                <w:szCs w:val="24"/>
                <w:lang w:val="en-US" w:eastAsia="zh-CN"/>
              </w:rPr>
              <w:t>湿式磨削废水W3、废金属屑及边角料S1、含油金属屑S2、沉淀池沉渣S7、废砂轮S8</w:t>
            </w:r>
            <w:r>
              <w:rPr>
                <w:rFonts w:hint="default" w:ascii="Times New Roman" w:hAnsi="Times New Roman" w:eastAsia="宋体" w:cs="Times New Roman"/>
                <w:color w:val="auto"/>
                <w:sz w:val="24"/>
                <w:szCs w:val="24"/>
              </w:rPr>
              <w:t>和设</w:t>
            </w:r>
            <w:r>
              <w:rPr>
                <w:rFonts w:hint="default" w:ascii="Times New Roman" w:hAnsi="Times New Roman" w:cs="Times New Roman"/>
                <w:color w:val="auto"/>
                <w:sz w:val="24"/>
                <w:szCs w:val="24"/>
              </w:rPr>
              <w:t>备噪声N</w:t>
            </w:r>
            <w:r>
              <w:rPr>
                <w:rFonts w:hint="default" w:ascii="Times New Roman" w:hAnsi="Times New Roman" w:eastAsia="宋体" w:cs="Times New Roman"/>
                <w:b w:val="0"/>
                <w:bCs w:val="0"/>
                <w:color w:val="auto"/>
                <w:sz w:val="24"/>
                <w:szCs w:val="20"/>
                <w:lang w:val="en-US" w:eastAsia="zh-CN"/>
              </w:rPr>
              <w:t>。</w:t>
            </w:r>
          </w:p>
          <w:p w14:paraId="76B0937D">
            <w:pPr>
              <w:keepNext w:val="0"/>
              <w:keepLines w:val="0"/>
              <w:pageBreakBefore w:val="0"/>
              <w:widowControl w:val="0"/>
              <w:numPr>
                <w:ilvl w:val="0"/>
                <w:numId w:val="7"/>
              </w:numPr>
              <w:shd w:val="clear" w:color="auto" w:fill="auto"/>
              <w:kinsoku/>
              <w:wordWrap/>
              <w:overflowPunct/>
              <w:topLinePunct w:val="0"/>
              <w:autoSpaceDE/>
              <w:autoSpaceDN/>
              <w:bidi w:val="0"/>
              <w:adjustRightInd/>
              <w:snapToGrid/>
              <w:spacing w:line="360" w:lineRule="auto"/>
              <w:ind w:left="0" w:leftChars="0" w:firstLine="480" w:firstLineChars="200"/>
              <w:textAlignment w:val="auto"/>
              <w:rPr>
                <w:color w:val="auto"/>
              </w:rPr>
            </w:pPr>
            <w:r>
              <w:rPr>
                <w:rFonts w:hint="eastAsia" w:ascii="Times New Roman" w:hAnsi="Times New Roman" w:eastAsia="宋体" w:cs="Times New Roman"/>
                <w:b w:val="0"/>
                <w:bCs w:val="0"/>
                <w:color w:val="auto"/>
                <w:sz w:val="24"/>
                <w:szCs w:val="20"/>
                <w:lang w:val="en-US" w:eastAsia="zh-CN"/>
              </w:rPr>
              <w:t>检验、包装入库</w:t>
            </w:r>
          </w:p>
          <w:p w14:paraId="4D62F85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color w:val="auto"/>
                <w:lang w:val="en-US" w:eastAsia="zh-CN"/>
              </w:rPr>
            </w:pPr>
            <w:r>
              <w:rPr>
                <w:rFonts w:hint="default" w:ascii="Times New Roman" w:hAnsi="Times New Roman" w:eastAsia="宋体" w:cs="Times New Roman"/>
                <w:b w:val="0"/>
                <w:bCs w:val="0"/>
                <w:color w:val="auto"/>
                <w:kern w:val="2"/>
                <w:sz w:val="24"/>
                <w:szCs w:val="24"/>
                <w:lang w:val="en-US" w:eastAsia="zh-CN" w:bidi="ar-SA"/>
              </w:rPr>
              <w:t>将检验的成品包装入库。此工序产生</w:t>
            </w:r>
            <w:r>
              <w:rPr>
                <w:rFonts w:hint="default" w:ascii="Times New Roman" w:hAnsi="Times New Roman" w:cs="Times New Roman"/>
                <w:b w:val="0"/>
                <w:bCs w:val="0"/>
                <w:color w:val="auto"/>
                <w:kern w:val="2"/>
                <w:sz w:val="24"/>
                <w:szCs w:val="24"/>
                <w:lang w:val="en-US" w:eastAsia="zh-CN" w:bidi="ar-SA"/>
              </w:rPr>
              <w:t>不合格品</w:t>
            </w:r>
            <w:r>
              <w:rPr>
                <w:rFonts w:hint="eastAsia" w:cs="Times New Roman"/>
                <w:color w:val="auto"/>
                <w:sz w:val="24"/>
                <w:szCs w:val="24"/>
                <w:lang w:val="en-US" w:eastAsia="zh-CN"/>
              </w:rPr>
              <w:t>S9</w:t>
            </w:r>
            <w:r>
              <w:rPr>
                <w:rFonts w:hint="eastAsia" w:ascii="Times New Roman" w:hAnsi="Times New Roman" w:cs="Times New Roman"/>
                <w:b w:val="0"/>
                <w:bCs w:val="0"/>
                <w:color w:val="auto"/>
                <w:kern w:val="2"/>
                <w:sz w:val="24"/>
                <w:szCs w:val="24"/>
                <w:lang w:val="en-US" w:eastAsia="zh-CN" w:bidi="ar-SA"/>
              </w:rPr>
              <w:t>和废包装材料</w:t>
            </w:r>
            <w:r>
              <w:rPr>
                <w:rFonts w:hint="eastAsia" w:cs="Times New Roman"/>
                <w:color w:val="auto"/>
                <w:sz w:val="24"/>
                <w:szCs w:val="24"/>
                <w:lang w:val="en-US" w:eastAsia="zh-CN"/>
              </w:rPr>
              <w:t>S10</w:t>
            </w:r>
            <w:r>
              <w:rPr>
                <w:rFonts w:hint="default" w:ascii="Times New Roman" w:hAnsi="Times New Roman" w:eastAsia="宋体" w:cs="Times New Roman"/>
                <w:b w:val="0"/>
                <w:bCs w:val="0"/>
                <w:color w:val="auto"/>
                <w:kern w:val="2"/>
                <w:sz w:val="24"/>
                <w:szCs w:val="24"/>
                <w:lang w:val="en-US" w:eastAsia="zh-CN" w:bidi="ar-SA"/>
              </w:rPr>
              <w:t>。</w:t>
            </w:r>
          </w:p>
          <w:p w14:paraId="56A61F28">
            <w:pPr>
              <w:pStyle w:val="374"/>
              <w:keepNext w:val="0"/>
              <w:keepLines w:val="0"/>
              <w:pageBreakBefore w:val="0"/>
              <w:widowControl w:val="0"/>
              <w:kinsoku/>
              <w:wordWrap/>
              <w:overflowPunct/>
              <w:topLinePunct w:val="0"/>
              <w:autoSpaceDE/>
              <w:autoSpaceDN/>
              <w:bidi w:val="0"/>
              <w:adjustRightInd w:val="0"/>
              <w:snapToGrid w:val="0"/>
              <w:spacing w:before="4" w:beforeLines="1" w:line="240" w:lineRule="auto"/>
              <w:ind w:firstLine="0" w:firstLineChars="0"/>
              <w:jc w:val="center"/>
              <w:textAlignment w:val="auto"/>
              <w:rPr>
                <w:rFonts w:hint="default" w:ascii="Times New Roman" w:hAnsi="Times New Roman" w:eastAsia="宋体" w:cs="Times New Roman"/>
                <w:b/>
                <w:color w:val="auto"/>
                <w:kern w:val="0"/>
                <w:sz w:val="24"/>
                <w:szCs w:val="20"/>
                <w:lang w:val="en-US" w:eastAsia="zh-CN" w:bidi="ar-SA"/>
              </w:rPr>
            </w:pPr>
            <w:r>
              <w:rPr>
                <w:rFonts w:hint="default" w:ascii="Times New Roman" w:hAnsi="Times New Roman" w:eastAsia="宋体" w:cs="Times New Roman"/>
                <w:b/>
                <w:color w:val="auto"/>
                <w:kern w:val="0"/>
                <w:sz w:val="24"/>
                <w:szCs w:val="20"/>
                <w:lang w:val="en-US" w:eastAsia="zh-CN" w:bidi="ar-SA"/>
              </w:rPr>
              <w:t>表2-</w:t>
            </w:r>
            <w:r>
              <w:rPr>
                <w:rFonts w:hint="eastAsia" w:ascii="Times New Roman" w:hAnsi="Times New Roman" w:eastAsia="宋体" w:cs="Times New Roman"/>
                <w:b/>
                <w:color w:val="auto"/>
                <w:kern w:val="0"/>
                <w:sz w:val="24"/>
                <w:szCs w:val="20"/>
                <w:lang w:val="en-US" w:eastAsia="zh-CN" w:bidi="ar-SA"/>
              </w:rPr>
              <w:t>9</w:t>
            </w:r>
            <w:r>
              <w:rPr>
                <w:rFonts w:hint="default" w:ascii="Times New Roman" w:hAnsi="Times New Roman" w:eastAsia="宋体" w:cs="Times New Roman"/>
                <w:b/>
                <w:color w:val="auto"/>
                <w:kern w:val="0"/>
                <w:sz w:val="24"/>
                <w:szCs w:val="20"/>
                <w:lang w:val="en-US" w:eastAsia="zh-CN" w:bidi="ar-SA"/>
              </w:rPr>
              <w:t xml:space="preserve">  运营期主要污染工序一览表</w:t>
            </w:r>
          </w:p>
          <w:tbl>
            <w:tblPr>
              <w:tblStyle w:val="6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8"/>
              <w:gridCol w:w="1347"/>
              <w:gridCol w:w="1210"/>
              <w:gridCol w:w="1915"/>
              <w:gridCol w:w="2766"/>
            </w:tblGrid>
            <w:tr w14:paraId="1FB6A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679" w:type="pct"/>
                  <w:vAlign w:val="center"/>
                </w:tcPr>
                <w:p w14:paraId="57B01808">
                  <w:pPr>
                    <w:adjustRightInd w:val="0"/>
                    <w:snapToGrid w:val="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污染类别</w:t>
                  </w:r>
                </w:p>
              </w:tc>
              <w:tc>
                <w:tcPr>
                  <w:tcW w:w="804" w:type="pct"/>
                  <w:vAlign w:val="center"/>
                </w:tcPr>
                <w:p w14:paraId="3D43F6AC">
                  <w:pPr>
                    <w:adjustRightInd w:val="0"/>
                    <w:snapToGrid w:val="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污染源编号</w:t>
                  </w:r>
                </w:p>
              </w:tc>
              <w:tc>
                <w:tcPr>
                  <w:tcW w:w="722" w:type="pct"/>
                  <w:vAlign w:val="center"/>
                </w:tcPr>
                <w:p w14:paraId="4F3540C2">
                  <w:pPr>
                    <w:adjustRightInd w:val="0"/>
                    <w:snapToGrid w:val="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产生工序</w:t>
                  </w:r>
                </w:p>
              </w:tc>
              <w:tc>
                <w:tcPr>
                  <w:tcW w:w="1143" w:type="pct"/>
                  <w:vAlign w:val="center"/>
                </w:tcPr>
                <w:p w14:paraId="56E8EF90">
                  <w:pPr>
                    <w:adjustRightInd w:val="0"/>
                    <w:snapToGrid w:val="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主要污染因子</w:t>
                  </w:r>
                </w:p>
              </w:tc>
              <w:tc>
                <w:tcPr>
                  <w:tcW w:w="1651" w:type="pct"/>
                  <w:vAlign w:val="center"/>
                </w:tcPr>
                <w:p w14:paraId="6B7C1CB9">
                  <w:pPr>
                    <w:adjustRightInd w:val="0"/>
                    <w:snapToGrid w:val="0"/>
                    <w:jc w:val="center"/>
                    <w:rPr>
                      <w:rFonts w:hint="default" w:ascii="Times New Roman" w:hAnsi="Times New Roman" w:cs="Times New Roman"/>
                      <w:b/>
                      <w:bCs/>
                      <w:color w:val="auto"/>
                      <w:sz w:val="21"/>
                      <w:szCs w:val="21"/>
                    </w:rPr>
                  </w:pPr>
                  <w:r>
                    <w:rPr>
                      <w:rFonts w:hint="eastAsia" w:cs="Times New Roman"/>
                      <w:b/>
                      <w:bCs/>
                      <w:color w:val="auto"/>
                      <w:sz w:val="21"/>
                      <w:szCs w:val="21"/>
                      <w:lang w:eastAsia="zh-CN"/>
                    </w:rPr>
                    <w:t>措施及排放去向</w:t>
                  </w:r>
                </w:p>
              </w:tc>
            </w:tr>
            <w:tr w14:paraId="13686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restart"/>
                  <w:vAlign w:val="center"/>
                </w:tcPr>
                <w:p w14:paraId="05FBFB52">
                  <w:pPr>
                    <w:adjustRightInd w:val="0"/>
                    <w:snapToGrid w:val="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废气</w:t>
                  </w:r>
                </w:p>
              </w:tc>
              <w:tc>
                <w:tcPr>
                  <w:tcW w:w="804" w:type="pct"/>
                  <w:shd w:val="clear" w:color="auto" w:fill="auto"/>
                  <w:vAlign w:val="center"/>
                </w:tcPr>
                <w:p w14:paraId="317F018E">
                  <w:pPr>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sz w:val="21"/>
                      <w:szCs w:val="21"/>
                      <w:lang w:val="en-US" w:eastAsia="zh-CN"/>
                    </w:rPr>
                    <w:t>G1</w:t>
                  </w:r>
                </w:p>
              </w:tc>
              <w:tc>
                <w:tcPr>
                  <w:tcW w:w="722" w:type="pct"/>
                  <w:shd w:val="clear" w:color="auto" w:fill="auto"/>
                  <w:vAlign w:val="center"/>
                </w:tcPr>
                <w:p w14:paraId="740712B3">
                  <w:pPr>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sz w:val="21"/>
                      <w:szCs w:val="21"/>
                      <w:lang w:val="en-US" w:eastAsia="zh-CN"/>
                    </w:rPr>
                    <w:t>锻造脱模</w:t>
                  </w:r>
                </w:p>
              </w:tc>
              <w:tc>
                <w:tcPr>
                  <w:tcW w:w="1143" w:type="pct"/>
                  <w:shd w:val="clear" w:color="auto" w:fill="auto"/>
                  <w:vAlign w:val="center"/>
                </w:tcPr>
                <w:p w14:paraId="3F3BF8CB">
                  <w:pPr>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sz w:val="21"/>
                      <w:szCs w:val="21"/>
                      <w:lang w:val="en-US" w:eastAsia="zh-CN"/>
                    </w:rPr>
                    <w:t>非甲烷总烃（油雾）</w:t>
                  </w:r>
                </w:p>
              </w:tc>
              <w:tc>
                <w:tcPr>
                  <w:tcW w:w="1651" w:type="pct"/>
                  <w:shd w:val="clear" w:color="auto" w:fill="auto"/>
                  <w:vAlign w:val="center"/>
                </w:tcPr>
                <w:p w14:paraId="69DBA041">
                  <w:pPr>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集气罩</w:t>
                  </w:r>
                  <w:r>
                    <w:rPr>
                      <w:rFonts w:hint="eastAsia" w:cs="Times New Roman"/>
                      <w:color w:val="auto"/>
                      <w:sz w:val="21"/>
                      <w:szCs w:val="21"/>
                      <w:lang w:val="en-US" w:eastAsia="zh-CN"/>
                    </w:rPr>
                    <w:t>+</w:t>
                  </w:r>
                  <w:r>
                    <w:rPr>
                      <w:rFonts w:hint="default" w:ascii="Times New Roman" w:hAnsi="Times New Roman" w:cs="Times New Roman"/>
                      <w:color w:val="auto"/>
                      <w:szCs w:val="21"/>
                      <w:lang w:eastAsia="zh-CN"/>
                    </w:rPr>
                    <w:t>静电</w:t>
                  </w:r>
                  <w:r>
                    <w:rPr>
                      <w:rFonts w:hint="default" w:ascii="Times New Roman" w:hAnsi="Times New Roman" w:cs="Times New Roman"/>
                      <w:color w:val="auto"/>
                      <w:szCs w:val="21"/>
                      <w:lang w:val="en-US" w:eastAsia="zh-CN"/>
                    </w:rPr>
                    <w:t>式</w:t>
                  </w:r>
                  <w:r>
                    <w:rPr>
                      <w:rFonts w:hint="default" w:ascii="Times New Roman" w:hAnsi="Times New Roman" w:cs="Times New Roman"/>
                      <w:color w:val="auto"/>
                      <w:szCs w:val="21"/>
                      <w:lang w:eastAsia="zh-CN"/>
                    </w:rPr>
                    <w:t>油雾净化</w:t>
                  </w:r>
                  <w:r>
                    <w:rPr>
                      <w:rFonts w:hint="default" w:ascii="Times New Roman" w:hAnsi="Times New Roman" w:cs="Times New Roman"/>
                      <w:color w:val="auto"/>
                      <w:szCs w:val="21"/>
                      <w:lang w:val="en-US" w:eastAsia="zh-CN"/>
                    </w:rPr>
                    <w:t>器</w:t>
                  </w:r>
                  <w:r>
                    <w:rPr>
                      <w:rFonts w:hint="eastAsia" w:cs="Times New Roman"/>
                      <w:color w:val="auto"/>
                      <w:sz w:val="21"/>
                      <w:szCs w:val="21"/>
                      <w:lang w:val="en-US" w:eastAsia="zh-CN"/>
                    </w:rPr>
                    <w:t>两级活性炭吸附装置+</w:t>
                  </w:r>
                  <w:r>
                    <w:rPr>
                      <w:rFonts w:hint="eastAsia" w:cs="Times New Roman"/>
                      <w:bCs/>
                      <w:color w:val="auto"/>
                      <w:sz w:val="21"/>
                      <w:szCs w:val="21"/>
                      <w:lang w:val="en-US" w:eastAsia="zh-CN"/>
                    </w:rPr>
                    <w:t>18m高排气筒DA002排放</w:t>
                  </w:r>
                </w:p>
              </w:tc>
            </w:tr>
            <w:tr w14:paraId="49FB4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5B43AB87">
                  <w:pPr>
                    <w:adjustRightInd w:val="0"/>
                    <w:snapToGrid w:val="0"/>
                    <w:jc w:val="center"/>
                    <w:rPr>
                      <w:rFonts w:hint="default" w:ascii="Times New Roman" w:hAnsi="Times New Roman" w:cs="Times New Roman"/>
                      <w:bCs/>
                      <w:color w:val="auto"/>
                      <w:sz w:val="21"/>
                      <w:szCs w:val="21"/>
                    </w:rPr>
                  </w:pPr>
                </w:p>
              </w:tc>
              <w:tc>
                <w:tcPr>
                  <w:tcW w:w="804" w:type="pct"/>
                  <w:shd w:val="clear" w:color="auto" w:fill="auto"/>
                  <w:vAlign w:val="center"/>
                </w:tcPr>
                <w:p w14:paraId="20064503">
                  <w:pPr>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sz w:val="21"/>
                      <w:szCs w:val="21"/>
                      <w:lang w:val="en-US" w:eastAsia="zh-CN"/>
                    </w:rPr>
                    <w:t>G2</w:t>
                  </w:r>
                </w:p>
              </w:tc>
              <w:tc>
                <w:tcPr>
                  <w:tcW w:w="722" w:type="pct"/>
                  <w:shd w:val="clear" w:color="auto" w:fill="auto"/>
                  <w:vAlign w:val="center"/>
                </w:tcPr>
                <w:p w14:paraId="488A76B3">
                  <w:pPr>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sz w:val="21"/>
                      <w:szCs w:val="21"/>
                      <w:lang w:val="en-US" w:eastAsia="zh-CN"/>
                    </w:rPr>
                    <w:t>抛丸</w:t>
                  </w:r>
                </w:p>
              </w:tc>
              <w:tc>
                <w:tcPr>
                  <w:tcW w:w="1143" w:type="pct"/>
                  <w:shd w:val="clear" w:color="auto" w:fill="auto"/>
                  <w:vAlign w:val="center"/>
                </w:tcPr>
                <w:p w14:paraId="6B672C48">
                  <w:pPr>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sz w:val="21"/>
                      <w:szCs w:val="21"/>
                      <w:lang w:val="en-US" w:eastAsia="zh-CN"/>
                    </w:rPr>
                    <w:t>颗粒物</w:t>
                  </w:r>
                </w:p>
              </w:tc>
              <w:tc>
                <w:tcPr>
                  <w:tcW w:w="1651" w:type="pct"/>
                  <w:shd w:val="clear" w:color="auto" w:fill="auto"/>
                  <w:vAlign w:val="center"/>
                </w:tcPr>
                <w:p w14:paraId="56164006">
                  <w:pPr>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sz w:val="21"/>
                      <w:szCs w:val="21"/>
                      <w:lang w:val="en-US" w:eastAsia="zh-CN"/>
                    </w:rPr>
                    <w:t>设备密闭+集气管道收集+自带布袋除尘器+18m高排气筒DA001排放</w:t>
                  </w:r>
                </w:p>
              </w:tc>
            </w:tr>
            <w:tr w14:paraId="54887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62EE2CC7">
                  <w:pPr>
                    <w:adjustRightInd w:val="0"/>
                    <w:snapToGrid w:val="0"/>
                    <w:jc w:val="center"/>
                    <w:rPr>
                      <w:rFonts w:hint="default" w:ascii="Times New Roman" w:hAnsi="Times New Roman" w:cs="Times New Roman"/>
                      <w:bCs/>
                      <w:color w:val="auto"/>
                      <w:sz w:val="21"/>
                      <w:szCs w:val="21"/>
                    </w:rPr>
                  </w:pPr>
                </w:p>
              </w:tc>
              <w:tc>
                <w:tcPr>
                  <w:tcW w:w="804" w:type="pct"/>
                  <w:shd w:val="clear" w:color="auto" w:fill="auto"/>
                  <w:vAlign w:val="center"/>
                </w:tcPr>
                <w:p w14:paraId="2227EDA2">
                  <w:pPr>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sz w:val="21"/>
                      <w:szCs w:val="21"/>
                      <w:lang w:val="en-US" w:eastAsia="zh-CN"/>
                    </w:rPr>
                    <w:t>G3</w:t>
                  </w:r>
                </w:p>
              </w:tc>
              <w:tc>
                <w:tcPr>
                  <w:tcW w:w="722" w:type="pct"/>
                  <w:shd w:val="clear" w:color="auto" w:fill="auto"/>
                  <w:vAlign w:val="center"/>
                </w:tcPr>
                <w:p w14:paraId="42D1B51C">
                  <w:pPr>
                    <w:adjustRightInd w:val="0"/>
                    <w:snapToGrid w:val="0"/>
                    <w:jc w:val="center"/>
                    <w:rPr>
                      <w:rFonts w:hint="eastAsia" w:ascii="Times New Roman" w:hAnsi="Times New Roman" w:eastAsia="宋体" w:cs="Times New Roman"/>
                      <w:bCs/>
                      <w:color w:val="auto"/>
                      <w:kern w:val="2"/>
                      <w:sz w:val="21"/>
                      <w:szCs w:val="21"/>
                      <w:lang w:val="en-US" w:eastAsia="zh-CN" w:bidi="ar-SA"/>
                    </w:rPr>
                  </w:pPr>
                  <w:r>
                    <w:rPr>
                      <w:rFonts w:hint="eastAsia" w:cs="Times New Roman"/>
                      <w:bCs/>
                      <w:color w:val="auto"/>
                      <w:sz w:val="21"/>
                      <w:szCs w:val="21"/>
                      <w:lang w:val="en-US" w:eastAsia="zh-CN"/>
                    </w:rPr>
                    <w:t>淬火</w:t>
                  </w:r>
                </w:p>
              </w:tc>
              <w:tc>
                <w:tcPr>
                  <w:tcW w:w="1143" w:type="pct"/>
                  <w:shd w:val="clear" w:color="auto" w:fill="auto"/>
                  <w:vAlign w:val="center"/>
                </w:tcPr>
                <w:p w14:paraId="3CA3C512">
                  <w:pPr>
                    <w:adjustRightInd w:val="0"/>
                    <w:snapToGrid w:val="0"/>
                    <w:jc w:val="center"/>
                    <w:rPr>
                      <w:rFonts w:hint="eastAsia" w:ascii="Times New Roman" w:hAnsi="Times New Roman" w:eastAsia="宋体" w:cs="Times New Roman"/>
                      <w:bCs/>
                      <w:color w:val="auto"/>
                      <w:kern w:val="2"/>
                      <w:sz w:val="21"/>
                      <w:szCs w:val="21"/>
                      <w:lang w:val="en-US" w:eastAsia="zh-CN" w:bidi="ar-SA"/>
                    </w:rPr>
                  </w:pPr>
                  <w:r>
                    <w:rPr>
                      <w:rFonts w:hint="eastAsia" w:cs="Times New Roman"/>
                      <w:bCs/>
                      <w:color w:val="auto"/>
                      <w:sz w:val="21"/>
                      <w:szCs w:val="21"/>
                      <w:lang w:val="en-US" w:eastAsia="zh-CN"/>
                    </w:rPr>
                    <w:t>非甲烷总烃</w:t>
                  </w:r>
                </w:p>
              </w:tc>
              <w:tc>
                <w:tcPr>
                  <w:tcW w:w="1651" w:type="pct"/>
                  <w:shd w:val="clear" w:color="auto" w:fill="auto"/>
                  <w:vAlign w:val="center"/>
                </w:tcPr>
                <w:p w14:paraId="43992885">
                  <w:pPr>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color w:val="auto"/>
                      <w:szCs w:val="21"/>
                      <w:lang w:val="en-US" w:eastAsia="zh-CN"/>
                    </w:rPr>
                    <w:t>经设备密闭+集气管道收集后无组织排放</w:t>
                  </w:r>
                </w:p>
              </w:tc>
            </w:tr>
            <w:tr w14:paraId="4FA65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79" w:type="pct"/>
                  <w:vMerge w:val="restart"/>
                  <w:vAlign w:val="center"/>
                </w:tcPr>
                <w:p w14:paraId="3D8A05EA">
                  <w:pPr>
                    <w:adjustRightInd w:val="0"/>
                    <w:snapToGrid w:val="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废水</w:t>
                  </w:r>
                </w:p>
              </w:tc>
              <w:tc>
                <w:tcPr>
                  <w:tcW w:w="804" w:type="pct"/>
                  <w:vAlign w:val="center"/>
                </w:tcPr>
                <w:p w14:paraId="1CA77AA5">
                  <w:pPr>
                    <w:adjustRightInd w:val="0"/>
                    <w:snapToGrid w:val="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W</w:t>
                  </w:r>
                </w:p>
              </w:tc>
              <w:tc>
                <w:tcPr>
                  <w:tcW w:w="722" w:type="pct"/>
                  <w:vAlign w:val="center"/>
                </w:tcPr>
                <w:p w14:paraId="5736940F">
                  <w:pPr>
                    <w:adjustRightInd w:val="0"/>
                    <w:snapToGrid w:val="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生活污水</w:t>
                  </w:r>
                </w:p>
              </w:tc>
              <w:tc>
                <w:tcPr>
                  <w:tcW w:w="1143" w:type="pct"/>
                  <w:vAlign w:val="center"/>
                </w:tcPr>
                <w:p w14:paraId="3EFDA07A">
                  <w:pPr>
                    <w:adjustRightInd w:val="0"/>
                    <w:snapToGrid w:val="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rPr>
                    <w:t>pH、COD、氨氮、SS、BOD</w:t>
                  </w:r>
                  <w:r>
                    <w:rPr>
                      <w:rFonts w:hint="default" w:ascii="Times New Roman" w:hAnsi="Times New Roman" w:cs="Times New Roman"/>
                      <w:bCs/>
                      <w:color w:val="auto"/>
                      <w:sz w:val="21"/>
                      <w:szCs w:val="21"/>
                      <w:vertAlign w:val="subscript"/>
                    </w:rPr>
                    <w:t>5</w:t>
                  </w:r>
                  <w:r>
                    <w:rPr>
                      <w:rFonts w:hint="default" w:ascii="Times New Roman" w:hAnsi="Times New Roman" w:cs="Times New Roman"/>
                      <w:bCs/>
                      <w:color w:val="auto"/>
                      <w:sz w:val="21"/>
                      <w:szCs w:val="21"/>
                    </w:rPr>
                    <w:t>、</w:t>
                  </w:r>
                  <w:r>
                    <w:rPr>
                      <w:rFonts w:hint="eastAsia" w:cs="Times New Roman"/>
                      <w:bCs/>
                      <w:color w:val="auto"/>
                      <w:sz w:val="21"/>
                      <w:szCs w:val="21"/>
                      <w:lang w:val="en-US" w:eastAsia="zh-CN"/>
                    </w:rPr>
                    <w:t>TP、TN</w:t>
                  </w:r>
                </w:p>
              </w:tc>
              <w:tc>
                <w:tcPr>
                  <w:tcW w:w="1651" w:type="pct"/>
                  <w:vAlign w:val="center"/>
                </w:tcPr>
                <w:p w14:paraId="7960D2F7">
                  <w:pPr>
                    <w:adjustRightInd w:val="0"/>
                    <w:snapToGrid w:val="0"/>
                    <w:jc w:val="center"/>
                    <w:rPr>
                      <w:rFonts w:hint="default" w:ascii="Times New Roman" w:hAnsi="Times New Roman" w:cs="Times New Roman"/>
                      <w:bCs/>
                      <w:color w:val="auto"/>
                      <w:sz w:val="21"/>
                      <w:szCs w:val="21"/>
                    </w:rPr>
                  </w:pPr>
                  <w:r>
                    <w:rPr>
                      <w:rFonts w:hint="eastAsia" w:cs="Times New Roman"/>
                      <w:color w:val="auto"/>
                      <w:sz w:val="21"/>
                      <w:szCs w:val="21"/>
                      <w:lang w:val="en-US" w:eastAsia="zh-CN"/>
                    </w:rPr>
                    <w:t>经</w:t>
                  </w:r>
                  <w:r>
                    <w:rPr>
                      <w:rFonts w:hint="default" w:ascii="Times New Roman" w:hAnsi="Times New Roman" w:eastAsia="宋体" w:cs="Times New Roman"/>
                      <w:color w:val="auto"/>
                      <w:sz w:val="21"/>
                      <w:szCs w:val="21"/>
                      <w:lang w:val="en-US" w:eastAsia="zh-CN"/>
                    </w:rPr>
                    <w:t>化粪池处理</w:t>
                  </w:r>
                  <w:r>
                    <w:rPr>
                      <w:rFonts w:hint="default" w:ascii="Times New Roman" w:hAnsi="Times New Roman" w:cs="Times New Roman"/>
                      <w:color w:val="auto"/>
                      <w:sz w:val="21"/>
                      <w:szCs w:val="21"/>
                      <w:lang w:val="en-US" w:eastAsia="zh-CN"/>
                    </w:rPr>
                    <w:t>后</w:t>
                  </w:r>
                  <w:r>
                    <w:rPr>
                      <w:rFonts w:hint="default" w:ascii="Times New Roman" w:hAnsi="Times New Roman" w:eastAsia="宋体" w:cs="Times New Roman"/>
                      <w:color w:val="auto"/>
                      <w:sz w:val="21"/>
                      <w:szCs w:val="21"/>
                      <w:lang w:val="en-US" w:eastAsia="zh-CN"/>
                    </w:rPr>
                    <w:t>经市政污水管网排入</w:t>
                  </w:r>
                  <w:r>
                    <w:rPr>
                      <w:rFonts w:hint="eastAsia" w:ascii="Times New Roman" w:hAnsi="Times New Roman" w:cs="Times New Roman"/>
                      <w:color w:val="auto"/>
                      <w:sz w:val="21"/>
                      <w:szCs w:val="21"/>
                      <w:lang w:val="en-US" w:eastAsia="zh-CN"/>
                    </w:rPr>
                    <w:t>芜湖县新芜开发区城东污水处理厂</w:t>
                  </w:r>
                  <w:r>
                    <w:rPr>
                      <w:rFonts w:hint="default" w:ascii="Times New Roman" w:hAnsi="Times New Roman" w:cs="Times New Roman"/>
                      <w:color w:val="auto"/>
                      <w:sz w:val="21"/>
                      <w:szCs w:val="21"/>
                      <w:lang w:val="en-US" w:eastAsia="zh-CN"/>
                    </w:rPr>
                    <w:t>，达标后排入</w:t>
                  </w:r>
                  <w:r>
                    <w:rPr>
                      <w:rFonts w:hint="eastAsia" w:ascii="Times New Roman" w:hAnsi="Times New Roman" w:cs="Times New Roman"/>
                      <w:color w:val="auto"/>
                      <w:sz w:val="21"/>
                      <w:szCs w:val="21"/>
                      <w:lang w:val="en-US" w:eastAsia="zh-CN"/>
                    </w:rPr>
                    <w:t>汪溪坝撇洪沟后汇入裘公河</w:t>
                  </w:r>
                </w:p>
              </w:tc>
            </w:tr>
            <w:tr w14:paraId="45C24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79" w:type="pct"/>
                  <w:vMerge w:val="continue"/>
                  <w:vAlign w:val="center"/>
                </w:tcPr>
                <w:p w14:paraId="032FA062">
                  <w:pPr>
                    <w:adjustRightInd w:val="0"/>
                    <w:snapToGrid w:val="0"/>
                    <w:jc w:val="center"/>
                    <w:rPr>
                      <w:rFonts w:hint="default" w:ascii="Times New Roman" w:hAnsi="Times New Roman" w:cs="Times New Roman"/>
                      <w:bCs/>
                      <w:color w:val="auto"/>
                      <w:sz w:val="21"/>
                      <w:szCs w:val="21"/>
                    </w:rPr>
                  </w:pPr>
                </w:p>
              </w:tc>
              <w:tc>
                <w:tcPr>
                  <w:tcW w:w="804" w:type="pct"/>
                  <w:vAlign w:val="center"/>
                </w:tcPr>
                <w:p w14:paraId="3EB227CE">
                  <w:pPr>
                    <w:adjustRightInd w:val="0"/>
                    <w:snapToGrid w:val="0"/>
                    <w:jc w:val="center"/>
                    <w:rPr>
                      <w:rFonts w:hint="eastAsia" w:cs="Times New Roman"/>
                      <w:bCs/>
                      <w:color w:val="auto"/>
                      <w:sz w:val="21"/>
                      <w:szCs w:val="21"/>
                      <w:lang w:val="en-US" w:eastAsia="zh-CN"/>
                    </w:rPr>
                  </w:pPr>
                  <w:r>
                    <w:rPr>
                      <w:rFonts w:hint="eastAsia" w:cs="Times New Roman"/>
                      <w:bCs/>
                      <w:color w:val="auto"/>
                      <w:sz w:val="21"/>
                      <w:szCs w:val="21"/>
                      <w:lang w:val="en-US" w:eastAsia="zh-CN"/>
                    </w:rPr>
                    <w:t>W1-1</w:t>
                  </w:r>
                </w:p>
                <w:p w14:paraId="7D3660AF">
                  <w:pPr>
                    <w:adjustRightInd w:val="0"/>
                    <w:snapToGrid w:val="0"/>
                    <w:jc w:val="center"/>
                    <w:rPr>
                      <w:rFonts w:hint="eastAsia" w:cs="Times New Roman"/>
                      <w:bCs/>
                      <w:color w:val="auto"/>
                      <w:sz w:val="21"/>
                      <w:szCs w:val="21"/>
                      <w:lang w:val="en-US" w:eastAsia="zh-CN"/>
                    </w:rPr>
                  </w:pPr>
                  <w:r>
                    <w:rPr>
                      <w:rFonts w:hint="eastAsia" w:cs="Times New Roman"/>
                      <w:bCs/>
                      <w:color w:val="auto"/>
                      <w:sz w:val="21"/>
                      <w:szCs w:val="21"/>
                      <w:lang w:val="en-US" w:eastAsia="zh-CN"/>
                    </w:rPr>
                    <w:t>W1-2</w:t>
                  </w:r>
                </w:p>
                <w:p w14:paraId="6FACF933">
                  <w:pPr>
                    <w:adjustRightInd w:val="0"/>
                    <w:snapToGrid w:val="0"/>
                    <w:jc w:val="center"/>
                    <w:rPr>
                      <w:rFonts w:hint="default" w:cs="Times New Roman"/>
                      <w:bCs/>
                      <w:color w:val="auto"/>
                      <w:sz w:val="21"/>
                      <w:szCs w:val="21"/>
                      <w:lang w:val="en-US" w:eastAsia="zh-CN"/>
                    </w:rPr>
                  </w:pPr>
                  <w:r>
                    <w:rPr>
                      <w:rFonts w:hint="eastAsia" w:cs="Times New Roman"/>
                      <w:bCs/>
                      <w:color w:val="auto"/>
                      <w:sz w:val="21"/>
                      <w:szCs w:val="21"/>
                      <w:lang w:val="en-US" w:eastAsia="zh-CN"/>
                    </w:rPr>
                    <w:t>W1-3</w:t>
                  </w:r>
                </w:p>
              </w:tc>
              <w:tc>
                <w:tcPr>
                  <w:tcW w:w="722" w:type="pct"/>
                  <w:vAlign w:val="center"/>
                </w:tcPr>
                <w:p w14:paraId="77AD1F4A">
                  <w:pPr>
                    <w:adjustRightInd w:val="0"/>
                    <w:snapToGrid w:val="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循环冷</w:t>
                  </w:r>
                </w:p>
                <w:p w14:paraId="405FF955">
                  <w:pPr>
                    <w:adjustRightInd w:val="0"/>
                    <w:snapToGrid w:val="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却水</w:t>
                  </w:r>
                </w:p>
              </w:tc>
              <w:tc>
                <w:tcPr>
                  <w:tcW w:w="1143" w:type="pct"/>
                  <w:vAlign w:val="center"/>
                </w:tcPr>
                <w:p w14:paraId="7863FE19">
                  <w:pPr>
                    <w:adjustRightInd w:val="0"/>
                    <w:snapToGrid w:val="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COD、SS</w:t>
                  </w:r>
                </w:p>
              </w:tc>
              <w:tc>
                <w:tcPr>
                  <w:tcW w:w="1651" w:type="pct"/>
                  <w:vAlign w:val="center"/>
                </w:tcPr>
                <w:p w14:paraId="06F56C1B">
                  <w:pPr>
                    <w:adjustRightInd w:val="0"/>
                    <w:snapToGrid w:val="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循环使用，定期补充，不外排</w:t>
                  </w:r>
                </w:p>
              </w:tc>
            </w:tr>
            <w:tr w14:paraId="48FED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79" w:type="pct"/>
                  <w:vMerge w:val="continue"/>
                  <w:vAlign w:val="center"/>
                </w:tcPr>
                <w:p w14:paraId="0D04E0A9">
                  <w:pPr>
                    <w:adjustRightInd w:val="0"/>
                    <w:snapToGrid w:val="0"/>
                    <w:jc w:val="center"/>
                    <w:rPr>
                      <w:rFonts w:hint="default" w:ascii="Times New Roman" w:hAnsi="Times New Roman" w:cs="Times New Roman"/>
                      <w:bCs/>
                      <w:color w:val="auto"/>
                      <w:sz w:val="21"/>
                      <w:szCs w:val="21"/>
                    </w:rPr>
                  </w:pPr>
                </w:p>
              </w:tc>
              <w:tc>
                <w:tcPr>
                  <w:tcW w:w="804" w:type="pct"/>
                  <w:vAlign w:val="center"/>
                </w:tcPr>
                <w:p w14:paraId="5F980E25">
                  <w:pPr>
                    <w:adjustRightInd w:val="0"/>
                    <w:snapToGrid w:val="0"/>
                    <w:jc w:val="center"/>
                    <w:rPr>
                      <w:rFonts w:hint="eastAsia" w:cs="Times New Roman"/>
                      <w:bCs/>
                      <w:color w:val="auto"/>
                      <w:sz w:val="21"/>
                      <w:szCs w:val="21"/>
                      <w:lang w:val="en-US" w:eastAsia="zh-CN"/>
                    </w:rPr>
                  </w:pPr>
                  <w:r>
                    <w:rPr>
                      <w:rFonts w:hint="eastAsia" w:cs="Times New Roman"/>
                      <w:bCs/>
                      <w:color w:val="auto"/>
                      <w:sz w:val="21"/>
                      <w:szCs w:val="21"/>
                      <w:lang w:val="en-US" w:eastAsia="zh-CN"/>
                    </w:rPr>
                    <w:t>W2</w:t>
                  </w:r>
                </w:p>
              </w:tc>
              <w:tc>
                <w:tcPr>
                  <w:tcW w:w="722" w:type="pct"/>
                  <w:shd w:val="clear" w:color="auto" w:fill="auto"/>
                  <w:vAlign w:val="center"/>
                </w:tcPr>
                <w:p w14:paraId="3549CBB7">
                  <w:pPr>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eastAsia" w:cs="Times New Roman"/>
                      <w:bCs/>
                      <w:color w:val="auto"/>
                      <w:sz w:val="21"/>
                      <w:szCs w:val="21"/>
                      <w:lang w:val="en-US" w:eastAsia="zh-CN"/>
                    </w:rPr>
                    <w:t>淬火废水</w:t>
                  </w:r>
                </w:p>
              </w:tc>
              <w:tc>
                <w:tcPr>
                  <w:tcW w:w="1143" w:type="pct"/>
                  <w:shd w:val="clear" w:color="auto" w:fill="auto"/>
                  <w:vAlign w:val="center"/>
                </w:tcPr>
                <w:p w14:paraId="4319B6B3">
                  <w:pPr>
                    <w:adjustRightInd w:val="0"/>
                    <w:snapToGrid w:val="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COD、SS</w:t>
                  </w:r>
                  <w:r>
                    <w:rPr>
                      <w:rFonts w:hint="eastAsia" w:ascii="Times New Roman" w:hAnsi="Times New Roman" w:eastAsia="宋体" w:cs="Times New Roman"/>
                      <w:bCs/>
                      <w:color w:val="auto"/>
                      <w:sz w:val="21"/>
                      <w:szCs w:val="21"/>
                      <w:lang w:val="en-US" w:eastAsia="zh-CN"/>
                    </w:rPr>
                    <w:t>、石油类</w:t>
                  </w:r>
                </w:p>
              </w:tc>
              <w:tc>
                <w:tcPr>
                  <w:tcW w:w="1651" w:type="pct"/>
                  <w:shd w:val="clear" w:color="auto" w:fill="auto"/>
                  <w:vAlign w:val="center"/>
                </w:tcPr>
                <w:p w14:paraId="24F73BD6">
                  <w:pPr>
                    <w:adjustRightInd w:val="0"/>
                    <w:snapToGrid w:val="0"/>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bCs/>
                      <w:color w:val="auto"/>
                      <w:sz w:val="21"/>
                      <w:szCs w:val="21"/>
                      <w:lang w:val="en-US" w:eastAsia="zh-CN"/>
                    </w:rPr>
                    <w:t>设备自带一个淬火液槽，尺寸为0.7m</w:t>
                  </w:r>
                  <w:r>
                    <w:rPr>
                      <w:rFonts w:hint="default" w:ascii="Times New Roman" w:hAnsi="Times New Roman" w:cs="Times New Roman"/>
                      <w:bCs/>
                      <w:color w:val="auto"/>
                      <w:sz w:val="21"/>
                      <w:szCs w:val="21"/>
                      <w:lang w:val="en-US" w:eastAsia="zh-CN"/>
                    </w:rPr>
                    <w:t>×</w:t>
                  </w:r>
                  <w:r>
                    <w:rPr>
                      <w:rFonts w:hint="eastAsia" w:ascii="Times New Roman" w:hAnsi="Times New Roman" w:cs="Times New Roman"/>
                      <w:bCs/>
                      <w:color w:val="auto"/>
                      <w:sz w:val="21"/>
                      <w:szCs w:val="21"/>
                      <w:lang w:val="en-US" w:eastAsia="zh-CN"/>
                    </w:rPr>
                    <w:t>0.6m</w:t>
                  </w:r>
                  <w:r>
                    <w:rPr>
                      <w:rFonts w:hint="default" w:ascii="Times New Roman" w:hAnsi="Times New Roman" w:cs="Times New Roman"/>
                      <w:bCs/>
                      <w:color w:val="auto"/>
                      <w:sz w:val="21"/>
                      <w:szCs w:val="21"/>
                      <w:lang w:val="en-US" w:eastAsia="zh-CN"/>
                    </w:rPr>
                    <w:t>×</w:t>
                  </w:r>
                  <w:r>
                    <w:rPr>
                      <w:rFonts w:hint="eastAsia" w:ascii="Times New Roman" w:hAnsi="Times New Roman" w:cs="Times New Roman"/>
                      <w:bCs/>
                      <w:color w:val="auto"/>
                      <w:sz w:val="21"/>
                      <w:szCs w:val="21"/>
                      <w:lang w:val="en-US" w:eastAsia="zh-CN"/>
                    </w:rPr>
                    <w:t>1.8m，，淬火液在槽内循环使用，不外排，定期补充，定期捞渣</w:t>
                  </w:r>
                  <w:r>
                    <w:rPr>
                      <w:rFonts w:hint="eastAsia" w:cs="Times New Roman"/>
                      <w:bCs/>
                      <w:color w:val="auto"/>
                      <w:sz w:val="21"/>
                      <w:szCs w:val="21"/>
                      <w:lang w:val="en-US" w:eastAsia="zh-CN"/>
                    </w:rPr>
                    <w:t>，</w:t>
                  </w:r>
                  <w:r>
                    <w:rPr>
                      <w:rFonts w:hint="eastAsia" w:ascii="Times New Roman" w:hAnsi="Times New Roman" w:cs="Times New Roman"/>
                      <w:bCs/>
                      <w:color w:val="auto"/>
                      <w:sz w:val="21"/>
                      <w:szCs w:val="21"/>
                      <w:lang w:val="en-US" w:eastAsia="zh-CN"/>
                    </w:rPr>
                    <w:t>无需更换</w:t>
                  </w:r>
                </w:p>
              </w:tc>
            </w:tr>
            <w:tr w14:paraId="44896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679" w:type="pct"/>
                  <w:vMerge w:val="continue"/>
                  <w:vAlign w:val="center"/>
                </w:tcPr>
                <w:p w14:paraId="1040E4C0">
                  <w:pPr>
                    <w:adjustRightInd w:val="0"/>
                    <w:snapToGrid w:val="0"/>
                    <w:jc w:val="center"/>
                    <w:rPr>
                      <w:rFonts w:hint="default" w:ascii="Times New Roman" w:hAnsi="Times New Roman" w:cs="Times New Roman"/>
                      <w:bCs/>
                      <w:color w:val="auto"/>
                      <w:sz w:val="21"/>
                      <w:szCs w:val="21"/>
                    </w:rPr>
                  </w:pPr>
                </w:p>
              </w:tc>
              <w:tc>
                <w:tcPr>
                  <w:tcW w:w="804" w:type="pct"/>
                  <w:vAlign w:val="center"/>
                </w:tcPr>
                <w:p w14:paraId="071A6B83">
                  <w:pPr>
                    <w:adjustRightInd w:val="0"/>
                    <w:snapToGrid w:val="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W3</w:t>
                  </w:r>
                </w:p>
              </w:tc>
              <w:tc>
                <w:tcPr>
                  <w:tcW w:w="722" w:type="pct"/>
                  <w:shd w:val="clear" w:color="auto" w:fill="auto"/>
                  <w:vAlign w:val="center"/>
                </w:tcPr>
                <w:p w14:paraId="6E7FF35B">
                  <w:pPr>
                    <w:adjustRightInd w:val="0"/>
                    <w:snapToGrid w:val="0"/>
                    <w:jc w:val="center"/>
                    <w:rPr>
                      <w:rFonts w:hint="default" w:ascii="Times New Roman" w:hAnsi="Times New Roman" w:eastAsia="宋体" w:cs="Times New Roman"/>
                      <w:color w:val="auto"/>
                      <w:kern w:val="2"/>
                      <w:sz w:val="21"/>
                      <w:szCs w:val="21"/>
                      <w:lang w:val="en-US" w:eastAsia="zh-CN" w:bidi="ar-SA"/>
                    </w:rPr>
                  </w:pPr>
                  <w:r>
                    <w:rPr>
                      <w:rStyle w:val="77"/>
                      <w:rFonts w:hint="eastAsia"/>
                      <w:color w:val="auto"/>
                      <w:kern w:val="0"/>
                      <w:sz w:val="21"/>
                      <w:szCs w:val="21"/>
                      <w:lang w:val="en-US" w:eastAsia="zh-CN"/>
                    </w:rPr>
                    <w:t>湿式磨削废水</w:t>
                  </w:r>
                </w:p>
              </w:tc>
              <w:tc>
                <w:tcPr>
                  <w:tcW w:w="1143" w:type="pct"/>
                  <w:shd w:val="clear" w:color="auto" w:fill="auto"/>
                  <w:vAlign w:val="center"/>
                </w:tcPr>
                <w:p w14:paraId="0F81A2A6">
                  <w:pPr>
                    <w:adjustRightInd w:val="0"/>
                    <w:snapToGrid w:val="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SS</w:t>
                  </w:r>
                  <w:r>
                    <w:rPr>
                      <w:rFonts w:hint="eastAsia"/>
                      <w:color w:val="auto"/>
                      <w:lang w:eastAsia="zh-CN"/>
                    </w:rPr>
                    <w:t>、</w:t>
                  </w:r>
                  <w:r>
                    <w:rPr>
                      <w:rFonts w:hint="eastAsia" w:ascii="Times New Roman" w:hAnsi="Times New Roman" w:eastAsia="宋体" w:cs="Times New Roman"/>
                      <w:bCs/>
                      <w:color w:val="auto"/>
                      <w:sz w:val="21"/>
                      <w:szCs w:val="21"/>
                      <w:lang w:val="en-US" w:eastAsia="zh-CN"/>
                    </w:rPr>
                    <w:t>石油类</w:t>
                  </w:r>
                </w:p>
              </w:tc>
              <w:tc>
                <w:tcPr>
                  <w:tcW w:w="1651" w:type="pct"/>
                  <w:shd w:val="clear" w:color="auto" w:fill="auto"/>
                  <w:vAlign w:val="center"/>
                </w:tcPr>
                <w:p w14:paraId="0FA4F588">
                  <w:pPr>
                    <w:adjustRightInd w:val="0"/>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sz w:val="21"/>
                      <w:szCs w:val="21"/>
                      <w:lang w:val="en-US" w:eastAsia="zh-CN"/>
                    </w:rPr>
                    <w:t>设置</w:t>
                  </w:r>
                  <w:r>
                    <w:rPr>
                      <w:rFonts w:hint="eastAsia" w:ascii="Times New Roman" w:hAnsi="Times New Roman" w:cs="Times New Roman"/>
                      <w:bCs/>
                      <w:color w:val="auto"/>
                      <w:sz w:val="21"/>
                      <w:szCs w:val="21"/>
                      <w:lang w:val="en-US" w:eastAsia="zh-CN"/>
                    </w:rPr>
                    <w:t>沉淀池沉淀处理后</w:t>
                  </w:r>
                  <w:r>
                    <w:rPr>
                      <w:rStyle w:val="77"/>
                      <w:rFonts w:hint="eastAsia"/>
                      <w:color w:val="auto"/>
                      <w:kern w:val="0"/>
                      <w:sz w:val="21"/>
                      <w:szCs w:val="21"/>
                      <w:lang w:val="en-US" w:eastAsia="zh-CN"/>
                    </w:rPr>
                    <w:t>循环使用，不外排，</w:t>
                  </w:r>
                  <w:r>
                    <w:rPr>
                      <w:rStyle w:val="77"/>
                      <w:rFonts w:hint="default"/>
                      <w:color w:val="auto"/>
                      <w:kern w:val="0"/>
                      <w:sz w:val="21"/>
                      <w:szCs w:val="21"/>
                      <w:lang w:val="en-US" w:eastAsia="zh-CN"/>
                    </w:rPr>
                    <w:t>定期补充</w:t>
                  </w:r>
                  <w:r>
                    <w:rPr>
                      <w:rStyle w:val="77"/>
                      <w:rFonts w:hint="eastAsia"/>
                      <w:color w:val="auto"/>
                      <w:kern w:val="0"/>
                      <w:sz w:val="21"/>
                      <w:szCs w:val="21"/>
                      <w:lang w:val="en-US" w:eastAsia="zh-CN"/>
                    </w:rPr>
                    <w:t>，定期捞渣，无需更换</w:t>
                  </w:r>
                  <w:r>
                    <w:rPr>
                      <w:rStyle w:val="77"/>
                      <w:rFonts w:hint="default"/>
                      <w:color w:val="auto"/>
                      <w:kern w:val="0"/>
                      <w:sz w:val="21"/>
                      <w:szCs w:val="21"/>
                      <w:lang w:val="en-US" w:eastAsia="zh-CN"/>
                    </w:rPr>
                    <w:t>。</w:t>
                  </w:r>
                  <w:r>
                    <w:rPr>
                      <w:rStyle w:val="77"/>
                      <w:rFonts w:hint="eastAsia"/>
                      <w:color w:val="auto"/>
                      <w:kern w:val="0"/>
                      <w:sz w:val="21"/>
                      <w:szCs w:val="21"/>
                      <w:lang w:val="en-US" w:eastAsia="zh-CN"/>
                    </w:rPr>
                    <w:t>沉淀池尺寸为1.5m*1m*2m</w:t>
                  </w:r>
                </w:p>
              </w:tc>
            </w:tr>
            <w:tr w14:paraId="59FDA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Align w:val="center"/>
                </w:tcPr>
                <w:p w14:paraId="3596E303">
                  <w:pPr>
                    <w:adjustRightInd w:val="0"/>
                    <w:snapToGrid w:val="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噪声</w:t>
                  </w:r>
                </w:p>
              </w:tc>
              <w:tc>
                <w:tcPr>
                  <w:tcW w:w="804" w:type="pct"/>
                  <w:vAlign w:val="center"/>
                </w:tcPr>
                <w:p w14:paraId="130B822E">
                  <w:pPr>
                    <w:adjustRightInd w:val="0"/>
                    <w:snapToGrid w:val="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N</w:t>
                  </w:r>
                </w:p>
              </w:tc>
              <w:tc>
                <w:tcPr>
                  <w:tcW w:w="722" w:type="pct"/>
                  <w:vAlign w:val="center"/>
                </w:tcPr>
                <w:p w14:paraId="1914616C">
                  <w:pPr>
                    <w:adjustRightInd w:val="0"/>
                    <w:snapToGrid w:val="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设备运行</w:t>
                  </w:r>
                </w:p>
              </w:tc>
              <w:tc>
                <w:tcPr>
                  <w:tcW w:w="1143" w:type="pct"/>
                  <w:vAlign w:val="center"/>
                </w:tcPr>
                <w:p w14:paraId="31700A6B">
                  <w:pPr>
                    <w:adjustRightInd w:val="0"/>
                    <w:snapToGrid w:val="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机械噪声</w:t>
                  </w:r>
                </w:p>
              </w:tc>
              <w:tc>
                <w:tcPr>
                  <w:tcW w:w="1651" w:type="pct"/>
                  <w:vAlign w:val="center"/>
                </w:tcPr>
                <w:p w14:paraId="24F93533">
                  <w:pPr>
                    <w:adjustRightInd w:val="0"/>
                    <w:snapToGrid w:val="0"/>
                    <w:jc w:val="center"/>
                    <w:rPr>
                      <w:rFonts w:hint="default" w:ascii="Times New Roman" w:hAnsi="Times New Roman" w:cs="Times New Roman"/>
                      <w:bCs/>
                      <w:color w:val="auto"/>
                      <w:sz w:val="21"/>
                      <w:szCs w:val="21"/>
                    </w:rPr>
                  </w:pPr>
                  <w:r>
                    <w:rPr>
                      <w:rFonts w:hint="default" w:ascii="Times New Roman" w:hAnsi="Times New Roman" w:cs="Times New Roman"/>
                      <w:bCs/>
                      <w:color w:val="auto"/>
                      <w:kern w:val="2"/>
                      <w:sz w:val="21"/>
                      <w:szCs w:val="21"/>
                      <w:lang w:val="en-US" w:eastAsia="zh-CN" w:bidi="ar-SA"/>
                    </w:rPr>
                    <w:t>选用低噪声设备、隔声减振、绿化吸声</w:t>
                  </w:r>
                </w:p>
              </w:tc>
            </w:tr>
            <w:tr w14:paraId="283E8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restart"/>
                  <w:vAlign w:val="center"/>
                </w:tcPr>
                <w:p w14:paraId="660A10E5">
                  <w:pPr>
                    <w:adjustRightInd w:val="0"/>
                    <w:snapToGrid w:val="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固废</w:t>
                  </w:r>
                </w:p>
              </w:tc>
              <w:tc>
                <w:tcPr>
                  <w:tcW w:w="804" w:type="pct"/>
                  <w:vAlign w:val="center"/>
                </w:tcPr>
                <w:p w14:paraId="589128AD">
                  <w:pPr>
                    <w:adjustRightInd w:val="0"/>
                    <w:snapToGrid w:val="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S1</w:t>
                  </w:r>
                </w:p>
              </w:tc>
              <w:tc>
                <w:tcPr>
                  <w:tcW w:w="722" w:type="pct"/>
                  <w:vAlign w:val="center"/>
                </w:tcPr>
                <w:p w14:paraId="65EAD29E">
                  <w:pPr>
                    <w:adjustRightInd w:val="0"/>
                    <w:snapToGrid w:val="0"/>
                    <w:jc w:val="center"/>
                    <w:rPr>
                      <w:rFonts w:hint="eastAsia" w:cs="Times New Roman"/>
                      <w:bCs/>
                      <w:color w:val="auto"/>
                      <w:sz w:val="21"/>
                      <w:szCs w:val="21"/>
                      <w:lang w:val="en-US" w:eastAsia="zh-CN"/>
                    </w:rPr>
                  </w:pPr>
                  <w:r>
                    <w:rPr>
                      <w:rFonts w:hint="eastAsia" w:cs="Times New Roman"/>
                      <w:bCs/>
                      <w:color w:val="auto"/>
                      <w:sz w:val="21"/>
                      <w:szCs w:val="21"/>
                      <w:lang w:val="en-US" w:eastAsia="zh-CN"/>
                    </w:rPr>
                    <w:t>切割下料、锻造、粗加工、精加工、湿式</w:t>
                  </w:r>
                </w:p>
                <w:p w14:paraId="7605C6C6">
                  <w:pPr>
                    <w:adjustRightInd w:val="0"/>
                    <w:snapToGrid w:val="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磨削</w:t>
                  </w:r>
                </w:p>
              </w:tc>
              <w:tc>
                <w:tcPr>
                  <w:tcW w:w="1143" w:type="pct"/>
                  <w:vAlign w:val="center"/>
                </w:tcPr>
                <w:p w14:paraId="7A37DAE6">
                  <w:pPr>
                    <w:adjustRightInd w:val="0"/>
                    <w:snapToGrid w:val="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废金属屑及边角料</w:t>
                  </w:r>
                </w:p>
              </w:tc>
              <w:tc>
                <w:tcPr>
                  <w:tcW w:w="1651" w:type="pct"/>
                  <w:vAlign w:val="center"/>
                </w:tcPr>
                <w:p w14:paraId="716DE66E">
                  <w:pPr>
                    <w:adjustRightInd w:val="0"/>
                    <w:snapToGrid w:val="0"/>
                    <w:jc w:val="center"/>
                    <w:rPr>
                      <w:rFonts w:hint="eastAsia" w:cs="Times New Roman"/>
                      <w:color w:val="auto"/>
                      <w:sz w:val="21"/>
                      <w:szCs w:val="21"/>
                      <w:lang w:eastAsia="zh-CN"/>
                    </w:rPr>
                  </w:pPr>
                  <w:r>
                    <w:rPr>
                      <w:rFonts w:hint="default" w:ascii="Times New Roman" w:hAnsi="Times New Roman" w:cs="Times New Roman"/>
                      <w:bCs/>
                      <w:color w:val="auto"/>
                      <w:kern w:val="2"/>
                      <w:sz w:val="21"/>
                      <w:szCs w:val="21"/>
                      <w:lang w:val="en-US" w:eastAsia="zh-CN" w:bidi="ar-SA"/>
                    </w:rPr>
                    <w:t>一般固废间分类暂存，资源外售</w:t>
                  </w:r>
                </w:p>
              </w:tc>
            </w:tr>
            <w:tr w14:paraId="79AF9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24231CFE">
                  <w:pPr>
                    <w:adjustRightInd w:val="0"/>
                    <w:snapToGrid w:val="0"/>
                    <w:jc w:val="center"/>
                    <w:rPr>
                      <w:rFonts w:hint="default" w:ascii="Times New Roman" w:hAnsi="Times New Roman" w:cs="Times New Roman"/>
                      <w:bCs/>
                      <w:color w:val="auto"/>
                      <w:sz w:val="21"/>
                      <w:szCs w:val="21"/>
                    </w:rPr>
                  </w:pPr>
                </w:p>
              </w:tc>
              <w:tc>
                <w:tcPr>
                  <w:tcW w:w="804" w:type="pct"/>
                  <w:vAlign w:val="center"/>
                </w:tcPr>
                <w:p w14:paraId="72AD8B07">
                  <w:pPr>
                    <w:adjustRightInd w:val="0"/>
                    <w:snapToGrid w:val="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S2</w:t>
                  </w:r>
                </w:p>
              </w:tc>
              <w:tc>
                <w:tcPr>
                  <w:tcW w:w="722" w:type="pct"/>
                  <w:vAlign w:val="center"/>
                </w:tcPr>
                <w:p w14:paraId="45060895">
                  <w:pPr>
                    <w:adjustRightInd w:val="0"/>
                    <w:snapToGrid w:val="0"/>
                    <w:jc w:val="center"/>
                    <w:rPr>
                      <w:rFonts w:hint="eastAsia" w:cs="Times New Roman"/>
                      <w:bCs/>
                      <w:color w:val="auto"/>
                      <w:sz w:val="21"/>
                      <w:szCs w:val="21"/>
                      <w:lang w:val="en-US" w:eastAsia="zh-CN"/>
                    </w:rPr>
                  </w:pPr>
                  <w:r>
                    <w:rPr>
                      <w:rFonts w:hint="eastAsia" w:cs="Times New Roman"/>
                      <w:bCs/>
                      <w:color w:val="auto"/>
                      <w:sz w:val="21"/>
                      <w:szCs w:val="21"/>
                      <w:lang w:val="en-US" w:eastAsia="zh-CN"/>
                    </w:rPr>
                    <w:t>锻造、粗加工、精加工、湿式</w:t>
                  </w:r>
                </w:p>
                <w:p w14:paraId="26ED2EB3">
                  <w:pPr>
                    <w:adjustRightInd w:val="0"/>
                    <w:snapToGrid w:val="0"/>
                    <w:jc w:val="center"/>
                    <w:rPr>
                      <w:rFonts w:hint="eastAsia" w:cs="Times New Roman"/>
                      <w:bCs/>
                      <w:color w:val="auto"/>
                      <w:sz w:val="21"/>
                      <w:szCs w:val="21"/>
                      <w:lang w:val="en-US" w:eastAsia="zh-CN"/>
                    </w:rPr>
                  </w:pPr>
                  <w:r>
                    <w:rPr>
                      <w:rFonts w:hint="eastAsia" w:cs="Times New Roman"/>
                      <w:bCs/>
                      <w:color w:val="auto"/>
                      <w:sz w:val="21"/>
                      <w:szCs w:val="21"/>
                      <w:lang w:val="en-US" w:eastAsia="zh-CN"/>
                    </w:rPr>
                    <w:t>磨削</w:t>
                  </w:r>
                </w:p>
              </w:tc>
              <w:tc>
                <w:tcPr>
                  <w:tcW w:w="1143" w:type="pct"/>
                  <w:vAlign w:val="center"/>
                </w:tcPr>
                <w:p w14:paraId="489AF2AC">
                  <w:pPr>
                    <w:adjustRightInd w:val="0"/>
                    <w:snapToGrid w:val="0"/>
                    <w:jc w:val="center"/>
                    <w:rPr>
                      <w:rFonts w:hint="eastAsia" w:cs="Times New Roman"/>
                      <w:color w:val="auto"/>
                      <w:sz w:val="21"/>
                      <w:szCs w:val="21"/>
                      <w:lang w:val="en-US" w:eastAsia="zh-CN"/>
                    </w:rPr>
                  </w:pPr>
                  <w:r>
                    <w:rPr>
                      <w:rFonts w:hint="eastAsia" w:cs="Times New Roman"/>
                      <w:color w:val="auto"/>
                      <w:sz w:val="21"/>
                      <w:szCs w:val="21"/>
                      <w:lang w:val="en-US" w:eastAsia="zh-CN"/>
                    </w:rPr>
                    <w:t>含油金属屑</w:t>
                  </w:r>
                </w:p>
              </w:tc>
              <w:tc>
                <w:tcPr>
                  <w:tcW w:w="1651" w:type="pct"/>
                  <w:vMerge w:val="restart"/>
                  <w:vAlign w:val="center"/>
                </w:tcPr>
                <w:p w14:paraId="6F9D1655">
                  <w:pPr>
                    <w:adjustRightInd w:val="0"/>
                    <w:snapToGrid w:val="0"/>
                    <w:jc w:val="center"/>
                    <w:rPr>
                      <w:rFonts w:hint="eastAsia" w:cs="Times New Roman"/>
                      <w:color w:val="auto"/>
                      <w:sz w:val="21"/>
                      <w:szCs w:val="21"/>
                      <w:lang w:eastAsia="zh-CN"/>
                    </w:rPr>
                  </w:pPr>
                  <w:r>
                    <w:rPr>
                      <w:rFonts w:hint="default" w:ascii="Times New Roman" w:hAnsi="Times New Roman" w:cs="Times New Roman"/>
                      <w:color w:val="auto"/>
                      <w:kern w:val="2"/>
                      <w:sz w:val="21"/>
                      <w:szCs w:val="21"/>
                      <w:lang w:val="en-US" w:eastAsia="zh-CN" w:bidi="ar-SA"/>
                    </w:rPr>
                    <w:t>危废暂存间分类暂存，定期委托有资质单位处置</w:t>
                  </w:r>
                </w:p>
              </w:tc>
            </w:tr>
            <w:tr w14:paraId="7E9B0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3457C9C2">
                  <w:pPr>
                    <w:adjustRightInd w:val="0"/>
                    <w:snapToGrid w:val="0"/>
                    <w:jc w:val="center"/>
                    <w:rPr>
                      <w:rFonts w:hint="default" w:ascii="Times New Roman" w:hAnsi="Times New Roman" w:cs="Times New Roman"/>
                      <w:bCs/>
                      <w:color w:val="auto"/>
                      <w:sz w:val="21"/>
                      <w:szCs w:val="21"/>
                    </w:rPr>
                  </w:pPr>
                </w:p>
              </w:tc>
              <w:tc>
                <w:tcPr>
                  <w:tcW w:w="804" w:type="pct"/>
                  <w:vAlign w:val="center"/>
                </w:tcPr>
                <w:p w14:paraId="2E7EFB32">
                  <w:pPr>
                    <w:adjustRightInd w:val="0"/>
                    <w:snapToGrid w:val="0"/>
                    <w:jc w:val="center"/>
                    <w:rPr>
                      <w:rFonts w:hint="eastAsia" w:cs="Times New Roman"/>
                      <w:bCs/>
                      <w:color w:val="auto"/>
                      <w:sz w:val="21"/>
                      <w:szCs w:val="21"/>
                      <w:lang w:val="en-US" w:eastAsia="zh-CN"/>
                    </w:rPr>
                  </w:pPr>
                  <w:r>
                    <w:rPr>
                      <w:rFonts w:hint="eastAsia" w:cs="Times New Roman"/>
                      <w:bCs/>
                      <w:color w:val="auto"/>
                      <w:sz w:val="21"/>
                      <w:szCs w:val="21"/>
                      <w:lang w:val="en-US" w:eastAsia="zh-CN"/>
                    </w:rPr>
                    <w:t>S3</w:t>
                  </w:r>
                </w:p>
              </w:tc>
              <w:tc>
                <w:tcPr>
                  <w:tcW w:w="722" w:type="pct"/>
                  <w:vAlign w:val="center"/>
                </w:tcPr>
                <w:p w14:paraId="0637B0E6">
                  <w:pPr>
                    <w:adjustRightInd w:val="0"/>
                    <w:snapToGrid w:val="0"/>
                    <w:jc w:val="center"/>
                    <w:rPr>
                      <w:rFonts w:hint="default" w:cs="Times New Roman"/>
                      <w:bCs/>
                      <w:color w:val="auto"/>
                      <w:sz w:val="21"/>
                      <w:szCs w:val="21"/>
                      <w:lang w:val="en-US" w:eastAsia="zh-CN"/>
                    </w:rPr>
                  </w:pPr>
                  <w:r>
                    <w:rPr>
                      <w:rFonts w:hint="eastAsia" w:cs="Times New Roman"/>
                      <w:bCs/>
                      <w:color w:val="auto"/>
                      <w:sz w:val="21"/>
                      <w:szCs w:val="21"/>
                      <w:lang w:val="en-US" w:eastAsia="zh-CN"/>
                    </w:rPr>
                    <w:t>锻造</w:t>
                  </w:r>
                </w:p>
              </w:tc>
              <w:tc>
                <w:tcPr>
                  <w:tcW w:w="1143" w:type="pct"/>
                  <w:vAlign w:val="center"/>
                </w:tcPr>
                <w:p w14:paraId="2341B13F">
                  <w:pPr>
                    <w:adjustRightInd w:val="0"/>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废水性脱模剂</w:t>
                  </w:r>
                </w:p>
              </w:tc>
              <w:tc>
                <w:tcPr>
                  <w:tcW w:w="1651" w:type="pct"/>
                  <w:vMerge w:val="continue"/>
                  <w:vAlign w:val="center"/>
                </w:tcPr>
                <w:p w14:paraId="2C7B6B18">
                  <w:pPr>
                    <w:adjustRightInd w:val="0"/>
                    <w:snapToGrid w:val="0"/>
                    <w:jc w:val="center"/>
                    <w:rPr>
                      <w:rFonts w:hint="eastAsia" w:cs="Times New Roman"/>
                      <w:color w:val="auto"/>
                      <w:sz w:val="21"/>
                      <w:szCs w:val="21"/>
                      <w:lang w:eastAsia="zh-CN"/>
                    </w:rPr>
                  </w:pPr>
                </w:p>
              </w:tc>
            </w:tr>
            <w:tr w14:paraId="4A8F0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2A2A2E00">
                  <w:pPr>
                    <w:adjustRightInd w:val="0"/>
                    <w:snapToGrid w:val="0"/>
                    <w:jc w:val="center"/>
                    <w:rPr>
                      <w:rFonts w:hint="default" w:ascii="Times New Roman" w:hAnsi="Times New Roman" w:cs="Times New Roman"/>
                      <w:bCs/>
                      <w:color w:val="auto"/>
                      <w:sz w:val="21"/>
                      <w:szCs w:val="21"/>
                    </w:rPr>
                  </w:pPr>
                </w:p>
              </w:tc>
              <w:tc>
                <w:tcPr>
                  <w:tcW w:w="804" w:type="pct"/>
                  <w:vAlign w:val="center"/>
                </w:tcPr>
                <w:p w14:paraId="52922A90">
                  <w:pPr>
                    <w:adjustRightInd w:val="0"/>
                    <w:snapToGrid w:val="0"/>
                    <w:jc w:val="center"/>
                    <w:rPr>
                      <w:rFonts w:hint="default" w:cs="Times New Roman"/>
                      <w:bCs/>
                      <w:color w:val="auto"/>
                      <w:sz w:val="21"/>
                      <w:szCs w:val="21"/>
                      <w:lang w:val="en-US" w:eastAsia="zh-CN"/>
                    </w:rPr>
                  </w:pPr>
                  <w:r>
                    <w:rPr>
                      <w:rFonts w:hint="eastAsia" w:cs="Times New Roman"/>
                      <w:bCs/>
                      <w:color w:val="auto"/>
                      <w:sz w:val="21"/>
                      <w:szCs w:val="21"/>
                      <w:lang w:val="en-US" w:eastAsia="zh-CN"/>
                    </w:rPr>
                    <w:t>S4</w:t>
                  </w:r>
                </w:p>
              </w:tc>
              <w:tc>
                <w:tcPr>
                  <w:tcW w:w="722" w:type="pct"/>
                  <w:vAlign w:val="center"/>
                </w:tcPr>
                <w:p w14:paraId="02BA0E6B">
                  <w:pPr>
                    <w:adjustRightInd w:val="0"/>
                    <w:snapToGrid w:val="0"/>
                    <w:jc w:val="center"/>
                    <w:rPr>
                      <w:rFonts w:hint="default" w:cs="Times New Roman"/>
                      <w:bCs/>
                      <w:color w:val="auto"/>
                      <w:sz w:val="21"/>
                      <w:szCs w:val="21"/>
                      <w:lang w:val="en-US" w:eastAsia="zh-CN"/>
                    </w:rPr>
                  </w:pPr>
                  <w:r>
                    <w:rPr>
                      <w:rFonts w:hint="eastAsia" w:cs="Times New Roman"/>
                      <w:bCs/>
                      <w:color w:val="auto"/>
                      <w:sz w:val="21"/>
                      <w:szCs w:val="21"/>
                      <w:lang w:val="en-US" w:eastAsia="zh-CN"/>
                    </w:rPr>
                    <w:t>原料使用</w:t>
                  </w:r>
                </w:p>
              </w:tc>
              <w:tc>
                <w:tcPr>
                  <w:tcW w:w="1143" w:type="pct"/>
                  <w:vAlign w:val="center"/>
                </w:tcPr>
                <w:p w14:paraId="6493F1D0">
                  <w:pPr>
                    <w:adjustRightInd w:val="0"/>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废化学品包装桶</w:t>
                  </w:r>
                </w:p>
              </w:tc>
              <w:tc>
                <w:tcPr>
                  <w:tcW w:w="1651" w:type="pct"/>
                  <w:vMerge w:val="continue"/>
                  <w:vAlign w:val="center"/>
                </w:tcPr>
                <w:p w14:paraId="343C90B5">
                  <w:pPr>
                    <w:adjustRightInd w:val="0"/>
                    <w:snapToGrid w:val="0"/>
                    <w:jc w:val="center"/>
                    <w:rPr>
                      <w:rFonts w:hint="eastAsia" w:cs="Times New Roman"/>
                      <w:color w:val="auto"/>
                      <w:sz w:val="21"/>
                      <w:szCs w:val="21"/>
                      <w:lang w:eastAsia="zh-CN"/>
                    </w:rPr>
                  </w:pPr>
                </w:p>
              </w:tc>
            </w:tr>
            <w:tr w14:paraId="6146A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48E05CE5">
                  <w:pPr>
                    <w:adjustRightInd w:val="0"/>
                    <w:snapToGrid w:val="0"/>
                    <w:jc w:val="center"/>
                    <w:rPr>
                      <w:rFonts w:hint="default" w:ascii="Times New Roman" w:hAnsi="Times New Roman" w:cs="Times New Roman"/>
                      <w:bCs/>
                      <w:color w:val="auto"/>
                      <w:sz w:val="21"/>
                      <w:szCs w:val="21"/>
                    </w:rPr>
                  </w:pPr>
                </w:p>
              </w:tc>
              <w:tc>
                <w:tcPr>
                  <w:tcW w:w="804" w:type="pct"/>
                  <w:shd w:val="clear" w:color="auto" w:fill="auto"/>
                  <w:vAlign w:val="center"/>
                </w:tcPr>
                <w:p w14:paraId="6A23AD2B">
                  <w:pPr>
                    <w:adjustRightInd w:val="0"/>
                    <w:snapToGrid w:val="0"/>
                    <w:jc w:val="center"/>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rPr>
                    <w:t>S5</w:t>
                  </w:r>
                </w:p>
              </w:tc>
              <w:tc>
                <w:tcPr>
                  <w:tcW w:w="722" w:type="pct"/>
                  <w:shd w:val="clear" w:color="auto" w:fill="auto"/>
                  <w:vAlign w:val="center"/>
                </w:tcPr>
                <w:p w14:paraId="4B1C6D1B">
                  <w:pPr>
                    <w:adjustRightInd w:val="0"/>
                    <w:snapToGrid w:val="0"/>
                    <w:jc w:val="center"/>
                    <w:rPr>
                      <w:rFonts w:hint="eastAsia" w:ascii="Times New Roman" w:hAnsi="Times New Roman" w:eastAsia="宋体" w:cs="Times New Roman"/>
                      <w:bCs/>
                      <w:color w:val="auto"/>
                      <w:kern w:val="2"/>
                      <w:sz w:val="21"/>
                      <w:szCs w:val="21"/>
                      <w:lang w:val="en-US" w:eastAsia="zh-CN" w:bidi="ar-SA"/>
                    </w:rPr>
                  </w:pPr>
                  <w:r>
                    <w:rPr>
                      <w:rFonts w:hint="eastAsia" w:cs="Times New Roman"/>
                      <w:bCs/>
                      <w:color w:val="auto"/>
                      <w:sz w:val="21"/>
                      <w:szCs w:val="21"/>
                      <w:lang w:val="en-US" w:eastAsia="zh-CN"/>
                    </w:rPr>
                    <w:t>抛丸</w:t>
                  </w:r>
                </w:p>
              </w:tc>
              <w:tc>
                <w:tcPr>
                  <w:tcW w:w="1143" w:type="pct"/>
                  <w:shd w:val="clear" w:color="auto" w:fill="auto"/>
                  <w:vAlign w:val="center"/>
                </w:tcPr>
                <w:p w14:paraId="6775138C">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废钢丸</w:t>
                  </w:r>
                </w:p>
              </w:tc>
              <w:tc>
                <w:tcPr>
                  <w:tcW w:w="1651" w:type="pct"/>
                  <w:vMerge w:val="restart"/>
                  <w:shd w:val="clear" w:color="auto" w:fill="auto"/>
                  <w:vAlign w:val="center"/>
                </w:tcPr>
                <w:p w14:paraId="07DB86A0">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bCs/>
                      <w:color w:val="auto"/>
                      <w:kern w:val="2"/>
                      <w:sz w:val="21"/>
                      <w:szCs w:val="21"/>
                      <w:lang w:val="en-US" w:eastAsia="zh-CN" w:bidi="ar-SA"/>
                    </w:rPr>
                    <w:t>一般固废间分类暂存，资源外售</w:t>
                  </w:r>
                </w:p>
              </w:tc>
            </w:tr>
            <w:tr w14:paraId="25287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5A756F88">
                  <w:pPr>
                    <w:adjustRightInd w:val="0"/>
                    <w:snapToGrid w:val="0"/>
                    <w:jc w:val="center"/>
                    <w:rPr>
                      <w:rFonts w:hint="default" w:ascii="Times New Roman" w:hAnsi="Times New Roman" w:cs="Times New Roman"/>
                      <w:bCs/>
                      <w:color w:val="auto"/>
                      <w:sz w:val="21"/>
                      <w:szCs w:val="21"/>
                    </w:rPr>
                  </w:pPr>
                </w:p>
              </w:tc>
              <w:tc>
                <w:tcPr>
                  <w:tcW w:w="804" w:type="pct"/>
                  <w:shd w:val="clear" w:color="auto" w:fill="auto"/>
                  <w:vAlign w:val="center"/>
                </w:tcPr>
                <w:p w14:paraId="3A2141DE">
                  <w:pPr>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rPr>
                    <w:t>S6</w:t>
                  </w:r>
                </w:p>
              </w:tc>
              <w:tc>
                <w:tcPr>
                  <w:tcW w:w="722" w:type="pct"/>
                  <w:shd w:val="clear" w:color="auto" w:fill="auto"/>
                  <w:vAlign w:val="center"/>
                </w:tcPr>
                <w:p w14:paraId="24CD31DD">
                  <w:pPr>
                    <w:adjustRightInd w:val="0"/>
                    <w:snapToGrid w:val="0"/>
                    <w:jc w:val="center"/>
                    <w:rPr>
                      <w:rFonts w:hint="default" w:cs="Times New Roman"/>
                      <w:bCs/>
                      <w:color w:val="auto"/>
                      <w:sz w:val="21"/>
                      <w:szCs w:val="21"/>
                      <w:lang w:val="en-US" w:eastAsia="zh-CN"/>
                    </w:rPr>
                  </w:pPr>
                  <w:r>
                    <w:rPr>
                      <w:rFonts w:hint="eastAsia" w:cs="Times New Roman"/>
                      <w:bCs/>
                      <w:color w:val="auto"/>
                      <w:sz w:val="21"/>
                      <w:szCs w:val="21"/>
                      <w:lang w:val="en-US" w:eastAsia="zh-CN"/>
                    </w:rPr>
                    <w:t>淬火</w:t>
                  </w:r>
                </w:p>
              </w:tc>
              <w:tc>
                <w:tcPr>
                  <w:tcW w:w="1143" w:type="pct"/>
                  <w:shd w:val="clear" w:color="auto" w:fill="auto"/>
                  <w:vAlign w:val="center"/>
                </w:tcPr>
                <w:p w14:paraId="7D324E9E">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淬火槽槽渣</w:t>
                  </w:r>
                </w:p>
              </w:tc>
              <w:tc>
                <w:tcPr>
                  <w:tcW w:w="1651" w:type="pct"/>
                  <w:vMerge w:val="continue"/>
                  <w:shd w:val="clear" w:color="auto" w:fill="auto"/>
                  <w:vAlign w:val="center"/>
                </w:tcPr>
                <w:p w14:paraId="43F970F7">
                  <w:pPr>
                    <w:adjustRightInd w:val="0"/>
                    <w:snapToGrid w:val="0"/>
                    <w:jc w:val="center"/>
                    <w:rPr>
                      <w:rFonts w:hint="default" w:ascii="Times New Roman" w:hAnsi="Times New Roman" w:eastAsia="宋体" w:cs="Times New Roman"/>
                      <w:color w:val="auto"/>
                      <w:kern w:val="2"/>
                      <w:sz w:val="21"/>
                      <w:szCs w:val="21"/>
                      <w:lang w:val="en-US" w:eastAsia="zh-CN" w:bidi="ar-SA"/>
                    </w:rPr>
                  </w:pPr>
                </w:p>
              </w:tc>
            </w:tr>
            <w:tr w14:paraId="4DEC0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348C848C">
                  <w:pPr>
                    <w:adjustRightInd w:val="0"/>
                    <w:snapToGrid w:val="0"/>
                    <w:jc w:val="center"/>
                    <w:rPr>
                      <w:rFonts w:hint="default" w:ascii="Times New Roman" w:hAnsi="Times New Roman" w:cs="Times New Roman"/>
                      <w:bCs/>
                      <w:color w:val="auto"/>
                      <w:sz w:val="21"/>
                      <w:szCs w:val="21"/>
                    </w:rPr>
                  </w:pPr>
                </w:p>
              </w:tc>
              <w:tc>
                <w:tcPr>
                  <w:tcW w:w="804" w:type="pct"/>
                  <w:shd w:val="clear" w:color="auto" w:fill="auto"/>
                  <w:vAlign w:val="center"/>
                </w:tcPr>
                <w:p w14:paraId="17DCCEE0">
                  <w:pPr>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rPr>
                    <w:t>S</w:t>
                  </w:r>
                  <w:r>
                    <w:rPr>
                      <w:rFonts w:hint="default" w:ascii="Times New Roman" w:hAnsi="Times New Roman" w:cs="Times New Roman"/>
                      <w:bCs/>
                      <w:color w:val="auto"/>
                      <w:sz w:val="21"/>
                      <w:szCs w:val="21"/>
                      <w:lang w:val="en-US" w:eastAsia="zh-CN"/>
                    </w:rPr>
                    <w:t>7</w:t>
                  </w:r>
                </w:p>
              </w:tc>
              <w:tc>
                <w:tcPr>
                  <w:tcW w:w="722" w:type="pct"/>
                  <w:vMerge w:val="restart"/>
                  <w:vAlign w:val="center"/>
                </w:tcPr>
                <w:p w14:paraId="5FCDEFE6">
                  <w:pPr>
                    <w:adjustRightInd w:val="0"/>
                    <w:snapToGrid w:val="0"/>
                    <w:jc w:val="center"/>
                    <w:rPr>
                      <w:rFonts w:hint="default" w:cs="Times New Roman"/>
                      <w:bCs/>
                      <w:color w:val="auto"/>
                      <w:sz w:val="21"/>
                      <w:szCs w:val="21"/>
                      <w:lang w:val="en-US" w:eastAsia="zh-CN"/>
                    </w:rPr>
                  </w:pPr>
                  <w:r>
                    <w:rPr>
                      <w:rFonts w:hint="eastAsia" w:cs="Times New Roman"/>
                      <w:color w:val="auto"/>
                      <w:sz w:val="21"/>
                      <w:szCs w:val="21"/>
                      <w:lang w:val="en-US" w:eastAsia="zh-CN"/>
                    </w:rPr>
                    <w:t>湿式磨削</w:t>
                  </w:r>
                </w:p>
              </w:tc>
              <w:tc>
                <w:tcPr>
                  <w:tcW w:w="1143" w:type="pct"/>
                  <w:vAlign w:val="center"/>
                </w:tcPr>
                <w:p w14:paraId="39D6A3A6">
                  <w:pPr>
                    <w:adjustRightInd w:val="0"/>
                    <w:snapToGrid w:val="0"/>
                    <w:jc w:val="center"/>
                    <w:rPr>
                      <w:rFonts w:hint="default" w:cs="Times New Roman"/>
                      <w:color w:val="auto"/>
                      <w:sz w:val="21"/>
                      <w:szCs w:val="21"/>
                      <w:lang w:val="en-US" w:eastAsia="zh-CN"/>
                    </w:rPr>
                  </w:pPr>
                  <w:r>
                    <w:rPr>
                      <w:rFonts w:hint="eastAsia"/>
                      <w:color w:val="auto"/>
                      <w:sz w:val="21"/>
                      <w:szCs w:val="21"/>
                      <w:lang w:val="en-US" w:eastAsia="zh-CN"/>
                    </w:rPr>
                    <w:t>沉淀池沉渣</w:t>
                  </w:r>
                </w:p>
              </w:tc>
              <w:tc>
                <w:tcPr>
                  <w:tcW w:w="1651" w:type="pct"/>
                  <w:vMerge w:val="continue"/>
                  <w:vAlign w:val="center"/>
                </w:tcPr>
                <w:p w14:paraId="43FEF06A">
                  <w:pPr>
                    <w:adjustRightInd w:val="0"/>
                    <w:snapToGrid w:val="0"/>
                    <w:jc w:val="center"/>
                    <w:rPr>
                      <w:rFonts w:hint="eastAsia" w:cs="Times New Roman"/>
                      <w:color w:val="auto"/>
                      <w:sz w:val="21"/>
                      <w:szCs w:val="21"/>
                      <w:lang w:eastAsia="zh-CN"/>
                    </w:rPr>
                  </w:pPr>
                </w:p>
              </w:tc>
            </w:tr>
            <w:tr w14:paraId="2F09D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9" w:type="pct"/>
                  <w:vMerge w:val="continue"/>
                  <w:vAlign w:val="center"/>
                </w:tcPr>
                <w:p w14:paraId="14E9AA77">
                  <w:pPr>
                    <w:adjustRightInd w:val="0"/>
                    <w:snapToGrid w:val="0"/>
                    <w:jc w:val="center"/>
                    <w:rPr>
                      <w:rFonts w:hint="default" w:ascii="Times New Roman" w:hAnsi="Times New Roman" w:cs="Times New Roman"/>
                      <w:bCs/>
                      <w:color w:val="auto"/>
                      <w:sz w:val="21"/>
                      <w:szCs w:val="21"/>
                    </w:rPr>
                  </w:pPr>
                </w:p>
              </w:tc>
              <w:tc>
                <w:tcPr>
                  <w:tcW w:w="804" w:type="pct"/>
                  <w:shd w:val="clear" w:color="auto" w:fill="auto"/>
                  <w:vAlign w:val="center"/>
                </w:tcPr>
                <w:p w14:paraId="1597FF1E">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S8</w:t>
                  </w:r>
                </w:p>
              </w:tc>
              <w:tc>
                <w:tcPr>
                  <w:tcW w:w="722" w:type="pct"/>
                  <w:vMerge w:val="continue"/>
                  <w:vAlign w:val="center"/>
                </w:tcPr>
                <w:p w14:paraId="43D0911F">
                  <w:pPr>
                    <w:adjustRightInd w:val="0"/>
                    <w:snapToGrid w:val="0"/>
                    <w:jc w:val="center"/>
                    <w:rPr>
                      <w:rFonts w:hint="default" w:cs="Times New Roman"/>
                      <w:bCs/>
                      <w:color w:val="auto"/>
                      <w:sz w:val="21"/>
                      <w:szCs w:val="21"/>
                      <w:lang w:val="en-US" w:eastAsia="zh-CN"/>
                    </w:rPr>
                  </w:pPr>
                </w:p>
              </w:tc>
              <w:tc>
                <w:tcPr>
                  <w:tcW w:w="1143" w:type="pct"/>
                  <w:shd w:val="clear" w:color="auto" w:fill="auto"/>
                  <w:vAlign w:val="center"/>
                </w:tcPr>
                <w:p w14:paraId="392F8143">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废砂轮</w:t>
                  </w:r>
                </w:p>
              </w:tc>
              <w:tc>
                <w:tcPr>
                  <w:tcW w:w="1651" w:type="pct"/>
                  <w:vMerge w:val="continue"/>
                  <w:vAlign w:val="center"/>
                </w:tcPr>
                <w:p w14:paraId="14967543">
                  <w:pPr>
                    <w:adjustRightInd w:val="0"/>
                    <w:snapToGrid w:val="0"/>
                    <w:jc w:val="center"/>
                    <w:rPr>
                      <w:rFonts w:hint="default" w:ascii="Times New Roman" w:hAnsi="Times New Roman" w:cs="Times New Roman"/>
                      <w:bCs/>
                      <w:color w:val="auto"/>
                      <w:kern w:val="2"/>
                      <w:sz w:val="21"/>
                      <w:szCs w:val="21"/>
                      <w:lang w:val="en-US" w:eastAsia="zh-CN" w:bidi="ar-SA"/>
                    </w:rPr>
                  </w:pPr>
                </w:p>
              </w:tc>
            </w:tr>
            <w:tr w14:paraId="65FF1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3C67D3A8">
                  <w:pPr>
                    <w:adjustRightInd w:val="0"/>
                    <w:snapToGrid w:val="0"/>
                    <w:jc w:val="center"/>
                    <w:rPr>
                      <w:rFonts w:hint="default" w:ascii="Times New Roman" w:hAnsi="Times New Roman" w:cs="Times New Roman"/>
                      <w:bCs/>
                      <w:color w:val="auto"/>
                      <w:sz w:val="21"/>
                      <w:szCs w:val="21"/>
                    </w:rPr>
                  </w:pPr>
                </w:p>
              </w:tc>
              <w:tc>
                <w:tcPr>
                  <w:tcW w:w="804" w:type="pct"/>
                  <w:shd w:val="clear" w:color="auto" w:fill="auto"/>
                  <w:vAlign w:val="center"/>
                </w:tcPr>
                <w:p w14:paraId="51B80209">
                  <w:pPr>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rPr>
                    <w:t>S9</w:t>
                  </w:r>
                </w:p>
              </w:tc>
              <w:tc>
                <w:tcPr>
                  <w:tcW w:w="722" w:type="pct"/>
                  <w:vMerge w:val="restart"/>
                  <w:vAlign w:val="center"/>
                </w:tcPr>
                <w:p w14:paraId="2AF175BF">
                  <w:pPr>
                    <w:adjustRightInd w:val="0"/>
                    <w:snapToGrid w:val="0"/>
                    <w:jc w:val="center"/>
                    <w:rPr>
                      <w:rFonts w:hint="default" w:cs="Times New Roman"/>
                      <w:bCs/>
                      <w:color w:val="auto"/>
                      <w:sz w:val="21"/>
                      <w:szCs w:val="21"/>
                      <w:lang w:val="en-US" w:eastAsia="zh-CN"/>
                    </w:rPr>
                  </w:pPr>
                  <w:r>
                    <w:rPr>
                      <w:rFonts w:hint="eastAsia" w:cs="Times New Roman"/>
                      <w:color w:val="auto"/>
                      <w:sz w:val="21"/>
                      <w:szCs w:val="21"/>
                      <w:lang w:eastAsia="zh-CN"/>
                    </w:rPr>
                    <w:t>包装入库</w:t>
                  </w:r>
                </w:p>
              </w:tc>
              <w:tc>
                <w:tcPr>
                  <w:tcW w:w="1143" w:type="pct"/>
                  <w:shd w:val="clear" w:color="auto" w:fill="auto"/>
                  <w:vAlign w:val="center"/>
                </w:tcPr>
                <w:p w14:paraId="5771D7CE">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不合格品</w:t>
                  </w:r>
                </w:p>
              </w:tc>
              <w:tc>
                <w:tcPr>
                  <w:tcW w:w="1651" w:type="pct"/>
                  <w:vMerge w:val="continue"/>
                  <w:vAlign w:val="center"/>
                </w:tcPr>
                <w:p w14:paraId="1C35FEF0">
                  <w:pPr>
                    <w:adjustRightInd w:val="0"/>
                    <w:snapToGrid w:val="0"/>
                    <w:jc w:val="center"/>
                    <w:rPr>
                      <w:rFonts w:hint="default" w:ascii="Times New Roman" w:hAnsi="Times New Roman" w:cs="Times New Roman"/>
                      <w:bCs/>
                      <w:color w:val="auto"/>
                      <w:kern w:val="2"/>
                      <w:sz w:val="21"/>
                      <w:szCs w:val="21"/>
                      <w:lang w:val="en-US" w:eastAsia="zh-CN" w:bidi="ar-SA"/>
                    </w:rPr>
                  </w:pPr>
                </w:p>
              </w:tc>
            </w:tr>
            <w:tr w14:paraId="4217C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5E2344B1">
                  <w:pPr>
                    <w:adjustRightInd w:val="0"/>
                    <w:snapToGrid w:val="0"/>
                    <w:jc w:val="center"/>
                    <w:rPr>
                      <w:rFonts w:hint="default" w:ascii="Times New Roman" w:hAnsi="Times New Roman" w:cs="Times New Roman"/>
                      <w:bCs/>
                      <w:color w:val="auto"/>
                      <w:sz w:val="21"/>
                      <w:szCs w:val="21"/>
                    </w:rPr>
                  </w:pPr>
                </w:p>
              </w:tc>
              <w:tc>
                <w:tcPr>
                  <w:tcW w:w="804" w:type="pct"/>
                  <w:shd w:val="clear" w:color="auto" w:fill="auto"/>
                  <w:vAlign w:val="center"/>
                </w:tcPr>
                <w:p w14:paraId="285A3367">
                  <w:pPr>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rPr>
                    <w:t>S</w:t>
                  </w:r>
                  <w:r>
                    <w:rPr>
                      <w:rFonts w:hint="default" w:ascii="Times New Roman" w:hAnsi="Times New Roman" w:cs="Times New Roman"/>
                      <w:bCs/>
                      <w:color w:val="auto"/>
                      <w:sz w:val="21"/>
                      <w:szCs w:val="21"/>
                      <w:lang w:val="en-US" w:eastAsia="zh-CN"/>
                    </w:rPr>
                    <w:t>10</w:t>
                  </w:r>
                </w:p>
              </w:tc>
              <w:tc>
                <w:tcPr>
                  <w:tcW w:w="722" w:type="pct"/>
                  <w:vMerge w:val="continue"/>
                  <w:vAlign w:val="center"/>
                </w:tcPr>
                <w:p w14:paraId="45D0E755">
                  <w:pPr>
                    <w:adjustRightInd w:val="0"/>
                    <w:snapToGrid w:val="0"/>
                    <w:jc w:val="center"/>
                    <w:rPr>
                      <w:rFonts w:hint="default" w:cs="Times New Roman"/>
                      <w:bCs/>
                      <w:color w:val="auto"/>
                      <w:sz w:val="21"/>
                      <w:szCs w:val="21"/>
                      <w:lang w:val="en-US" w:eastAsia="zh-CN"/>
                    </w:rPr>
                  </w:pPr>
                </w:p>
              </w:tc>
              <w:tc>
                <w:tcPr>
                  <w:tcW w:w="1143" w:type="pct"/>
                  <w:shd w:val="clear" w:color="auto" w:fill="auto"/>
                  <w:vAlign w:val="center"/>
                </w:tcPr>
                <w:p w14:paraId="4EE3C4D1">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废包装材料</w:t>
                  </w:r>
                </w:p>
              </w:tc>
              <w:tc>
                <w:tcPr>
                  <w:tcW w:w="1651" w:type="pct"/>
                  <w:vMerge w:val="continue"/>
                  <w:vAlign w:val="center"/>
                </w:tcPr>
                <w:p w14:paraId="236F8A00">
                  <w:pPr>
                    <w:adjustRightInd w:val="0"/>
                    <w:snapToGrid w:val="0"/>
                    <w:jc w:val="center"/>
                    <w:rPr>
                      <w:rFonts w:hint="default" w:ascii="Times New Roman" w:hAnsi="Times New Roman" w:cs="Times New Roman"/>
                      <w:bCs/>
                      <w:color w:val="auto"/>
                      <w:kern w:val="2"/>
                      <w:sz w:val="21"/>
                      <w:szCs w:val="21"/>
                      <w:lang w:val="en-US" w:eastAsia="zh-CN" w:bidi="ar-SA"/>
                    </w:rPr>
                  </w:pPr>
                </w:p>
              </w:tc>
            </w:tr>
            <w:tr w14:paraId="43264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10CA5F06">
                  <w:pPr>
                    <w:adjustRightInd w:val="0"/>
                    <w:snapToGrid w:val="0"/>
                    <w:jc w:val="center"/>
                    <w:rPr>
                      <w:rFonts w:hint="default" w:ascii="Times New Roman" w:hAnsi="Times New Roman" w:cs="Times New Roman"/>
                      <w:bCs/>
                      <w:color w:val="auto"/>
                      <w:sz w:val="21"/>
                      <w:szCs w:val="21"/>
                    </w:rPr>
                  </w:pPr>
                </w:p>
              </w:tc>
              <w:tc>
                <w:tcPr>
                  <w:tcW w:w="804" w:type="pct"/>
                  <w:shd w:val="clear" w:color="auto" w:fill="auto"/>
                  <w:vAlign w:val="center"/>
                </w:tcPr>
                <w:p w14:paraId="73949665">
                  <w:pPr>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rPr>
                    <w:t>S</w:t>
                  </w:r>
                  <w:r>
                    <w:rPr>
                      <w:rFonts w:hint="default" w:ascii="Times New Roman" w:hAnsi="Times New Roman" w:cs="Times New Roman"/>
                      <w:bCs/>
                      <w:color w:val="auto"/>
                      <w:sz w:val="21"/>
                      <w:szCs w:val="21"/>
                      <w:lang w:val="en-US" w:eastAsia="zh-CN"/>
                    </w:rPr>
                    <w:t>1</w:t>
                  </w:r>
                  <w:r>
                    <w:rPr>
                      <w:rFonts w:hint="eastAsia" w:cs="Times New Roman"/>
                      <w:bCs/>
                      <w:color w:val="auto"/>
                      <w:sz w:val="21"/>
                      <w:szCs w:val="21"/>
                      <w:lang w:val="en-US" w:eastAsia="zh-CN"/>
                    </w:rPr>
                    <w:t>1</w:t>
                  </w:r>
                </w:p>
              </w:tc>
              <w:tc>
                <w:tcPr>
                  <w:tcW w:w="722" w:type="pct"/>
                  <w:shd w:val="clear" w:color="auto" w:fill="auto"/>
                  <w:vAlign w:val="center"/>
                </w:tcPr>
                <w:p w14:paraId="3236BA1E">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设备维修和保养</w:t>
                  </w:r>
                </w:p>
              </w:tc>
              <w:tc>
                <w:tcPr>
                  <w:tcW w:w="1143" w:type="pct"/>
                  <w:shd w:val="clear" w:color="auto" w:fill="auto"/>
                  <w:vAlign w:val="center"/>
                </w:tcPr>
                <w:p w14:paraId="1C96672F">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废机油</w:t>
                  </w:r>
                </w:p>
              </w:tc>
              <w:tc>
                <w:tcPr>
                  <w:tcW w:w="1651" w:type="pct"/>
                  <w:vMerge w:val="restart"/>
                  <w:shd w:val="clear" w:color="auto" w:fill="auto"/>
                  <w:vAlign w:val="center"/>
                </w:tcPr>
                <w:p w14:paraId="575C5162">
                  <w:pPr>
                    <w:adjustRightInd w:val="0"/>
                    <w:snapToGrid w:val="0"/>
                    <w:jc w:val="center"/>
                    <w:rPr>
                      <w:rFonts w:hint="eastAsia"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危废暂存间分类暂存，定期委托有资质单位处置</w:t>
                  </w:r>
                </w:p>
              </w:tc>
            </w:tr>
            <w:tr w14:paraId="127E4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48D16ABB">
                  <w:pPr>
                    <w:adjustRightInd w:val="0"/>
                    <w:snapToGrid w:val="0"/>
                    <w:jc w:val="center"/>
                    <w:rPr>
                      <w:rFonts w:hint="default" w:ascii="Times New Roman" w:hAnsi="Times New Roman" w:cs="Times New Roman"/>
                      <w:bCs/>
                      <w:color w:val="auto"/>
                      <w:sz w:val="21"/>
                      <w:szCs w:val="21"/>
                    </w:rPr>
                  </w:pPr>
                </w:p>
              </w:tc>
              <w:tc>
                <w:tcPr>
                  <w:tcW w:w="804" w:type="pct"/>
                  <w:shd w:val="clear" w:color="auto" w:fill="auto"/>
                  <w:vAlign w:val="center"/>
                </w:tcPr>
                <w:p w14:paraId="075AB66A">
                  <w:pPr>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rPr>
                    <w:t>S</w:t>
                  </w:r>
                  <w:r>
                    <w:rPr>
                      <w:rFonts w:hint="default" w:ascii="Times New Roman" w:hAnsi="Times New Roman" w:cs="Times New Roman"/>
                      <w:bCs/>
                      <w:color w:val="auto"/>
                      <w:sz w:val="21"/>
                      <w:szCs w:val="21"/>
                      <w:lang w:val="en-US" w:eastAsia="zh-CN"/>
                    </w:rPr>
                    <w:t>1</w:t>
                  </w:r>
                  <w:r>
                    <w:rPr>
                      <w:rFonts w:hint="eastAsia" w:cs="Times New Roman"/>
                      <w:bCs/>
                      <w:color w:val="auto"/>
                      <w:sz w:val="21"/>
                      <w:szCs w:val="21"/>
                      <w:lang w:val="en-US" w:eastAsia="zh-CN"/>
                    </w:rPr>
                    <w:t>2</w:t>
                  </w:r>
                </w:p>
              </w:tc>
              <w:tc>
                <w:tcPr>
                  <w:tcW w:w="722" w:type="pct"/>
                  <w:shd w:val="clear" w:color="auto" w:fill="auto"/>
                  <w:vAlign w:val="center"/>
                </w:tcPr>
                <w:p w14:paraId="74CE3490">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设备维修和保养</w:t>
                  </w:r>
                </w:p>
              </w:tc>
              <w:tc>
                <w:tcPr>
                  <w:tcW w:w="1143" w:type="pct"/>
                  <w:shd w:val="clear" w:color="auto" w:fill="auto"/>
                  <w:vAlign w:val="center"/>
                </w:tcPr>
                <w:p w14:paraId="0A9771C4">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废机油桶</w:t>
                  </w:r>
                </w:p>
              </w:tc>
              <w:tc>
                <w:tcPr>
                  <w:tcW w:w="1651" w:type="pct"/>
                  <w:vMerge w:val="continue"/>
                  <w:shd w:val="clear" w:color="auto" w:fill="auto"/>
                  <w:vAlign w:val="center"/>
                </w:tcPr>
                <w:p w14:paraId="0707F1CB">
                  <w:pPr>
                    <w:adjustRightInd w:val="0"/>
                    <w:snapToGrid w:val="0"/>
                    <w:jc w:val="center"/>
                    <w:rPr>
                      <w:rFonts w:hint="eastAsia" w:ascii="Times New Roman" w:hAnsi="Times New Roman" w:eastAsia="宋体" w:cs="Times New Roman"/>
                      <w:color w:val="auto"/>
                      <w:kern w:val="2"/>
                      <w:sz w:val="21"/>
                      <w:szCs w:val="21"/>
                      <w:lang w:val="en-US" w:eastAsia="zh-CN" w:bidi="ar-SA"/>
                    </w:rPr>
                  </w:pPr>
                </w:p>
              </w:tc>
            </w:tr>
            <w:tr w14:paraId="65E6D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2EC2CD24">
                  <w:pPr>
                    <w:adjustRightInd w:val="0"/>
                    <w:snapToGrid w:val="0"/>
                    <w:jc w:val="center"/>
                    <w:rPr>
                      <w:rFonts w:hint="default" w:ascii="Times New Roman" w:hAnsi="Times New Roman" w:cs="Times New Roman"/>
                      <w:bCs/>
                      <w:color w:val="auto"/>
                      <w:sz w:val="21"/>
                      <w:szCs w:val="21"/>
                    </w:rPr>
                  </w:pPr>
                </w:p>
              </w:tc>
              <w:tc>
                <w:tcPr>
                  <w:tcW w:w="804" w:type="pct"/>
                  <w:shd w:val="clear" w:color="auto" w:fill="auto"/>
                  <w:vAlign w:val="center"/>
                </w:tcPr>
                <w:p w14:paraId="3E2B3DB5">
                  <w:pPr>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rPr>
                    <w:t>S</w:t>
                  </w:r>
                  <w:r>
                    <w:rPr>
                      <w:rFonts w:hint="default" w:ascii="Times New Roman" w:hAnsi="Times New Roman" w:cs="Times New Roman"/>
                      <w:bCs/>
                      <w:color w:val="auto"/>
                      <w:sz w:val="21"/>
                      <w:szCs w:val="21"/>
                      <w:lang w:val="en-US" w:eastAsia="zh-CN"/>
                    </w:rPr>
                    <w:t>1</w:t>
                  </w:r>
                  <w:r>
                    <w:rPr>
                      <w:rFonts w:hint="eastAsia" w:cs="Times New Roman"/>
                      <w:bCs/>
                      <w:color w:val="auto"/>
                      <w:sz w:val="21"/>
                      <w:szCs w:val="21"/>
                      <w:lang w:val="en-US" w:eastAsia="zh-CN"/>
                    </w:rPr>
                    <w:t>3</w:t>
                  </w:r>
                </w:p>
              </w:tc>
              <w:tc>
                <w:tcPr>
                  <w:tcW w:w="722" w:type="pct"/>
                  <w:shd w:val="clear" w:color="auto" w:fill="auto"/>
                  <w:vAlign w:val="center"/>
                </w:tcPr>
                <w:p w14:paraId="7A6CDA1B">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粉尘</w:t>
                  </w:r>
                  <w:r>
                    <w:rPr>
                      <w:rFonts w:hint="default" w:ascii="Times New Roman" w:hAnsi="Times New Roman" w:cs="Times New Roman"/>
                      <w:color w:val="auto"/>
                      <w:sz w:val="21"/>
                      <w:szCs w:val="21"/>
                    </w:rPr>
                    <w:t>治理</w:t>
                  </w:r>
                </w:p>
              </w:tc>
              <w:tc>
                <w:tcPr>
                  <w:tcW w:w="1143" w:type="pct"/>
                  <w:shd w:val="clear" w:color="auto" w:fill="auto"/>
                  <w:vAlign w:val="center"/>
                </w:tcPr>
                <w:p w14:paraId="5DE25620">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布袋除尘器收集的</w:t>
                  </w:r>
                  <w:r>
                    <w:rPr>
                      <w:rFonts w:hint="eastAsia" w:cs="Times New Roman"/>
                      <w:color w:val="auto"/>
                      <w:kern w:val="2"/>
                      <w:sz w:val="21"/>
                      <w:szCs w:val="21"/>
                      <w:lang w:val="en-US" w:eastAsia="zh-CN" w:bidi="ar-SA"/>
                    </w:rPr>
                    <w:t>粉尘</w:t>
                  </w:r>
                </w:p>
              </w:tc>
              <w:tc>
                <w:tcPr>
                  <w:tcW w:w="1651" w:type="pct"/>
                  <w:shd w:val="clear" w:color="auto" w:fill="auto"/>
                  <w:vAlign w:val="center"/>
                </w:tcPr>
                <w:p w14:paraId="0EFE504D">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bCs/>
                      <w:color w:val="auto"/>
                      <w:kern w:val="2"/>
                      <w:sz w:val="21"/>
                      <w:szCs w:val="21"/>
                      <w:lang w:val="en-US" w:eastAsia="zh-CN" w:bidi="ar-SA"/>
                    </w:rPr>
                    <w:t>一般固废间分类暂存，资源外售</w:t>
                  </w:r>
                </w:p>
              </w:tc>
            </w:tr>
            <w:tr w14:paraId="161ED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7F2CA739">
                  <w:pPr>
                    <w:adjustRightInd w:val="0"/>
                    <w:snapToGrid w:val="0"/>
                    <w:jc w:val="center"/>
                    <w:rPr>
                      <w:rFonts w:hint="default" w:ascii="Times New Roman" w:hAnsi="Times New Roman" w:cs="Times New Roman"/>
                      <w:bCs/>
                      <w:color w:val="auto"/>
                      <w:sz w:val="21"/>
                      <w:szCs w:val="21"/>
                    </w:rPr>
                  </w:pPr>
                </w:p>
              </w:tc>
              <w:tc>
                <w:tcPr>
                  <w:tcW w:w="804" w:type="pct"/>
                  <w:shd w:val="clear" w:color="auto" w:fill="auto"/>
                  <w:vAlign w:val="center"/>
                </w:tcPr>
                <w:p w14:paraId="60581F3A">
                  <w:pPr>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rPr>
                    <w:t>S</w:t>
                  </w:r>
                  <w:r>
                    <w:rPr>
                      <w:rFonts w:hint="default" w:ascii="Times New Roman" w:hAnsi="Times New Roman" w:cs="Times New Roman"/>
                      <w:bCs/>
                      <w:color w:val="auto"/>
                      <w:sz w:val="21"/>
                      <w:szCs w:val="21"/>
                      <w:lang w:val="en-US" w:eastAsia="zh-CN"/>
                    </w:rPr>
                    <w:t>1</w:t>
                  </w:r>
                  <w:r>
                    <w:rPr>
                      <w:rFonts w:hint="eastAsia" w:cs="Times New Roman"/>
                      <w:bCs/>
                      <w:color w:val="auto"/>
                      <w:sz w:val="21"/>
                      <w:szCs w:val="21"/>
                      <w:lang w:val="en-US" w:eastAsia="zh-CN"/>
                    </w:rPr>
                    <w:t>4</w:t>
                  </w:r>
                </w:p>
              </w:tc>
              <w:tc>
                <w:tcPr>
                  <w:tcW w:w="722" w:type="pct"/>
                  <w:vMerge w:val="restart"/>
                  <w:shd w:val="clear" w:color="auto" w:fill="auto"/>
                  <w:vAlign w:val="center"/>
                </w:tcPr>
                <w:p w14:paraId="0F2449E5">
                  <w:pPr>
                    <w:adjustRightInd w:val="0"/>
                    <w:snapToGrid w:val="0"/>
                    <w:jc w:val="center"/>
                    <w:rPr>
                      <w:rFonts w:hint="default" w:cs="Times New Roman"/>
                      <w:color w:val="auto"/>
                      <w:sz w:val="21"/>
                      <w:szCs w:val="21"/>
                      <w:lang w:val="en-US" w:eastAsia="zh-CN"/>
                    </w:rPr>
                  </w:pPr>
                  <w:r>
                    <w:rPr>
                      <w:rFonts w:hint="eastAsia" w:cs="Times New Roman"/>
                      <w:color w:val="auto"/>
                      <w:sz w:val="21"/>
                      <w:szCs w:val="21"/>
                      <w:lang w:val="en-US" w:eastAsia="zh-CN"/>
                    </w:rPr>
                    <w:t>废气治理</w:t>
                  </w:r>
                </w:p>
              </w:tc>
              <w:tc>
                <w:tcPr>
                  <w:tcW w:w="1143" w:type="pct"/>
                  <w:shd w:val="clear" w:color="auto" w:fill="auto"/>
                  <w:vAlign w:val="center"/>
                </w:tcPr>
                <w:p w14:paraId="1C5A8304">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废活性炭</w:t>
                  </w:r>
                </w:p>
              </w:tc>
              <w:tc>
                <w:tcPr>
                  <w:tcW w:w="1651" w:type="pct"/>
                  <w:vMerge w:val="restart"/>
                  <w:shd w:val="clear" w:color="auto" w:fill="auto"/>
                  <w:vAlign w:val="center"/>
                </w:tcPr>
                <w:p w14:paraId="10165189">
                  <w:pPr>
                    <w:adjustRightInd w:val="0"/>
                    <w:snapToGrid w:val="0"/>
                    <w:jc w:val="center"/>
                    <w:rPr>
                      <w:rFonts w:hint="default" w:ascii="Times New Roman" w:hAnsi="Times New Roman" w:cs="Times New Roman"/>
                      <w:bCs/>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危废暂存间分类暂存，定期委托有资质单位处置</w:t>
                  </w:r>
                </w:p>
              </w:tc>
            </w:tr>
            <w:tr w14:paraId="32CEE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9" w:type="pct"/>
                  <w:vMerge w:val="continue"/>
                  <w:vAlign w:val="center"/>
                </w:tcPr>
                <w:p w14:paraId="160F4CEC">
                  <w:pPr>
                    <w:adjustRightInd w:val="0"/>
                    <w:snapToGrid w:val="0"/>
                    <w:jc w:val="center"/>
                    <w:rPr>
                      <w:rFonts w:hint="default" w:ascii="Times New Roman" w:hAnsi="Times New Roman" w:cs="Times New Roman"/>
                      <w:bCs/>
                      <w:color w:val="auto"/>
                      <w:sz w:val="21"/>
                      <w:szCs w:val="21"/>
                    </w:rPr>
                  </w:pPr>
                </w:p>
              </w:tc>
              <w:tc>
                <w:tcPr>
                  <w:tcW w:w="804" w:type="pct"/>
                  <w:shd w:val="clear" w:color="auto" w:fill="auto"/>
                  <w:vAlign w:val="center"/>
                </w:tcPr>
                <w:p w14:paraId="38FC3447">
                  <w:pPr>
                    <w:adjustRightInd w:val="0"/>
                    <w:snapToGrid w:val="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S</w:t>
                  </w:r>
                  <w:r>
                    <w:rPr>
                      <w:rFonts w:hint="default" w:ascii="Times New Roman" w:hAnsi="Times New Roman" w:cs="Times New Roman"/>
                      <w:bCs/>
                      <w:color w:val="auto"/>
                      <w:sz w:val="21"/>
                      <w:szCs w:val="21"/>
                      <w:lang w:val="en-US" w:eastAsia="zh-CN"/>
                    </w:rPr>
                    <w:t>1</w:t>
                  </w:r>
                  <w:r>
                    <w:rPr>
                      <w:rFonts w:hint="eastAsia" w:cs="Times New Roman"/>
                      <w:bCs/>
                      <w:color w:val="auto"/>
                      <w:sz w:val="21"/>
                      <w:szCs w:val="21"/>
                      <w:lang w:val="en-US" w:eastAsia="zh-CN"/>
                    </w:rPr>
                    <w:t>5</w:t>
                  </w:r>
                </w:p>
              </w:tc>
              <w:tc>
                <w:tcPr>
                  <w:tcW w:w="722" w:type="pct"/>
                  <w:vMerge w:val="continue"/>
                  <w:shd w:val="clear" w:color="auto" w:fill="auto"/>
                  <w:vAlign w:val="center"/>
                </w:tcPr>
                <w:p w14:paraId="081D2741">
                  <w:pPr>
                    <w:adjustRightInd w:val="0"/>
                    <w:snapToGrid w:val="0"/>
                    <w:jc w:val="center"/>
                    <w:rPr>
                      <w:rFonts w:hint="eastAsia" w:cs="Times New Roman"/>
                      <w:color w:val="auto"/>
                      <w:sz w:val="21"/>
                      <w:szCs w:val="21"/>
                      <w:lang w:val="en-US" w:eastAsia="zh-CN"/>
                    </w:rPr>
                  </w:pPr>
                </w:p>
              </w:tc>
              <w:tc>
                <w:tcPr>
                  <w:tcW w:w="1143" w:type="pct"/>
                  <w:shd w:val="clear" w:color="auto" w:fill="auto"/>
                  <w:vAlign w:val="center"/>
                </w:tcPr>
                <w:p w14:paraId="39049EE3">
                  <w:pPr>
                    <w:adjustRightInd w:val="0"/>
                    <w:snapToGrid w:val="0"/>
                    <w:jc w:val="center"/>
                    <w:rPr>
                      <w:rFonts w:hint="eastAsia" w:cs="Times New Roman"/>
                      <w:color w:val="auto"/>
                      <w:kern w:val="2"/>
                      <w:sz w:val="21"/>
                      <w:szCs w:val="21"/>
                      <w:lang w:val="en-US" w:eastAsia="zh-CN" w:bidi="ar-SA"/>
                    </w:rPr>
                  </w:pPr>
                  <w:r>
                    <w:rPr>
                      <w:rFonts w:hint="eastAsia" w:cs="Times New Roman"/>
                      <w:bCs/>
                      <w:color w:val="auto"/>
                      <w:sz w:val="21"/>
                      <w:szCs w:val="21"/>
                      <w:lang w:val="en-US" w:eastAsia="zh-CN"/>
                    </w:rPr>
                    <w:t>油雾净化器收集的废油</w:t>
                  </w:r>
                </w:p>
              </w:tc>
              <w:tc>
                <w:tcPr>
                  <w:tcW w:w="1651" w:type="pct"/>
                  <w:vMerge w:val="continue"/>
                  <w:shd w:val="clear" w:color="auto" w:fill="auto"/>
                  <w:vAlign w:val="center"/>
                </w:tcPr>
                <w:p w14:paraId="50855D8B">
                  <w:pPr>
                    <w:adjustRightInd w:val="0"/>
                    <w:snapToGrid w:val="0"/>
                    <w:jc w:val="center"/>
                    <w:rPr>
                      <w:rFonts w:hint="default" w:ascii="Times New Roman" w:hAnsi="Times New Roman" w:cs="Times New Roman"/>
                      <w:color w:val="auto"/>
                      <w:kern w:val="2"/>
                      <w:sz w:val="21"/>
                      <w:szCs w:val="21"/>
                      <w:lang w:val="en-US" w:eastAsia="zh-CN" w:bidi="ar-SA"/>
                    </w:rPr>
                  </w:pPr>
                </w:p>
              </w:tc>
            </w:tr>
            <w:tr w14:paraId="110D7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79" w:type="pct"/>
                  <w:vMerge w:val="continue"/>
                  <w:vAlign w:val="center"/>
                </w:tcPr>
                <w:p w14:paraId="67F4A0C0">
                  <w:pPr>
                    <w:adjustRightInd w:val="0"/>
                    <w:snapToGrid w:val="0"/>
                    <w:jc w:val="center"/>
                    <w:rPr>
                      <w:rFonts w:hint="default" w:ascii="Times New Roman" w:hAnsi="Times New Roman" w:cs="Times New Roman"/>
                      <w:bCs/>
                      <w:color w:val="auto"/>
                      <w:sz w:val="21"/>
                      <w:szCs w:val="21"/>
                    </w:rPr>
                  </w:pPr>
                </w:p>
              </w:tc>
              <w:tc>
                <w:tcPr>
                  <w:tcW w:w="804" w:type="pct"/>
                  <w:shd w:val="clear" w:color="auto" w:fill="auto"/>
                  <w:vAlign w:val="center"/>
                </w:tcPr>
                <w:p w14:paraId="4F312C3B">
                  <w:pPr>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rPr>
                    <w:t>S</w:t>
                  </w:r>
                  <w:r>
                    <w:rPr>
                      <w:rFonts w:hint="default" w:ascii="Times New Roman" w:hAnsi="Times New Roman" w:cs="Times New Roman"/>
                      <w:bCs/>
                      <w:color w:val="auto"/>
                      <w:sz w:val="21"/>
                      <w:szCs w:val="21"/>
                      <w:lang w:val="en-US" w:eastAsia="zh-CN"/>
                    </w:rPr>
                    <w:t>1</w:t>
                  </w:r>
                  <w:r>
                    <w:rPr>
                      <w:rFonts w:hint="eastAsia" w:cs="Times New Roman"/>
                      <w:bCs/>
                      <w:color w:val="auto"/>
                      <w:sz w:val="21"/>
                      <w:szCs w:val="21"/>
                      <w:lang w:val="en-US" w:eastAsia="zh-CN"/>
                    </w:rPr>
                    <w:t>6</w:t>
                  </w:r>
                </w:p>
              </w:tc>
              <w:tc>
                <w:tcPr>
                  <w:tcW w:w="722" w:type="pct"/>
                  <w:shd w:val="clear" w:color="auto" w:fill="auto"/>
                  <w:vAlign w:val="center"/>
                </w:tcPr>
                <w:p w14:paraId="23FBD2DC">
                  <w:pPr>
                    <w:adjustRightInd w:val="0"/>
                    <w:snapToGrid w:val="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 w:val="21"/>
                      <w:szCs w:val="21"/>
                    </w:rPr>
                    <w:t>员工生活</w:t>
                  </w:r>
                </w:p>
              </w:tc>
              <w:tc>
                <w:tcPr>
                  <w:tcW w:w="1143" w:type="pct"/>
                  <w:shd w:val="clear" w:color="auto" w:fill="auto"/>
                  <w:vAlign w:val="center"/>
                </w:tcPr>
                <w:p w14:paraId="1E5FED33">
                  <w:pPr>
                    <w:adjustRightInd w:val="0"/>
                    <w:snapToGrid w:val="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生活垃圾</w:t>
                  </w:r>
                </w:p>
              </w:tc>
              <w:tc>
                <w:tcPr>
                  <w:tcW w:w="1651" w:type="pct"/>
                  <w:shd w:val="clear" w:color="auto" w:fill="auto"/>
                  <w:vAlign w:val="center"/>
                </w:tcPr>
                <w:p w14:paraId="3FD769E7">
                  <w:pPr>
                    <w:adjustRightInd w:val="0"/>
                    <w:snapToGrid w:val="0"/>
                    <w:jc w:val="center"/>
                    <w:rPr>
                      <w:rFonts w:hint="eastAsia"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color w:val="auto"/>
                      <w:sz w:val="21"/>
                      <w:szCs w:val="21"/>
                    </w:rPr>
                    <w:t>交由环卫部门进行处理，厂内设有垃圾桶</w:t>
                  </w:r>
                </w:p>
              </w:tc>
            </w:tr>
          </w:tbl>
          <w:p w14:paraId="20BDE0B6">
            <w:pPr>
              <w:rPr>
                <w:rFonts w:hint="default" w:ascii="Times New Roman" w:hAnsi="Times New Roman" w:cs="Times New Roman"/>
                <w:color w:val="auto"/>
              </w:rPr>
            </w:pPr>
          </w:p>
        </w:tc>
      </w:tr>
    </w:tbl>
    <w:p w14:paraId="5210E75D">
      <w:pPr>
        <w:autoSpaceDE w:val="0"/>
        <w:autoSpaceDN w:val="0"/>
        <w:adjustRightInd w:val="0"/>
        <w:snapToGrid w:val="0"/>
        <w:jc w:val="center"/>
        <w:rPr>
          <w:rFonts w:hint="default" w:ascii="Times New Roman" w:hAnsi="Times New Roman" w:cs="Times New Roman"/>
          <w:color w:val="auto"/>
          <w:kern w:val="0"/>
          <w:sz w:val="24"/>
        </w:rPr>
        <w:sectPr>
          <w:pgSz w:w="11907" w:h="16840"/>
          <w:pgMar w:top="1701" w:right="1531" w:bottom="2127" w:left="1531" w:header="851" w:footer="851" w:gutter="0"/>
          <w:cols w:space="720" w:num="1"/>
          <w:docGrid w:linePitch="312" w:charSpace="0"/>
        </w:sectPr>
      </w:pPr>
    </w:p>
    <w:tbl>
      <w:tblPr>
        <w:tblStyle w:val="63"/>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603"/>
      </w:tblGrid>
      <w:tr w14:paraId="3623FA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54" w:type="dxa"/>
            <w:shd w:val="clear" w:color="auto" w:fill="auto"/>
            <w:vAlign w:val="center"/>
          </w:tcPr>
          <w:p w14:paraId="35972A9F">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与项目有关的原有环境污染问题</w:t>
            </w:r>
          </w:p>
        </w:tc>
        <w:tc>
          <w:tcPr>
            <w:tcW w:w="8607" w:type="dxa"/>
            <w:shd w:val="clear" w:color="auto" w:fill="auto"/>
            <w:vAlign w:val="center"/>
          </w:tcPr>
          <w:p w14:paraId="4F101572">
            <w:pPr>
              <w:autoSpaceDE w:val="0"/>
              <w:autoSpaceDN w:val="0"/>
              <w:adjustRightInd w:val="0"/>
              <w:snapToGrid w:val="0"/>
              <w:spacing w:before="240" w:beforeLines="100" w:line="360" w:lineRule="auto"/>
              <w:ind w:firstLine="420" w:firstLineChars="200"/>
              <w:rPr>
                <w:rFonts w:hint="default" w:ascii="Times New Roman" w:hAnsi="Times New Roman" w:cs="Times New Roman"/>
                <w:color w:val="auto"/>
              </w:rPr>
            </w:pPr>
          </w:p>
          <w:p w14:paraId="3C8F951E">
            <w:pPr>
              <w:autoSpaceDE w:val="0"/>
              <w:autoSpaceDN w:val="0"/>
              <w:adjustRightInd w:val="0"/>
              <w:snapToGrid w:val="0"/>
              <w:spacing w:before="240" w:beforeLines="100" w:line="360" w:lineRule="auto"/>
              <w:ind w:firstLine="420" w:firstLineChars="200"/>
              <w:rPr>
                <w:rFonts w:hint="default" w:ascii="Times New Roman" w:hAnsi="Times New Roman" w:cs="Times New Roman"/>
                <w:color w:val="auto"/>
              </w:rPr>
            </w:pPr>
          </w:p>
          <w:p w14:paraId="64153933">
            <w:pPr>
              <w:autoSpaceDE w:val="0"/>
              <w:autoSpaceDN w:val="0"/>
              <w:adjustRightInd w:val="0"/>
              <w:snapToGrid w:val="0"/>
              <w:spacing w:before="240" w:beforeLines="100" w:line="360" w:lineRule="auto"/>
              <w:ind w:firstLine="420" w:firstLineChars="200"/>
              <w:rPr>
                <w:rFonts w:hint="default" w:ascii="Times New Roman" w:hAnsi="Times New Roman" w:cs="Times New Roman"/>
                <w:color w:val="auto"/>
              </w:rPr>
            </w:pPr>
          </w:p>
          <w:p w14:paraId="1B6E4071">
            <w:pPr>
              <w:autoSpaceDE w:val="0"/>
              <w:autoSpaceDN w:val="0"/>
              <w:adjustRightInd w:val="0"/>
              <w:snapToGrid w:val="0"/>
              <w:spacing w:before="240" w:beforeLines="100" w:line="360" w:lineRule="auto"/>
              <w:ind w:firstLine="420" w:firstLineChars="200"/>
              <w:rPr>
                <w:rFonts w:hint="default" w:ascii="Times New Roman" w:hAnsi="Times New Roman" w:cs="Times New Roman"/>
                <w:color w:val="auto"/>
              </w:rPr>
            </w:pPr>
          </w:p>
          <w:p w14:paraId="7995793F">
            <w:pPr>
              <w:autoSpaceDE w:val="0"/>
              <w:autoSpaceDN w:val="0"/>
              <w:adjustRightInd w:val="0"/>
              <w:snapToGrid w:val="0"/>
              <w:spacing w:before="240" w:beforeLines="100" w:line="360" w:lineRule="auto"/>
              <w:ind w:firstLine="420" w:firstLineChars="200"/>
              <w:rPr>
                <w:rFonts w:hint="default" w:ascii="Times New Roman" w:hAnsi="Times New Roman" w:cs="Times New Roman"/>
                <w:color w:val="auto"/>
              </w:rPr>
            </w:pPr>
          </w:p>
          <w:p w14:paraId="2FDC71D2">
            <w:pPr>
              <w:autoSpaceDE w:val="0"/>
              <w:autoSpaceDN w:val="0"/>
              <w:adjustRightInd w:val="0"/>
              <w:snapToGrid w:val="0"/>
              <w:spacing w:before="240" w:beforeLines="100" w:line="360" w:lineRule="auto"/>
              <w:ind w:firstLine="420" w:firstLineChars="200"/>
              <w:rPr>
                <w:rFonts w:hint="default" w:ascii="Times New Roman" w:hAnsi="Times New Roman" w:cs="Times New Roman"/>
                <w:color w:val="auto"/>
              </w:rPr>
            </w:pPr>
          </w:p>
          <w:p w14:paraId="07450B8D">
            <w:pPr>
              <w:autoSpaceDE w:val="0"/>
              <w:autoSpaceDN w:val="0"/>
              <w:adjustRightInd w:val="0"/>
              <w:snapToGrid w:val="0"/>
              <w:spacing w:before="240" w:beforeLines="100" w:line="360" w:lineRule="auto"/>
              <w:ind w:firstLine="420" w:firstLineChars="200"/>
              <w:rPr>
                <w:rFonts w:hint="default" w:ascii="Times New Roman" w:hAnsi="Times New Roman" w:cs="Times New Roman"/>
                <w:color w:val="auto"/>
              </w:rPr>
            </w:pPr>
          </w:p>
          <w:p w14:paraId="33B97BE7">
            <w:pPr>
              <w:autoSpaceDE w:val="0"/>
              <w:autoSpaceDN w:val="0"/>
              <w:adjustRightInd w:val="0"/>
              <w:snapToGrid w:val="0"/>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cs="Times New Roman"/>
                <w:color w:val="auto"/>
                <w:kern w:val="0"/>
                <w:sz w:val="24"/>
              </w:rPr>
              <w:t xml:space="preserve"> </w:t>
            </w:r>
          </w:p>
          <w:p w14:paraId="4E92E8B6">
            <w:pPr>
              <w:autoSpaceDE w:val="0"/>
              <w:autoSpaceDN w:val="0"/>
              <w:adjustRightInd w:val="0"/>
              <w:snapToGrid w:val="0"/>
              <w:spacing w:line="360" w:lineRule="auto"/>
              <w:ind w:firstLine="480" w:firstLineChars="200"/>
              <w:jc w:val="left"/>
              <w:rPr>
                <w:color w:val="auto"/>
                <w:kern w:val="0"/>
                <w:sz w:val="24"/>
              </w:rPr>
            </w:pPr>
            <w:r>
              <w:rPr>
                <w:rFonts w:hint="default" w:ascii="Times New Roman" w:hAnsi="Times New Roman" w:eastAsia="宋体" w:cs="Times New Roman"/>
                <w:color w:val="auto"/>
                <w:sz w:val="24"/>
              </w:rPr>
              <w:t>本项目位于</w:t>
            </w:r>
            <w:r>
              <w:rPr>
                <w:rFonts w:hint="eastAsia" w:ascii="Times New Roman" w:hAnsi="Times New Roman" w:eastAsia="宋体" w:cs="Times New Roman"/>
                <w:color w:val="auto"/>
                <w:sz w:val="24"/>
                <w:lang w:eastAsia="zh-CN"/>
              </w:rPr>
              <w:t>芜湖市湾沚区安徽新芜经济开发区西支六路222号</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zh-CN" w:eastAsia="zh-CN"/>
              </w:rPr>
              <w:t>利用现有厂房进行生产，该厂房现状为闲置厂房。该厂房为标准</w:t>
            </w:r>
            <w:r>
              <w:rPr>
                <w:rFonts w:hint="eastAsia" w:ascii="Times New Roman" w:hAnsi="Times New Roman" w:eastAsia="宋体" w:cs="Times New Roman"/>
                <w:color w:val="auto"/>
                <w:sz w:val="24"/>
                <w:lang w:val="zh-CN" w:eastAsia="zh-CN"/>
              </w:rPr>
              <w:t>化厂房</w:t>
            </w:r>
            <w:r>
              <w:rPr>
                <w:color w:val="auto"/>
                <w:kern w:val="0"/>
                <w:sz w:val="24"/>
                <w:lang w:val="zh-CN"/>
              </w:rPr>
              <w:t>，自建设以来，未发生过环境污染事件，无原有污染情况及环境遗留问题。</w:t>
            </w:r>
            <w:r>
              <w:rPr>
                <w:color w:val="auto"/>
                <w:kern w:val="0"/>
                <w:sz w:val="24"/>
              </w:rPr>
              <w:t xml:space="preserve"> </w:t>
            </w:r>
          </w:p>
          <w:p w14:paraId="54F2C3F8">
            <w:pPr>
              <w:autoSpaceDE w:val="0"/>
              <w:autoSpaceDN w:val="0"/>
              <w:adjustRightInd w:val="0"/>
              <w:snapToGrid w:val="0"/>
              <w:spacing w:line="360" w:lineRule="auto"/>
              <w:ind w:firstLine="480" w:firstLineChars="200"/>
              <w:jc w:val="left"/>
              <w:rPr>
                <w:rFonts w:hint="eastAsia" w:ascii="Times New Roman" w:hAnsi="Times New Roman" w:eastAsia="宋体" w:cs="Times New Roman"/>
                <w:color w:val="auto"/>
                <w:kern w:val="0"/>
                <w:sz w:val="24"/>
                <w:lang w:eastAsia="zh-CN"/>
              </w:rPr>
            </w:pPr>
            <w:r>
              <w:rPr>
                <w:color w:val="auto"/>
                <w:kern w:val="0"/>
                <w:sz w:val="24"/>
              </w:rPr>
              <w:t xml:space="preserve">       </w:t>
            </w:r>
          </w:p>
          <w:p w14:paraId="61FB1DD6">
            <w:pPr>
              <w:pStyle w:val="6"/>
              <w:rPr>
                <w:rFonts w:hint="default" w:ascii="Times New Roman" w:hAnsi="Times New Roman" w:cs="Times New Roman"/>
                <w:color w:val="auto"/>
              </w:rPr>
            </w:pPr>
          </w:p>
          <w:p w14:paraId="62FD6ECC">
            <w:pPr>
              <w:rPr>
                <w:rFonts w:hint="default" w:ascii="Times New Roman" w:hAnsi="Times New Roman" w:cs="Times New Roman"/>
                <w:color w:val="auto"/>
              </w:rPr>
            </w:pPr>
          </w:p>
          <w:p w14:paraId="764553FA">
            <w:pPr>
              <w:pStyle w:val="6"/>
              <w:rPr>
                <w:rFonts w:hint="default" w:ascii="Times New Roman" w:hAnsi="Times New Roman" w:cs="Times New Roman"/>
                <w:color w:val="auto"/>
              </w:rPr>
            </w:pPr>
          </w:p>
          <w:p w14:paraId="217F362B">
            <w:pPr>
              <w:rPr>
                <w:rFonts w:hint="default" w:ascii="Times New Roman" w:hAnsi="Times New Roman" w:cs="Times New Roman"/>
                <w:color w:val="auto"/>
              </w:rPr>
            </w:pPr>
          </w:p>
          <w:p w14:paraId="26E0362D">
            <w:pPr>
              <w:pStyle w:val="6"/>
              <w:rPr>
                <w:rFonts w:hint="default" w:ascii="Times New Roman" w:hAnsi="Times New Roman" w:cs="Times New Roman"/>
                <w:color w:val="auto"/>
              </w:rPr>
            </w:pPr>
          </w:p>
          <w:p w14:paraId="07126934">
            <w:pPr>
              <w:rPr>
                <w:rFonts w:hint="default" w:ascii="Times New Roman" w:hAnsi="Times New Roman" w:cs="Times New Roman"/>
                <w:color w:val="auto"/>
              </w:rPr>
            </w:pPr>
          </w:p>
          <w:p w14:paraId="3C84A883">
            <w:pPr>
              <w:pStyle w:val="6"/>
              <w:rPr>
                <w:rFonts w:hint="default" w:ascii="Times New Roman" w:hAnsi="Times New Roman" w:cs="Times New Roman"/>
                <w:color w:val="auto"/>
              </w:rPr>
            </w:pPr>
          </w:p>
          <w:p w14:paraId="30661D50">
            <w:pPr>
              <w:rPr>
                <w:rFonts w:hint="default" w:ascii="Times New Roman" w:hAnsi="Times New Roman" w:cs="Times New Roman"/>
                <w:color w:val="auto"/>
              </w:rPr>
            </w:pPr>
          </w:p>
          <w:p w14:paraId="279C9F0F">
            <w:pPr>
              <w:pStyle w:val="6"/>
              <w:rPr>
                <w:rFonts w:hint="default" w:ascii="Times New Roman" w:hAnsi="Times New Roman" w:cs="Times New Roman"/>
                <w:color w:val="auto"/>
              </w:rPr>
            </w:pPr>
          </w:p>
          <w:p w14:paraId="185C757D">
            <w:pPr>
              <w:rPr>
                <w:rFonts w:hint="default" w:ascii="Times New Roman" w:hAnsi="Times New Roman" w:cs="Times New Roman"/>
                <w:color w:val="auto"/>
              </w:rPr>
            </w:pPr>
          </w:p>
          <w:p w14:paraId="3158A4CB">
            <w:pPr>
              <w:pStyle w:val="6"/>
              <w:rPr>
                <w:rFonts w:hint="default" w:ascii="Times New Roman" w:hAnsi="Times New Roman" w:cs="Times New Roman"/>
                <w:color w:val="auto"/>
              </w:rPr>
            </w:pPr>
          </w:p>
          <w:p w14:paraId="1BACD05F">
            <w:pPr>
              <w:rPr>
                <w:rFonts w:hint="default" w:ascii="Times New Roman" w:hAnsi="Times New Roman" w:cs="Times New Roman"/>
                <w:color w:val="auto"/>
              </w:rPr>
            </w:pPr>
          </w:p>
          <w:p w14:paraId="226D2CCA">
            <w:pPr>
              <w:pStyle w:val="8"/>
              <w:rPr>
                <w:rFonts w:hint="default" w:ascii="Times New Roman" w:hAnsi="Times New Roman" w:cs="Times New Roman"/>
                <w:color w:val="auto"/>
              </w:rPr>
            </w:pPr>
          </w:p>
          <w:p w14:paraId="716B73BE">
            <w:pPr>
              <w:pStyle w:val="9"/>
              <w:ind w:left="0" w:leftChars="0" w:firstLine="0" w:firstLineChars="0"/>
              <w:rPr>
                <w:rFonts w:hint="default" w:ascii="Times New Roman" w:hAnsi="Times New Roman" w:cs="Times New Roman"/>
                <w:color w:val="auto"/>
              </w:rPr>
            </w:pPr>
          </w:p>
          <w:p w14:paraId="1E8B5ADD">
            <w:pPr>
              <w:pStyle w:val="6"/>
              <w:ind w:left="0" w:firstLine="0"/>
              <w:rPr>
                <w:rFonts w:hint="default" w:ascii="Times New Roman" w:hAnsi="Times New Roman" w:cs="Times New Roman"/>
                <w:color w:val="auto"/>
              </w:rPr>
            </w:pPr>
          </w:p>
        </w:tc>
      </w:tr>
    </w:tbl>
    <w:p w14:paraId="2554606D">
      <w:pPr>
        <w:pStyle w:val="59"/>
        <w:jc w:val="center"/>
        <w:outlineLvl w:val="0"/>
        <w:rPr>
          <w:rFonts w:hint="default" w:ascii="Times New Roman" w:hAnsi="Times New Roman" w:cs="Times New Roman"/>
          <w:snapToGrid w:val="0"/>
          <w:color w:val="auto"/>
          <w:sz w:val="30"/>
          <w:szCs w:val="30"/>
        </w:rPr>
        <w:sectPr>
          <w:pgSz w:w="11905" w:h="16838"/>
          <w:pgMar w:top="1701" w:right="1531" w:bottom="2126" w:left="1531" w:header="851" w:footer="850" w:gutter="0"/>
          <w:cols w:space="0" w:num="1"/>
          <w:docGrid w:linePitch="312" w:charSpace="0"/>
        </w:sectPr>
      </w:pPr>
    </w:p>
    <w:p w14:paraId="38FC0FA0">
      <w:pPr>
        <w:pStyle w:val="59"/>
        <w:spacing w:before="0" w:beforeAutospacing="0" w:after="0" w:afterAutospacing="0"/>
        <w:jc w:val="center"/>
        <w:outlineLvl w:val="0"/>
        <w:rPr>
          <w:rFonts w:hint="default" w:ascii="Times New Roman" w:hAnsi="Times New Roman" w:cs="Times New Roman"/>
          <w:b/>
          <w:snapToGrid w:val="0"/>
          <w:color w:val="auto"/>
          <w:sz w:val="30"/>
          <w:szCs w:val="30"/>
        </w:rPr>
      </w:pPr>
      <w:r>
        <w:rPr>
          <w:rFonts w:hint="default" w:ascii="Times New Roman" w:hAnsi="Times New Roman" w:cs="Times New Roman"/>
          <w:b/>
          <w:snapToGrid w:val="0"/>
          <w:color w:val="auto"/>
          <w:sz w:val="30"/>
          <w:szCs w:val="30"/>
        </w:rPr>
        <w:t>三、区域环境质量现状、环境保护目标及评价标准</w:t>
      </w:r>
    </w:p>
    <w:tbl>
      <w:tblPr>
        <w:tblStyle w:val="63"/>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33"/>
        <w:gridCol w:w="8526"/>
      </w:tblGrid>
      <w:tr w14:paraId="0250D2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1" w:hRule="atLeast"/>
          <w:jc w:val="center"/>
        </w:trPr>
        <w:tc>
          <w:tcPr>
            <w:tcW w:w="533" w:type="dxa"/>
            <w:vAlign w:val="center"/>
          </w:tcPr>
          <w:p w14:paraId="053D48A9">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区域</w:t>
            </w:r>
          </w:p>
          <w:p w14:paraId="17B9DD2F">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环境</w:t>
            </w:r>
          </w:p>
          <w:p w14:paraId="0A6B11A8">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质量</w:t>
            </w:r>
          </w:p>
          <w:p w14:paraId="553BE353">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现状</w:t>
            </w:r>
          </w:p>
        </w:tc>
        <w:tc>
          <w:tcPr>
            <w:tcW w:w="8526" w:type="dxa"/>
            <w:vAlign w:val="center"/>
          </w:tcPr>
          <w:p w14:paraId="7A4283C0">
            <w:pPr>
              <w:widowControl/>
              <w:tabs>
                <w:tab w:val="left" w:pos="1418"/>
              </w:tabs>
              <w:spacing w:before="100" w:beforeAutospacing="1" w:line="360" w:lineRule="auto"/>
              <w:ind w:firstLine="482" w:firstLineChars="200"/>
              <w:jc w:val="left"/>
              <w:rPr>
                <w:rFonts w:hint="default" w:ascii="Times New Roman" w:hAnsi="Times New Roman" w:cs="Times New Roman"/>
                <w:b/>
                <w:bCs/>
                <w:color w:val="auto"/>
                <w:sz w:val="24"/>
              </w:rPr>
            </w:pPr>
            <w:r>
              <w:rPr>
                <w:rFonts w:hint="default" w:ascii="Times New Roman" w:hAnsi="Times New Roman" w:cs="Times New Roman"/>
                <w:b/>
                <w:bCs/>
                <w:color w:val="auto"/>
                <w:sz w:val="24"/>
              </w:rPr>
              <w:t>1、环境空气质量</w:t>
            </w:r>
          </w:p>
          <w:p w14:paraId="57F5EB3D">
            <w:pPr>
              <w:spacing w:line="360" w:lineRule="auto"/>
              <w:ind w:firstLine="480"/>
              <w:rPr>
                <w:rFonts w:hint="default"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lang w:val="en-US" w:eastAsia="zh-CN"/>
              </w:rPr>
              <w:t>根据污染影响类建设项目环境影响报告表编制要求：</w:t>
            </w:r>
            <w:r>
              <w:rPr>
                <w:rFonts w:hint="default" w:ascii="Times New Roman" w:hAnsi="Times New Roman" w:eastAsia="宋体" w:cs="Times New Roman"/>
                <w:color w:val="auto"/>
                <w:kern w:val="0"/>
                <w:sz w:val="24"/>
                <w:szCs w:val="24"/>
                <w:lang w:val="en-US" w:eastAsia="zh-CN"/>
              </w:rPr>
              <w:t>“</w:t>
            </w:r>
            <w:r>
              <w:rPr>
                <w:rFonts w:hint="eastAsia" w:ascii="Times New Roman" w:hAnsi="Times New Roman" w:eastAsia="宋体" w:cs="Times New Roman"/>
                <w:color w:val="auto"/>
                <w:kern w:val="0"/>
                <w:sz w:val="24"/>
                <w:szCs w:val="24"/>
                <w:lang w:val="en-US" w:eastAsia="zh-CN"/>
              </w:rPr>
              <w:t xml:space="preserve">常规污染物引用与建 </w:t>
            </w:r>
          </w:p>
          <w:p w14:paraId="1E27E90B">
            <w:pPr>
              <w:spacing w:line="360" w:lineRule="auto"/>
              <w:rPr>
                <w:rFonts w:hint="default" w:ascii="Times New Roman" w:hAnsi="Times New Roman" w:eastAsia="宋体" w:cs="Times New Roman"/>
                <w:color w:val="auto"/>
                <w:kern w:val="0"/>
                <w:sz w:val="24"/>
                <w:szCs w:val="24"/>
              </w:rPr>
            </w:pPr>
            <w:r>
              <w:rPr>
                <w:rFonts w:hint="eastAsia" w:ascii="Times New Roman" w:hAnsi="Times New Roman" w:eastAsia="宋体" w:cs="Times New Roman"/>
                <w:color w:val="auto"/>
                <w:kern w:val="0"/>
                <w:sz w:val="24"/>
                <w:szCs w:val="24"/>
                <w:lang w:val="en-US" w:eastAsia="zh-CN"/>
              </w:rPr>
              <w:t>设项目距离近的有效数据，包括近</w:t>
            </w:r>
            <w:r>
              <w:rPr>
                <w:rFonts w:hint="default" w:ascii="Times New Roman" w:hAnsi="Times New Roman" w:eastAsia="宋体" w:cs="Times New Roman"/>
                <w:color w:val="auto"/>
                <w:kern w:val="0"/>
                <w:sz w:val="24"/>
                <w:szCs w:val="24"/>
                <w:lang w:val="en-US" w:eastAsia="zh-CN"/>
              </w:rPr>
              <w:t>3</w:t>
            </w:r>
            <w:r>
              <w:rPr>
                <w:rFonts w:hint="eastAsia" w:ascii="Times New Roman" w:hAnsi="Times New Roman" w:eastAsia="宋体" w:cs="Times New Roman"/>
                <w:color w:val="auto"/>
                <w:kern w:val="0"/>
                <w:sz w:val="24"/>
                <w:szCs w:val="24"/>
                <w:lang w:val="en-US" w:eastAsia="zh-CN"/>
              </w:rPr>
              <w:t>年的规划环境影响评价的监测数据，国家、地方环境空气质量监测网数据或生态环境主管部门公开发布的质量数据等。</w:t>
            </w:r>
            <w:r>
              <w:rPr>
                <w:rFonts w:hint="default" w:ascii="Times New Roman" w:hAnsi="Times New Roman" w:eastAsia="宋体" w:cs="Times New Roman"/>
                <w:color w:val="auto"/>
                <w:kern w:val="0"/>
                <w:sz w:val="24"/>
                <w:szCs w:val="24"/>
                <w:lang w:val="en-US" w:eastAsia="zh-CN"/>
              </w:rPr>
              <w:t>”</w:t>
            </w:r>
            <w:r>
              <w:rPr>
                <w:rFonts w:hint="eastAsia" w:ascii="Times New Roman" w:hAnsi="Times New Roman" w:eastAsia="宋体" w:cs="Times New Roman"/>
                <w:color w:val="auto"/>
                <w:kern w:val="0"/>
                <w:sz w:val="24"/>
                <w:szCs w:val="24"/>
                <w:lang w:val="en-US" w:eastAsia="zh-CN"/>
              </w:rPr>
              <w:t>本次常规污染源引用《</w:t>
            </w:r>
            <w:r>
              <w:rPr>
                <w:rFonts w:hint="eastAsia" w:cs="Times New Roman"/>
                <w:color w:val="auto"/>
                <w:kern w:val="0"/>
                <w:sz w:val="24"/>
                <w:szCs w:val="24"/>
                <w:lang w:val="en-US" w:eastAsia="zh-CN"/>
              </w:rPr>
              <w:t>2024年芜湖市生态环境状况公报</w:t>
            </w:r>
            <w:r>
              <w:rPr>
                <w:rFonts w:hint="eastAsia" w:ascii="Times New Roman" w:hAnsi="Times New Roman" w:eastAsia="宋体" w:cs="Times New Roman"/>
                <w:color w:val="auto"/>
                <w:kern w:val="0"/>
                <w:sz w:val="24"/>
                <w:szCs w:val="24"/>
                <w:lang w:val="en-US" w:eastAsia="zh-CN"/>
              </w:rPr>
              <w:t xml:space="preserve">》进行大气环境质量现状评价。 </w:t>
            </w:r>
          </w:p>
          <w:p w14:paraId="7FE4B7B8">
            <w:pPr>
              <w:spacing w:line="360" w:lineRule="auto"/>
              <w:ind w:firstLine="480" w:firstLineChars="200"/>
              <w:rPr>
                <w:rFonts w:hint="default"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本次评价选取</w:t>
            </w:r>
            <w:r>
              <w:rPr>
                <w:rFonts w:hint="default" w:ascii="Times New Roman" w:hAnsi="Times New Roman" w:eastAsia="宋体" w:cs="Times New Roman"/>
                <w:color w:val="auto"/>
                <w:kern w:val="0"/>
                <w:sz w:val="24"/>
                <w:szCs w:val="24"/>
                <w:lang w:val="en-US" w:eastAsia="zh-CN"/>
              </w:rPr>
              <w:t>202</w:t>
            </w:r>
            <w:r>
              <w:rPr>
                <w:rFonts w:hint="eastAsia" w:cs="Times New Roman"/>
                <w:color w:val="auto"/>
                <w:kern w:val="0"/>
                <w:sz w:val="24"/>
                <w:szCs w:val="24"/>
                <w:lang w:val="en-US" w:eastAsia="zh-CN"/>
              </w:rPr>
              <w:t>4</w:t>
            </w:r>
            <w:r>
              <w:rPr>
                <w:rFonts w:hint="eastAsia" w:ascii="Times New Roman" w:hAnsi="Times New Roman" w:eastAsia="宋体" w:cs="Times New Roman"/>
                <w:color w:val="auto"/>
                <w:kern w:val="0"/>
                <w:sz w:val="24"/>
                <w:szCs w:val="24"/>
                <w:lang w:val="en-US" w:eastAsia="zh-CN"/>
              </w:rPr>
              <w:t>年作为评价基准年，根据《</w:t>
            </w:r>
            <w:r>
              <w:rPr>
                <w:rFonts w:hint="default" w:ascii="Times New Roman" w:hAnsi="Times New Roman" w:eastAsia="宋体" w:cs="Times New Roman"/>
                <w:color w:val="auto"/>
                <w:kern w:val="0"/>
                <w:sz w:val="24"/>
                <w:szCs w:val="24"/>
                <w:lang w:val="en-US" w:eastAsia="zh-CN"/>
              </w:rPr>
              <w:t>202</w:t>
            </w:r>
            <w:r>
              <w:rPr>
                <w:rFonts w:hint="eastAsia" w:ascii="Times New Roman" w:hAnsi="Times New Roman" w:eastAsia="宋体" w:cs="Times New Roman"/>
                <w:color w:val="auto"/>
                <w:kern w:val="0"/>
                <w:sz w:val="24"/>
                <w:szCs w:val="24"/>
                <w:lang w:val="en-US" w:eastAsia="zh-CN"/>
              </w:rPr>
              <w:t>4年芜湖市生态环境状况公报》，</w:t>
            </w:r>
            <w:r>
              <w:rPr>
                <w:rFonts w:hint="default" w:ascii="Times New Roman" w:hAnsi="Times New Roman" w:eastAsia="宋体" w:cs="Times New Roman"/>
                <w:color w:val="auto"/>
                <w:kern w:val="0"/>
                <w:sz w:val="24"/>
                <w:szCs w:val="24"/>
                <w:lang w:val="en-US" w:eastAsia="zh-CN"/>
              </w:rPr>
              <w:t>2024年，芜湖市优良天数为300天</w:t>
            </w:r>
            <w:r>
              <w:rPr>
                <w:rFonts w:hint="eastAsia" w:cs="Times New Roman"/>
                <w:color w:val="auto"/>
                <w:kern w:val="0"/>
                <w:sz w:val="24"/>
                <w:szCs w:val="24"/>
                <w:lang w:val="en-US" w:eastAsia="zh-CN"/>
              </w:rPr>
              <w:t>（</w:t>
            </w:r>
            <w:r>
              <w:rPr>
                <w:rFonts w:hint="default" w:ascii="Times New Roman" w:hAnsi="Times New Roman" w:eastAsia="宋体" w:cs="Times New Roman"/>
                <w:color w:val="auto"/>
                <w:kern w:val="0"/>
                <w:sz w:val="24"/>
                <w:szCs w:val="24"/>
                <w:lang w:val="en-US" w:eastAsia="zh-CN"/>
              </w:rPr>
              <w:t>优103天、良197天</w:t>
            </w:r>
            <w:r>
              <w:rPr>
                <w:rFonts w:hint="eastAsia" w:cs="Times New Roman"/>
                <w:color w:val="auto"/>
                <w:kern w:val="0"/>
                <w:sz w:val="24"/>
                <w:szCs w:val="24"/>
                <w:lang w:val="en-US" w:eastAsia="zh-CN"/>
              </w:rPr>
              <w:t>）</w:t>
            </w:r>
            <w:r>
              <w:rPr>
                <w:rFonts w:hint="default" w:ascii="Times New Roman" w:hAnsi="Times New Roman" w:eastAsia="宋体" w:cs="Times New Roman"/>
                <w:color w:val="auto"/>
                <w:kern w:val="0"/>
                <w:sz w:val="24"/>
                <w:szCs w:val="24"/>
                <w:lang w:val="en-US" w:eastAsia="zh-CN"/>
              </w:rPr>
              <w:t>，优良天数比例为82%，污染天数为66天</w:t>
            </w:r>
            <w:r>
              <w:rPr>
                <w:rFonts w:hint="eastAsia" w:cs="Times New Roman"/>
                <w:color w:val="auto"/>
                <w:kern w:val="0"/>
                <w:sz w:val="24"/>
                <w:szCs w:val="24"/>
                <w:lang w:val="en-US" w:eastAsia="zh-CN"/>
              </w:rPr>
              <w:t>（</w:t>
            </w:r>
            <w:r>
              <w:rPr>
                <w:rFonts w:hint="default" w:ascii="Times New Roman" w:hAnsi="Times New Roman" w:eastAsia="宋体" w:cs="Times New Roman"/>
                <w:color w:val="auto"/>
                <w:kern w:val="0"/>
                <w:sz w:val="24"/>
                <w:szCs w:val="24"/>
                <w:lang w:val="en-US" w:eastAsia="zh-CN"/>
              </w:rPr>
              <w:t>轻度污染59天，中度污染6天，重度污染1天</w:t>
            </w:r>
            <w:r>
              <w:rPr>
                <w:rFonts w:hint="eastAsia" w:cs="Times New Roman"/>
                <w:color w:val="auto"/>
                <w:kern w:val="0"/>
                <w:sz w:val="24"/>
                <w:szCs w:val="24"/>
                <w:lang w:val="en-US" w:eastAsia="zh-CN"/>
              </w:rPr>
              <w:t>）</w:t>
            </w:r>
            <w:r>
              <w:rPr>
                <w:rFonts w:hint="default" w:ascii="Times New Roman" w:hAnsi="Times New Roman" w:eastAsia="宋体" w:cs="Times New Roman"/>
                <w:color w:val="auto"/>
                <w:kern w:val="0"/>
                <w:sz w:val="24"/>
                <w:szCs w:val="24"/>
                <w:lang w:val="en-US" w:eastAsia="zh-CN"/>
              </w:rPr>
              <w:t>。</w:t>
            </w:r>
          </w:p>
          <w:p w14:paraId="4A5C1C9C">
            <w:pPr>
              <w:spacing w:line="360" w:lineRule="auto"/>
              <w:ind w:firstLine="480" w:firstLineChars="200"/>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color w:val="auto"/>
                <w:kern w:val="0"/>
                <w:sz w:val="24"/>
                <w:szCs w:val="24"/>
                <w:lang w:val="en-US" w:eastAsia="zh-CN"/>
              </w:rPr>
              <w:t>2024年芜湖市以N0</w:t>
            </w:r>
            <w:r>
              <w:rPr>
                <w:rFonts w:hint="eastAsia" w:cs="Times New Roman"/>
                <w:color w:val="auto"/>
                <w:kern w:val="0"/>
                <w:sz w:val="24"/>
                <w:szCs w:val="24"/>
                <w:vertAlign w:val="subscript"/>
                <w:lang w:val="en-US" w:eastAsia="zh-CN"/>
              </w:rPr>
              <w:t>2</w:t>
            </w:r>
            <w:r>
              <w:rPr>
                <w:rFonts w:hint="default" w:ascii="Times New Roman" w:hAnsi="Times New Roman" w:eastAsia="宋体" w:cs="Times New Roman"/>
                <w:color w:val="auto"/>
                <w:kern w:val="0"/>
                <w:sz w:val="24"/>
                <w:szCs w:val="24"/>
                <w:lang w:val="en-US" w:eastAsia="zh-CN"/>
              </w:rPr>
              <w:t>为首要污染物的天数为12天，占比3.3%</w:t>
            </w:r>
            <w:r>
              <w:rPr>
                <w:rFonts w:hint="eastAsia" w:cs="Times New Roman"/>
                <w:color w:val="auto"/>
                <w:kern w:val="0"/>
                <w:sz w:val="24"/>
                <w:szCs w:val="24"/>
                <w:lang w:val="en-US" w:eastAsia="zh-CN"/>
              </w:rPr>
              <w:t>；</w:t>
            </w:r>
            <w:r>
              <w:rPr>
                <w:rFonts w:hint="default" w:ascii="Times New Roman" w:hAnsi="Times New Roman" w:eastAsia="宋体" w:cs="Times New Roman"/>
                <w:color w:val="auto"/>
                <w:kern w:val="0"/>
                <w:sz w:val="24"/>
                <w:szCs w:val="24"/>
                <w:lang w:val="en-US" w:eastAsia="zh-CN"/>
              </w:rPr>
              <w:t>以</w:t>
            </w:r>
            <w:r>
              <w:rPr>
                <w:rFonts w:hint="eastAsia" w:cs="Times New Roman"/>
                <w:color w:val="auto"/>
                <w:kern w:val="0"/>
                <w:sz w:val="24"/>
                <w:szCs w:val="24"/>
                <w:lang w:val="en-US" w:eastAsia="zh-CN"/>
              </w:rPr>
              <w:t>O</w:t>
            </w:r>
            <w:r>
              <w:rPr>
                <w:rFonts w:hint="eastAsia" w:cs="Times New Roman"/>
                <w:color w:val="auto"/>
                <w:kern w:val="0"/>
                <w:sz w:val="24"/>
                <w:szCs w:val="24"/>
                <w:vertAlign w:val="subscript"/>
                <w:lang w:val="en-US" w:eastAsia="zh-CN"/>
              </w:rPr>
              <w:t>3</w:t>
            </w:r>
            <w:r>
              <w:rPr>
                <w:rFonts w:hint="eastAsia" w:cs="Times New Roman"/>
                <w:color w:val="auto"/>
                <w:kern w:val="0"/>
                <w:sz w:val="24"/>
                <w:szCs w:val="24"/>
                <w:lang w:val="en-US" w:eastAsia="zh-CN"/>
              </w:rPr>
              <w:t>（</w:t>
            </w:r>
            <w:r>
              <w:rPr>
                <w:rFonts w:hint="default" w:ascii="Times New Roman" w:hAnsi="Times New Roman" w:eastAsia="宋体" w:cs="Times New Roman"/>
                <w:color w:val="auto"/>
                <w:kern w:val="0"/>
                <w:sz w:val="24"/>
                <w:szCs w:val="24"/>
                <w:lang w:val="en-US" w:eastAsia="zh-CN"/>
              </w:rPr>
              <w:t>日最大8小时滑动平均</w:t>
            </w:r>
            <w:r>
              <w:rPr>
                <w:rFonts w:hint="eastAsia" w:cs="Times New Roman"/>
                <w:color w:val="auto"/>
                <w:kern w:val="0"/>
                <w:sz w:val="24"/>
                <w:szCs w:val="24"/>
                <w:lang w:val="en-US" w:eastAsia="zh-CN"/>
              </w:rPr>
              <w:t>）</w:t>
            </w:r>
            <w:r>
              <w:rPr>
                <w:rFonts w:hint="default" w:ascii="Times New Roman" w:hAnsi="Times New Roman" w:eastAsia="宋体" w:cs="Times New Roman"/>
                <w:color w:val="auto"/>
                <w:kern w:val="0"/>
                <w:sz w:val="24"/>
                <w:szCs w:val="24"/>
                <w:lang w:val="en-US" w:eastAsia="zh-CN"/>
              </w:rPr>
              <w:t>为首要污染物的天数为152天，占比41.5%</w:t>
            </w:r>
            <w:r>
              <w:rPr>
                <w:rFonts w:hint="eastAsia" w:cs="Times New Roman"/>
                <w:color w:val="auto"/>
                <w:kern w:val="0"/>
                <w:sz w:val="24"/>
                <w:szCs w:val="24"/>
                <w:lang w:val="en-US" w:eastAsia="zh-CN"/>
              </w:rPr>
              <w:t>；</w:t>
            </w:r>
            <w:r>
              <w:rPr>
                <w:rFonts w:hint="default" w:ascii="Times New Roman" w:hAnsi="Times New Roman" w:eastAsia="宋体" w:cs="Times New Roman"/>
                <w:color w:val="auto"/>
                <w:kern w:val="0"/>
                <w:sz w:val="24"/>
                <w:szCs w:val="24"/>
                <w:lang w:val="en-US" w:eastAsia="zh-CN"/>
              </w:rPr>
              <w:t>以PM</w:t>
            </w:r>
            <w:r>
              <w:rPr>
                <w:rFonts w:hint="eastAsia" w:cs="Times New Roman"/>
                <w:color w:val="auto"/>
                <w:kern w:val="0"/>
                <w:sz w:val="24"/>
                <w:szCs w:val="24"/>
                <w:vertAlign w:val="subscript"/>
                <w:lang w:val="en-US" w:eastAsia="zh-CN"/>
              </w:rPr>
              <w:t>10</w:t>
            </w:r>
            <w:r>
              <w:rPr>
                <w:rFonts w:hint="default" w:ascii="Times New Roman" w:hAnsi="Times New Roman" w:eastAsia="宋体" w:cs="Times New Roman"/>
                <w:color w:val="auto"/>
                <w:kern w:val="0"/>
                <w:sz w:val="24"/>
                <w:szCs w:val="24"/>
                <w:lang w:val="en-US" w:eastAsia="zh-CN"/>
              </w:rPr>
              <w:t>为首要污染物的天数为31天，占比8.5%</w:t>
            </w:r>
            <w:r>
              <w:rPr>
                <w:rFonts w:hint="eastAsia" w:cs="Times New Roman"/>
                <w:color w:val="auto"/>
                <w:kern w:val="0"/>
                <w:sz w:val="24"/>
                <w:szCs w:val="24"/>
                <w:lang w:val="en-US" w:eastAsia="zh-CN"/>
              </w:rPr>
              <w:t>；</w:t>
            </w:r>
            <w:r>
              <w:rPr>
                <w:rFonts w:hint="default" w:ascii="Times New Roman" w:hAnsi="Times New Roman" w:eastAsia="宋体" w:cs="Times New Roman"/>
                <w:color w:val="auto"/>
                <w:kern w:val="0"/>
                <w:sz w:val="24"/>
                <w:szCs w:val="24"/>
                <w:lang w:val="en-US" w:eastAsia="zh-CN"/>
              </w:rPr>
              <w:t>以PM</w:t>
            </w:r>
            <w:r>
              <w:rPr>
                <w:rFonts w:hint="eastAsia" w:cs="Times New Roman"/>
                <w:color w:val="auto"/>
                <w:kern w:val="0"/>
                <w:sz w:val="24"/>
                <w:szCs w:val="24"/>
                <w:vertAlign w:val="subscript"/>
                <w:lang w:val="en-US" w:eastAsia="zh-CN"/>
              </w:rPr>
              <w:t>2.5</w:t>
            </w:r>
            <w:r>
              <w:rPr>
                <w:rFonts w:hint="default" w:ascii="Times New Roman" w:hAnsi="Times New Roman" w:eastAsia="宋体" w:cs="Times New Roman"/>
                <w:color w:val="auto"/>
                <w:kern w:val="0"/>
                <w:sz w:val="24"/>
                <w:szCs w:val="24"/>
                <w:lang w:val="en-US" w:eastAsia="zh-CN"/>
              </w:rPr>
              <w:t>为首要污染物的天数为72天，占比19.7%</w:t>
            </w:r>
            <w:r>
              <w:rPr>
                <w:rFonts w:hint="eastAsia" w:cs="Times New Roman"/>
                <w:color w:val="auto"/>
                <w:kern w:val="0"/>
                <w:sz w:val="24"/>
                <w:szCs w:val="24"/>
                <w:lang w:val="en-US" w:eastAsia="zh-CN"/>
              </w:rPr>
              <w:t>（</w:t>
            </w:r>
            <w:r>
              <w:rPr>
                <w:rFonts w:hint="default" w:ascii="Times New Roman" w:hAnsi="Times New Roman" w:eastAsia="宋体" w:cs="Times New Roman"/>
                <w:color w:val="auto"/>
                <w:kern w:val="0"/>
                <w:sz w:val="24"/>
                <w:szCs w:val="24"/>
                <w:lang w:val="en-US" w:eastAsia="zh-CN"/>
              </w:rPr>
              <w:t>部分天数同时存在多个首要污染物</w:t>
            </w:r>
            <w:r>
              <w:rPr>
                <w:rFonts w:hint="eastAsia" w:cs="Times New Roman"/>
                <w:color w:val="auto"/>
                <w:kern w:val="0"/>
                <w:sz w:val="24"/>
                <w:szCs w:val="24"/>
                <w:lang w:val="en-US" w:eastAsia="zh-CN"/>
              </w:rPr>
              <w:t>）</w:t>
            </w:r>
            <w:r>
              <w:rPr>
                <w:rFonts w:hint="default" w:ascii="Times New Roman" w:hAnsi="Times New Roman" w:eastAsia="宋体" w:cs="Times New Roman"/>
                <w:color w:val="auto"/>
                <w:kern w:val="0"/>
                <w:sz w:val="24"/>
                <w:szCs w:val="24"/>
                <w:lang w:val="en-US" w:eastAsia="zh-CN"/>
              </w:rPr>
              <w:t>。</w:t>
            </w:r>
          </w:p>
          <w:p w14:paraId="52012F4C">
            <w:pPr>
              <w:spacing w:line="360" w:lineRule="auto"/>
              <w:ind w:firstLine="48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lang w:val="en-US" w:eastAsia="zh-CN"/>
              </w:rPr>
              <w:t>202</w:t>
            </w:r>
            <w:r>
              <w:rPr>
                <w:rFonts w:hint="eastAsia" w:cs="Times New Roman"/>
                <w:color w:val="auto"/>
                <w:kern w:val="0"/>
                <w:sz w:val="24"/>
                <w:szCs w:val="24"/>
                <w:lang w:val="en-US" w:eastAsia="zh-CN"/>
              </w:rPr>
              <w:t>4</w:t>
            </w:r>
            <w:r>
              <w:rPr>
                <w:rFonts w:hint="eastAsia" w:ascii="Times New Roman" w:hAnsi="Times New Roman" w:eastAsia="宋体" w:cs="Times New Roman"/>
                <w:color w:val="auto"/>
                <w:kern w:val="0"/>
                <w:sz w:val="24"/>
                <w:szCs w:val="24"/>
                <w:lang w:val="en-US" w:eastAsia="zh-CN"/>
              </w:rPr>
              <w:t>年，各污染物指标监测见下表。</w:t>
            </w:r>
          </w:p>
          <w:p w14:paraId="4172AA31">
            <w:pPr>
              <w:pStyle w:val="78"/>
              <w:keepNext w:val="0"/>
              <w:keepLines w:val="0"/>
              <w:pageBreakBefore w:val="0"/>
              <w:widowControl w:val="0"/>
              <w:kinsoku/>
              <w:wordWrap/>
              <w:overflowPunct/>
              <w:topLinePunct w:val="0"/>
              <w:autoSpaceDE w:val="0"/>
              <w:autoSpaceDN w:val="0"/>
              <w:bidi w:val="0"/>
              <w:adjustRightInd w:val="0"/>
              <w:snapToGrid/>
              <w:spacing w:line="240" w:lineRule="auto"/>
              <w:ind w:firstLine="482"/>
              <w:jc w:val="center"/>
              <w:textAlignment w:val="auto"/>
              <w:rPr>
                <w:rFonts w:hint="default" w:ascii="Times New Roman" w:hAnsi="Times New Roman" w:eastAsia="宋体" w:cs="Times New Roman"/>
                <w:b/>
                <w:color w:val="auto"/>
                <w:spacing w:val="-2"/>
                <w:kern w:val="28"/>
                <w:sz w:val="24"/>
                <w:szCs w:val="24"/>
                <w:vertAlign w:val="superscript"/>
              </w:rPr>
            </w:pPr>
            <w:r>
              <w:rPr>
                <w:rFonts w:hint="default" w:ascii="Times New Roman" w:hAnsi="Times New Roman" w:eastAsia="宋体" w:cs="Times New Roman"/>
                <w:b/>
                <w:color w:val="auto"/>
                <w:spacing w:val="-2"/>
                <w:kern w:val="28"/>
                <w:sz w:val="24"/>
                <w:szCs w:val="24"/>
              </w:rPr>
              <w:t>表3-</w:t>
            </w:r>
            <w:r>
              <w:rPr>
                <w:rFonts w:hint="default" w:ascii="Times New Roman" w:hAnsi="Times New Roman" w:eastAsia="宋体" w:cs="Times New Roman"/>
                <w:b/>
                <w:color w:val="auto"/>
                <w:spacing w:val="-2"/>
                <w:kern w:val="28"/>
                <w:sz w:val="24"/>
                <w:szCs w:val="24"/>
                <w:lang w:val="en-US" w:eastAsia="zh-CN"/>
              </w:rPr>
              <w:t xml:space="preserve">1 </w:t>
            </w:r>
            <w:r>
              <w:rPr>
                <w:rFonts w:hint="default" w:ascii="Times New Roman" w:hAnsi="Times New Roman" w:eastAsia="宋体" w:cs="Times New Roman"/>
                <w:b/>
                <w:color w:val="auto"/>
                <w:spacing w:val="-2"/>
                <w:kern w:val="28"/>
                <w:sz w:val="24"/>
                <w:szCs w:val="24"/>
              </w:rPr>
              <w:t xml:space="preserve"> </w:t>
            </w:r>
            <w:r>
              <w:rPr>
                <w:rFonts w:hint="default" w:ascii="Times New Roman" w:hAnsi="Times New Roman" w:eastAsia="宋体" w:cs="Times New Roman"/>
                <w:b/>
                <w:color w:val="auto"/>
                <w:kern w:val="0"/>
                <w:sz w:val="24"/>
                <w:szCs w:val="24"/>
                <w:lang w:val="en-US" w:eastAsia="zh-CN" w:bidi="ar-SA"/>
              </w:rPr>
              <w:t>区域环境空气质量现状监测</w:t>
            </w:r>
            <w:r>
              <w:rPr>
                <w:rFonts w:hint="default" w:ascii="Times New Roman" w:hAnsi="Times New Roman" w:eastAsia="宋体" w:cs="Times New Roman"/>
                <w:b/>
                <w:color w:val="auto"/>
                <w:spacing w:val="-2"/>
                <w:kern w:val="28"/>
                <w:sz w:val="24"/>
                <w:szCs w:val="24"/>
              </w:rPr>
              <w:t>结果  单位：μg/m</w:t>
            </w:r>
            <w:r>
              <w:rPr>
                <w:rFonts w:hint="default" w:ascii="Times New Roman" w:hAnsi="Times New Roman" w:eastAsia="宋体" w:cs="Times New Roman"/>
                <w:b/>
                <w:color w:val="auto"/>
                <w:spacing w:val="-2"/>
                <w:kern w:val="28"/>
                <w:sz w:val="24"/>
                <w:szCs w:val="24"/>
                <w:vertAlign w:val="superscript"/>
              </w:rPr>
              <w:t>3</w:t>
            </w:r>
          </w:p>
          <w:tbl>
            <w:tblPr>
              <w:tblStyle w:val="6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5"/>
              <w:gridCol w:w="1959"/>
              <w:gridCol w:w="1204"/>
              <w:gridCol w:w="1455"/>
              <w:gridCol w:w="1391"/>
              <w:gridCol w:w="1483"/>
            </w:tblGrid>
            <w:tr w14:paraId="0F569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85" w:type="pct"/>
                  <w:shd w:val="clear" w:color="auto" w:fill="FFFFFF"/>
                  <w:noWrap w:val="0"/>
                  <w:vAlign w:val="center"/>
                </w:tcPr>
                <w:p w14:paraId="51853F96">
                  <w:pPr>
                    <w:pStyle w:val="78"/>
                    <w:keepNext w:val="0"/>
                    <w:keepLines w:val="0"/>
                    <w:pageBreakBefore w:val="0"/>
                    <w:kinsoku/>
                    <w:wordWrap/>
                    <w:overflowPunct/>
                    <w:topLinePunct w:val="0"/>
                    <w:bidi w:val="0"/>
                    <w:snapToGrid/>
                    <w:spacing w:line="240" w:lineRule="auto"/>
                    <w:ind w:firstLine="0" w:firstLineChars="0"/>
                    <w:jc w:val="center"/>
                    <w:textAlignment w:val="auto"/>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站点</w:t>
                  </w:r>
                </w:p>
              </w:tc>
              <w:tc>
                <w:tcPr>
                  <w:tcW w:w="1180" w:type="pct"/>
                  <w:shd w:val="clear" w:color="auto" w:fill="FFFFFF"/>
                  <w:noWrap w:val="0"/>
                  <w:vAlign w:val="center"/>
                </w:tcPr>
                <w:p w14:paraId="058D9B57">
                  <w:pPr>
                    <w:pStyle w:val="78"/>
                    <w:keepNext w:val="0"/>
                    <w:keepLines w:val="0"/>
                    <w:pageBreakBefore w:val="0"/>
                    <w:kinsoku/>
                    <w:wordWrap/>
                    <w:overflowPunct/>
                    <w:topLinePunct w:val="0"/>
                    <w:bidi w:val="0"/>
                    <w:snapToGrid/>
                    <w:spacing w:line="240" w:lineRule="auto"/>
                    <w:ind w:firstLine="0" w:firstLineChars="0"/>
                    <w:jc w:val="center"/>
                    <w:textAlignment w:val="auto"/>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sz w:val="21"/>
                      <w:szCs w:val="21"/>
                    </w:rPr>
                    <w:t>污染物</w:t>
                  </w:r>
                </w:p>
              </w:tc>
              <w:tc>
                <w:tcPr>
                  <w:tcW w:w="725" w:type="pct"/>
                  <w:shd w:val="clear" w:color="auto" w:fill="FFFFFF"/>
                  <w:noWrap w:val="0"/>
                  <w:vAlign w:val="center"/>
                </w:tcPr>
                <w:p w14:paraId="101495C8">
                  <w:pPr>
                    <w:pStyle w:val="78"/>
                    <w:keepNext w:val="0"/>
                    <w:keepLines w:val="0"/>
                    <w:pageBreakBefore w:val="0"/>
                    <w:kinsoku/>
                    <w:wordWrap/>
                    <w:overflowPunct/>
                    <w:topLinePunct w:val="0"/>
                    <w:bidi w:val="0"/>
                    <w:snapToGrid/>
                    <w:spacing w:line="240" w:lineRule="auto"/>
                    <w:ind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年评价</w:t>
                  </w:r>
                </w:p>
                <w:p w14:paraId="321EE5C4">
                  <w:pPr>
                    <w:pStyle w:val="78"/>
                    <w:keepNext w:val="0"/>
                    <w:keepLines w:val="0"/>
                    <w:pageBreakBefore w:val="0"/>
                    <w:kinsoku/>
                    <w:wordWrap/>
                    <w:overflowPunct/>
                    <w:topLinePunct w:val="0"/>
                    <w:bidi w:val="0"/>
                    <w:snapToGrid/>
                    <w:spacing w:line="240" w:lineRule="auto"/>
                    <w:ind w:firstLine="0" w:firstLineChars="0"/>
                    <w:jc w:val="center"/>
                    <w:textAlignment w:val="auto"/>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sz w:val="21"/>
                      <w:szCs w:val="21"/>
                    </w:rPr>
                    <w:t>指标</w:t>
                  </w:r>
                </w:p>
              </w:tc>
              <w:tc>
                <w:tcPr>
                  <w:tcW w:w="876" w:type="pct"/>
                  <w:shd w:val="clear" w:color="auto" w:fill="FFFFFF"/>
                  <w:noWrap w:val="0"/>
                  <w:vAlign w:val="center"/>
                </w:tcPr>
                <w:p w14:paraId="3C0D745E">
                  <w:pPr>
                    <w:pStyle w:val="78"/>
                    <w:keepNext w:val="0"/>
                    <w:keepLines w:val="0"/>
                    <w:pageBreakBefore w:val="0"/>
                    <w:kinsoku/>
                    <w:wordWrap/>
                    <w:overflowPunct/>
                    <w:topLinePunct w:val="0"/>
                    <w:bidi w:val="0"/>
                    <w:snapToGrid/>
                    <w:spacing w:line="240" w:lineRule="auto"/>
                    <w:ind w:firstLine="0" w:firstLineChars="0"/>
                    <w:jc w:val="center"/>
                    <w:textAlignment w:val="auto"/>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sz w:val="21"/>
                      <w:szCs w:val="21"/>
                    </w:rPr>
                    <w:t>现状浓度/（μg/m</w:t>
                  </w:r>
                  <w:r>
                    <w:rPr>
                      <w:rFonts w:hint="default" w:ascii="Times New Roman" w:hAnsi="Times New Roman" w:eastAsia="宋体" w:cs="Times New Roman"/>
                      <w:b/>
                      <w:bCs/>
                      <w:color w:val="auto"/>
                      <w:sz w:val="21"/>
                      <w:szCs w:val="21"/>
                      <w:vertAlign w:val="superscript"/>
                    </w:rPr>
                    <w:t>3</w:t>
                  </w:r>
                  <w:r>
                    <w:rPr>
                      <w:rFonts w:hint="default" w:ascii="Times New Roman" w:hAnsi="Times New Roman" w:eastAsia="宋体" w:cs="Times New Roman"/>
                      <w:b/>
                      <w:bCs/>
                      <w:color w:val="auto"/>
                      <w:sz w:val="21"/>
                      <w:szCs w:val="21"/>
                    </w:rPr>
                    <w:t>）</w:t>
                  </w:r>
                </w:p>
              </w:tc>
              <w:tc>
                <w:tcPr>
                  <w:tcW w:w="838" w:type="pct"/>
                  <w:shd w:val="clear" w:color="auto" w:fill="FFFFFF"/>
                  <w:noWrap w:val="0"/>
                  <w:vAlign w:val="center"/>
                </w:tcPr>
                <w:p w14:paraId="71AEB523">
                  <w:pPr>
                    <w:pStyle w:val="78"/>
                    <w:keepNext w:val="0"/>
                    <w:keepLines w:val="0"/>
                    <w:pageBreakBefore w:val="0"/>
                    <w:kinsoku/>
                    <w:wordWrap/>
                    <w:overflowPunct/>
                    <w:topLinePunct w:val="0"/>
                    <w:bidi w:val="0"/>
                    <w:snapToGrid/>
                    <w:spacing w:line="240" w:lineRule="auto"/>
                    <w:ind w:firstLine="0" w:firstLineChars="0"/>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标准值/（μg/m</w:t>
                  </w:r>
                  <w:r>
                    <w:rPr>
                      <w:rFonts w:hint="default" w:ascii="Times New Roman" w:hAnsi="Times New Roman" w:eastAsia="宋体" w:cs="Times New Roman"/>
                      <w:b/>
                      <w:bCs/>
                      <w:color w:val="auto"/>
                      <w:sz w:val="21"/>
                      <w:szCs w:val="21"/>
                      <w:vertAlign w:val="superscript"/>
                    </w:rPr>
                    <w:t>3</w:t>
                  </w:r>
                  <w:r>
                    <w:rPr>
                      <w:rFonts w:hint="default" w:ascii="Times New Roman" w:hAnsi="Times New Roman" w:eastAsia="宋体" w:cs="Times New Roman"/>
                      <w:b/>
                      <w:bCs/>
                      <w:color w:val="auto"/>
                      <w:sz w:val="21"/>
                      <w:szCs w:val="21"/>
                    </w:rPr>
                    <w:t>）</w:t>
                  </w:r>
                </w:p>
              </w:tc>
              <w:tc>
                <w:tcPr>
                  <w:tcW w:w="893" w:type="pct"/>
                  <w:shd w:val="clear" w:color="auto" w:fill="FFFFFF"/>
                  <w:noWrap w:val="0"/>
                  <w:vAlign w:val="center"/>
                </w:tcPr>
                <w:p w14:paraId="61A712D8">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sz w:val="21"/>
                      <w:szCs w:val="21"/>
                    </w:rPr>
                    <w:t>达标情况</w:t>
                  </w:r>
                </w:p>
              </w:tc>
            </w:tr>
            <w:tr w14:paraId="428F1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85" w:type="pct"/>
                  <w:vMerge w:val="restart"/>
                  <w:shd w:val="clear" w:color="auto" w:fill="FFFFFF"/>
                  <w:noWrap w:val="0"/>
                  <w:vAlign w:val="center"/>
                </w:tcPr>
                <w:p w14:paraId="64400F43">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r>
                    <w:rPr>
                      <w:rFonts w:hint="eastAsia" w:cs="Times New Roman"/>
                      <w:b w:val="0"/>
                      <w:bCs w:val="0"/>
                      <w:color w:val="auto"/>
                      <w:kern w:val="0"/>
                      <w:sz w:val="21"/>
                      <w:szCs w:val="21"/>
                      <w:lang w:eastAsia="zh-CN"/>
                    </w:rPr>
                    <w:t>芜湖市</w:t>
                  </w:r>
                  <w:r>
                    <w:rPr>
                      <w:rFonts w:hint="default" w:ascii="Times New Roman" w:hAnsi="Times New Roman" w:eastAsia="宋体" w:cs="Times New Roman"/>
                      <w:b w:val="0"/>
                      <w:bCs w:val="0"/>
                      <w:color w:val="auto"/>
                      <w:kern w:val="0"/>
                      <w:sz w:val="21"/>
                      <w:szCs w:val="21"/>
                    </w:rPr>
                    <w:t>站点</w:t>
                  </w:r>
                </w:p>
              </w:tc>
              <w:tc>
                <w:tcPr>
                  <w:tcW w:w="1180" w:type="pct"/>
                  <w:shd w:val="clear" w:color="auto" w:fill="FFFFFF"/>
                  <w:noWrap w:val="0"/>
                  <w:vAlign w:val="center"/>
                </w:tcPr>
                <w:p w14:paraId="6E36FCE8">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r>
                    <w:rPr>
                      <w:rFonts w:hint="default" w:ascii="Times New Roman" w:hAnsi="Times New Roman" w:eastAsia="宋体" w:cs="Times New Roman"/>
                      <w:b w:val="0"/>
                      <w:bCs w:val="0"/>
                      <w:color w:val="auto"/>
                      <w:kern w:val="0"/>
                      <w:sz w:val="21"/>
                      <w:szCs w:val="21"/>
                    </w:rPr>
                    <w:t>SO</w:t>
                  </w:r>
                  <w:r>
                    <w:rPr>
                      <w:rFonts w:hint="default" w:ascii="Times New Roman" w:hAnsi="Times New Roman" w:eastAsia="宋体" w:cs="Times New Roman"/>
                      <w:b w:val="0"/>
                      <w:bCs w:val="0"/>
                      <w:color w:val="auto"/>
                      <w:kern w:val="0"/>
                      <w:sz w:val="21"/>
                      <w:szCs w:val="21"/>
                      <w:vertAlign w:val="subscript"/>
                    </w:rPr>
                    <w:t>2</w:t>
                  </w:r>
                </w:p>
              </w:tc>
              <w:tc>
                <w:tcPr>
                  <w:tcW w:w="725" w:type="pct"/>
                  <w:vMerge w:val="restart"/>
                  <w:shd w:val="clear" w:color="auto" w:fill="FFFFFF"/>
                  <w:noWrap w:val="0"/>
                  <w:vAlign w:val="center"/>
                </w:tcPr>
                <w:p w14:paraId="1AF33834">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r>
                    <w:rPr>
                      <w:rFonts w:hint="default" w:ascii="Times New Roman" w:hAnsi="Times New Roman" w:eastAsia="宋体" w:cs="Times New Roman"/>
                      <w:b w:val="0"/>
                      <w:bCs w:val="0"/>
                      <w:color w:val="auto"/>
                      <w:kern w:val="0"/>
                      <w:sz w:val="21"/>
                      <w:szCs w:val="21"/>
                    </w:rPr>
                    <w:t>202</w:t>
                  </w:r>
                  <w:r>
                    <w:rPr>
                      <w:rFonts w:hint="eastAsia" w:cs="Times New Roman"/>
                      <w:b w:val="0"/>
                      <w:bCs w:val="0"/>
                      <w:color w:val="auto"/>
                      <w:kern w:val="0"/>
                      <w:sz w:val="21"/>
                      <w:szCs w:val="21"/>
                      <w:lang w:val="en-US" w:eastAsia="zh-CN"/>
                    </w:rPr>
                    <w:t>4</w:t>
                  </w:r>
                  <w:r>
                    <w:rPr>
                      <w:rFonts w:hint="default" w:ascii="Times New Roman" w:hAnsi="Times New Roman" w:eastAsia="宋体" w:cs="Times New Roman"/>
                      <w:b w:val="0"/>
                      <w:bCs w:val="0"/>
                      <w:color w:val="auto"/>
                      <w:kern w:val="0"/>
                      <w:sz w:val="21"/>
                      <w:szCs w:val="21"/>
                    </w:rPr>
                    <w:t>年</w:t>
                  </w:r>
                </w:p>
                <w:p w14:paraId="1B03F23D">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r>
                    <w:rPr>
                      <w:rFonts w:hint="default" w:ascii="Times New Roman" w:hAnsi="Times New Roman" w:eastAsia="宋体" w:cs="Times New Roman"/>
                      <w:b w:val="0"/>
                      <w:bCs w:val="0"/>
                      <w:color w:val="auto"/>
                      <w:kern w:val="0"/>
                      <w:sz w:val="21"/>
                      <w:szCs w:val="21"/>
                    </w:rPr>
                    <w:t>年均值</w:t>
                  </w:r>
                </w:p>
              </w:tc>
              <w:tc>
                <w:tcPr>
                  <w:tcW w:w="876" w:type="pct"/>
                  <w:shd w:val="clear" w:color="auto" w:fill="FFFFFF"/>
                  <w:noWrap w:val="0"/>
                  <w:vAlign w:val="center"/>
                </w:tcPr>
                <w:p w14:paraId="1F00C888">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lang w:eastAsia="zh-CN"/>
                    </w:rPr>
                  </w:pPr>
                  <w:r>
                    <w:rPr>
                      <w:rFonts w:hint="eastAsia" w:cs="Times New Roman"/>
                      <w:b w:val="0"/>
                      <w:bCs w:val="0"/>
                      <w:color w:val="auto"/>
                      <w:kern w:val="0"/>
                      <w:sz w:val="21"/>
                      <w:szCs w:val="21"/>
                      <w:lang w:val="en-US" w:eastAsia="zh-CN"/>
                    </w:rPr>
                    <w:t>8</w:t>
                  </w:r>
                </w:p>
              </w:tc>
              <w:tc>
                <w:tcPr>
                  <w:tcW w:w="838" w:type="pct"/>
                  <w:shd w:val="clear" w:color="auto" w:fill="FFFFFF"/>
                  <w:noWrap w:val="0"/>
                  <w:vAlign w:val="center"/>
                </w:tcPr>
                <w:p w14:paraId="5F7978F0">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r>
                    <w:rPr>
                      <w:rFonts w:hint="default" w:ascii="Times New Roman" w:hAnsi="Times New Roman" w:eastAsia="宋体" w:cs="Times New Roman"/>
                      <w:b w:val="0"/>
                      <w:bCs w:val="0"/>
                      <w:color w:val="auto"/>
                      <w:kern w:val="0"/>
                      <w:sz w:val="21"/>
                      <w:szCs w:val="21"/>
                    </w:rPr>
                    <w:t>60</w:t>
                  </w:r>
                </w:p>
              </w:tc>
              <w:tc>
                <w:tcPr>
                  <w:tcW w:w="893" w:type="pct"/>
                  <w:shd w:val="clear" w:color="auto" w:fill="FFFFFF"/>
                  <w:noWrap w:val="0"/>
                  <w:vAlign w:val="center"/>
                </w:tcPr>
                <w:p w14:paraId="5912FC7E">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r>
                    <w:rPr>
                      <w:rFonts w:hint="default" w:ascii="Times New Roman" w:hAnsi="Times New Roman" w:eastAsia="宋体" w:cs="Times New Roman"/>
                      <w:b w:val="0"/>
                      <w:bCs w:val="0"/>
                      <w:color w:val="auto"/>
                      <w:kern w:val="0"/>
                      <w:sz w:val="21"/>
                      <w:szCs w:val="21"/>
                    </w:rPr>
                    <w:t>达标</w:t>
                  </w:r>
                </w:p>
              </w:tc>
            </w:tr>
            <w:tr w14:paraId="306D5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85" w:type="pct"/>
                  <w:vMerge w:val="continue"/>
                  <w:shd w:val="clear" w:color="auto" w:fill="FFFFFF"/>
                  <w:noWrap w:val="0"/>
                  <w:vAlign w:val="center"/>
                </w:tcPr>
                <w:p w14:paraId="69F6C6EB">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p>
              </w:tc>
              <w:tc>
                <w:tcPr>
                  <w:tcW w:w="1180" w:type="pct"/>
                  <w:shd w:val="clear" w:color="auto" w:fill="FFFFFF"/>
                  <w:noWrap w:val="0"/>
                  <w:vAlign w:val="center"/>
                </w:tcPr>
                <w:p w14:paraId="2B9A9CA6">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r>
                    <w:rPr>
                      <w:rFonts w:hint="default" w:ascii="Times New Roman" w:hAnsi="Times New Roman" w:eastAsia="宋体" w:cs="Times New Roman"/>
                      <w:b w:val="0"/>
                      <w:bCs w:val="0"/>
                      <w:color w:val="auto"/>
                      <w:kern w:val="0"/>
                      <w:sz w:val="21"/>
                      <w:szCs w:val="21"/>
                    </w:rPr>
                    <w:t>NO</w:t>
                  </w:r>
                  <w:r>
                    <w:rPr>
                      <w:rFonts w:hint="default" w:ascii="Times New Roman" w:hAnsi="Times New Roman" w:eastAsia="宋体" w:cs="Times New Roman"/>
                      <w:b w:val="0"/>
                      <w:bCs w:val="0"/>
                      <w:color w:val="auto"/>
                      <w:kern w:val="0"/>
                      <w:sz w:val="21"/>
                      <w:szCs w:val="21"/>
                      <w:vertAlign w:val="subscript"/>
                    </w:rPr>
                    <w:t>2</w:t>
                  </w:r>
                </w:p>
              </w:tc>
              <w:tc>
                <w:tcPr>
                  <w:tcW w:w="725" w:type="pct"/>
                  <w:vMerge w:val="continue"/>
                  <w:shd w:val="clear" w:color="auto" w:fill="FFFFFF"/>
                  <w:noWrap w:val="0"/>
                  <w:vAlign w:val="center"/>
                </w:tcPr>
                <w:p w14:paraId="782F91E0">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p>
              </w:tc>
              <w:tc>
                <w:tcPr>
                  <w:tcW w:w="876" w:type="pct"/>
                  <w:shd w:val="clear" w:color="auto" w:fill="FFFFFF"/>
                  <w:noWrap w:val="0"/>
                  <w:vAlign w:val="center"/>
                </w:tcPr>
                <w:p w14:paraId="18968E94">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lang w:val="en-US" w:eastAsia="zh-CN"/>
                    </w:rPr>
                  </w:pPr>
                  <w:r>
                    <w:rPr>
                      <w:rFonts w:hint="eastAsia" w:cs="Times New Roman"/>
                      <w:b w:val="0"/>
                      <w:bCs w:val="0"/>
                      <w:color w:val="auto"/>
                      <w:kern w:val="0"/>
                      <w:sz w:val="21"/>
                      <w:szCs w:val="21"/>
                      <w:lang w:val="en-US" w:eastAsia="zh-CN"/>
                    </w:rPr>
                    <w:t>30</w:t>
                  </w:r>
                </w:p>
              </w:tc>
              <w:tc>
                <w:tcPr>
                  <w:tcW w:w="838" w:type="pct"/>
                  <w:shd w:val="clear" w:color="auto" w:fill="FFFFFF"/>
                  <w:noWrap w:val="0"/>
                  <w:vAlign w:val="center"/>
                </w:tcPr>
                <w:p w14:paraId="35815471">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r>
                    <w:rPr>
                      <w:rFonts w:hint="default" w:ascii="Times New Roman" w:hAnsi="Times New Roman" w:eastAsia="宋体" w:cs="Times New Roman"/>
                      <w:b w:val="0"/>
                      <w:bCs w:val="0"/>
                      <w:color w:val="auto"/>
                      <w:kern w:val="0"/>
                      <w:sz w:val="21"/>
                      <w:szCs w:val="21"/>
                    </w:rPr>
                    <w:t>40</w:t>
                  </w:r>
                </w:p>
              </w:tc>
              <w:tc>
                <w:tcPr>
                  <w:tcW w:w="893" w:type="pct"/>
                  <w:shd w:val="clear" w:color="auto" w:fill="FFFFFF"/>
                  <w:noWrap w:val="0"/>
                  <w:vAlign w:val="center"/>
                </w:tcPr>
                <w:p w14:paraId="58ACB2B3">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r>
                    <w:rPr>
                      <w:rFonts w:hint="default" w:ascii="Times New Roman" w:hAnsi="Times New Roman" w:eastAsia="宋体" w:cs="Times New Roman"/>
                      <w:b w:val="0"/>
                      <w:bCs w:val="0"/>
                      <w:color w:val="auto"/>
                      <w:kern w:val="0"/>
                      <w:sz w:val="21"/>
                      <w:szCs w:val="21"/>
                    </w:rPr>
                    <w:t>达标</w:t>
                  </w:r>
                </w:p>
              </w:tc>
            </w:tr>
            <w:tr w14:paraId="75AC7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85" w:type="pct"/>
                  <w:vMerge w:val="continue"/>
                  <w:shd w:val="clear" w:color="auto" w:fill="FFFFFF"/>
                  <w:noWrap w:val="0"/>
                  <w:vAlign w:val="center"/>
                </w:tcPr>
                <w:p w14:paraId="2566207E">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p>
              </w:tc>
              <w:tc>
                <w:tcPr>
                  <w:tcW w:w="1180" w:type="pct"/>
                  <w:shd w:val="clear" w:color="auto" w:fill="FFFFFF"/>
                  <w:noWrap w:val="0"/>
                  <w:vAlign w:val="center"/>
                </w:tcPr>
                <w:p w14:paraId="00780102">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r>
                    <w:rPr>
                      <w:rFonts w:hint="default" w:ascii="Times New Roman" w:hAnsi="Times New Roman" w:eastAsia="宋体" w:cs="Times New Roman"/>
                      <w:b w:val="0"/>
                      <w:bCs w:val="0"/>
                      <w:color w:val="auto"/>
                      <w:kern w:val="0"/>
                      <w:sz w:val="21"/>
                      <w:szCs w:val="21"/>
                    </w:rPr>
                    <w:t>PM</w:t>
                  </w:r>
                  <w:r>
                    <w:rPr>
                      <w:rFonts w:hint="default" w:ascii="Times New Roman" w:hAnsi="Times New Roman" w:eastAsia="宋体" w:cs="Times New Roman"/>
                      <w:b w:val="0"/>
                      <w:bCs w:val="0"/>
                      <w:color w:val="auto"/>
                      <w:kern w:val="0"/>
                      <w:sz w:val="21"/>
                      <w:szCs w:val="21"/>
                      <w:vertAlign w:val="subscript"/>
                    </w:rPr>
                    <w:t>10</w:t>
                  </w:r>
                </w:p>
              </w:tc>
              <w:tc>
                <w:tcPr>
                  <w:tcW w:w="725" w:type="pct"/>
                  <w:vMerge w:val="continue"/>
                  <w:shd w:val="clear" w:color="auto" w:fill="FFFFFF"/>
                  <w:noWrap w:val="0"/>
                  <w:vAlign w:val="center"/>
                </w:tcPr>
                <w:p w14:paraId="7C29AEB5">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p>
              </w:tc>
              <w:tc>
                <w:tcPr>
                  <w:tcW w:w="876" w:type="pct"/>
                  <w:shd w:val="clear" w:color="auto" w:fill="FFFFFF"/>
                  <w:noWrap w:val="0"/>
                  <w:vAlign w:val="center"/>
                </w:tcPr>
                <w:p w14:paraId="7EA670D6">
                  <w:pPr>
                    <w:keepNext w:val="0"/>
                    <w:keepLines w:val="0"/>
                    <w:pageBreakBefore w:val="0"/>
                    <w:widowControl/>
                    <w:kinsoku/>
                    <w:wordWrap/>
                    <w:overflowPunct/>
                    <w:topLinePunct w:val="0"/>
                    <w:bidi w:val="0"/>
                    <w:snapToGrid/>
                    <w:spacing w:line="240" w:lineRule="auto"/>
                    <w:ind w:firstLineChars="0"/>
                    <w:jc w:val="center"/>
                    <w:textAlignment w:val="auto"/>
                    <w:rPr>
                      <w:rFonts w:hint="default" w:cs="Times New Roman"/>
                      <w:b w:val="0"/>
                      <w:bCs w:val="0"/>
                      <w:color w:val="auto"/>
                      <w:kern w:val="0"/>
                      <w:sz w:val="21"/>
                      <w:szCs w:val="21"/>
                      <w:lang w:val="en-US" w:eastAsia="zh-CN"/>
                    </w:rPr>
                  </w:pPr>
                  <w:r>
                    <w:rPr>
                      <w:rFonts w:hint="eastAsia" w:cs="Times New Roman"/>
                      <w:b w:val="0"/>
                      <w:bCs w:val="0"/>
                      <w:color w:val="auto"/>
                      <w:kern w:val="0"/>
                      <w:sz w:val="21"/>
                      <w:szCs w:val="21"/>
                      <w:lang w:val="en-US" w:eastAsia="zh-CN"/>
                    </w:rPr>
                    <w:t>53</w:t>
                  </w:r>
                </w:p>
              </w:tc>
              <w:tc>
                <w:tcPr>
                  <w:tcW w:w="838" w:type="pct"/>
                  <w:shd w:val="clear" w:color="auto" w:fill="FFFFFF"/>
                  <w:noWrap w:val="0"/>
                  <w:vAlign w:val="center"/>
                </w:tcPr>
                <w:p w14:paraId="4F310B76">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r>
                    <w:rPr>
                      <w:rFonts w:hint="default" w:ascii="Times New Roman" w:hAnsi="Times New Roman" w:eastAsia="宋体" w:cs="Times New Roman"/>
                      <w:b w:val="0"/>
                      <w:bCs w:val="0"/>
                      <w:color w:val="auto"/>
                      <w:kern w:val="0"/>
                      <w:sz w:val="21"/>
                      <w:szCs w:val="21"/>
                    </w:rPr>
                    <w:t>70</w:t>
                  </w:r>
                </w:p>
              </w:tc>
              <w:tc>
                <w:tcPr>
                  <w:tcW w:w="893" w:type="pct"/>
                  <w:shd w:val="clear" w:color="auto" w:fill="FFFFFF"/>
                  <w:noWrap w:val="0"/>
                  <w:vAlign w:val="center"/>
                </w:tcPr>
                <w:p w14:paraId="41BBFCEB">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r>
                    <w:rPr>
                      <w:rFonts w:hint="default" w:ascii="Times New Roman" w:hAnsi="Times New Roman" w:eastAsia="宋体" w:cs="Times New Roman"/>
                      <w:b w:val="0"/>
                      <w:bCs w:val="0"/>
                      <w:color w:val="auto"/>
                      <w:kern w:val="0"/>
                      <w:sz w:val="21"/>
                      <w:szCs w:val="21"/>
                    </w:rPr>
                    <w:t>达标</w:t>
                  </w:r>
                </w:p>
              </w:tc>
            </w:tr>
            <w:tr w14:paraId="6E37E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85" w:type="pct"/>
                  <w:vMerge w:val="continue"/>
                  <w:shd w:val="clear" w:color="auto" w:fill="FFFFFF"/>
                  <w:noWrap w:val="0"/>
                  <w:vAlign w:val="center"/>
                </w:tcPr>
                <w:p w14:paraId="4B9A364F">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p>
              </w:tc>
              <w:tc>
                <w:tcPr>
                  <w:tcW w:w="1180" w:type="pct"/>
                  <w:shd w:val="clear" w:color="auto" w:fill="FFFFFF"/>
                  <w:noWrap w:val="0"/>
                  <w:vAlign w:val="center"/>
                </w:tcPr>
                <w:p w14:paraId="24710359">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r>
                    <w:rPr>
                      <w:rFonts w:hint="default" w:ascii="Times New Roman" w:hAnsi="Times New Roman" w:eastAsia="宋体" w:cs="Times New Roman"/>
                      <w:b w:val="0"/>
                      <w:bCs w:val="0"/>
                      <w:color w:val="auto"/>
                      <w:kern w:val="0"/>
                      <w:sz w:val="21"/>
                      <w:szCs w:val="21"/>
                    </w:rPr>
                    <w:t>CO-95</w:t>
                  </w:r>
                </w:p>
                <w:p w14:paraId="7ADBA5E5">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r>
                    <w:rPr>
                      <w:rFonts w:hint="default" w:ascii="Times New Roman" w:hAnsi="Times New Roman" w:eastAsia="宋体" w:cs="Times New Roman"/>
                      <w:b w:val="0"/>
                      <w:bCs w:val="0"/>
                      <w:color w:val="auto"/>
                      <w:kern w:val="0"/>
                      <w:sz w:val="21"/>
                      <w:szCs w:val="21"/>
                    </w:rPr>
                    <w:t>百分位(mg/m³)</w:t>
                  </w:r>
                </w:p>
              </w:tc>
              <w:tc>
                <w:tcPr>
                  <w:tcW w:w="725" w:type="pct"/>
                  <w:vMerge w:val="continue"/>
                  <w:shd w:val="clear" w:color="auto" w:fill="FFFFFF"/>
                  <w:noWrap w:val="0"/>
                  <w:vAlign w:val="center"/>
                </w:tcPr>
                <w:p w14:paraId="75B7A076">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p>
              </w:tc>
              <w:tc>
                <w:tcPr>
                  <w:tcW w:w="876" w:type="pct"/>
                  <w:shd w:val="clear" w:color="auto" w:fill="FFFFFF"/>
                  <w:noWrap w:val="0"/>
                  <w:vAlign w:val="center"/>
                </w:tcPr>
                <w:p w14:paraId="6CF37925">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lang w:val="en-US" w:eastAsia="zh-CN"/>
                    </w:rPr>
                  </w:pPr>
                  <w:r>
                    <w:rPr>
                      <w:rFonts w:hint="eastAsia" w:cs="Times New Roman"/>
                      <w:b w:val="0"/>
                      <w:bCs w:val="0"/>
                      <w:color w:val="auto"/>
                      <w:kern w:val="0"/>
                      <w:sz w:val="21"/>
                      <w:szCs w:val="21"/>
                      <w:lang w:val="en-US" w:eastAsia="zh-CN"/>
                    </w:rPr>
                    <w:t>1</w:t>
                  </w:r>
                </w:p>
              </w:tc>
              <w:tc>
                <w:tcPr>
                  <w:tcW w:w="838" w:type="pct"/>
                  <w:shd w:val="clear" w:color="auto" w:fill="FFFFFF"/>
                  <w:noWrap w:val="0"/>
                  <w:vAlign w:val="center"/>
                </w:tcPr>
                <w:p w14:paraId="75208D84">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r>
                    <w:rPr>
                      <w:rFonts w:hint="default" w:ascii="Times New Roman" w:hAnsi="Times New Roman" w:eastAsia="宋体" w:cs="Times New Roman"/>
                      <w:b w:val="0"/>
                      <w:bCs w:val="0"/>
                      <w:color w:val="auto"/>
                      <w:kern w:val="0"/>
                      <w:sz w:val="21"/>
                      <w:szCs w:val="21"/>
                    </w:rPr>
                    <w:t>4</w:t>
                  </w:r>
                </w:p>
              </w:tc>
              <w:tc>
                <w:tcPr>
                  <w:tcW w:w="893" w:type="pct"/>
                  <w:shd w:val="clear" w:color="auto" w:fill="FFFFFF"/>
                  <w:noWrap w:val="0"/>
                  <w:vAlign w:val="center"/>
                </w:tcPr>
                <w:p w14:paraId="46FEEFA9">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r>
                    <w:rPr>
                      <w:rFonts w:hint="default" w:ascii="Times New Roman" w:hAnsi="Times New Roman" w:eastAsia="宋体" w:cs="Times New Roman"/>
                      <w:b w:val="0"/>
                      <w:bCs w:val="0"/>
                      <w:color w:val="auto"/>
                      <w:kern w:val="0"/>
                      <w:sz w:val="21"/>
                      <w:szCs w:val="21"/>
                    </w:rPr>
                    <w:t>达标</w:t>
                  </w:r>
                </w:p>
              </w:tc>
            </w:tr>
            <w:tr w14:paraId="4AEF5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85" w:type="pct"/>
                  <w:vMerge w:val="continue"/>
                  <w:shd w:val="clear" w:color="auto" w:fill="FFFFFF"/>
                  <w:noWrap w:val="0"/>
                  <w:vAlign w:val="center"/>
                </w:tcPr>
                <w:p w14:paraId="662009AE">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p>
              </w:tc>
              <w:tc>
                <w:tcPr>
                  <w:tcW w:w="1180" w:type="pct"/>
                  <w:shd w:val="clear" w:color="auto" w:fill="FFFFFF"/>
                  <w:noWrap w:val="0"/>
                  <w:vAlign w:val="center"/>
                </w:tcPr>
                <w:p w14:paraId="62529F60">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r>
                    <w:rPr>
                      <w:rFonts w:hint="default" w:ascii="Times New Roman" w:hAnsi="Times New Roman" w:eastAsia="宋体" w:cs="Times New Roman"/>
                      <w:b w:val="0"/>
                      <w:bCs w:val="0"/>
                      <w:color w:val="auto"/>
                      <w:kern w:val="0"/>
                      <w:sz w:val="21"/>
                      <w:szCs w:val="21"/>
                    </w:rPr>
                    <w:t>O</w:t>
                  </w:r>
                  <w:r>
                    <w:rPr>
                      <w:rFonts w:hint="default" w:ascii="Times New Roman" w:hAnsi="Times New Roman" w:eastAsia="宋体" w:cs="Times New Roman"/>
                      <w:b w:val="0"/>
                      <w:bCs w:val="0"/>
                      <w:color w:val="auto"/>
                      <w:kern w:val="0"/>
                      <w:sz w:val="21"/>
                      <w:szCs w:val="21"/>
                      <w:vertAlign w:val="subscript"/>
                    </w:rPr>
                    <w:t>3</w:t>
                  </w:r>
                  <w:r>
                    <w:rPr>
                      <w:rFonts w:hint="default" w:ascii="Times New Roman" w:hAnsi="Times New Roman" w:eastAsia="宋体" w:cs="Times New Roman"/>
                      <w:b w:val="0"/>
                      <w:bCs w:val="0"/>
                      <w:color w:val="auto"/>
                      <w:kern w:val="0"/>
                      <w:sz w:val="21"/>
                      <w:szCs w:val="21"/>
                    </w:rPr>
                    <w:t>-8H-90百分位</w:t>
                  </w:r>
                </w:p>
              </w:tc>
              <w:tc>
                <w:tcPr>
                  <w:tcW w:w="725" w:type="pct"/>
                  <w:vMerge w:val="continue"/>
                  <w:shd w:val="clear" w:color="auto" w:fill="FFFFFF"/>
                  <w:noWrap w:val="0"/>
                  <w:vAlign w:val="center"/>
                </w:tcPr>
                <w:p w14:paraId="3F3F20D6">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p>
              </w:tc>
              <w:tc>
                <w:tcPr>
                  <w:tcW w:w="876" w:type="pct"/>
                  <w:shd w:val="clear" w:color="auto" w:fill="FFFFFF"/>
                  <w:noWrap w:val="0"/>
                  <w:vAlign w:val="center"/>
                </w:tcPr>
                <w:p w14:paraId="5D4E247D">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lang w:val="en-US" w:eastAsia="zh-CN"/>
                    </w:rPr>
                  </w:pPr>
                  <w:r>
                    <w:rPr>
                      <w:rFonts w:hint="eastAsia" w:cs="Times New Roman"/>
                      <w:b w:val="0"/>
                      <w:bCs w:val="0"/>
                      <w:color w:val="auto"/>
                      <w:kern w:val="0"/>
                      <w:sz w:val="21"/>
                      <w:szCs w:val="21"/>
                      <w:lang w:val="en-US" w:eastAsia="zh-CN"/>
                    </w:rPr>
                    <w:t>164</w:t>
                  </w:r>
                </w:p>
              </w:tc>
              <w:tc>
                <w:tcPr>
                  <w:tcW w:w="838" w:type="pct"/>
                  <w:shd w:val="clear" w:color="auto" w:fill="FFFFFF"/>
                  <w:noWrap w:val="0"/>
                  <w:vAlign w:val="center"/>
                </w:tcPr>
                <w:p w14:paraId="24FD8C05">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r>
                    <w:rPr>
                      <w:rFonts w:hint="default" w:ascii="Times New Roman" w:hAnsi="Times New Roman" w:eastAsia="宋体" w:cs="Times New Roman"/>
                      <w:b w:val="0"/>
                      <w:bCs w:val="0"/>
                      <w:color w:val="auto"/>
                      <w:kern w:val="0"/>
                      <w:sz w:val="21"/>
                      <w:szCs w:val="21"/>
                    </w:rPr>
                    <w:t>160</w:t>
                  </w:r>
                </w:p>
              </w:tc>
              <w:tc>
                <w:tcPr>
                  <w:tcW w:w="893" w:type="pct"/>
                  <w:shd w:val="clear" w:color="auto" w:fill="FFFFFF"/>
                  <w:noWrap w:val="0"/>
                  <w:vAlign w:val="center"/>
                </w:tcPr>
                <w:p w14:paraId="3295C997">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r>
                    <w:rPr>
                      <w:rFonts w:hint="eastAsia" w:cs="Times New Roman"/>
                      <w:b w:val="0"/>
                      <w:bCs w:val="0"/>
                      <w:color w:val="auto"/>
                      <w:kern w:val="0"/>
                      <w:sz w:val="21"/>
                      <w:szCs w:val="21"/>
                      <w:lang w:val="en-US" w:eastAsia="zh-CN"/>
                    </w:rPr>
                    <w:t>不</w:t>
                  </w:r>
                  <w:r>
                    <w:rPr>
                      <w:rFonts w:hint="default" w:ascii="Times New Roman" w:hAnsi="Times New Roman" w:eastAsia="宋体" w:cs="Times New Roman"/>
                      <w:b w:val="0"/>
                      <w:bCs w:val="0"/>
                      <w:color w:val="auto"/>
                      <w:kern w:val="0"/>
                      <w:sz w:val="21"/>
                      <w:szCs w:val="21"/>
                    </w:rPr>
                    <w:t>达标</w:t>
                  </w:r>
                </w:p>
              </w:tc>
            </w:tr>
            <w:tr w14:paraId="6CBDF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85" w:type="pct"/>
                  <w:vMerge w:val="continue"/>
                  <w:shd w:val="clear" w:color="auto" w:fill="FFFFFF"/>
                  <w:noWrap w:val="0"/>
                  <w:vAlign w:val="center"/>
                </w:tcPr>
                <w:p w14:paraId="68C0DBF0">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p>
              </w:tc>
              <w:tc>
                <w:tcPr>
                  <w:tcW w:w="1180" w:type="pct"/>
                  <w:shd w:val="clear" w:color="auto" w:fill="FFFFFF"/>
                  <w:noWrap w:val="0"/>
                  <w:vAlign w:val="center"/>
                </w:tcPr>
                <w:p w14:paraId="7D5531EE">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r>
                    <w:rPr>
                      <w:rFonts w:hint="default" w:ascii="Times New Roman" w:hAnsi="Times New Roman" w:eastAsia="宋体" w:cs="Times New Roman"/>
                      <w:b w:val="0"/>
                      <w:bCs w:val="0"/>
                      <w:color w:val="auto"/>
                      <w:kern w:val="0"/>
                      <w:sz w:val="21"/>
                      <w:szCs w:val="21"/>
                    </w:rPr>
                    <w:t>PM</w:t>
                  </w:r>
                  <w:r>
                    <w:rPr>
                      <w:rFonts w:hint="default" w:ascii="Times New Roman" w:hAnsi="Times New Roman" w:eastAsia="宋体" w:cs="Times New Roman"/>
                      <w:b w:val="0"/>
                      <w:bCs w:val="0"/>
                      <w:color w:val="auto"/>
                      <w:kern w:val="0"/>
                      <w:sz w:val="21"/>
                      <w:szCs w:val="21"/>
                      <w:vertAlign w:val="subscript"/>
                    </w:rPr>
                    <w:t>2.5</w:t>
                  </w:r>
                </w:p>
              </w:tc>
              <w:tc>
                <w:tcPr>
                  <w:tcW w:w="725" w:type="pct"/>
                  <w:vMerge w:val="continue"/>
                  <w:shd w:val="clear" w:color="auto" w:fill="FFFFFF"/>
                  <w:noWrap w:val="0"/>
                  <w:vAlign w:val="center"/>
                </w:tcPr>
                <w:p w14:paraId="48F0A7CB">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p>
              </w:tc>
              <w:tc>
                <w:tcPr>
                  <w:tcW w:w="876" w:type="pct"/>
                  <w:shd w:val="clear" w:color="auto" w:fill="FFFFFF"/>
                  <w:noWrap w:val="0"/>
                  <w:vAlign w:val="center"/>
                </w:tcPr>
                <w:p w14:paraId="7D72BA5E">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lang w:val="en-US" w:eastAsia="zh-CN"/>
                    </w:rPr>
                  </w:pPr>
                  <w:r>
                    <w:rPr>
                      <w:rFonts w:hint="eastAsia" w:cs="Times New Roman"/>
                      <w:b w:val="0"/>
                      <w:bCs w:val="0"/>
                      <w:color w:val="auto"/>
                      <w:kern w:val="0"/>
                      <w:sz w:val="21"/>
                      <w:szCs w:val="21"/>
                      <w:lang w:val="en-US" w:eastAsia="zh-CN"/>
                    </w:rPr>
                    <w:t>33</w:t>
                  </w:r>
                </w:p>
              </w:tc>
              <w:tc>
                <w:tcPr>
                  <w:tcW w:w="838" w:type="pct"/>
                  <w:shd w:val="clear" w:color="auto" w:fill="FFFFFF"/>
                  <w:noWrap w:val="0"/>
                  <w:vAlign w:val="center"/>
                </w:tcPr>
                <w:p w14:paraId="7758EF48">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r>
                    <w:rPr>
                      <w:rFonts w:hint="default" w:ascii="Times New Roman" w:hAnsi="Times New Roman" w:eastAsia="宋体" w:cs="Times New Roman"/>
                      <w:b w:val="0"/>
                      <w:bCs w:val="0"/>
                      <w:color w:val="auto"/>
                      <w:kern w:val="0"/>
                      <w:sz w:val="21"/>
                      <w:szCs w:val="21"/>
                    </w:rPr>
                    <w:t>35</w:t>
                  </w:r>
                </w:p>
              </w:tc>
              <w:tc>
                <w:tcPr>
                  <w:tcW w:w="893" w:type="pct"/>
                  <w:shd w:val="clear" w:color="auto" w:fill="FFFFFF"/>
                  <w:noWrap w:val="0"/>
                  <w:vAlign w:val="center"/>
                </w:tcPr>
                <w:p w14:paraId="1D372F66">
                  <w:pPr>
                    <w:keepNext w:val="0"/>
                    <w:keepLines w:val="0"/>
                    <w:pageBreakBefore w:val="0"/>
                    <w:widowControl/>
                    <w:kinsoku/>
                    <w:wordWrap/>
                    <w:overflowPunct/>
                    <w:topLinePunct w:val="0"/>
                    <w:bidi w:val="0"/>
                    <w:snapToGrid/>
                    <w:spacing w:line="240" w:lineRule="auto"/>
                    <w:ind w:firstLineChars="0"/>
                    <w:jc w:val="center"/>
                    <w:textAlignment w:val="auto"/>
                    <w:rPr>
                      <w:rFonts w:hint="default" w:ascii="Times New Roman" w:hAnsi="Times New Roman" w:eastAsia="宋体" w:cs="Times New Roman"/>
                      <w:b w:val="0"/>
                      <w:bCs w:val="0"/>
                      <w:color w:val="auto"/>
                      <w:kern w:val="0"/>
                      <w:sz w:val="21"/>
                      <w:szCs w:val="21"/>
                    </w:rPr>
                  </w:pPr>
                  <w:r>
                    <w:rPr>
                      <w:rFonts w:hint="default" w:ascii="Times New Roman" w:hAnsi="Times New Roman" w:eastAsia="宋体" w:cs="Times New Roman"/>
                      <w:b w:val="0"/>
                      <w:bCs w:val="0"/>
                      <w:color w:val="auto"/>
                      <w:kern w:val="0"/>
                      <w:sz w:val="21"/>
                      <w:szCs w:val="21"/>
                    </w:rPr>
                    <w:t>达标</w:t>
                  </w:r>
                </w:p>
              </w:tc>
            </w:tr>
          </w:tbl>
          <w:p w14:paraId="2DCFDD9C">
            <w:pPr>
              <w:spacing w:line="360" w:lineRule="auto"/>
              <w:ind w:firstLine="480" w:firstLineChars="200"/>
              <w:rPr>
                <w:rFonts w:hint="eastAsia"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由上表监测数据判定，芜湖市区域环境空气执行《环境空气质量标准》</w:t>
            </w:r>
          </w:p>
          <w:p w14:paraId="6AF511CC">
            <w:pPr>
              <w:spacing w:line="360" w:lineRule="auto"/>
              <w:rPr>
                <w:rFonts w:hint="eastAsia"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w:t>
            </w:r>
            <w:r>
              <w:rPr>
                <w:rFonts w:hint="default" w:ascii="Times New Roman" w:hAnsi="Times New Roman" w:eastAsia="宋体" w:cs="Times New Roman"/>
                <w:color w:val="auto"/>
                <w:kern w:val="0"/>
                <w:sz w:val="24"/>
                <w:szCs w:val="24"/>
                <w:lang w:val="en-US" w:eastAsia="zh-CN"/>
              </w:rPr>
              <w:t>GB3095-2012</w:t>
            </w:r>
            <w:r>
              <w:rPr>
                <w:rFonts w:hint="eastAsia" w:ascii="Times New Roman" w:hAnsi="Times New Roman" w:eastAsia="宋体" w:cs="Times New Roman"/>
                <w:color w:val="auto"/>
                <w:kern w:val="0"/>
                <w:sz w:val="24"/>
                <w:szCs w:val="24"/>
                <w:lang w:val="en-US" w:eastAsia="zh-CN"/>
              </w:rPr>
              <w:t>）中二类区标准，芜湖市环境空气为“</w:t>
            </w:r>
            <w:r>
              <w:rPr>
                <w:rFonts w:hint="eastAsia" w:cs="Times New Roman"/>
                <w:color w:val="auto"/>
                <w:kern w:val="0"/>
                <w:sz w:val="24"/>
                <w:szCs w:val="24"/>
                <w:lang w:val="en-US" w:eastAsia="zh-CN"/>
              </w:rPr>
              <w:t>不</w:t>
            </w:r>
            <w:r>
              <w:rPr>
                <w:rFonts w:hint="eastAsia" w:ascii="Times New Roman" w:hAnsi="Times New Roman" w:eastAsia="宋体" w:cs="Times New Roman"/>
                <w:color w:val="auto"/>
                <w:kern w:val="0"/>
                <w:sz w:val="24"/>
                <w:szCs w:val="24"/>
                <w:lang w:val="en-US" w:eastAsia="zh-CN"/>
              </w:rPr>
              <w:t>达标区”。</w:t>
            </w:r>
          </w:p>
          <w:p w14:paraId="3AFB0996">
            <w:pPr>
              <w:spacing w:line="360" w:lineRule="auto"/>
              <w:ind w:firstLine="482" w:firstLineChars="200"/>
              <w:rPr>
                <w:rFonts w:hint="default" w:ascii="Times New Roman" w:hAnsi="Times New Roman" w:eastAsia="宋体" w:cs="Times New Roman"/>
                <w:b/>
                <w:bCs/>
                <w:color w:val="auto"/>
                <w:kern w:val="0"/>
                <w:sz w:val="24"/>
                <w:szCs w:val="24"/>
                <w:lang w:val="en-US" w:eastAsia="zh-CN"/>
              </w:rPr>
            </w:pPr>
            <w:r>
              <w:rPr>
                <w:rFonts w:hint="eastAsia" w:ascii="Times New Roman" w:hAnsi="Times New Roman" w:eastAsia="宋体" w:cs="Times New Roman"/>
                <w:b/>
                <w:bCs/>
                <w:color w:val="auto"/>
                <w:kern w:val="0"/>
                <w:sz w:val="24"/>
                <w:szCs w:val="24"/>
                <w:lang w:val="en-US" w:eastAsia="zh-CN"/>
              </w:rPr>
              <w:t>措施与行动</w:t>
            </w:r>
          </w:p>
          <w:p w14:paraId="052BA178">
            <w:pPr>
              <w:spacing w:line="360" w:lineRule="auto"/>
              <w:ind w:firstLine="480" w:firstLineChars="200"/>
              <w:rPr>
                <w:rFonts w:hint="eastAsia"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深入贯彻落实国务院《空气质量持续改善行动计划》和《安徽省空气质量持续改善行动方案》，研究制定《芜湖市2024-2025年大气污染防治重点任务攻坚工作方案》，统筹推进相关工作。</w:t>
            </w:r>
          </w:p>
          <w:p w14:paraId="4AADDE8D">
            <w:pPr>
              <w:spacing w:line="360" w:lineRule="auto"/>
              <w:ind w:firstLine="480" w:firstLineChars="200"/>
              <w:rPr>
                <w:rFonts w:hint="eastAsia"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一是持续推动重点行业深度治理。持续推进钢铁、水泥行业超低排放改造工作。完成玻璃行业在产生产线污染防治设施提升改造，达到玻璃行业省地标排放限值要求。完成燃煤锅炉淘汰治理任务。</w:t>
            </w:r>
          </w:p>
          <w:p w14:paraId="1521B905">
            <w:pPr>
              <w:spacing w:line="360" w:lineRule="auto"/>
              <w:ind w:firstLine="480" w:firstLineChars="200"/>
              <w:rPr>
                <w:rFonts w:hint="eastAsia"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二是持续开展挥发性有机物治理。积极推进化工、涂装、包装印刷等重点行业挥发性有机物（VOCs）综合治理，从源头替代、过程管控、末端治理等方面开展排查整治涉VOCs企业；开展活性炭吸附处理设施专项帮扶检查，常态化开展VOCs走航溯源。</w:t>
            </w:r>
          </w:p>
          <w:p w14:paraId="4324B537">
            <w:pPr>
              <w:spacing w:line="360" w:lineRule="auto"/>
              <w:ind w:firstLine="480" w:firstLineChars="200"/>
              <w:rPr>
                <w:rFonts w:hint="eastAsia"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三是强化重污染天气应急应对。修订《芜湖市重污染天气应急预案》，动态更新完善应急减排清单和减排措施；持续开展政企协商减排，依法启动重污染天气预警；利用雷达走航、重点源在线监测、用电监控等技术，结合现场排查，进一步强化涉气企业帮扶指导。</w:t>
            </w:r>
          </w:p>
          <w:p w14:paraId="4B65D6B2">
            <w:pPr>
              <w:keepNext w:val="0"/>
              <w:keepLines w:val="0"/>
              <w:pageBreakBefore w:val="0"/>
              <w:widowControl w:val="0"/>
              <w:suppressLineNumbers w:val="0"/>
              <w:kinsoku/>
              <w:wordWrap/>
              <w:overflowPunct/>
              <w:topLinePunct w:val="0"/>
              <w:autoSpaceDE/>
              <w:autoSpaceDN/>
              <w:bidi w:val="0"/>
              <w:adjustRightInd/>
              <w:snapToGrid/>
              <w:spacing w:line="360" w:lineRule="auto"/>
              <w:ind w:firstLine="482" w:firstLineChars="200"/>
              <w:jc w:val="both"/>
              <w:textAlignment w:val="auto"/>
              <w:rPr>
                <w:rFonts w:hint="eastAsia" w:ascii="Times New Roman" w:hAnsi="Times New Roman" w:eastAsia="宋体" w:cs="Times New Roman"/>
                <w:b/>
                <w:bCs/>
                <w:color w:val="auto"/>
                <w:kern w:val="0"/>
                <w:sz w:val="24"/>
                <w:szCs w:val="24"/>
                <w:lang w:val="en-US" w:eastAsia="zh-CN" w:bidi="ar"/>
              </w:rPr>
            </w:pPr>
            <w:r>
              <w:rPr>
                <w:rFonts w:hint="default" w:ascii="Times New Roman" w:hAnsi="Times New Roman" w:eastAsia="宋体" w:cs="Times New Roman"/>
                <w:b/>
                <w:bCs/>
                <w:color w:val="auto"/>
                <w:kern w:val="0"/>
                <w:sz w:val="24"/>
                <w:szCs w:val="24"/>
                <w:lang w:eastAsia="zh-CN"/>
              </w:rPr>
              <w:t>（</w:t>
            </w:r>
            <w:r>
              <w:rPr>
                <w:rFonts w:hint="default" w:ascii="Times New Roman" w:hAnsi="Times New Roman" w:eastAsia="宋体" w:cs="Times New Roman"/>
                <w:b/>
                <w:bCs/>
                <w:color w:val="auto"/>
                <w:kern w:val="0"/>
                <w:sz w:val="24"/>
                <w:szCs w:val="24"/>
                <w:lang w:val="en-US" w:eastAsia="zh-CN"/>
              </w:rPr>
              <w:t>2</w:t>
            </w:r>
            <w:r>
              <w:rPr>
                <w:rFonts w:hint="default" w:ascii="Times New Roman" w:hAnsi="Times New Roman" w:eastAsia="宋体" w:cs="Times New Roman"/>
                <w:b/>
                <w:bCs/>
                <w:color w:val="auto"/>
                <w:kern w:val="0"/>
                <w:sz w:val="24"/>
                <w:szCs w:val="24"/>
                <w:lang w:eastAsia="zh-CN"/>
              </w:rPr>
              <w:t>）</w:t>
            </w:r>
            <w:r>
              <w:rPr>
                <w:rFonts w:hint="eastAsia" w:ascii="Times New Roman" w:hAnsi="Times New Roman" w:eastAsia="宋体" w:cs="Times New Roman"/>
                <w:b/>
                <w:bCs/>
                <w:color w:val="auto"/>
                <w:kern w:val="0"/>
                <w:sz w:val="24"/>
                <w:szCs w:val="24"/>
                <w:lang w:val="en-US" w:eastAsia="zh-CN" w:bidi="ar"/>
              </w:rPr>
              <w:t>项目所在区域大气质量现状监测和评价</w:t>
            </w:r>
          </w:p>
          <w:p w14:paraId="62D7E68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根据《建设项目环境影响报告表编制技术指南（污染影响类）（试行）》中规定</w:t>
            </w:r>
            <w:r>
              <w:rPr>
                <w:rFonts w:hint="eastAsia" w:ascii="宋体" w:hAnsi="宋体" w:eastAsia="宋体" w:cs="宋体"/>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排放国家、地方环境空气质量标准中有标准限值要求的特征污染物时，引用建设项目周边5千米范围内近3年的现有监测数</w:t>
            </w:r>
            <w:r>
              <w:rPr>
                <w:rFonts w:hint="eastAsia" w:ascii="宋体" w:hAnsi="宋体" w:eastAsia="宋体" w:cs="宋体"/>
                <w:color w:val="auto"/>
                <w:kern w:val="0"/>
                <w:sz w:val="24"/>
                <w:szCs w:val="24"/>
                <w:lang w:val="en-US" w:eastAsia="zh-CN" w:bidi="ar"/>
              </w:rPr>
              <w:t>据”</w:t>
            </w:r>
            <w:r>
              <w:rPr>
                <w:rFonts w:hint="eastAsia" w:ascii="宋体" w:hAnsi="宋体" w:eastAsia="宋体" w:cs="宋体"/>
                <w:color w:val="auto"/>
                <w:kern w:val="0"/>
                <w:sz w:val="24"/>
              </w:rPr>
              <w:t>，</w:t>
            </w:r>
            <w:r>
              <w:rPr>
                <w:rFonts w:hint="eastAsia"/>
                <w:color w:val="auto"/>
                <w:kern w:val="0"/>
                <w:sz w:val="24"/>
              </w:rPr>
              <w:t>本项目涉及的特征污染物有TSP、非甲烷总烃，其中非甲烷总烃无国家、地方环境空气质量标准中的标准限值要求，因此非甲烷总烃不进行现状评价。</w:t>
            </w:r>
          </w:p>
          <w:p w14:paraId="180A9B85">
            <w:pPr>
              <w:spacing w:line="360" w:lineRule="auto"/>
              <w:ind w:firstLine="48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为了解区域大气环境质量现状，TSP监测数据引用</w:t>
            </w:r>
            <w:r>
              <w:rPr>
                <w:rFonts w:hint="eastAsia" w:cs="Times New Roman"/>
                <w:color w:val="auto"/>
                <w:kern w:val="0"/>
                <w:sz w:val="24"/>
                <w:szCs w:val="24"/>
                <w:lang w:eastAsia="zh-CN"/>
              </w:rPr>
              <w:t>《安徽新芜经济开发区扩区总体发展规划（2023-2035年）环境影响报告书》</w:t>
            </w:r>
            <w:r>
              <w:rPr>
                <w:rFonts w:hint="default" w:ascii="Times New Roman" w:hAnsi="Times New Roman" w:eastAsia="宋体" w:cs="Times New Roman"/>
                <w:color w:val="auto"/>
                <w:kern w:val="0"/>
                <w:sz w:val="24"/>
                <w:szCs w:val="24"/>
              </w:rPr>
              <w:t>中的环境空气质量现状监测数据，</w:t>
            </w:r>
            <w:r>
              <w:rPr>
                <w:rFonts w:hint="eastAsia" w:cs="Times New Roman"/>
                <w:color w:val="auto"/>
                <w:kern w:val="0"/>
                <w:sz w:val="24"/>
                <w:szCs w:val="24"/>
                <w:lang w:val="en-US" w:eastAsia="zh-CN"/>
              </w:rPr>
              <w:t>引用监测点位G6肯昌机电，</w:t>
            </w:r>
            <w:r>
              <w:rPr>
                <w:rFonts w:hint="default" w:ascii="Times New Roman" w:hAnsi="Times New Roman" w:eastAsia="宋体" w:cs="Times New Roman"/>
                <w:color w:val="auto"/>
                <w:spacing w:val="-6"/>
                <w:sz w:val="24"/>
                <w:szCs w:val="24"/>
              </w:rPr>
              <w:t>监测点位</w:t>
            </w:r>
            <w:r>
              <w:rPr>
                <w:rFonts w:hint="default" w:ascii="Times New Roman" w:hAnsi="Times New Roman" w:eastAsia="宋体" w:cs="Times New Roman"/>
                <w:color w:val="auto"/>
                <w:kern w:val="0"/>
                <w:sz w:val="24"/>
                <w:szCs w:val="24"/>
              </w:rPr>
              <w:t>位于本项目</w:t>
            </w:r>
            <w:r>
              <w:rPr>
                <w:rFonts w:hint="eastAsia" w:ascii="Times New Roman" w:hAnsi="Times New Roman" w:eastAsia="宋体" w:cs="Times New Roman"/>
                <w:color w:val="auto"/>
                <w:kern w:val="0"/>
                <w:sz w:val="24"/>
                <w:szCs w:val="24"/>
                <w:lang w:val="en-US" w:eastAsia="zh-CN"/>
              </w:rPr>
              <w:t>东北侧2.1</w:t>
            </w:r>
            <w:r>
              <w:rPr>
                <w:rFonts w:hint="default" w:ascii="Times New Roman" w:hAnsi="Times New Roman" w:eastAsia="宋体" w:cs="Times New Roman"/>
                <w:color w:val="auto"/>
                <w:kern w:val="0"/>
                <w:sz w:val="24"/>
                <w:szCs w:val="24"/>
                <w:lang w:val="en-US" w:eastAsia="zh-CN"/>
              </w:rPr>
              <w:t>km</w:t>
            </w:r>
            <w:r>
              <w:rPr>
                <w:rFonts w:hint="default" w:ascii="Times New Roman" w:hAnsi="Times New Roman" w:eastAsia="宋体" w:cs="Times New Roman"/>
                <w:color w:val="auto"/>
                <w:kern w:val="0"/>
                <w:sz w:val="24"/>
                <w:szCs w:val="24"/>
              </w:rPr>
              <w:t>，监测时间为202</w:t>
            </w:r>
            <w:r>
              <w:rPr>
                <w:rFonts w:hint="eastAsia" w:cs="Times New Roman"/>
                <w:color w:val="auto"/>
                <w:kern w:val="0"/>
                <w:sz w:val="24"/>
                <w:szCs w:val="24"/>
                <w:lang w:val="en-US" w:eastAsia="zh-CN"/>
              </w:rPr>
              <w:t>4</w:t>
            </w:r>
            <w:r>
              <w:rPr>
                <w:rFonts w:hint="default" w:ascii="Times New Roman" w:hAnsi="Times New Roman" w:eastAsia="宋体" w:cs="Times New Roman"/>
                <w:color w:val="auto"/>
                <w:kern w:val="0"/>
                <w:sz w:val="24"/>
                <w:szCs w:val="24"/>
              </w:rPr>
              <w:t>年</w:t>
            </w:r>
            <w:r>
              <w:rPr>
                <w:rFonts w:hint="eastAsia" w:cs="Times New Roman"/>
                <w:color w:val="auto"/>
                <w:kern w:val="0"/>
                <w:sz w:val="24"/>
                <w:szCs w:val="24"/>
                <w:lang w:val="en-US" w:eastAsia="zh-CN"/>
              </w:rPr>
              <w:t>4</w:t>
            </w:r>
            <w:r>
              <w:rPr>
                <w:rFonts w:hint="default" w:ascii="Times New Roman" w:hAnsi="Times New Roman" w:eastAsia="宋体" w:cs="Times New Roman"/>
                <w:color w:val="auto"/>
                <w:kern w:val="0"/>
                <w:sz w:val="24"/>
                <w:szCs w:val="24"/>
              </w:rPr>
              <w:t>月</w:t>
            </w:r>
            <w:r>
              <w:rPr>
                <w:rFonts w:hint="eastAsia" w:cs="Times New Roman"/>
                <w:color w:val="auto"/>
                <w:kern w:val="0"/>
                <w:sz w:val="24"/>
                <w:szCs w:val="24"/>
                <w:lang w:val="en-US" w:eastAsia="zh-CN"/>
              </w:rPr>
              <w:t>18</w:t>
            </w:r>
            <w:r>
              <w:rPr>
                <w:rFonts w:hint="default" w:ascii="Times New Roman" w:hAnsi="Times New Roman" w:eastAsia="宋体" w:cs="Times New Roman"/>
                <w:color w:val="auto"/>
                <w:kern w:val="0"/>
                <w:sz w:val="24"/>
                <w:szCs w:val="24"/>
              </w:rPr>
              <w:t>日</w:t>
            </w:r>
            <w:r>
              <w:rPr>
                <w:rFonts w:hint="eastAsia" w:cs="Times New Roman"/>
                <w:color w:val="auto"/>
                <w:kern w:val="0"/>
                <w:sz w:val="24"/>
                <w:szCs w:val="24"/>
                <w:lang w:val="en-US" w:eastAsia="zh-CN"/>
              </w:rPr>
              <w:t>~4</w:t>
            </w:r>
            <w:r>
              <w:rPr>
                <w:rFonts w:hint="default" w:ascii="Times New Roman" w:hAnsi="Times New Roman" w:eastAsia="宋体" w:cs="Times New Roman"/>
                <w:color w:val="auto"/>
                <w:kern w:val="0"/>
                <w:sz w:val="24"/>
                <w:szCs w:val="24"/>
              </w:rPr>
              <w:t>月</w:t>
            </w:r>
            <w:r>
              <w:rPr>
                <w:rFonts w:hint="eastAsia" w:cs="Times New Roman"/>
                <w:color w:val="auto"/>
                <w:kern w:val="0"/>
                <w:sz w:val="24"/>
                <w:szCs w:val="24"/>
                <w:lang w:val="en-US" w:eastAsia="zh-CN"/>
              </w:rPr>
              <w:t>24</w:t>
            </w:r>
            <w:r>
              <w:rPr>
                <w:rFonts w:hint="default" w:ascii="Times New Roman" w:hAnsi="Times New Roman" w:eastAsia="宋体" w:cs="Times New Roman"/>
                <w:color w:val="auto"/>
                <w:kern w:val="0"/>
                <w:sz w:val="24"/>
                <w:szCs w:val="24"/>
              </w:rPr>
              <w:t>日，监测时间在3年内，引用数据满足要求。</w:t>
            </w:r>
            <w:r>
              <w:rPr>
                <w:rFonts w:hint="default" w:ascii="Times New Roman" w:hAnsi="Times New Roman" w:eastAsia="宋体" w:cs="Times New Roman"/>
                <w:color w:val="auto"/>
                <w:sz w:val="24"/>
                <w:szCs w:val="24"/>
              </w:rPr>
              <w:t>监测结果详见下表。</w:t>
            </w:r>
          </w:p>
          <w:p w14:paraId="448D8574">
            <w:pPr>
              <w:pStyle w:val="78"/>
              <w:keepNext w:val="0"/>
              <w:keepLines w:val="0"/>
              <w:pageBreakBefore w:val="0"/>
              <w:widowControl w:val="0"/>
              <w:kinsoku/>
              <w:wordWrap/>
              <w:overflowPunct/>
              <w:topLinePunct w:val="0"/>
              <w:autoSpaceDE w:val="0"/>
              <w:autoSpaceDN w:val="0"/>
              <w:bidi w:val="0"/>
              <w:adjustRightInd w:val="0"/>
              <w:snapToGrid/>
              <w:spacing w:line="240" w:lineRule="auto"/>
              <w:ind w:firstLine="482"/>
              <w:jc w:val="center"/>
              <w:textAlignment w:val="auto"/>
              <w:rPr>
                <w:rFonts w:hint="default" w:ascii="Times New Roman" w:hAnsi="Times New Roman" w:eastAsia="宋体" w:cs="Times New Roman"/>
                <w:b/>
                <w:color w:val="auto"/>
                <w:spacing w:val="-2"/>
                <w:kern w:val="28"/>
                <w:sz w:val="24"/>
                <w:szCs w:val="24"/>
              </w:rPr>
            </w:pPr>
            <w:r>
              <w:rPr>
                <w:rFonts w:hint="default" w:ascii="Times New Roman" w:hAnsi="Times New Roman" w:eastAsia="宋体" w:cs="Times New Roman"/>
                <w:b/>
                <w:color w:val="auto"/>
                <w:kern w:val="0"/>
                <w:sz w:val="24"/>
                <w:szCs w:val="24"/>
                <w:lang w:val="en-US" w:eastAsia="zh-CN" w:bidi="ar-SA"/>
              </w:rPr>
              <w:t>表3-2  环境空气质量现状监测结果 单位：mg/m</w:t>
            </w:r>
            <w:r>
              <w:rPr>
                <w:rFonts w:hint="default" w:ascii="Times New Roman" w:hAnsi="Times New Roman" w:eastAsia="宋体" w:cs="Times New Roman"/>
                <w:b/>
                <w:color w:val="auto"/>
                <w:spacing w:val="-2"/>
                <w:kern w:val="28"/>
                <w:sz w:val="24"/>
                <w:szCs w:val="24"/>
                <w:vertAlign w:val="superscript"/>
              </w:rPr>
              <w:t>3</w:t>
            </w:r>
          </w:p>
          <w:tbl>
            <w:tblPr>
              <w:tblStyle w:val="63"/>
              <w:tblW w:w="4998" w:type="pct"/>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autofit"/>
              <w:tblCellMar>
                <w:top w:w="0" w:type="dxa"/>
                <w:left w:w="0" w:type="dxa"/>
                <w:bottom w:w="0" w:type="dxa"/>
                <w:right w:w="0" w:type="dxa"/>
              </w:tblCellMar>
            </w:tblPr>
            <w:tblGrid>
              <w:gridCol w:w="1208"/>
              <w:gridCol w:w="707"/>
              <w:gridCol w:w="1522"/>
              <w:gridCol w:w="1150"/>
              <w:gridCol w:w="823"/>
              <w:gridCol w:w="1041"/>
              <w:gridCol w:w="1224"/>
              <w:gridCol w:w="622"/>
            </w:tblGrid>
            <w:tr w14:paraId="0A23582F">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67" w:hRule="atLeast"/>
                <w:jc w:val="center"/>
              </w:trPr>
              <w:tc>
                <w:tcPr>
                  <w:tcW w:w="728" w:type="pct"/>
                  <w:vMerge w:val="restart"/>
                  <w:noWrap w:val="0"/>
                  <w:vAlign w:val="center"/>
                </w:tcPr>
                <w:p w14:paraId="2E59AF6B">
                  <w:pPr>
                    <w:keepNext w:val="0"/>
                    <w:keepLines w:val="0"/>
                    <w:pageBreakBefore w:val="0"/>
                    <w:widowControl/>
                    <w:kinsoku/>
                    <w:wordWrap/>
                    <w:overflowPunct/>
                    <w:topLinePunct w:val="0"/>
                    <w:bidi w:val="0"/>
                    <w:snapToGrid/>
                    <w:spacing w:line="240" w:lineRule="auto"/>
                    <w:jc w:val="center"/>
                    <w:textAlignment w:val="auto"/>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监测点位</w:t>
                  </w:r>
                </w:p>
              </w:tc>
              <w:tc>
                <w:tcPr>
                  <w:tcW w:w="426" w:type="pct"/>
                  <w:vMerge w:val="restart"/>
                  <w:noWrap w:val="0"/>
                  <w:vAlign w:val="center"/>
                </w:tcPr>
                <w:p w14:paraId="6C5A75C7">
                  <w:pPr>
                    <w:keepNext w:val="0"/>
                    <w:keepLines w:val="0"/>
                    <w:pageBreakBefore w:val="0"/>
                    <w:widowControl/>
                    <w:kinsoku/>
                    <w:wordWrap/>
                    <w:overflowPunct/>
                    <w:topLinePunct w:val="0"/>
                    <w:bidi w:val="0"/>
                    <w:snapToGrid/>
                    <w:spacing w:line="240" w:lineRule="auto"/>
                    <w:jc w:val="center"/>
                    <w:textAlignment w:val="auto"/>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监测</w:t>
                  </w:r>
                </w:p>
                <w:p w14:paraId="090C47F3">
                  <w:pPr>
                    <w:keepNext w:val="0"/>
                    <w:keepLines w:val="0"/>
                    <w:pageBreakBefore w:val="0"/>
                    <w:widowControl/>
                    <w:kinsoku/>
                    <w:wordWrap/>
                    <w:overflowPunct/>
                    <w:topLinePunct w:val="0"/>
                    <w:bidi w:val="0"/>
                    <w:snapToGrid/>
                    <w:spacing w:line="240" w:lineRule="auto"/>
                    <w:jc w:val="center"/>
                    <w:textAlignment w:val="auto"/>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项目</w:t>
                  </w:r>
                </w:p>
              </w:tc>
              <w:tc>
                <w:tcPr>
                  <w:tcW w:w="2733" w:type="pct"/>
                  <w:gridSpan w:val="4"/>
                  <w:noWrap w:val="0"/>
                  <w:vAlign w:val="center"/>
                </w:tcPr>
                <w:p w14:paraId="2F199BED">
                  <w:pPr>
                    <w:keepNext w:val="0"/>
                    <w:keepLines w:val="0"/>
                    <w:pageBreakBefore w:val="0"/>
                    <w:widowControl/>
                    <w:kinsoku/>
                    <w:wordWrap/>
                    <w:overflowPunct/>
                    <w:topLinePunct w:val="0"/>
                    <w:bidi w:val="0"/>
                    <w:snapToGrid/>
                    <w:spacing w:line="240" w:lineRule="auto"/>
                    <w:jc w:val="center"/>
                    <w:textAlignment w:val="auto"/>
                    <w:rPr>
                      <w:rFonts w:hint="default" w:ascii="Times New Roman" w:hAnsi="Times New Roman" w:eastAsia="宋体" w:cs="Times New Roman"/>
                      <w:b/>
                      <w:bCs/>
                      <w:color w:val="auto"/>
                      <w:kern w:val="0"/>
                      <w:sz w:val="21"/>
                      <w:szCs w:val="21"/>
                    </w:rPr>
                  </w:pPr>
                  <w:r>
                    <w:rPr>
                      <w:rFonts w:hint="eastAsia" w:cs="Times New Roman"/>
                      <w:b/>
                      <w:bCs/>
                      <w:color w:val="auto"/>
                      <w:kern w:val="0"/>
                      <w:sz w:val="21"/>
                      <w:szCs w:val="21"/>
                      <w:lang w:val="en-US" w:eastAsia="zh-CN"/>
                    </w:rPr>
                    <w:t>日平均值</w:t>
                  </w:r>
                </w:p>
              </w:tc>
              <w:tc>
                <w:tcPr>
                  <w:tcW w:w="737" w:type="pct"/>
                  <w:vMerge w:val="restart"/>
                  <w:noWrap w:val="0"/>
                  <w:vAlign w:val="center"/>
                </w:tcPr>
                <w:p w14:paraId="4A343D91">
                  <w:pPr>
                    <w:keepNext w:val="0"/>
                    <w:keepLines w:val="0"/>
                    <w:pageBreakBefore w:val="0"/>
                    <w:widowControl/>
                    <w:kinsoku/>
                    <w:wordWrap/>
                    <w:overflowPunct/>
                    <w:topLinePunct w:val="0"/>
                    <w:bidi w:val="0"/>
                    <w:snapToGrid/>
                    <w:spacing w:line="240" w:lineRule="auto"/>
                    <w:jc w:val="center"/>
                    <w:textAlignment w:val="auto"/>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标准限值（mg/m</w:t>
                  </w:r>
                  <w:r>
                    <w:rPr>
                      <w:rFonts w:hint="default" w:ascii="Times New Roman" w:hAnsi="Times New Roman" w:eastAsia="宋体" w:cs="Times New Roman"/>
                      <w:b/>
                      <w:bCs/>
                      <w:color w:val="auto"/>
                      <w:kern w:val="0"/>
                      <w:sz w:val="21"/>
                      <w:szCs w:val="21"/>
                      <w:vertAlign w:val="superscript"/>
                    </w:rPr>
                    <w:t>3</w:t>
                  </w:r>
                  <w:r>
                    <w:rPr>
                      <w:rFonts w:hint="default" w:ascii="Times New Roman" w:hAnsi="Times New Roman" w:eastAsia="宋体" w:cs="Times New Roman"/>
                      <w:b/>
                      <w:bCs/>
                      <w:color w:val="auto"/>
                      <w:kern w:val="0"/>
                      <w:sz w:val="21"/>
                      <w:szCs w:val="21"/>
                    </w:rPr>
                    <w:t>）</w:t>
                  </w:r>
                </w:p>
              </w:tc>
              <w:tc>
                <w:tcPr>
                  <w:tcW w:w="374" w:type="pct"/>
                  <w:vMerge w:val="restart"/>
                  <w:noWrap w:val="0"/>
                  <w:vAlign w:val="center"/>
                </w:tcPr>
                <w:p w14:paraId="0A4D4CAC">
                  <w:pPr>
                    <w:keepNext w:val="0"/>
                    <w:keepLines w:val="0"/>
                    <w:pageBreakBefore w:val="0"/>
                    <w:widowControl/>
                    <w:kinsoku/>
                    <w:wordWrap/>
                    <w:overflowPunct/>
                    <w:topLinePunct w:val="0"/>
                    <w:bidi w:val="0"/>
                    <w:snapToGrid/>
                    <w:spacing w:line="240" w:lineRule="auto"/>
                    <w:jc w:val="center"/>
                    <w:textAlignment w:val="auto"/>
                    <w:rPr>
                      <w:rFonts w:hint="default" w:ascii="Times New Roman" w:hAnsi="Times New Roman" w:eastAsia="宋体" w:cs="Times New Roman"/>
                      <w:b/>
                      <w:bCs/>
                      <w:color w:val="auto"/>
                      <w:kern w:val="0"/>
                      <w:sz w:val="21"/>
                      <w:szCs w:val="21"/>
                      <w:lang w:eastAsia="zh-CN"/>
                    </w:rPr>
                  </w:pPr>
                  <w:r>
                    <w:rPr>
                      <w:rFonts w:hint="default" w:ascii="Times New Roman" w:hAnsi="Times New Roman" w:eastAsia="宋体" w:cs="Times New Roman"/>
                      <w:b/>
                      <w:bCs/>
                      <w:color w:val="auto"/>
                      <w:kern w:val="0"/>
                      <w:sz w:val="21"/>
                      <w:szCs w:val="21"/>
                      <w:lang w:eastAsia="zh-CN"/>
                    </w:rPr>
                    <w:t>达标</w:t>
                  </w:r>
                </w:p>
                <w:p w14:paraId="7D08692E">
                  <w:pPr>
                    <w:keepNext w:val="0"/>
                    <w:keepLines w:val="0"/>
                    <w:pageBreakBefore w:val="0"/>
                    <w:widowControl/>
                    <w:kinsoku/>
                    <w:wordWrap/>
                    <w:overflowPunct/>
                    <w:topLinePunct w:val="0"/>
                    <w:bidi w:val="0"/>
                    <w:snapToGrid/>
                    <w:spacing w:line="240" w:lineRule="auto"/>
                    <w:jc w:val="center"/>
                    <w:textAlignment w:val="auto"/>
                    <w:rPr>
                      <w:rFonts w:hint="default" w:ascii="Times New Roman" w:hAnsi="Times New Roman" w:eastAsia="宋体" w:cs="Times New Roman"/>
                      <w:b/>
                      <w:bCs/>
                      <w:color w:val="auto"/>
                      <w:kern w:val="0"/>
                      <w:sz w:val="21"/>
                      <w:szCs w:val="21"/>
                      <w:lang w:eastAsia="zh-CN"/>
                    </w:rPr>
                  </w:pPr>
                  <w:r>
                    <w:rPr>
                      <w:rFonts w:hint="default" w:ascii="Times New Roman" w:hAnsi="Times New Roman" w:eastAsia="宋体" w:cs="Times New Roman"/>
                      <w:b/>
                      <w:bCs/>
                      <w:color w:val="auto"/>
                      <w:kern w:val="0"/>
                      <w:sz w:val="21"/>
                      <w:szCs w:val="21"/>
                      <w:lang w:eastAsia="zh-CN"/>
                    </w:rPr>
                    <w:t>情况</w:t>
                  </w:r>
                </w:p>
              </w:tc>
            </w:tr>
            <w:tr w14:paraId="65A07784">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67" w:hRule="atLeast"/>
                <w:jc w:val="center"/>
              </w:trPr>
              <w:tc>
                <w:tcPr>
                  <w:tcW w:w="728" w:type="pct"/>
                  <w:vMerge w:val="continue"/>
                  <w:noWrap w:val="0"/>
                  <w:vAlign w:val="center"/>
                </w:tcPr>
                <w:p w14:paraId="3CD200DE">
                  <w:pPr>
                    <w:keepNext w:val="0"/>
                    <w:keepLines w:val="0"/>
                    <w:pageBreakBefore w:val="0"/>
                    <w:widowControl/>
                    <w:kinsoku/>
                    <w:wordWrap/>
                    <w:overflowPunct/>
                    <w:topLinePunct w:val="0"/>
                    <w:bidi w:val="0"/>
                    <w:snapToGrid/>
                    <w:spacing w:line="240" w:lineRule="auto"/>
                    <w:jc w:val="center"/>
                    <w:textAlignment w:val="auto"/>
                    <w:rPr>
                      <w:color w:val="auto"/>
                    </w:rPr>
                  </w:pPr>
                </w:p>
              </w:tc>
              <w:tc>
                <w:tcPr>
                  <w:tcW w:w="426" w:type="pct"/>
                  <w:vMerge w:val="continue"/>
                  <w:noWrap w:val="0"/>
                  <w:vAlign w:val="center"/>
                </w:tcPr>
                <w:p w14:paraId="58137AC5">
                  <w:pPr>
                    <w:keepNext w:val="0"/>
                    <w:keepLines w:val="0"/>
                    <w:pageBreakBefore w:val="0"/>
                    <w:widowControl/>
                    <w:kinsoku/>
                    <w:wordWrap/>
                    <w:overflowPunct/>
                    <w:topLinePunct w:val="0"/>
                    <w:bidi w:val="0"/>
                    <w:snapToGrid/>
                    <w:spacing w:line="240" w:lineRule="auto"/>
                    <w:jc w:val="center"/>
                    <w:textAlignment w:val="auto"/>
                    <w:rPr>
                      <w:color w:val="auto"/>
                    </w:rPr>
                  </w:pPr>
                </w:p>
              </w:tc>
              <w:tc>
                <w:tcPr>
                  <w:tcW w:w="917" w:type="pct"/>
                  <w:noWrap w:val="0"/>
                  <w:vAlign w:val="center"/>
                </w:tcPr>
                <w:p w14:paraId="4ED50555">
                  <w:pPr>
                    <w:keepNext w:val="0"/>
                    <w:keepLines w:val="0"/>
                    <w:pageBreakBefore w:val="0"/>
                    <w:widowControl/>
                    <w:kinsoku/>
                    <w:wordWrap/>
                    <w:overflowPunct/>
                    <w:topLinePunct w:val="0"/>
                    <w:bidi w:val="0"/>
                    <w:snapToGrid/>
                    <w:spacing w:line="240" w:lineRule="auto"/>
                    <w:jc w:val="center"/>
                    <w:textAlignment w:val="auto"/>
                    <w:rPr>
                      <w:rFonts w:hint="default" w:ascii="Times New Roman" w:hAnsi="Times New Roman" w:eastAsia="宋体" w:cs="Times New Roman"/>
                      <w:b/>
                      <w:bCs/>
                      <w:color w:val="auto"/>
                      <w:kern w:val="0"/>
                      <w:sz w:val="21"/>
                      <w:szCs w:val="21"/>
                    </w:rPr>
                  </w:pPr>
                  <w:r>
                    <w:rPr>
                      <w:rFonts w:hint="eastAsia" w:cs="Times New Roman"/>
                      <w:b/>
                      <w:bCs/>
                      <w:color w:val="auto"/>
                      <w:kern w:val="0"/>
                      <w:sz w:val="21"/>
                      <w:szCs w:val="21"/>
                      <w:lang w:val="en-US" w:eastAsia="zh-CN"/>
                    </w:rPr>
                    <w:t>浓度范围</w:t>
                  </w:r>
                  <w:r>
                    <w:rPr>
                      <w:rFonts w:hint="default" w:ascii="Times New Roman" w:hAnsi="Times New Roman" w:eastAsia="宋体" w:cs="Times New Roman"/>
                      <w:b/>
                      <w:bCs/>
                      <w:color w:val="auto"/>
                      <w:kern w:val="0"/>
                      <w:sz w:val="21"/>
                      <w:szCs w:val="21"/>
                    </w:rPr>
                    <w:t>（mg/m</w:t>
                  </w:r>
                  <w:r>
                    <w:rPr>
                      <w:rFonts w:hint="default" w:ascii="Times New Roman" w:hAnsi="Times New Roman" w:eastAsia="宋体" w:cs="Times New Roman"/>
                      <w:b/>
                      <w:bCs/>
                      <w:color w:val="auto"/>
                      <w:kern w:val="0"/>
                      <w:sz w:val="21"/>
                      <w:szCs w:val="21"/>
                      <w:vertAlign w:val="superscript"/>
                    </w:rPr>
                    <w:t>3</w:t>
                  </w:r>
                  <w:r>
                    <w:rPr>
                      <w:rFonts w:hint="default" w:ascii="Times New Roman" w:hAnsi="Times New Roman" w:eastAsia="宋体" w:cs="Times New Roman"/>
                      <w:b/>
                      <w:bCs/>
                      <w:color w:val="auto"/>
                      <w:kern w:val="0"/>
                      <w:sz w:val="21"/>
                      <w:szCs w:val="21"/>
                    </w:rPr>
                    <w:t>）</w:t>
                  </w:r>
                </w:p>
              </w:tc>
              <w:tc>
                <w:tcPr>
                  <w:tcW w:w="693" w:type="pct"/>
                  <w:noWrap w:val="0"/>
                  <w:vAlign w:val="center"/>
                </w:tcPr>
                <w:p w14:paraId="5E73C22C">
                  <w:pPr>
                    <w:keepNext w:val="0"/>
                    <w:keepLines w:val="0"/>
                    <w:pageBreakBefore w:val="0"/>
                    <w:widowControl/>
                    <w:kinsoku/>
                    <w:wordWrap/>
                    <w:overflowPunct/>
                    <w:topLinePunct w:val="0"/>
                    <w:bidi w:val="0"/>
                    <w:snapToGrid/>
                    <w:spacing w:line="240" w:lineRule="auto"/>
                    <w:jc w:val="center"/>
                    <w:textAlignment w:val="auto"/>
                    <w:rPr>
                      <w:rFonts w:hint="eastAsia" w:cs="Times New Roman"/>
                      <w:b/>
                      <w:bCs/>
                      <w:color w:val="auto"/>
                      <w:kern w:val="0"/>
                      <w:sz w:val="21"/>
                      <w:szCs w:val="21"/>
                      <w:lang w:val="en-US" w:eastAsia="zh-CN"/>
                    </w:rPr>
                  </w:pPr>
                  <w:r>
                    <w:rPr>
                      <w:rFonts w:hint="eastAsia" w:cs="Times New Roman"/>
                      <w:b/>
                      <w:bCs/>
                      <w:color w:val="auto"/>
                      <w:kern w:val="0"/>
                      <w:sz w:val="21"/>
                      <w:szCs w:val="21"/>
                      <w:lang w:val="en-US" w:eastAsia="zh-CN"/>
                    </w:rPr>
                    <w:t>占标率</w:t>
                  </w:r>
                </w:p>
                <w:p w14:paraId="1588112A">
                  <w:pPr>
                    <w:keepNext w:val="0"/>
                    <w:keepLines w:val="0"/>
                    <w:pageBreakBefore w:val="0"/>
                    <w:widowControl/>
                    <w:kinsoku/>
                    <w:wordWrap/>
                    <w:overflowPunct/>
                    <w:topLinePunct w:val="0"/>
                    <w:bidi w:val="0"/>
                    <w:snapToGrid/>
                    <w:spacing w:line="240" w:lineRule="auto"/>
                    <w:jc w:val="center"/>
                    <w:textAlignment w:val="auto"/>
                    <w:rPr>
                      <w:rFonts w:hint="default" w:ascii="Times New Roman" w:hAnsi="Times New Roman" w:eastAsia="宋体" w:cs="Times New Roman"/>
                      <w:b/>
                      <w:bCs/>
                      <w:color w:val="auto"/>
                      <w:kern w:val="0"/>
                      <w:sz w:val="21"/>
                      <w:szCs w:val="21"/>
                      <w:lang w:val="en-US" w:eastAsia="zh-CN"/>
                    </w:rPr>
                  </w:pPr>
                  <w:r>
                    <w:rPr>
                      <w:rFonts w:hint="eastAsia" w:cs="Times New Roman"/>
                      <w:b/>
                      <w:bCs/>
                      <w:color w:val="auto"/>
                      <w:kern w:val="0"/>
                      <w:sz w:val="21"/>
                      <w:szCs w:val="21"/>
                      <w:lang w:val="en-US" w:eastAsia="zh-CN"/>
                    </w:rPr>
                    <w:t>最大值</w:t>
                  </w:r>
                </w:p>
              </w:tc>
              <w:tc>
                <w:tcPr>
                  <w:tcW w:w="496" w:type="pct"/>
                  <w:noWrap w:val="0"/>
                  <w:vAlign w:val="center"/>
                </w:tcPr>
                <w:p w14:paraId="24FED6C9">
                  <w:pPr>
                    <w:keepNext w:val="0"/>
                    <w:keepLines w:val="0"/>
                    <w:pageBreakBefore w:val="0"/>
                    <w:widowControl/>
                    <w:kinsoku/>
                    <w:wordWrap/>
                    <w:overflowPunct/>
                    <w:topLinePunct w:val="0"/>
                    <w:bidi w:val="0"/>
                    <w:snapToGrid/>
                    <w:spacing w:line="240" w:lineRule="auto"/>
                    <w:jc w:val="center"/>
                    <w:textAlignment w:val="auto"/>
                    <w:rPr>
                      <w:rFonts w:hint="default" w:ascii="Times New Roman" w:hAnsi="Times New Roman" w:eastAsia="宋体" w:cs="Times New Roman"/>
                      <w:b/>
                      <w:bCs/>
                      <w:color w:val="auto"/>
                      <w:kern w:val="0"/>
                      <w:sz w:val="21"/>
                      <w:szCs w:val="21"/>
                      <w:lang w:val="en-US" w:eastAsia="zh-CN"/>
                    </w:rPr>
                  </w:pPr>
                  <w:r>
                    <w:rPr>
                      <w:rFonts w:hint="eastAsia" w:cs="Times New Roman"/>
                      <w:b/>
                      <w:bCs/>
                      <w:color w:val="auto"/>
                      <w:kern w:val="0"/>
                      <w:sz w:val="21"/>
                      <w:szCs w:val="21"/>
                      <w:lang w:val="en-US" w:eastAsia="zh-CN"/>
                    </w:rPr>
                    <w:t>超标数</w:t>
                  </w:r>
                </w:p>
              </w:tc>
              <w:tc>
                <w:tcPr>
                  <w:tcW w:w="626" w:type="pct"/>
                  <w:noWrap w:val="0"/>
                  <w:vAlign w:val="center"/>
                </w:tcPr>
                <w:p w14:paraId="0C97457F">
                  <w:pPr>
                    <w:keepNext w:val="0"/>
                    <w:keepLines w:val="0"/>
                    <w:pageBreakBefore w:val="0"/>
                    <w:widowControl/>
                    <w:kinsoku/>
                    <w:wordWrap/>
                    <w:overflowPunct/>
                    <w:topLinePunct w:val="0"/>
                    <w:bidi w:val="0"/>
                    <w:snapToGrid/>
                    <w:spacing w:line="240" w:lineRule="auto"/>
                    <w:jc w:val="center"/>
                    <w:textAlignment w:val="auto"/>
                    <w:rPr>
                      <w:rFonts w:hint="default" w:ascii="Times New Roman" w:hAnsi="Times New Roman" w:eastAsia="宋体" w:cs="Times New Roman"/>
                      <w:b/>
                      <w:bCs/>
                      <w:color w:val="auto"/>
                      <w:kern w:val="0"/>
                      <w:sz w:val="21"/>
                      <w:szCs w:val="21"/>
                      <w:lang w:val="en-US" w:eastAsia="zh-CN"/>
                    </w:rPr>
                  </w:pPr>
                  <w:r>
                    <w:rPr>
                      <w:rFonts w:hint="eastAsia" w:cs="Times New Roman"/>
                      <w:b/>
                      <w:bCs/>
                      <w:color w:val="auto"/>
                      <w:kern w:val="0"/>
                      <w:sz w:val="21"/>
                      <w:szCs w:val="21"/>
                      <w:lang w:val="en-US" w:eastAsia="zh-CN"/>
                    </w:rPr>
                    <w:t>超标率</w:t>
                  </w:r>
                </w:p>
              </w:tc>
              <w:tc>
                <w:tcPr>
                  <w:tcW w:w="737" w:type="pct"/>
                  <w:vMerge w:val="continue"/>
                  <w:noWrap w:val="0"/>
                  <w:vAlign w:val="center"/>
                </w:tcPr>
                <w:p w14:paraId="6AF22414">
                  <w:pPr>
                    <w:keepNext w:val="0"/>
                    <w:keepLines w:val="0"/>
                    <w:pageBreakBefore w:val="0"/>
                    <w:widowControl/>
                    <w:kinsoku/>
                    <w:wordWrap/>
                    <w:overflowPunct/>
                    <w:topLinePunct w:val="0"/>
                    <w:bidi w:val="0"/>
                    <w:snapToGrid/>
                    <w:spacing w:line="240" w:lineRule="auto"/>
                    <w:jc w:val="center"/>
                    <w:textAlignment w:val="auto"/>
                    <w:rPr>
                      <w:rFonts w:hint="default" w:ascii="Times New Roman" w:hAnsi="Times New Roman" w:eastAsia="宋体" w:cs="Times New Roman"/>
                      <w:b/>
                      <w:bCs/>
                      <w:color w:val="auto"/>
                      <w:kern w:val="0"/>
                      <w:sz w:val="21"/>
                      <w:szCs w:val="21"/>
                    </w:rPr>
                  </w:pPr>
                </w:p>
              </w:tc>
              <w:tc>
                <w:tcPr>
                  <w:tcW w:w="374" w:type="pct"/>
                  <w:vMerge w:val="continue"/>
                  <w:noWrap w:val="0"/>
                  <w:vAlign w:val="center"/>
                </w:tcPr>
                <w:p w14:paraId="6BCA093E">
                  <w:pPr>
                    <w:keepNext w:val="0"/>
                    <w:keepLines w:val="0"/>
                    <w:pageBreakBefore w:val="0"/>
                    <w:widowControl/>
                    <w:kinsoku/>
                    <w:wordWrap/>
                    <w:overflowPunct/>
                    <w:topLinePunct w:val="0"/>
                    <w:bidi w:val="0"/>
                    <w:snapToGrid/>
                    <w:spacing w:line="240" w:lineRule="auto"/>
                    <w:jc w:val="center"/>
                    <w:textAlignment w:val="auto"/>
                    <w:rPr>
                      <w:rFonts w:hint="default" w:ascii="Times New Roman" w:hAnsi="Times New Roman" w:eastAsia="宋体" w:cs="Times New Roman"/>
                      <w:b/>
                      <w:bCs/>
                      <w:color w:val="auto"/>
                      <w:kern w:val="0"/>
                      <w:sz w:val="21"/>
                      <w:szCs w:val="21"/>
                    </w:rPr>
                  </w:pPr>
                </w:p>
              </w:tc>
            </w:tr>
            <w:tr w14:paraId="546234B7">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28" w:type="pct"/>
                  <w:noWrap w:val="0"/>
                  <w:vAlign w:val="center"/>
                </w:tcPr>
                <w:p w14:paraId="1BA42ADD">
                  <w:pPr>
                    <w:keepNext w:val="0"/>
                    <w:keepLines w:val="0"/>
                    <w:pageBreakBefore w:val="0"/>
                    <w:widowControl/>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auto"/>
                      <w:kern w:val="0"/>
                      <w:sz w:val="21"/>
                      <w:szCs w:val="21"/>
                      <w:lang w:val="en-US" w:eastAsia="zh-CN"/>
                    </w:rPr>
                  </w:pPr>
                  <w:r>
                    <w:rPr>
                      <w:rFonts w:hint="eastAsia" w:ascii="Times New Roman" w:hAnsi="Times New Roman" w:eastAsia="宋体" w:cs="Times New Roman"/>
                      <w:b w:val="0"/>
                      <w:bCs w:val="0"/>
                      <w:color w:val="auto"/>
                      <w:kern w:val="0"/>
                      <w:sz w:val="21"/>
                      <w:szCs w:val="21"/>
                      <w:lang w:val="en-US" w:eastAsia="zh-CN"/>
                    </w:rPr>
                    <w:t>肯昌机电</w:t>
                  </w:r>
                  <w:r>
                    <w:rPr>
                      <w:rFonts w:hint="eastAsia" w:cs="Times New Roman"/>
                      <w:b w:val="0"/>
                      <w:bCs w:val="0"/>
                      <w:color w:val="auto"/>
                      <w:kern w:val="0"/>
                      <w:sz w:val="21"/>
                      <w:szCs w:val="21"/>
                      <w:lang w:val="en-US" w:eastAsia="zh-CN"/>
                    </w:rPr>
                    <w:t>G6</w:t>
                  </w:r>
                </w:p>
              </w:tc>
              <w:tc>
                <w:tcPr>
                  <w:tcW w:w="426" w:type="pct"/>
                  <w:noWrap w:val="0"/>
                  <w:vAlign w:val="center"/>
                </w:tcPr>
                <w:p w14:paraId="2CF2A64A">
                  <w:pPr>
                    <w:keepNext w:val="0"/>
                    <w:keepLines w:val="0"/>
                    <w:pageBreakBefore w:val="0"/>
                    <w:widowControl/>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b w:val="0"/>
                      <w:bCs w:val="0"/>
                      <w:color w:val="auto"/>
                      <w:kern w:val="0"/>
                      <w:sz w:val="21"/>
                      <w:szCs w:val="21"/>
                      <w:lang w:val="en-US" w:eastAsia="zh-CN"/>
                    </w:rPr>
                    <w:t>TSP</w:t>
                  </w:r>
                </w:p>
              </w:tc>
              <w:tc>
                <w:tcPr>
                  <w:tcW w:w="917" w:type="pct"/>
                  <w:noWrap w:val="0"/>
                  <w:vAlign w:val="center"/>
                </w:tcPr>
                <w:p w14:paraId="6C4BC006">
                  <w:pPr>
                    <w:keepNext w:val="0"/>
                    <w:keepLines w:val="0"/>
                    <w:pageBreakBefore w:val="0"/>
                    <w:widowControl/>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auto"/>
                      <w:kern w:val="0"/>
                      <w:sz w:val="21"/>
                      <w:szCs w:val="21"/>
                      <w:lang w:val="en-US" w:eastAsia="zh-CN"/>
                    </w:rPr>
                  </w:pPr>
                  <w:r>
                    <w:rPr>
                      <w:rFonts w:hint="eastAsia" w:cs="Times New Roman"/>
                      <w:b w:val="0"/>
                      <w:bCs w:val="0"/>
                      <w:color w:val="auto"/>
                      <w:kern w:val="0"/>
                      <w:sz w:val="21"/>
                      <w:szCs w:val="21"/>
                      <w:lang w:val="en-US" w:eastAsia="zh-CN"/>
                    </w:rPr>
                    <w:t>0.125-0.156</w:t>
                  </w:r>
                </w:p>
              </w:tc>
              <w:tc>
                <w:tcPr>
                  <w:tcW w:w="693" w:type="pct"/>
                  <w:noWrap w:val="0"/>
                  <w:vAlign w:val="center"/>
                </w:tcPr>
                <w:p w14:paraId="78EFE963">
                  <w:pPr>
                    <w:keepNext w:val="0"/>
                    <w:keepLines w:val="0"/>
                    <w:pageBreakBefore w:val="0"/>
                    <w:widowControl/>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auto"/>
                      <w:kern w:val="0"/>
                      <w:sz w:val="21"/>
                      <w:szCs w:val="21"/>
                      <w:lang w:val="en-US" w:eastAsia="zh-CN"/>
                    </w:rPr>
                  </w:pPr>
                  <w:r>
                    <w:rPr>
                      <w:rFonts w:hint="eastAsia" w:cs="Times New Roman"/>
                      <w:b w:val="0"/>
                      <w:bCs w:val="0"/>
                      <w:color w:val="auto"/>
                      <w:kern w:val="0"/>
                      <w:sz w:val="21"/>
                      <w:szCs w:val="21"/>
                      <w:lang w:val="en-US" w:eastAsia="zh-CN"/>
                    </w:rPr>
                    <w:t>0.52</w:t>
                  </w:r>
                </w:p>
              </w:tc>
              <w:tc>
                <w:tcPr>
                  <w:tcW w:w="496" w:type="pct"/>
                  <w:noWrap w:val="0"/>
                  <w:vAlign w:val="center"/>
                </w:tcPr>
                <w:p w14:paraId="119E746C">
                  <w:pPr>
                    <w:keepNext w:val="0"/>
                    <w:keepLines w:val="0"/>
                    <w:pageBreakBefore w:val="0"/>
                    <w:widowControl/>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auto"/>
                      <w:kern w:val="0"/>
                      <w:sz w:val="21"/>
                      <w:szCs w:val="21"/>
                      <w:lang w:val="en-US" w:eastAsia="zh-CN"/>
                    </w:rPr>
                  </w:pPr>
                  <w:r>
                    <w:rPr>
                      <w:rFonts w:hint="eastAsia" w:cs="Times New Roman"/>
                      <w:b w:val="0"/>
                      <w:bCs w:val="0"/>
                      <w:color w:val="auto"/>
                      <w:kern w:val="0"/>
                      <w:sz w:val="21"/>
                      <w:szCs w:val="21"/>
                      <w:lang w:val="en-US" w:eastAsia="zh-CN"/>
                    </w:rPr>
                    <w:t>0</w:t>
                  </w:r>
                </w:p>
              </w:tc>
              <w:tc>
                <w:tcPr>
                  <w:tcW w:w="626" w:type="pct"/>
                  <w:noWrap w:val="0"/>
                  <w:vAlign w:val="center"/>
                </w:tcPr>
                <w:p w14:paraId="667071C7">
                  <w:pPr>
                    <w:keepNext w:val="0"/>
                    <w:keepLines w:val="0"/>
                    <w:pageBreakBefore w:val="0"/>
                    <w:widowControl/>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auto"/>
                      <w:kern w:val="0"/>
                      <w:sz w:val="21"/>
                      <w:szCs w:val="21"/>
                      <w:lang w:val="en-US" w:eastAsia="zh-CN"/>
                    </w:rPr>
                  </w:pPr>
                  <w:r>
                    <w:rPr>
                      <w:rFonts w:hint="eastAsia" w:cs="Times New Roman"/>
                      <w:b w:val="0"/>
                      <w:bCs w:val="0"/>
                      <w:color w:val="auto"/>
                      <w:kern w:val="0"/>
                      <w:sz w:val="21"/>
                      <w:szCs w:val="21"/>
                      <w:lang w:val="en-US" w:eastAsia="zh-CN"/>
                    </w:rPr>
                    <w:t>0</w:t>
                  </w:r>
                </w:p>
              </w:tc>
              <w:tc>
                <w:tcPr>
                  <w:tcW w:w="737" w:type="pct"/>
                  <w:noWrap w:val="0"/>
                  <w:vAlign w:val="center"/>
                </w:tcPr>
                <w:p w14:paraId="24774C90">
                  <w:pPr>
                    <w:keepNext w:val="0"/>
                    <w:keepLines w:val="0"/>
                    <w:pageBreakBefore w:val="0"/>
                    <w:widowControl/>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b w:val="0"/>
                      <w:bCs w:val="0"/>
                      <w:color w:val="auto"/>
                      <w:kern w:val="0"/>
                      <w:sz w:val="21"/>
                      <w:szCs w:val="21"/>
                      <w:lang w:val="en-US" w:eastAsia="zh-CN"/>
                    </w:rPr>
                    <w:t>0.3</w:t>
                  </w:r>
                </w:p>
              </w:tc>
              <w:tc>
                <w:tcPr>
                  <w:tcW w:w="374" w:type="pct"/>
                  <w:noWrap w:val="0"/>
                  <w:vAlign w:val="center"/>
                </w:tcPr>
                <w:p w14:paraId="179B161B">
                  <w:pPr>
                    <w:keepNext w:val="0"/>
                    <w:keepLines w:val="0"/>
                    <w:pageBreakBefore w:val="0"/>
                    <w:widowControl/>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auto"/>
                      <w:kern w:val="0"/>
                      <w:sz w:val="21"/>
                      <w:szCs w:val="21"/>
                      <w:lang w:val="en-US" w:eastAsia="zh-CN"/>
                    </w:rPr>
                  </w:pPr>
                  <w:r>
                    <w:rPr>
                      <w:rFonts w:hint="default" w:ascii="Times New Roman" w:hAnsi="Times New Roman" w:eastAsia="宋体" w:cs="Times New Roman"/>
                      <w:b w:val="0"/>
                      <w:bCs w:val="0"/>
                      <w:color w:val="auto"/>
                      <w:kern w:val="0"/>
                      <w:sz w:val="21"/>
                      <w:szCs w:val="21"/>
                      <w:lang w:val="en-US" w:eastAsia="zh-CN"/>
                    </w:rPr>
                    <w:t>达标</w:t>
                  </w:r>
                </w:p>
              </w:tc>
            </w:tr>
          </w:tbl>
          <w:p w14:paraId="05041A2E">
            <w:pPr>
              <w:pStyle w:val="1102"/>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cs="Times New Roman"/>
                <w:bCs/>
                <w:color w:val="auto"/>
                <w:sz w:val="24"/>
              </w:rPr>
              <w:t>由</w:t>
            </w:r>
            <w:r>
              <w:rPr>
                <w:rFonts w:hint="eastAsia" w:cs="Times New Roman"/>
                <w:bCs/>
                <w:color w:val="auto"/>
                <w:sz w:val="24"/>
                <w:lang w:eastAsia="zh-CN"/>
              </w:rPr>
              <w:t>上表</w:t>
            </w:r>
            <w:r>
              <w:rPr>
                <w:rFonts w:hint="default" w:ascii="Times New Roman" w:hAnsi="Times New Roman" w:cs="Times New Roman"/>
                <w:bCs/>
                <w:color w:val="auto"/>
                <w:sz w:val="24"/>
              </w:rPr>
              <w:t>可知，</w:t>
            </w:r>
            <w:r>
              <w:rPr>
                <w:rFonts w:hint="default" w:ascii="Times New Roman" w:hAnsi="Times New Roman" w:eastAsia="宋体" w:cs="Times New Roman"/>
                <w:color w:val="auto"/>
                <w:kern w:val="2"/>
                <w:sz w:val="24"/>
                <w:szCs w:val="24"/>
                <w:lang w:val="en-US" w:eastAsia="zh-CN" w:bidi="ar-SA"/>
              </w:rPr>
              <w:t>评价范围内TSP的浓度值</w:t>
            </w:r>
            <w:r>
              <w:rPr>
                <w:rFonts w:hint="default" w:ascii="Times New Roman" w:hAnsi="Times New Roman" w:cs="Times New Roman"/>
                <w:bCs/>
                <w:color w:val="auto"/>
                <w:sz w:val="24"/>
              </w:rPr>
              <w:t>满足</w:t>
            </w:r>
            <w:r>
              <w:rPr>
                <w:rFonts w:hint="default" w:ascii="Times New Roman" w:hAnsi="Times New Roman" w:eastAsia="宋体" w:cs="Times New Roman"/>
                <w:color w:val="auto"/>
                <w:kern w:val="2"/>
                <w:sz w:val="24"/>
                <w:szCs w:val="24"/>
                <w:lang w:val="en-US" w:eastAsia="zh-CN" w:bidi="ar-SA"/>
              </w:rPr>
              <w:t>《环境空气质量标准》（GB3095-2012）</w:t>
            </w:r>
            <w:r>
              <w:rPr>
                <w:rFonts w:hint="eastAsia" w:cs="Times New Roman"/>
                <w:color w:val="auto"/>
                <w:kern w:val="2"/>
                <w:sz w:val="24"/>
                <w:szCs w:val="24"/>
                <w:lang w:val="en-US" w:eastAsia="zh-CN" w:bidi="ar-SA"/>
              </w:rPr>
              <w:t>及2018年修改单</w:t>
            </w:r>
            <w:r>
              <w:rPr>
                <w:rFonts w:hint="default" w:ascii="Times New Roman" w:hAnsi="Times New Roman" w:eastAsia="宋体" w:cs="Times New Roman"/>
                <w:color w:val="auto"/>
                <w:kern w:val="2"/>
                <w:sz w:val="24"/>
                <w:szCs w:val="24"/>
                <w:lang w:val="en-US" w:eastAsia="zh-CN" w:bidi="ar-SA"/>
              </w:rPr>
              <w:t>中</w:t>
            </w:r>
            <w:r>
              <w:rPr>
                <w:rFonts w:hint="eastAsia" w:cs="Times New Roman"/>
                <w:color w:val="auto"/>
                <w:kern w:val="2"/>
                <w:sz w:val="24"/>
                <w:szCs w:val="24"/>
                <w:lang w:val="en-US" w:eastAsia="zh-CN" w:bidi="ar-SA"/>
              </w:rPr>
              <w:t>两级</w:t>
            </w:r>
            <w:r>
              <w:rPr>
                <w:rFonts w:hint="default" w:ascii="Times New Roman" w:hAnsi="Times New Roman" w:eastAsia="宋体" w:cs="Times New Roman"/>
                <w:color w:val="auto"/>
                <w:kern w:val="2"/>
                <w:sz w:val="24"/>
                <w:szCs w:val="24"/>
                <w:lang w:val="en-US" w:eastAsia="zh-CN" w:bidi="ar-SA"/>
              </w:rPr>
              <w:t>标准要求</w:t>
            </w:r>
            <w:r>
              <w:rPr>
                <w:rFonts w:hint="eastAsia" w:cs="Times New Roman"/>
                <w:color w:val="auto"/>
                <w:kern w:val="2"/>
                <w:sz w:val="24"/>
                <w:szCs w:val="24"/>
                <w:lang w:val="en-US" w:eastAsia="zh-CN" w:bidi="ar-SA"/>
              </w:rPr>
              <w:t>，区域环境质量较好</w:t>
            </w:r>
            <w:r>
              <w:rPr>
                <w:rFonts w:hint="default" w:ascii="Times New Roman" w:hAnsi="Times New Roman" w:eastAsia="宋体" w:cs="Times New Roman"/>
                <w:color w:val="auto"/>
                <w:kern w:val="2"/>
                <w:sz w:val="24"/>
                <w:szCs w:val="24"/>
                <w:lang w:val="en-US" w:eastAsia="zh-CN" w:bidi="ar-SA"/>
              </w:rPr>
              <w:t>。</w:t>
            </w:r>
          </w:p>
          <w:p w14:paraId="7D593D38">
            <w:pPr>
              <w:pStyle w:val="1102"/>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p>
          <w:p w14:paraId="1833C8F9">
            <w:pPr>
              <w:pStyle w:val="1102"/>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p>
          <w:p w14:paraId="5EE4E292">
            <w:pPr>
              <w:pStyle w:val="1102"/>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p>
          <w:p w14:paraId="7A7830A4">
            <w:pPr>
              <w:pStyle w:val="1102"/>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p>
          <w:p w14:paraId="781A2FC0">
            <w:pPr>
              <w:pStyle w:val="1102"/>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p>
          <w:p w14:paraId="199DA7FC">
            <w:pPr>
              <w:pStyle w:val="1102"/>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p>
          <w:p w14:paraId="7278A362">
            <w:pPr>
              <w:pStyle w:val="1102"/>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p>
          <w:p w14:paraId="3C78478A">
            <w:pPr>
              <w:pStyle w:val="1102"/>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p>
          <w:p w14:paraId="7087FCAA">
            <w:pPr>
              <w:pStyle w:val="1102"/>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p>
          <w:p w14:paraId="6DDD86EE">
            <w:pPr>
              <w:pStyle w:val="1102"/>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p>
          <w:p w14:paraId="418DDD3E">
            <w:pPr>
              <w:pStyle w:val="1102"/>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p>
          <w:p w14:paraId="74D242AB">
            <w:pPr>
              <w:pStyle w:val="1102"/>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p>
          <w:p w14:paraId="0161C0E8">
            <w:pPr>
              <w:pStyle w:val="1102"/>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p>
          <w:p w14:paraId="39939279">
            <w:pPr>
              <w:pStyle w:val="1102"/>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p>
          <w:p w14:paraId="48C5C55B">
            <w:pPr>
              <w:pStyle w:val="1102"/>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p>
          <w:p w14:paraId="72DCC615">
            <w:pPr>
              <w:pStyle w:val="1102"/>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p>
          <w:p w14:paraId="631531BE">
            <w:pPr>
              <w:pStyle w:val="1102"/>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p>
          <w:p w14:paraId="3ABF5A03">
            <w:pPr>
              <w:pStyle w:val="1102"/>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p>
          <w:p w14:paraId="14FF6113">
            <w:pPr>
              <w:pStyle w:val="1102"/>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p>
          <w:p w14:paraId="39E0F2F4">
            <w:pPr>
              <w:pStyle w:val="1102"/>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p>
          <w:p w14:paraId="4898FB6C">
            <w:pPr>
              <w:pStyle w:val="1102"/>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p>
          <w:p w14:paraId="37B0791E">
            <w:pPr>
              <w:pStyle w:val="1102"/>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p>
          <w:p w14:paraId="754A09E3">
            <w:pPr>
              <w:pStyle w:val="1102"/>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p>
          <w:p w14:paraId="420ABA97">
            <w:pPr>
              <w:pStyle w:val="1102"/>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p>
          <w:p w14:paraId="125C7D3B">
            <w:pPr>
              <w:pStyle w:val="1102"/>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p>
          <w:p w14:paraId="7CB866C0">
            <w:pPr>
              <w:pStyle w:val="1102"/>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p>
          <w:p w14:paraId="0A1AF094">
            <w:pPr>
              <w:pStyle w:val="1102"/>
              <w:spacing w:line="360" w:lineRule="auto"/>
              <w:ind w:firstLine="480" w:firstLineChars="200"/>
              <w:jc w:val="both"/>
              <w:rPr>
                <w:rFonts w:hint="default" w:ascii="Times New Roman" w:hAnsi="Times New Roman" w:eastAsia="宋体" w:cs="Times New Roman"/>
                <w:color w:val="auto"/>
                <w:kern w:val="2"/>
                <w:sz w:val="24"/>
                <w:szCs w:val="24"/>
                <w:lang w:val="en-US" w:eastAsia="zh-CN" w:bidi="ar-SA"/>
              </w:rPr>
            </w:pPr>
          </w:p>
          <w:p w14:paraId="33BD6E65">
            <w:pPr>
              <w:pStyle w:val="1102"/>
              <w:spacing w:line="360" w:lineRule="auto"/>
              <w:jc w:val="both"/>
              <w:rPr>
                <w:rFonts w:hint="default" w:ascii="Times New Roman" w:hAnsi="Times New Roman" w:eastAsia="宋体" w:cs="Times New Roman"/>
                <w:color w:val="auto"/>
                <w:kern w:val="2"/>
                <w:sz w:val="24"/>
                <w:szCs w:val="24"/>
                <w:lang w:val="en-US" w:eastAsia="zh-CN" w:bidi="ar-SA"/>
              </w:rPr>
            </w:pPr>
          </w:p>
          <w:p w14:paraId="0B745B74">
            <w:pPr>
              <w:pStyle w:val="1102"/>
              <w:spacing w:line="360" w:lineRule="auto"/>
              <w:jc w:val="center"/>
              <w:rPr>
                <w:rFonts w:hint="default" w:ascii="Times New Roman" w:hAnsi="Times New Roman" w:eastAsia="宋体" w:cs="Times New Roman"/>
                <w:color w:val="auto"/>
                <w:kern w:val="2"/>
                <w:sz w:val="24"/>
                <w:szCs w:val="24"/>
                <w:lang w:val="en-US" w:eastAsia="zh-CN" w:bidi="ar-SA"/>
              </w:rPr>
            </w:pPr>
            <w:r>
              <w:rPr>
                <w:color w:val="auto"/>
                <w:sz w:val="24"/>
              </w:rPr>
              <mc:AlternateContent>
                <mc:Choice Requires="wps">
                  <w:drawing>
                    <wp:anchor distT="0" distB="0" distL="114300" distR="114300" simplePos="0" relativeHeight="251664384" behindDoc="0" locked="0" layoutInCell="1" allowOverlap="1">
                      <wp:simplePos x="0" y="0"/>
                      <wp:positionH relativeFrom="column">
                        <wp:posOffset>2476500</wp:posOffset>
                      </wp:positionH>
                      <wp:positionV relativeFrom="paragraph">
                        <wp:posOffset>3287395</wp:posOffset>
                      </wp:positionV>
                      <wp:extent cx="194310" cy="150495"/>
                      <wp:effectExtent l="19050" t="20955" r="34290" b="38100"/>
                      <wp:wrapNone/>
                      <wp:docPr id="7" name="矩形 7"/>
                      <wp:cNvGraphicFramePr/>
                      <a:graphic xmlns:a="http://schemas.openxmlformats.org/drawingml/2006/main">
                        <a:graphicData uri="http://schemas.microsoft.com/office/word/2010/wordprocessingShape">
                          <wps:wsp>
                            <wps:cNvSpPr/>
                            <wps:spPr>
                              <a:xfrm rot="21300000" flipH="1">
                                <a:off x="2980690" y="3937635"/>
                                <a:ext cx="194310" cy="150495"/>
                              </a:xfrm>
                              <a:prstGeom prst="rect">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flip:x;margin-left:195pt;margin-top:258.85pt;height:11.85pt;width:15.3pt;rotation:327680f;z-index:251664384;v-text-anchor:middle;mso-width-relative:page;mso-height-relative:page;" filled="f" stroked="t" coordsize="21600,21600" o:gfxdata="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Aq2Ejj2QAAAAsBAAAPAAAAAAAAAAEAIAAAACIA&#10;AABkcnMvZG93bnJldi54bWxQSwECFAAUAAAACACHTuJA4OteaHoCAADYBAAADgAAAAAAAAABACAA&#10;AAAoAQAAZHJzL2Uyb0RvYy54bWxQSwUGAAAAAAYABgBZAQAAFAYAAAAA&#10;">
                      <v:fill on="f" focussize="0,0"/>
                      <v:stroke weight="2pt" color="#FF0000 [2404]" joinstyle="round"/>
                      <v:imagedata o:title=""/>
                      <o:lock v:ext="edit" aspectratio="f"/>
                    </v:rect>
                  </w:pict>
                </mc:Fallback>
              </mc:AlternateContent>
            </w:r>
            <w:r>
              <w:rPr>
                <w:color w:val="auto"/>
                <w:sz w:val="24"/>
              </w:rPr>
              <mc:AlternateContent>
                <mc:Choice Requires="wps">
                  <w:drawing>
                    <wp:anchor distT="0" distB="0" distL="114300" distR="114300" simplePos="0" relativeHeight="251666432" behindDoc="0" locked="0" layoutInCell="1" allowOverlap="1">
                      <wp:simplePos x="0" y="0"/>
                      <wp:positionH relativeFrom="column">
                        <wp:posOffset>1733550</wp:posOffset>
                      </wp:positionH>
                      <wp:positionV relativeFrom="paragraph">
                        <wp:posOffset>3081655</wp:posOffset>
                      </wp:positionV>
                      <wp:extent cx="667385" cy="265430"/>
                      <wp:effectExtent l="0" t="0" r="0" b="0"/>
                      <wp:wrapNone/>
                      <wp:docPr id="11" name="矩形 11"/>
                      <wp:cNvGraphicFramePr/>
                      <a:graphic xmlns:a="http://schemas.openxmlformats.org/drawingml/2006/main">
                        <a:graphicData uri="http://schemas.microsoft.com/office/word/2010/wordprocessingShape">
                          <wps:wsp>
                            <wps:cNvSpPr/>
                            <wps:spPr>
                              <a:xfrm>
                                <a:off x="3385185" y="3650615"/>
                                <a:ext cx="667385" cy="265430"/>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207DBFF3">
                                  <w:pPr>
                                    <w:jc w:val="center"/>
                                    <w:rPr>
                                      <w:rFonts w:hint="eastAsia" w:eastAsia="宋体"/>
                                      <w:color w:val="FF0000"/>
                                      <w:sz w:val="18"/>
                                      <w:szCs w:val="18"/>
                                      <w:lang w:eastAsia="zh-CN"/>
                                    </w:rPr>
                                  </w:pPr>
                                  <w:r>
                                    <w:rPr>
                                      <w:rFonts w:hint="eastAsia"/>
                                      <w:color w:val="FF0000"/>
                                      <w:sz w:val="18"/>
                                      <w:szCs w:val="18"/>
                                      <w:lang w:eastAsia="zh-CN"/>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36.5pt;margin-top:242.65pt;height:20.9pt;width:52.55pt;z-index:251666432;v-text-anchor:middle;mso-width-relative:page;mso-height-relative:page;" filled="f" stroked="f" coordsize="21600,21600" o:gfxdata="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dbuzMNoAAAALAQAADwAAAAAAAAABACAAAAAiAAAAZHJzL2Rvd25yZXYueG1sUEsBAhQAFAAA&#10;AAgAh07iQNLUBptfAgAAowQAAA4AAAAAAAAAAQAgAAAAKQEAAGRycy9lMm9Eb2MueG1sUEsFBgAA&#10;AAAGAAYAWQEAAPoFAAAAAA==&#10;">
                      <v:fill on="f" focussize="0,0"/>
                      <v:stroke on="f" weight="2pt"/>
                      <v:imagedata o:title=""/>
                      <o:lock v:ext="edit" aspectratio="f"/>
                      <v:textbox>
                        <w:txbxContent>
                          <w:p w14:paraId="207DBFF3">
                            <w:pPr>
                              <w:jc w:val="center"/>
                              <w:rPr>
                                <w:rFonts w:hint="eastAsia" w:eastAsia="宋体"/>
                                <w:color w:val="FF0000"/>
                                <w:sz w:val="18"/>
                                <w:szCs w:val="18"/>
                                <w:lang w:eastAsia="zh-CN"/>
                              </w:rPr>
                            </w:pPr>
                            <w:r>
                              <w:rPr>
                                <w:rFonts w:hint="eastAsia"/>
                                <w:color w:val="FF0000"/>
                                <w:sz w:val="18"/>
                                <w:szCs w:val="18"/>
                                <w:lang w:eastAsia="zh-CN"/>
                              </w:rPr>
                              <w:t>项目位置</w:t>
                            </w:r>
                          </w:p>
                        </w:txbxContent>
                      </v:textbox>
                    </v:rect>
                  </w:pict>
                </mc:Fallback>
              </mc:AlternateContent>
            </w:r>
            <w:r>
              <w:rPr>
                <w:color w:val="auto"/>
                <w:sz w:val="24"/>
              </w:rPr>
              <mc:AlternateContent>
                <mc:Choice Requires="wps">
                  <w:drawing>
                    <wp:anchor distT="0" distB="0" distL="114300" distR="114300" simplePos="0" relativeHeight="251665408" behindDoc="0" locked="0" layoutInCell="1" allowOverlap="1">
                      <wp:simplePos x="0" y="0"/>
                      <wp:positionH relativeFrom="column">
                        <wp:posOffset>1884045</wp:posOffset>
                      </wp:positionH>
                      <wp:positionV relativeFrom="paragraph">
                        <wp:posOffset>3324860</wp:posOffset>
                      </wp:positionV>
                      <wp:extent cx="569595" cy="100330"/>
                      <wp:effectExtent l="0" t="6350" r="20955" b="7620"/>
                      <wp:wrapNone/>
                      <wp:docPr id="10" name="任意多边形 10"/>
                      <wp:cNvGraphicFramePr/>
                      <a:graphic xmlns:a="http://schemas.openxmlformats.org/drawingml/2006/main">
                        <a:graphicData uri="http://schemas.microsoft.com/office/word/2010/wordprocessingShape">
                          <wps:wsp>
                            <wps:cNvSpPr/>
                            <wps:spPr>
                              <a:xfrm flipH="1">
                                <a:off x="3108325" y="3909695"/>
                                <a:ext cx="569595" cy="100330"/>
                              </a:xfrm>
                              <a:custGeom>
                                <a:avLst/>
                                <a:gdLst>
                                  <a:gd name="connisteX0" fmla="*/ 0 w 471805"/>
                                  <a:gd name="connsiteY0" fmla="*/ 106045 h 106045"/>
                                  <a:gd name="connisteX1" fmla="*/ 90805 w 471805"/>
                                  <a:gd name="connsiteY1" fmla="*/ 0 h 106045"/>
                                  <a:gd name="connisteX2" fmla="*/ 471805 w 471805"/>
                                  <a:gd name="connsiteY2" fmla="*/ 5715 h 106045"/>
                                </a:gdLst>
                                <a:ahLst/>
                                <a:cxnLst>
                                  <a:cxn ang="0">
                                    <a:pos x="connisteX0" y="connsiteY0"/>
                                  </a:cxn>
                                  <a:cxn ang="0">
                                    <a:pos x="connisteX1" y="connsiteY1"/>
                                  </a:cxn>
                                  <a:cxn ang="0">
                                    <a:pos x="connisteX2" y="connsiteY2"/>
                                  </a:cxn>
                                </a:cxnLst>
                                <a:rect l="l" t="t" r="r" b="b"/>
                                <a:pathLst>
                                  <a:path w="471805" h="106045">
                                    <a:moveTo>
                                      <a:pt x="0" y="106045"/>
                                    </a:moveTo>
                                    <a:lnTo>
                                      <a:pt x="90805" y="0"/>
                                    </a:lnTo>
                                    <a:lnTo>
                                      <a:pt x="471805" y="5715"/>
                                    </a:lnTo>
                                  </a:path>
                                </a:pathLst>
                              </a:custGeom>
                              <a:noFill/>
                              <a:ln w="12700">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flip:x;margin-left:148.35pt;margin-top:261.8pt;height:7.9pt;width:44.85pt;z-index:251665408;mso-width-relative:page;mso-height-relative:page;" filled="f" stroked="t" coordsize="471805,106045" o:gfxdata="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" path="m0,106045l90805,0,471805,5715e">
                      <v:path o:connectlocs="0,100330;109625,0;569595,5407" o:connectangles="0,0,0"/>
                      <v:fill on="f" focussize="0,0"/>
                      <v:stroke weight="1pt" color="#FF0000 [2404]" joinstyle="round"/>
                      <v:imagedata o:title=""/>
                      <o:lock v:ext="edit" aspectratio="f"/>
                    </v:shape>
                  </w:pict>
                </mc:Fallback>
              </mc:AlternateContent>
            </w:r>
            <w:r>
              <w:rPr>
                <w:color w:val="auto"/>
                <w:sz w:val="24"/>
              </w:rPr>
              <mc:AlternateContent>
                <mc:Choice Requires="wps">
                  <w:drawing>
                    <wp:anchor distT="0" distB="0" distL="114300" distR="114300" simplePos="0" relativeHeight="251669504" behindDoc="0" locked="0" layoutInCell="1" allowOverlap="1">
                      <wp:simplePos x="0" y="0"/>
                      <wp:positionH relativeFrom="column">
                        <wp:posOffset>2229485</wp:posOffset>
                      </wp:positionH>
                      <wp:positionV relativeFrom="paragraph">
                        <wp:posOffset>1652905</wp:posOffset>
                      </wp:positionV>
                      <wp:extent cx="842645" cy="387985"/>
                      <wp:effectExtent l="0" t="0" r="0" b="0"/>
                      <wp:wrapNone/>
                      <wp:docPr id="24" name="矩形 24"/>
                      <wp:cNvGraphicFramePr/>
                      <a:graphic xmlns:a="http://schemas.openxmlformats.org/drawingml/2006/main">
                        <a:graphicData uri="http://schemas.microsoft.com/office/word/2010/wordprocessingShape">
                          <wps:wsp>
                            <wps:cNvSpPr/>
                            <wps:spPr>
                              <a:xfrm>
                                <a:off x="0" y="0"/>
                                <a:ext cx="842645" cy="387985"/>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67675B04">
                                  <w:pPr>
                                    <w:jc w:val="center"/>
                                    <w:rPr>
                                      <w:rFonts w:hint="default" w:ascii="Times New Roman" w:hAnsi="Times New Roman" w:eastAsia="宋体" w:cs="Times New Roman"/>
                                      <w:b/>
                                      <w:bCs/>
                                      <w:color w:val="FFFF00"/>
                                      <w:sz w:val="18"/>
                                      <w:szCs w:val="18"/>
                                      <w:lang w:val="en-US" w:eastAsia="zh-CN"/>
                                    </w:rPr>
                                  </w:pPr>
                                  <w:r>
                                    <w:rPr>
                                      <w:rFonts w:hint="eastAsia" w:cs="Times New Roman"/>
                                      <w:b/>
                                      <w:bCs/>
                                      <w:color w:val="FFFF00"/>
                                      <w:sz w:val="18"/>
                                      <w:szCs w:val="18"/>
                                      <w:lang w:val="en-US" w:eastAsia="zh-CN"/>
                                    </w:rPr>
                                    <w:t>2.1</w:t>
                                  </w:r>
                                  <w:r>
                                    <w:rPr>
                                      <w:rFonts w:hint="eastAsia" w:ascii="Times New Roman" w:hAnsi="Times New Roman" w:eastAsia="宋体" w:cs="Times New Roman"/>
                                      <w:b/>
                                      <w:bCs/>
                                      <w:color w:val="FFFF00"/>
                                      <w:sz w:val="18"/>
                                      <w:szCs w:val="18"/>
                                      <w:lang w:val="en-US" w:eastAsia="zh-CN"/>
                                    </w:rPr>
                                    <w:t>km</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5.55pt;margin-top:130.15pt;height:30.55pt;width:66.35pt;z-index:251669504;v-text-anchor:middle;mso-width-relative:page;mso-height-relative:page;" filled="f" stroked="f" coordsize="21600,21600" o:gfxdata="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DYFRvl2QAAAAsB&#10;AAAPAAAAAAAAAAEAIAAAACIAAABkcnMvZG93bnJldi54bWxQSwECFAAUAAAACACHTuJAKZ1oWlMC&#10;AACXBAAADgAAAAAAAAABACAAAAAoAQAAZHJzL2Uyb0RvYy54bWxQSwUGAAAAAAYABgBZAQAA7QUA&#10;AAAA&#10;">
                      <v:fill on="f" focussize="0,0"/>
                      <v:stroke on="f" weight="2pt"/>
                      <v:imagedata o:title=""/>
                      <o:lock v:ext="edit" aspectratio="f"/>
                      <v:textbox>
                        <w:txbxContent>
                          <w:p w14:paraId="67675B04">
                            <w:pPr>
                              <w:jc w:val="center"/>
                              <w:rPr>
                                <w:rFonts w:hint="default" w:ascii="Times New Roman" w:hAnsi="Times New Roman" w:eastAsia="宋体" w:cs="Times New Roman"/>
                                <w:b/>
                                <w:bCs/>
                                <w:color w:val="FFFF00"/>
                                <w:sz w:val="18"/>
                                <w:szCs w:val="18"/>
                                <w:lang w:val="en-US" w:eastAsia="zh-CN"/>
                              </w:rPr>
                            </w:pPr>
                            <w:r>
                              <w:rPr>
                                <w:rFonts w:hint="eastAsia" w:cs="Times New Roman"/>
                                <w:b/>
                                <w:bCs/>
                                <w:color w:val="FFFF00"/>
                                <w:sz w:val="18"/>
                                <w:szCs w:val="18"/>
                                <w:lang w:val="en-US" w:eastAsia="zh-CN"/>
                              </w:rPr>
                              <w:t>2.1</w:t>
                            </w:r>
                            <w:r>
                              <w:rPr>
                                <w:rFonts w:hint="eastAsia" w:ascii="Times New Roman" w:hAnsi="Times New Roman" w:eastAsia="宋体" w:cs="Times New Roman"/>
                                <w:b/>
                                <w:bCs/>
                                <w:color w:val="FFFF00"/>
                                <w:sz w:val="18"/>
                                <w:szCs w:val="18"/>
                                <w:lang w:val="en-US" w:eastAsia="zh-CN"/>
                              </w:rPr>
                              <w:t>km</w:t>
                            </w:r>
                          </w:p>
                        </w:txbxContent>
                      </v:textbox>
                    </v:rect>
                  </w:pict>
                </mc:Fallback>
              </mc:AlternateContent>
            </w:r>
            <w:r>
              <w:rPr>
                <w:color w:val="auto"/>
                <w:sz w:val="24"/>
              </w:rPr>
              <mc:AlternateContent>
                <mc:Choice Requires="wps">
                  <w:drawing>
                    <wp:anchor distT="0" distB="0" distL="114300" distR="114300" simplePos="0" relativeHeight="251667456" behindDoc="0" locked="0" layoutInCell="1" allowOverlap="1">
                      <wp:simplePos x="0" y="0"/>
                      <wp:positionH relativeFrom="column">
                        <wp:posOffset>2287270</wp:posOffset>
                      </wp:positionH>
                      <wp:positionV relativeFrom="paragraph">
                        <wp:posOffset>421005</wp:posOffset>
                      </wp:positionV>
                      <wp:extent cx="914400" cy="387985"/>
                      <wp:effectExtent l="0" t="0" r="0" b="0"/>
                      <wp:wrapNone/>
                      <wp:docPr id="12" name="矩形 12"/>
                      <wp:cNvGraphicFramePr/>
                      <a:graphic xmlns:a="http://schemas.openxmlformats.org/drawingml/2006/main">
                        <a:graphicData uri="http://schemas.microsoft.com/office/word/2010/wordprocessingShape">
                          <wps:wsp>
                            <wps:cNvSpPr/>
                            <wps:spPr>
                              <a:xfrm>
                                <a:off x="0" y="0"/>
                                <a:ext cx="914400" cy="387985"/>
                              </a:xfrm>
                              <a:prstGeom prst="rect">
                                <a:avLst/>
                              </a:prstGeom>
                              <a:noFill/>
                              <a:ln>
                                <a:noFill/>
                              </a:ln>
                            </wps:spPr>
                            <wps:style>
                              <a:lnRef idx="2">
                                <a:schemeClr val="accent1">
                                  <a:lumMod val="75000"/>
                                </a:schemeClr>
                              </a:lnRef>
                              <a:fillRef idx="1">
                                <a:schemeClr val="accent1"/>
                              </a:fillRef>
                              <a:effectRef idx="0">
                                <a:srgbClr val="FFFFFF"/>
                              </a:effectRef>
                              <a:fontRef idx="minor">
                                <a:schemeClr val="lt1"/>
                              </a:fontRef>
                            </wps:style>
                            <wps:txbx>
                              <w:txbxContent>
                                <w:p w14:paraId="71D82B39">
                                  <w:pPr>
                                    <w:jc w:val="center"/>
                                    <w:rPr>
                                      <w:rFonts w:hint="default" w:ascii="Times New Roman" w:hAnsi="Times New Roman" w:eastAsia="宋体" w:cs="Times New Roman"/>
                                      <w:b/>
                                      <w:bCs/>
                                      <w:color w:val="FFFF00"/>
                                      <w:sz w:val="18"/>
                                      <w:szCs w:val="18"/>
                                      <w:lang w:val="en-US" w:eastAsia="zh-CN"/>
                                    </w:rPr>
                                  </w:pPr>
                                  <w:r>
                                    <w:rPr>
                                      <w:rFonts w:hint="eastAsia" w:ascii="Times New Roman" w:hAnsi="Times New Roman" w:eastAsia="宋体" w:cs="Times New Roman"/>
                                      <w:b/>
                                      <w:bCs/>
                                      <w:color w:val="FFFF00"/>
                                      <w:sz w:val="18"/>
                                      <w:szCs w:val="18"/>
                                      <w:lang w:val="en-US" w:eastAsia="zh-CN"/>
                                    </w:rPr>
                                    <w:t>G</w:t>
                                  </w:r>
                                  <w:r>
                                    <w:rPr>
                                      <w:rFonts w:hint="eastAsia" w:cs="Times New Roman"/>
                                      <w:b/>
                                      <w:bCs/>
                                      <w:color w:val="FFFF00"/>
                                      <w:sz w:val="18"/>
                                      <w:szCs w:val="18"/>
                                      <w:lang w:val="en-US" w:eastAsia="zh-CN"/>
                                    </w:rPr>
                                    <w:t>6肯昌机电</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80.1pt;margin-top:33.15pt;height:30.55pt;width:72pt;z-index:251667456;v-text-anchor:middle;mso-width-relative:page;mso-height-relative:page;" filled="f" stroked="f" coordsize="21600,21600" o:gfxdata="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SfUUu9gAAAAKAQAADwAA&#10;AAAAAAABACAAAAAiAAAAZHJzL2Rvd25yZXYueG1sUEsBAhQAFAAAAAgAh07iQCgcQgVPAgAAlwQA&#10;AA4AAAAAAAAAAQAgAAAAJwEAAGRycy9lMm9Eb2MueG1sUEsFBgAAAAAGAAYAWQEAAOgFAAAAAA==&#10;">
                      <v:fill on="f" focussize="0,0"/>
                      <v:stroke on="f" weight="2pt"/>
                      <v:imagedata o:title=""/>
                      <o:lock v:ext="edit" aspectratio="f"/>
                      <v:textbox>
                        <w:txbxContent>
                          <w:p w14:paraId="71D82B39">
                            <w:pPr>
                              <w:jc w:val="center"/>
                              <w:rPr>
                                <w:rFonts w:hint="default" w:ascii="Times New Roman" w:hAnsi="Times New Roman" w:eastAsia="宋体" w:cs="Times New Roman"/>
                                <w:b/>
                                <w:bCs/>
                                <w:color w:val="FFFF00"/>
                                <w:sz w:val="18"/>
                                <w:szCs w:val="18"/>
                                <w:lang w:val="en-US" w:eastAsia="zh-CN"/>
                              </w:rPr>
                            </w:pPr>
                            <w:r>
                              <w:rPr>
                                <w:rFonts w:hint="eastAsia" w:ascii="Times New Roman" w:hAnsi="Times New Roman" w:eastAsia="宋体" w:cs="Times New Roman"/>
                                <w:b/>
                                <w:bCs/>
                                <w:color w:val="FFFF00"/>
                                <w:sz w:val="18"/>
                                <w:szCs w:val="18"/>
                                <w:lang w:val="en-US" w:eastAsia="zh-CN"/>
                              </w:rPr>
                              <w:t>G</w:t>
                            </w:r>
                            <w:r>
                              <w:rPr>
                                <w:rFonts w:hint="eastAsia" w:cs="Times New Roman"/>
                                <w:b/>
                                <w:bCs/>
                                <w:color w:val="FFFF00"/>
                                <w:sz w:val="18"/>
                                <w:szCs w:val="18"/>
                                <w:lang w:val="en-US" w:eastAsia="zh-CN"/>
                              </w:rPr>
                              <w:t>6肯昌机电</w:t>
                            </w:r>
                          </w:p>
                        </w:txbxContent>
                      </v:textbox>
                    </v:rect>
                  </w:pict>
                </mc:Fallback>
              </mc:AlternateContent>
            </w:r>
            <w:r>
              <w:rPr>
                <w:color w:val="auto"/>
                <w:sz w:val="24"/>
              </w:rPr>
              <mc:AlternateContent>
                <mc:Choice Requires="wps">
                  <w:drawing>
                    <wp:anchor distT="0" distB="0" distL="114300" distR="114300" simplePos="0" relativeHeight="251663360" behindDoc="0" locked="0" layoutInCell="1" allowOverlap="1">
                      <wp:simplePos x="0" y="0"/>
                      <wp:positionH relativeFrom="column">
                        <wp:posOffset>3110865</wp:posOffset>
                      </wp:positionH>
                      <wp:positionV relativeFrom="paragraph">
                        <wp:posOffset>648970</wp:posOffset>
                      </wp:positionV>
                      <wp:extent cx="88900" cy="99695"/>
                      <wp:effectExtent l="13970" t="13970" r="30480" b="19685"/>
                      <wp:wrapNone/>
                      <wp:docPr id="4" name="任意多边形 4"/>
                      <wp:cNvGraphicFramePr/>
                      <a:graphic xmlns:a="http://schemas.openxmlformats.org/drawingml/2006/main">
                        <a:graphicData uri="http://schemas.microsoft.com/office/word/2010/wordprocessingShape">
                          <wps:wsp>
                            <wps:cNvSpPr/>
                            <wps:spPr>
                              <a:xfrm>
                                <a:off x="0" y="0"/>
                                <a:ext cx="88900" cy="99695"/>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10800" y="10800"/>
                                    </a:moveTo>
                                    <a:lnTo>
                                      <a:pt x="10800" y="10800"/>
                                    </a:lnTo>
                                    <a:lnTo>
                                      <a:pt x="10800" y="10800"/>
                                    </a:lnTo>
                                    <a:lnTo>
                                      <a:pt x="10800" y="10800"/>
                                    </a:lnTo>
                                    <a:lnTo>
                                      <a:pt x="10800" y="10800"/>
                                    </a:lnTo>
                                    <a:close/>
                                  </a:path>
                                </a:pathLst>
                              </a:custGeom>
                              <a:noFill/>
                              <a:ln w="28575" cap="flat" cmpd="sng">
                                <a:solidFill>
                                  <a:srgbClr val="FFFF00"/>
                                </a:solidFill>
                                <a:prstDash val="solid"/>
                                <a:headEnd type="none" w="med" len="med"/>
                                <a:tailEnd type="none" w="med" len="med"/>
                              </a:ln>
                              <a:effectLst/>
                            </wps:spPr>
                            <wps:bodyPr upright="1"/>
                          </wps:wsp>
                        </a:graphicData>
                      </a:graphic>
                    </wp:anchor>
                  </w:drawing>
                </mc:Choice>
                <mc:Fallback>
                  <w:pict>
                    <v:shape id="_x0000_s1026" o:spid="_x0000_s1026" o:spt="100" style="position:absolute;left:0pt;margin-left:244.95pt;margin-top:51.1pt;height:7.85pt;width:7pt;z-index:251663360;mso-width-relative:page;mso-height-relative:page;" filled="f" stroked="t" coordsize="21600,21600" o:gfxdata="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" path="m0,10800c0,4835,4835,0,10800,0c16765,0,21600,4835,21600,10800c21600,16765,16765,21600,10800,21600c4835,21600,0,16765,0,10800xm10800,10800l10800,10800,10800,10800,10800,10800,10800,10800xe">
                      <v:path o:connectlocs="10800,0;3163,3163;0,10800;3163,18437;10800,21600;18437,18437;21600,10800;18437,3163" o:connectangles="0,0,0,0,0,0,0,0"/>
                      <v:fill on="f" focussize="0,0"/>
                      <v:stroke weight="2.25pt" color="#FFFF00" joinstyle="round"/>
                      <v:imagedata o:title=""/>
                      <o:lock v:ext="edit" aspectratio="f"/>
                    </v:shape>
                  </w:pict>
                </mc:Fallback>
              </mc:AlternateContent>
            </w:r>
            <w:r>
              <w:rPr>
                <w:color w:val="auto"/>
                <w:sz w:val="24"/>
              </w:rPr>
              <mc:AlternateContent>
                <mc:Choice Requires="wps">
                  <w:drawing>
                    <wp:anchor distT="0" distB="0" distL="114300" distR="114300" simplePos="0" relativeHeight="251662336" behindDoc="0" locked="0" layoutInCell="1" allowOverlap="1">
                      <wp:simplePos x="0" y="0"/>
                      <wp:positionH relativeFrom="column">
                        <wp:posOffset>334010</wp:posOffset>
                      </wp:positionH>
                      <wp:positionV relativeFrom="paragraph">
                        <wp:posOffset>3260725</wp:posOffset>
                      </wp:positionV>
                      <wp:extent cx="88900" cy="99695"/>
                      <wp:effectExtent l="4445" t="4445" r="20955" b="10160"/>
                      <wp:wrapNone/>
                      <wp:docPr id="40" name="任意多边形 40"/>
                      <wp:cNvGraphicFramePr/>
                      <a:graphic xmlns:a="http://schemas.openxmlformats.org/drawingml/2006/main">
                        <a:graphicData uri="http://schemas.microsoft.com/office/word/2010/wordprocessingShape">
                          <wps:wsp>
                            <wps:cNvSpPr/>
                            <wps:spPr>
                              <a:xfrm>
                                <a:off x="0" y="0"/>
                                <a:ext cx="88900" cy="99695"/>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10800" y="10800"/>
                                    </a:moveTo>
                                    <a:lnTo>
                                      <a:pt x="10800" y="10800"/>
                                    </a:lnTo>
                                    <a:lnTo>
                                      <a:pt x="10800" y="10800"/>
                                    </a:lnTo>
                                    <a:lnTo>
                                      <a:pt x="10800" y="10800"/>
                                    </a:lnTo>
                                    <a:lnTo>
                                      <a:pt x="10800" y="10800"/>
                                    </a:lnTo>
                                    <a:close/>
                                  </a:path>
                                </a:pathLst>
                              </a:custGeom>
                              <a:noFill/>
                              <a:ln w="9525" cap="flat" cmpd="sng">
                                <a:solidFill>
                                  <a:srgbClr val="FFFF00"/>
                                </a:solidFill>
                                <a:prstDash val="solid"/>
                                <a:headEnd type="none" w="med" len="med"/>
                                <a:tailEnd type="none" w="med" len="med"/>
                              </a:ln>
                              <a:effectLst/>
                            </wps:spPr>
                            <wps:bodyPr upright="1"/>
                          </wps:wsp>
                        </a:graphicData>
                      </a:graphic>
                    </wp:anchor>
                  </w:drawing>
                </mc:Choice>
                <mc:Fallback>
                  <w:pict>
                    <v:shape id="_x0000_s1026" o:spid="_x0000_s1026" o:spt="100" style="position:absolute;left:0pt;margin-left:26.3pt;margin-top:256.75pt;height:7.85pt;width:7pt;z-index:251662336;mso-width-relative:page;mso-height-relative:page;" filled="f" stroked="t" coordsize="21600,21600" o:gfxdata="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" path="m0,10800c0,4835,4835,0,10800,0c16765,0,21600,4835,21600,10800c21600,16765,16765,21600,10800,21600c4835,21600,0,16765,0,10800xm10800,10800l10800,10800,10800,10800,10800,10800,10800,10800xe">
                      <v:path o:connectlocs="10800,0;3163,3163;0,10800;3163,18437;10800,21600;18437,18437;21600,10800;18437,3163" o:connectangles="0,0,0,0,0,0,0,0"/>
                      <v:fill on="f" focussize="0,0"/>
                      <v:stroke color="#FFFF00" joinstyle="round"/>
                      <v:imagedata o:title=""/>
                      <o:lock v:ext="edit" aspectratio="f"/>
                    </v:shape>
                  </w:pict>
                </mc:Fallback>
              </mc:AlternateContent>
            </w:r>
            <w:r>
              <w:rPr>
                <w:color w:val="auto"/>
                <w:sz w:val="24"/>
              </w:rPr>
              <mc:AlternateContent>
                <mc:Choice Requires="wps">
                  <w:drawing>
                    <wp:anchor distT="0" distB="0" distL="114300" distR="114300" simplePos="0" relativeHeight="251661312" behindDoc="0" locked="0" layoutInCell="1" allowOverlap="1">
                      <wp:simplePos x="0" y="0"/>
                      <wp:positionH relativeFrom="column">
                        <wp:posOffset>223520</wp:posOffset>
                      </wp:positionH>
                      <wp:positionV relativeFrom="paragraph">
                        <wp:posOffset>2927985</wp:posOffset>
                      </wp:positionV>
                      <wp:extent cx="1137285" cy="660400"/>
                      <wp:effectExtent l="4445" t="4445" r="20320" b="20955"/>
                      <wp:wrapNone/>
                      <wp:docPr id="37" name="矩形 37"/>
                      <wp:cNvGraphicFramePr/>
                      <a:graphic xmlns:a="http://schemas.openxmlformats.org/drawingml/2006/main">
                        <a:graphicData uri="http://schemas.microsoft.com/office/word/2010/wordprocessingShape">
                          <wps:wsp>
                            <wps:cNvSpPr/>
                            <wps:spPr>
                              <a:xfrm>
                                <a:off x="0" y="0"/>
                                <a:ext cx="1137285" cy="660400"/>
                              </a:xfrm>
                              <a:prstGeom prst="rect">
                                <a:avLst/>
                              </a:prstGeom>
                              <a:solidFill>
                                <a:srgbClr val="BFBFBF"/>
                              </a:solidFill>
                              <a:ln w="9525" cap="flat" cmpd="sng">
                                <a:solidFill>
                                  <a:srgbClr val="000000"/>
                                </a:solidFill>
                                <a:prstDash val="solid"/>
                                <a:miter/>
                                <a:headEnd type="none" w="med" len="med"/>
                                <a:tailEnd type="none" w="med" len="med"/>
                              </a:ln>
                              <a:effectLst/>
                            </wps:spPr>
                            <wps:txbx>
                              <w:txbxContent>
                                <w:p w14:paraId="6E716348">
                                  <w:pPr>
                                    <w:keepNext w:val="0"/>
                                    <w:keepLines w:val="0"/>
                                    <w:pageBreakBefore w:val="0"/>
                                    <w:widowControl w:val="0"/>
                                    <w:kinsoku/>
                                    <w:wordWrap/>
                                    <w:overflowPunct/>
                                    <w:topLinePunct w:val="0"/>
                                    <w:autoSpaceDE/>
                                    <w:autoSpaceDN/>
                                    <w:bidi w:val="0"/>
                                    <w:adjustRightInd/>
                                    <w:snapToGrid/>
                                    <w:spacing w:after="0" w:afterLines="50"/>
                                    <w:ind w:firstLine="422" w:firstLineChars="200"/>
                                    <w:textAlignment w:val="auto"/>
                                    <w:rPr>
                                      <w:rFonts w:hint="eastAsia"/>
                                      <w:b/>
                                      <w:bCs/>
                                      <w:lang w:eastAsia="zh-CN"/>
                                    </w:rPr>
                                  </w:pPr>
                                  <w:r>
                                    <w:rPr>
                                      <w:rFonts w:hint="eastAsia"/>
                                      <w:b/>
                                      <w:bCs/>
                                      <w:lang w:eastAsia="zh-CN"/>
                                    </w:rPr>
                                    <w:t>图例</w:t>
                                  </w:r>
                                </w:p>
                                <w:p w14:paraId="65489D5E">
                                  <w:pPr>
                                    <w:keepNext w:val="0"/>
                                    <w:keepLines w:val="0"/>
                                    <w:pageBreakBefore w:val="0"/>
                                    <w:widowControl w:val="0"/>
                                    <w:kinsoku/>
                                    <w:wordWrap/>
                                    <w:overflowPunct/>
                                    <w:topLinePunct w:val="0"/>
                                    <w:autoSpaceDE/>
                                    <w:autoSpaceDN/>
                                    <w:bidi w:val="0"/>
                                    <w:adjustRightInd/>
                                    <w:snapToGrid/>
                                    <w:spacing w:after="0" w:afterLines="50"/>
                                    <w:textAlignment w:val="auto"/>
                                    <w:rPr>
                                      <w:rFonts w:hint="default"/>
                                      <w:lang w:val="en-US" w:eastAsia="zh-CN"/>
                                    </w:rPr>
                                  </w:pPr>
                                  <w:r>
                                    <w:rPr>
                                      <w:rFonts w:hint="eastAsia"/>
                                      <w:lang w:val="en-US" w:eastAsia="zh-CN"/>
                                    </w:rPr>
                                    <w:t xml:space="preserve">  大气监测点   </w:t>
                                  </w:r>
                                </w:p>
                              </w:txbxContent>
                            </wps:txbx>
                            <wps:bodyPr upright="1"/>
                          </wps:wsp>
                        </a:graphicData>
                      </a:graphic>
                    </wp:anchor>
                  </w:drawing>
                </mc:Choice>
                <mc:Fallback>
                  <w:pict>
                    <v:rect id="_x0000_s1026" o:spid="_x0000_s1026" o:spt="1" style="position:absolute;left:0pt;margin-left:17.6pt;margin-top:230.55pt;height:52pt;width:89.55pt;z-index:251661312;mso-width-relative:page;mso-height-relative:page;" fillcolor="#BFBFBF" filled="t" stroked="t" coordsize="21600,21600" o:gfxdata="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VkmLx2AAAAAoBAAAPAAAAAAAAAAEAIAAA&#10;ACIAAABkcnMvZG93bnJldi54bWxQSwECFAAUAAAACACHTuJAEPk0rwwCAAA5BAAADgAAAAAAAAAB&#10;ACAAAAAnAQAAZHJzL2Uyb0RvYy54bWxQSwUGAAAAAAYABgBZAQAApQUAAAAA&#10;">
                      <v:fill on="t" focussize="0,0"/>
                      <v:stroke color="#000000" joinstyle="miter"/>
                      <v:imagedata o:title=""/>
                      <o:lock v:ext="edit" aspectratio="f"/>
                      <v:textbox>
                        <w:txbxContent>
                          <w:p w14:paraId="6E716348">
                            <w:pPr>
                              <w:keepNext w:val="0"/>
                              <w:keepLines w:val="0"/>
                              <w:pageBreakBefore w:val="0"/>
                              <w:widowControl w:val="0"/>
                              <w:kinsoku/>
                              <w:wordWrap/>
                              <w:overflowPunct/>
                              <w:topLinePunct w:val="0"/>
                              <w:autoSpaceDE/>
                              <w:autoSpaceDN/>
                              <w:bidi w:val="0"/>
                              <w:adjustRightInd/>
                              <w:snapToGrid/>
                              <w:spacing w:after="0" w:afterLines="50"/>
                              <w:ind w:firstLine="422" w:firstLineChars="200"/>
                              <w:textAlignment w:val="auto"/>
                              <w:rPr>
                                <w:rFonts w:hint="eastAsia"/>
                                <w:b/>
                                <w:bCs/>
                                <w:lang w:eastAsia="zh-CN"/>
                              </w:rPr>
                            </w:pPr>
                            <w:r>
                              <w:rPr>
                                <w:rFonts w:hint="eastAsia"/>
                                <w:b/>
                                <w:bCs/>
                                <w:lang w:eastAsia="zh-CN"/>
                              </w:rPr>
                              <w:t>图例</w:t>
                            </w:r>
                          </w:p>
                          <w:p w14:paraId="65489D5E">
                            <w:pPr>
                              <w:keepNext w:val="0"/>
                              <w:keepLines w:val="0"/>
                              <w:pageBreakBefore w:val="0"/>
                              <w:widowControl w:val="0"/>
                              <w:kinsoku/>
                              <w:wordWrap/>
                              <w:overflowPunct/>
                              <w:topLinePunct w:val="0"/>
                              <w:autoSpaceDE/>
                              <w:autoSpaceDN/>
                              <w:bidi w:val="0"/>
                              <w:adjustRightInd/>
                              <w:snapToGrid/>
                              <w:spacing w:after="0" w:afterLines="50"/>
                              <w:textAlignment w:val="auto"/>
                              <w:rPr>
                                <w:rFonts w:hint="default"/>
                                <w:lang w:val="en-US" w:eastAsia="zh-CN"/>
                              </w:rPr>
                            </w:pPr>
                            <w:r>
                              <w:rPr>
                                <w:rFonts w:hint="eastAsia"/>
                                <w:lang w:val="en-US" w:eastAsia="zh-CN"/>
                              </w:rPr>
                              <w:t xml:space="preserve">  大气监测点   </w:t>
                            </w:r>
                          </w:p>
                        </w:txbxContent>
                      </v:textbox>
                    </v:rect>
                  </w:pict>
                </mc:Fallback>
              </mc:AlternateContent>
            </w:r>
            <w:r>
              <w:rPr>
                <w:color w:val="auto"/>
              </w:rPr>
              <w:drawing>
                <wp:inline distT="0" distB="0" distL="114300" distR="114300">
                  <wp:extent cx="4862830" cy="3759835"/>
                  <wp:effectExtent l="22225" t="22225" r="29845" b="27940"/>
                  <wp:docPr id="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pic:cNvPicPr>
                            <a:picLocks noChangeAspect="1"/>
                          </pic:cNvPicPr>
                        </pic:nvPicPr>
                        <pic:blipFill>
                          <a:blip r:embed="rId13"/>
                          <a:stretch>
                            <a:fillRect/>
                          </a:stretch>
                        </pic:blipFill>
                        <pic:spPr>
                          <a:xfrm>
                            <a:off x="0" y="0"/>
                            <a:ext cx="4862830" cy="3759835"/>
                          </a:xfrm>
                          <a:prstGeom prst="rect">
                            <a:avLst/>
                          </a:prstGeom>
                          <a:noFill/>
                          <a:ln w="22225" cmpd="sng">
                            <a:solidFill>
                              <a:schemeClr val="tx1">
                                <a:lumMod val="95000"/>
                                <a:lumOff val="5000"/>
                              </a:schemeClr>
                            </a:solidFill>
                            <a:prstDash val="solid"/>
                          </a:ln>
                        </pic:spPr>
                      </pic:pic>
                    </a:graphicData>
                  </a:graphic>
                </wp:inline>
              </w:drawing>
            </w:r>
            <w:r>
              <w:rPr>
                <w:color w:val="auto"/>
                <w:sz w:val="24"/>
              </w:rPr>
              <mc:AlternateContent>
                <mc:Choice Requires="wps">
                  <w:drawing>
                    <wp:anchor distT="0" distB="0" distL="114300" distR="114300" simplePos="0" relativeHeight="251668480" behindDoc="0" locked="0" layoutInCell="1" allowOverlap="1">
                      <wp:simplePos x="0" y="0"/>
                      <wp:positionH relativeFrom="column">
                        <wp:posOffset>2567305</wp:posOffset>
                      </wp:positionH>
                      <wp:positionV relativeFrom="paragraph">
                        <wp:posOffset>670560</wp:posOffset>
                      </wp:positionV>
                      <wp:extent cx="554355" cy="2616835"/>
                      <wp:effectExtent l="31115" t="1270" r="24130" b="10795"/>
                      <wp:wrapNone/>
                      <wp:docPr id="13" name="直接箭头连接符 13"/>
                      <wp:cNvGraphicFramePr/>
                      <a:graphic xmlns:a="http://schemas.openxmlformats.org/drawingml/2006/main">
                        <a:graphicData uri="http://schemas.microsoft.com/office/word/2010/wordprocessingShape">
                          <wps:wsp>
                            <wps:cNvCnPr>
                              <a:stCxn id="4" idx="4"/>
                              <a:endCxn id="7" idx="0"/>
                            </wps:cNvCnPr>
                            <wps:spPr>
                              <a:xfrm flipH="1">
                                <a:off x="2989580" y="4057015"/>
                                <a:ext cx="554355" cy="2616835"/>
                              </a:xfrm>
                              <a:prstGeom prst="straightConnector1">
                                <a:avLst/>
                              </a:prstGeom>
                              <a:ln w="12700">
                                <a:solidFill>
                                  <a:srgbClr val="FFFF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202.15pt;margin-top:52.8pt;height:206.05pt;width:43.65pt;z-index:251668480;mso-width-relative:page;mso-height-relative:page;" filled="f" stroked="t" coordsize="21600,21600" o:gfxdata="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f/38zNoAAAALAQAADwAAAAAAAAABACAAAAAiAAAAZHJzL2Rvd25yZXYueG1s&#10;UEsBAhQAFAAAAAgAh07iQI+tkDkvAgAAJQQAAA4AAAAAAAAAAQAgAAAAKQEAAGRycy9lMm9Eb2Mu&#10;eG1sUEsFBgAAAAAGAAYAWQEAAMoFAAAAAA==&#10;">
                      <v:fill on="f" focussize="0,0"/>
                      <v:stroke weight="1pt" color="#FFFF00 [3204]" joinstyle="round" endarrow="open"/>
                      <v:imagedata o:title=""/>
                      <o:lock v:ext="edit" aspectratio="f"/>
                    </v:shape>
                  </w:pict>
                </mc:Fallback>
              </mc:AlternateContent>
            </w:r>
          </w:p>
          <w:p w14:paraId="72FA86AB">
            <w:pPr>
              <w:widowControl/>
              <w:spacing w:line="360" w:lineRule="auto"/>
              <w:jc w:val="center"/>
              <w:rPr>
                <w:rFonts w:hint="eastAsia" w:ascii="Times New Roman" w:hAnsi="Times New Roman" w:eastAsia="宋体" w:cs="Times New Roman"/>
                <w:b/>
                <w:bCs/>
                <w:color w:val="auto"/>
                <w:sz w:val="24"/>
                <w:lang w:val="en-US" w:eastAsia="zh-CN"/>
              </w:rPr>
            </w:pPr>
            <w:r>
              <w:rPr>
                <w:rFonts w:hint="eastAsia" w:ascii="Times New Roman" w:hAnsi="Times New Roman" w:eastAsia="宋体" w:cs="Times New Roman"/>
                <w:b/>
                <w:bCs/>
                <w:color w:val="auto"/>
                <w:sz w:val="24"/>
                <w:lang w:eastAsia="zh-CN"/>
              </w:rPr>
              <w:t>图</w:t>
            </w:r>
            <w:r>
              <w:rPr>
                <w:rFonts w:hint="eastAsia" w:ascii="Times New Roman" w:hAnsi="Times New Roman" w:eastAsia="宋体" w:cs="Times New Roman"/>
                <w:b/>
                <w:bCs/>
                <w:color w:val="auto"/>
                <w:sz w:val="24"/>
                <w:lang w:val="en-US" w:eastAsia="zh-CN"/>
              </w:rPr>
              <w:t xml:space="preserve">3-1  </w:t>
            </w:r>
            <w:r>
              <w:rPr>
                <w:rFonts w:hint="eastAsia" w:cs="Times New Roman"/>
                <w:b/>
                <w:bCs/>
                <w:color w:val="auto"/>
                <w:sz w:val="24"/>
                <w:lang w:val="en-US" w:eastAsia="zh-CN"/>
              </w:rPr>
              <w:t>引用监测点位</w:t>
            </w:r>
            <w:r>
              <w:rPr>
                <w:rFonts w:hint="eastAsia" w:ascii="Times New Roman" w:hAnsi="Times New Roman" w:eastAsia="宋体" w:cs="Times New Roman"/>
                <w:b/>
                <w:bCs/>
                <w:color w:val="auto"/>
                <w:sz w:val="24"/>
                <w:lang w:val="en-US" w:eastAsia="zh-CN"/>
              </w:rPr>
              <w:t>图</w:t>
            </w:r>
          </w:p>
          <w:p w14:paraId="1341783D">
            <w:pPr>
              <w:widowControl/>
              <w:spacing w:line="360" w:lineRule="auto"/>
              <w:ind w:firstLine="458" w:firstLineChars="190"/>
              <w:jc w:val="left"/>
              <w:rPr>
                <w:rFonts w:hint="default" w:ascii="Times New Roman" w:hAnsi="Times New Roman" w:cs="Times New Roman"/>
                <w:b/>
                <w:bCs/>
                <w:color w:val="auto"/>
                <w:sz w:val="24"/>
              </w:rPr>
            </w:pPr>
            <w:r>
              <w:rPr>
                <w:rFonts w:hint="default" w:ascii="Times New Roman" w:hAnsi="Times New Roman" w:cs="Times New Roman"/>
                <w:b/>
                <w:bCs/>
                <w:color w:val="auto"/>
                <w:sz w:val="24"/>
              </w:rPr>
              <w:t>2、地表水环境质量</w:t>
            </w:r>
          </w:p>
          <w:p w14:paraId="33D91A6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auto"/>
                <w:sz w:val="24"/>
              </w:rPr>
            </w:pPr>
            <w:r>
              <w:rPr>
                <w:rFonts w:ascii="Times New Roman" w:hAnsi="Times New Roman" w:eastAsia="宋体" w:cs="Times New Roman"/>
                <w:color w:val="auto"/>
                <w:sz w:val="24"/>
              </w:rPr>
              <w:t>根据《建设项目环境影响报告表编制技术指南（污染影响类）（试行）》要求，引用与建设项目距离近的有效数据，包括近3年的规划环境影响评价的监测数据，所在流域控制单元内国家、地方控制断面监测数据，生态环境主管部门发布的水环境质量数据或地表水达标情况的结论。</w:t>
            </w:r>
          </w:p>
          <w:p w14:paraId="2AD34BC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auto"/>
                <w:sz w:val="24"/>
              </w:rPr>
            </w:pPr>
            <w:r>
              <w:rPr>
                <w:rFonts w:ascii="Times New Roman" w:hAnsi="Times New Roman" w:eastAsia="宋体" w:cs="Times New Roman"/>
                <w:color w:val="auto"/>
                <w:sz w:val="24"/>
              </w:rPr>
              <w:t>本项目污水纳管后经</w:t>
            </w:r>
            <w:r>
              <w:rPr>
                <w:rFonts w:hint="eastAsia" w:ascii="Times New Roman" w:hAnsi="Times New Roman" w:eastAsia="宋体" w:cs="Times New Roman"/>
                <w:color w:val="auto"/>
                <w:sz w:val="24"/>
                <w:lang w:eastAsia="zh-CN"/>
              </w:rPr>
              <w:t>芜湖县新芜开发区城东污水处理厂</w:t>
            </w:r>
            <w:r>
              <w:rPr>
                <w:rFonts w:ascii="Times New Roman" w:hAnsi="Times New Roman" w:eastAsia="宋体" w:cs="Times New Roman"/>
                <w:color w:val="auto"/>
                <w:sz w:val="24"/>
              </w:rPr>
              <w:t>处理后排放，纳污水体为</w:t>
            </w:r>
            <w:r>
              <w:rPr>
                <w:rFonts w:hint="eastAsia" w:ascii="Times New Roman" w:hAnsi="Times New Roman" w:eastAsia="宋体" w:cs="Times New Roman"/>
                <w:color w:val="auto"/>
                <w:sz w:val="24"/>
                <w:lang w:eastAsia="zh-CN"/>
              </w:rPr>
              <w:t>裘公河</w:t>
            </w:r>
            <w:r>
              <w:rPr>
                <w:rFonts w:ascii="Times New Roman" w:hAnsi="Times New Roman" w:eastAsia="宋体" w:cs="Times New Roman"/>
                <w:color w:val="auto"/>
                <w:sz w:val="24"/>
              </w:rPr>
              <w:t>，属于“间接排放”。</w:t>
            </w:r>
          </w:p>
          <w:p w14:paraId="223236B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auto"/>
                <w:sz w:val="24"/>
              </w:rPr>
            </w:pPr>
            <w:r>
              <w:rPr>
                <w:rFonts w:ascii="Times New Roman" w:hAnsi="Times New Roman" w:eastAsia="宋体" w:cs="Times New Roman"/>
                <w:color w:val="auto"/>
                <w:sz w:val="24"/>
              </w:rPr>
              <w:t>根据《安徽省水环境功能区划分方案》，</w:t>
            </w:r>
            <w:r>
              <w:rPr>
                <w:rFonts w:hint="eastAsia" w:ascii="Times New Roman" w:hAnsi="Times New Roman" w:eastAsia="宋体" w:cs="Times New Roman"/>
                <w:color w:val="auto"/>
                <w:sz w:val="24"/>
                <w:lang w:eastAsia="zh-CN"/>
              </w:rPr>
              <w:t>裘公河</w:t>
            </w:r>
            <w:r>
              <w:rPr>
                <w:rFonts w:ascii="Times New Roman" w:hAnsi="Times New Roman" w:eastAsia="宋体" w:cs="Times New Roman"/>
                <w:color w:val="auto"/>
                <w:sz w:val="24"/>
              </w:rPr>
              <w:t>水体环境质量执行《地表水环境质量标准》</w:t>
            </w:r>
            <w:r>
              <w:rPr>
                <w:rFonts w:hint="eastAsia" w:ascii="Times New Roman" w:hAnsi="Times New Roman" w:eastAsia="宋体" w:cs="Times New Roman"/>
                <w:color w:val="auto"/>
                <w:sz w:val="24"/>
                <w:lang w:eastAsia="zh-CN"/>
              </w:rPr>
              <w:t>（</w:t>
            </w:r>
            <w:r>
              <w:rPr>
                <w:rFonts w:ascii="Times New Roman" w:hAnsi="Times New Roman" w:eastAsia="宋体" w:cs="Times New Roman"/>
                <w:color w:val="auto"/>
                <w:sz w:val="24"/>
              </w:rPr>
              <w:t>GB3838-2002</w:t>
            </w:r>
            <w:r>
              <w:rPr>
                <w:rFonts w:hint="eastAsia" w:ascii="Times New Roman" w:hAnsi="Times New Roman" w:eastAsia="宋体" w:cs="Times New Roman"/>
                <w:color w:val="auto"/>
                <w:sz w:val="24"/>
                <w:lang w:eastAsia="zh-CN"/>
              </w:rPr>
              <w:t>）</w:t>
            </w:r>
            <w:r>
              <w:rPr>
                <w:rFonts w:ascii="Times New Roman" w:hAnsi="Times New Roman" w:eastAsia="宋体" w:cs="Times New Roman"/>
                <w:color w:val="auto"/>
                <w:sz w:val="24"/>
              </w:rPr>
              <w:t>中Ⅲ类水质标准。本环评引</w:t>
            </w:r>
            <w:r>
              <w:rPr>
                <w:rFonts w:ascii="Times New Roman" w:hAnsi="Times New Roman" w:eastAsia="宋体" w:cs="Times New Roman"/>
                <w:bCs/>
                <w:color w:val="auto"/>
                <w:sz w:val="24"/>
              </w:rPr>
              <w:t>用《安徽新芜经济开发区工业污水处理厂项目环境影响报告书》中对</w:t>
            </w:r>
            <w:r>
              <w:rPr>
                <w:rFonts w:hint="eastAsia" w:ascii="Times New Roman" w:hAnsi="Times New Roman" w:eastAsia="宋体" w:cs="Times New Roman"/>
                <w:bCs/>
                <w:color w:val="auto"/>
                <w:sz w:val="24"/>
                <w:lang w:eastAsia="zh-CN"/>
              </w:rPr>
              <w:t>裘公河</w:t>
            </w:r>
            <w:r>
              <w:rPr>
                <w:rFonts w:ascii="Times New Roman" w:hAnsi="Times New Roman" w:eastAsia="宋体" w:cs="Times New Roman"/>
                <w:bCs/>
                <w:color w:val="auto"/>
                <w:sz w:val="24"/>
              </w:rPr>
              <w:t>地表水环境质量现状监测数据，采样时间为2022年11月13日~2022年11月15日。</w:t>
            </w:r>
            <w:r>
              <w:rPr>
                <w:rFonts w:ascii="Times New Roman" w:hAnsi="Times New Roman" w:eastAsia="宋体" w:cs="Times New Roman"/>
                <w:color w:val="auto"/>
                <w:sz w:val="24"/>
              </w:rPr>
              <w:t>监测因子为：</w:t>
            </w:r>
            <w:r>
              <w:rPr>
                <w:rFonts w:ascii="Times New Roman" w:hAnsi="Times New Roman" w:eastAsia="宋体" w:cs="Times New Roman"/>
                <w:color w:val="auto"/>
                <w:sz w:val="24"/>
                <w:szCs w:val="24"/>
              </w:rPr>
              <w:t>pH、COD、BOD</w:t>
            </w:r>
            <w:r>
              <w:rPr>
                <w:rFonts w:ascii="Times New Roman" w:hAnsi="Times New Roman" w:eastAsia="宋体" w:cs="Times New Roman"/>
                <w:color w:val="auto"/>
                <w:sz w:val="24"/>
                <w:szCs w:val="24"/>
                <w:vertAlign w:val="subscript"/>
              </w:rPr>
              <w:t>5</w:t>
            </w:r>
            <w:r>
              <w:rPr>
                <w:rFonts w:ascii="Times New Roman" w:hAnsi="Times New Roman" w:eastAsia="宋体" w:cs="Times New Roman"/>
                <w:color w:val="auto"/>
                <w:sz w:val="24"/>
                <w:szCs w:val="24"/>
              </w:rPr>
              <w:t>、NH</w:t>
            </w:r>
            <w:r>
              <w:rPr>
                <w:rFonts w:ascii="Times New Roman" w:hAnsi="Times New Roman" w:eastAsia="宋体" w:cs="Times New Roman"/>
                <w:color w:val="auto"/>
                <w:sz w:val="24"/>
                <w:szCs w:val="24"/>
                <w:vertAlign w:val="subscript"/>
              </w:rPr>
              <w:t>3</w:t>
            </w:r>
            <w:r>
              <w:rPr>
                <w:rFonts w:ascii="Times New Roman" w:hAnsi="Times New Roman" w:eastAsia="宋体" w:cs="Times New Roman"/>
                <w:color w:val="auto"/>
                <w:sz w:val="24"/>
                <w:szCs w:val="24"/>
              </w:rPr>
              <w:t>-N、</w:t>
            </w:r>
            <w:r>
              <w:rPr>
                <w:rFonts w:hint="eastAsia" w:ascii="Times New Roman" w:hAnsi="Times New Roman" w:eastAsia="宋体" w:cs="Times New Roman"/>
                <w:color w:val="auto"/>
                <w:sz w:val="24"/>
                <w:szCs w:val="24"/>
                <w:lang w:val="en-US" w:eastAsia="zh-CN"/>
              </w:rPr>
              <w:t>DO、总氮、总磷、氟化物、</w:t>
            </w:r>
            <w:r>
              <w:rPr>
                <w:rFonts w:ascii="Times New Roman" w:hAnsi="Times New Roman" w:eastAsia="宋体" w:cs="Times New Roman"/>
                <w:color w:val="auto"/>
                <w:sz w:val="24"/>
                <w:szCs w:val="24"/>
              </w:rPr>
              <w:t>悬浮物</w:t>
            </w:r>
            <w:r>
              <w:rPr>
                <w:rFonts w:ascii="Times New Roman" w:hAnsi="Times New Roman" w:eastAsia="宋体" w:cs="Times New Roman"/>
                <w:color w:val="auto"/>
                <w:sz w:val="24"/>
              </w:rPr>
              <w:t>。</w:t>
            </w:r>
          </w:p>
          <w:p w14:paraId="0F8055A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auto"/>
                <w:sz w:val="24"/>
              </w:rPr>
            </w:pPr>
            <w:r>
              <w:rPr>
                <w:rFonts w:ascii="Times New Roman" w:hAnsi="Times New Roman" w:eastAsia="宋体" w:cs="Times New Roman"/>
                <w:color w:val="auto"/>
                <w:sz w:val="24"/>
              </w:rPr>
              <w:t>（1）监测时间：连续监测3天，每天</w:t>
            </w:r>
            <w:r>
              <w:rPr>
                <w:rFonts w:hint="eastAsia" w:ascii="Times New Roman" w:hAnsi="Times New Roman" w:eastAsia="宋体" w:cs="Times New Roman"/>
                <w:color w:val="auto"/>
                <w:sz w:val="24"/>
                <w:lang w:val="en-US" w:eastAsia="zh-CN"/>
              </w:rPr>
              <w:t>1</w:t>
            </w:r>
            <w:r>
              <w:rPr>
                <w:rFonts w:ascii="Times New Roman" w:hAnsi="Times New Roman" w:eastAsia="宋体" w:cs="Times New Roman"/>
                <w:color w:val="auto"/>
                <w:sz w:val="24"/>
              </w:rPr>
              <w:t>次。</w:t>
            </w:r>
          </w:p>
          <w:p w14:paraId="7F0A335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color w:val="auto"/>
                <w:kern w:val="2"/>
                <w:sz w:val="21"/>
                <w:szCs w:val="21"/>
                <w:lang w:val="en-US" w:eastAsia="zh-CN" w:bidi="ar-SA"/>
              </w:rPr>
            </w:pPr>
            <w:r>
              <w:rPr>
                <w:rFonts w:ascii="Times New Roman" w:hAnsi="Times New Roman" w:eastAsia="宋体" w:cs="Times New Roman"/>
                <w:color w:val="auto"/>
                <w:sz w:val="24"/>
              </w:rPr>
              <w:t>（2）监测布点：监测布点见表3-</w:t>
            </w:r>
            <w:r>
              <w:rPr>
                <w:rFonts w:hint="eastAsia" w:ascii="Times New Roman" w:hAnsi="Times New Roman" w:eastAsia="宋体" w:cs="Times New Roman"/>
                <w:color w:val="auto"/>
                <w:sz w:val="24"/>
                <w:lang w:val="en-US" w:eastAsia="zh-CN"/>
              </w:rPr>
              <w:t>3</w:t>
            </w:r>
            <w:r>
              <w:rPr>
                <w:rFonts w:ascii="Times New Roman" w:hAnsi="Times New Roman" w:eastAsia="宋体" w:cs="Times New Roman"/>
                <w:color w:val="auto"/>
                <w:sz w:val="24"/>
              </w:rPr>
              <w:t>。</w:t>
            </w:r>
          </w:p>
          <w:p w14:paraId="56CD7224">
            <w:pPr>
              <w:keepNext w:val="0"/>
              <w:keepLines w:val="0"/>
              <w:pageBreakBefore w:val="0"/>
              <w:widowControl w:val="0"/>
              <w:kinsoku/>
              <w:wordWrap/>
              <w:overflowPunct/>
              <w:topLinePunct w:val="0"/>
              <w:autoSpaceDE/>
              <w:autoSpaceDN/>
              <w:bidi w:val="0"/>
              <w:adjustRightInd/>
              <w:snapToGrid/>
              <w:spacing w:beforeAutospacing="0"/>
              <w:jc w:val="center"/>
              <w:textAlignment w:val="auto"/>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表3-</w:t>
            </w:r>
            <w:r>
              <w:rPr>
                <w:rFonts w:hint="eastAsia" w:ascii="Times New Roman" w:hAnsi="Times New Roman" w:eastAsia="宋体" w:cs="Times New Roman"/>
                <w:b/>
                <w:color w:val="auto"/>
                <w:kern w:val="0"/>
                <w:sz w:val="24"/>
                <w:szCs w:val="24"/>
                <w:lang w:val="en-US" w:eastAsia="zh-CN" w:bidi="ar-SA"/>
              </w:rPr>
              <w:t xml:space="preserve">3  </w:t>
            </w:r>
            <w:r>
              <w:rPr>
                <w:rFonts w:hint="default" w:ascii="Times New Roman" w:hAnsi="Times New Roman" w:eastAsia="宋体" w:cs="Times New Roman"/>
                <w:b/>
                <w:color w:val="auto"/>
                <w:kern w:val="0"/>
                <w:sz w:val="24"/>
                <w:szCs w:val="24"/>
                <w:lang w:val="en-US" w:eastAsia="zh-CN" w:bidi="ar-SA"/>
              </w:rPr>
              <w:t>地表水水质监测布点一览表</w:t>
            </w:r>
          </w:p>
          <w:tbl>
            <w:tblPr>
              <w:tblStyle w:val="6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79"/>
              <w:gridCol w:w="2316"/>
              <w:gridCol w:w="2302"/>
              <w:gridCol w:w="2700"/>
            </w:tblGrid>
            <w:tr w14:paraId="00B0C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90" w:type="pct"/>
                  <w:tcBorders>
                    <w:tl2br w:val="nil"/>
                    <w:tr2bl w:val="nil"/>
                  </w:tcBorders>
                  <w:noWrap w:val="0"/>
                  <w:vAlign w:val="center"/>
                </w:tcPr>
                <w:p w14:paraId="0D730CB0">
                  <w:pPr>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序号</w:t>
                  </w:r>
                </w:p>
              </w:tc>
              <w:tc>
                <w:tcPr>
                  <w:tcW w:w="1395" w:type="pct"/>
                  <w:tcBorders>
                    <w:tl2br w:val="nil"/>
                    <w:tr2bl w:val="nil"/>
                  </w:tcBorders>
                  <w:noWrap w:val="0"/>
                  <w:vAlign w:val="center"/>
                </w:tcPr>
                <w:p w14:paraId="540E29DF">
                  <w:pPr>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位置名称</w:t>
                  </w:r>
                </w:p>
              </w:tc>
              <w:tc>
                <w:tcPr>
                  <w:tcW w:w="1387" w:type="pct"/>
                  <w:tcBorders>
                    <w:tl2br w:val="nil"/>
                    <w:tr2bl w:val="nil"/>
                  </w:tcBorders>
                  <w:noWrap w:val="0"/>
                  <w:vAlign w:val="center"/>
                </w:tcPr>
                <w:p w14:paraId="5C463A7C">
                  <w:pPr>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监测项目</w:t>
                  </w:r>
                </w:p>
              </w:tc>
              <w:tc>
                <w:tcPr>
                  <w:tcW w:w="1626" w:type="pct"/>
                  <w:tcBorders>
                    <w:tl2br w:val="nil"/>
                    <w:tr2bl w:val="nil"/>
                  </w:tcBorders>
                  <w:noWrap w:val="0"/>
                  <w:vAlign w:val="center"/>
                </w:tcPr>
                <w:p w14:paraId="152ABE67">
                  <w:pPr>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监测时段、频率</w:t>
                  </w:r>
                </w:p>
              </w:tc>
            </w:tr>
            <w:tr w14:paraId="7A912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90" w:type="pct"/>
                  <w:tcBorders>
                    <w:tl2br w:val="nil"/>
                    <w:tr2bl w:val="nil"/>
                  </w:tcBorders>
                  <w:noWrap w:val="0"/>
                  <w:vAlign w:val="center"/>
                </w:tcPr>
                <w:p w14:paraId="7477223B">
                  <w:pPr>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D7</w:t>
                  </w:r>
                </w:p>
              </w:tc>
              <w:tc>
                <w:tcPr>
                  <w:tcW w:w="1395" w:type="pct"/>
                  <w:tcBorders>
                    <w:tl2br w:val="nil"/>
                    <w:tr2bl w:val="nil"/>
                  </w:tcBorders>
                  <w:noWrap w:val="0"/>
                  <w:vAlign w:val="center"/>
                </w:tcPr>
                <w:p w14:paraId="08836837">
                  <w:pPr>
                    <w:widowControl/>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kern w:val="0"/>
                      <w:sz w:val="21"/>
                      <w:szCs w:val="21"/>
                      <w:lang w:eastAsia="zh-CN" w:bidi="ar"/>
                    </w:rPr>
                    <w:t>裘公河</w:t>
                  </w:r>
                  <w:r>
                    <w:rPr>
                      <w:rFonts w:ascii="Times New Roman" w:hAnsi="Times New Roman" w:eastAsia="宋体" w:cs="Times New Roman"/>
                      <w:color w:val="auto"/>
                      <w:kern w:val="0"/>
                      <w:sz w:val="21"/>
                      <w:szCs w:val="21"/>
                      <w:lang w:bidi="ar"/>
                    </w:rPr>
                    <w:t>上游500m</w:t>
                  </w:r>
                </w:p>
              </w:tc>
              <w:tc>
                <w:tcPr>
                  <w:tcW w:w="1387" w:type="pct"/>
                  <w:vMerge w:val="restart"/>
                  <w:tcBorders>
                    <w:tl2br w:val="nil"/>
                    <w:tr2bl w:val="nil"/>
                  </w:tcBorders>
                  <w:noWrap w:val="0"/>
                  <w:vAlign w:val="center"/>
                </w:tcPr>
                <w:p w14:paraId="67098CA1">
                  <w:pPr>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pH、COD、BOD</w:t>
                  </w:r>
                  <w:r>
                    <w:rPr>
                      <w:rFonts w:ascii="Times New Roman" w:hAnsi="Times New Roman" w:eastAsia="宋体" w:cs="Times New Roman"/>
                      <w:color w:val="auto"/>
                      <w:sz w:val="21"/>
                      <w:szCs w:val="21"/>
                      <w:vertAlign w:val="subscript"/>
                    </w:rPr>
                    <w:t>5</w:t>
                  </w:r>
                  <w:r>
                    <w:rPr>
                      <w:rFonts w:ascii="Times New Roman" w:hAnsi="Times New Roman" w:eastAsia="宋体" w:cs="Times New Roman"/>
                      <w:color w:val="auto"/>
                      <w:sz w:val="21"/>
                      <w:szCs w:val="21"/>
                    </w:rPr>
                    <w:t>、NH</w:t>
                  </w:r>
                  <w:r>
                    <w:rPr>
                      <w:rFonts w:ascii="Times New Roman" w:hAnsi="Times New Roman" w:eastAsia="宋体" w:cs="Times New Roman"/>
                      <w:color w:val="auto"/>
                      <w:sz w:val="21"/>
                      <w:szCs w:val="21"/>
                      <w:vertAlign w:val="subscript"/>
                    </w:rPr>
                    <w:t>3</w:t>
                  </w:r>
                  <w:r>
                    <w:rPr>
                      <w:rFonts w:ascii="Times New Roman" w:hAnsi="Times New Roman" w:eastAsia="宋体" w:cs="Times New Roman"/>
                      <w:color w:val="auto"/>
                      <w:sz w:val="21"/>
                      <w:szCs w:val="21"/>
                    </w:rPr>
                    <w:t>-N、</w:t>
                  </w:r>
                  <w:r>
                    <w:rPr>
                      <w:rFonts w:hint="eastAsia" w:ascii="Times New Roman" w:hAnsi="Times New Roman" w:eastAsia="宋体" w:cs="Times New Roman"/>
                      <w:color w:val="auto"/>
                      <w:sz w:val="21"/>
                      <w:szCs w:val="21"/>
                      <w:lang w:val="en-US" w:eastAsia="zh-CN"/>
                    </w:rPr>
                    <w:t>DO、总氮、总磷、氟化物、</w:t>
                  </w:r>
                  <w:r>
                    <w:rPr>
                      <w:rFonts w:ascii="Times New Roman" w:hAnsi="Times New Roman" w:eastAsia="宋体" w:cs="Times New Roman"/>
                      <w:color w:val="auto"/>
                      <w:sz w:val="21"/>
                      <w:szCs w:val="21"/>
                    </w:rPr>
                    <w:t>悬浮物</w:t>
                  </w:r>
                </w:p>
              </w:tc>
              <w:tc>
                <w:tcPr>
                  <w:tcW w:w="1626" w:type="pct"/>
                  <w:vMerge w:val="restart"/>
                  <w:tcBorders>
                    <w:tl2br w:val="nil"/>
                    <w:tr2bl w:val="nil"/>
                  </w:tcBorders>
                  <w:noWrap w:val="0"/>
                  <w:vAlign w:val="center"/>
                </w:tcPr>
                <w:p w14:paraId="511A8672">
                  <w:pPr>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连续监测3天，每天</w:t>
                  </w:r>
                  <w:r>
                    <w:rPr>
                      <w:rFonts w:hint="eastAsia" w:cs="Times New Roman"/>
                      <w:color w:val="auto"/>
                      <w:sz w:val="21"/>
                      <w:szCs w:val="21"/>
                      <w:lang w:val="en-US" w:eastAsia="zh-CN"/>
                    </w:rPr>
                    <w:t>1</w:t>
                  </w:r>
                  <w:r>
                    <w:rPr>
                      <w:rFonts w:ascii="Times New Roman" w:hAnsi="Times New Roman" w:eastAsia="宋体" w:cs="Times New Roman"/>
                      <w:color w:val="auto"/>
                      <w:sz w:val="21"/>
                      <w:szCs w:val="21"/>
                    </w:rPr>
                    <w:t>次。</w:t>
                  </w:r>
                </w:p>
              </w:tc>
            </w:tr>
            <w:tr w14:paraId="7BF54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90" w:type="pct"/>
                  <w:tcBorders>
                    <w:tl2br w:val="nil"/>
                    <w:tr2bl w:val="nil"/>
                  </w:tcBorders>
                  <w:noWrap w:val="0"/>
                  <w:vAlign w:val="center"/>
                </w:tcPr>
                <w:p w14:paraId="291999D0">
                  <w:pPr>
                    <w:jc w:val="center"/>
                    <w:rPr>
                      <w:rFonts w:ascii="Times New Roman" w:hAnsi="Times New Roman" w:eastAsia="宋体" w:cs="Times New Roman"/>
                      <w:color w:val="auto"/>
                      <w:sz w:val="21"/>
                      <w:szCs w:val="21"/>
                    </w:rPr>
                  </w:pPr>
                  <w:r>
                    <w:rPr>
                      <w:rFonts w:hint="default" w:ascii="Times New Roman" w:hAnsi="Times New Roman" w:eastAsia="宋体" w:cs="Times New Roman"/>
                      <w:color w:val="auto"/>
                      <w:spacing w:val="0"/>
                      <w:sz w:val="21"/>
                      <w:szCs w:val="21"/>
                    </w:rPr>
                    <w:t>D8</w:t>
                  </w:r>
                </w:p>
              </w:tc>
              <w:tc>
                <w:tcPr>
                  <w:tcW w:w="1395" w:type="pct"/>
                  <w:tcBorders>
                    <w:tl2br w:val="nil"/>
                    <w:tr2bl w:val="nil"/>
                  </w:tcBorders>
                  <w:noWrap w:val="0"/>
                  <w:vAlign w:val="center"/>
                </w:tcPr>
                <w:p w14:paraId="1453386D">
                  <w:pPr>
                    <w:widowControl/>
                    <w:jc w:val="center"/>
                    <w:rPr>
                      <w:rFonts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spacing w:val="0"/>
                      <w:sz w:val="21"/>
                      <w:szCs w:val="21"/>
                    </w:rPr>
                    <w:t>杨泗渡控制断面</w:t>
                  </w:r>
                </w:p>
              </w:tc>
              <w:tc>
                <w:tcPr>
                  <w:tcW w:w="1387" w:type="pct"/>
                  <w:vMerge w:val="continue"/>
                  <w:tcBorders>
                    <w:tl2br w:val="nil"/>
                    <w:tr2bl w:val="nil"/>
                  </w:tcBorders>
                  <w:noWrap w:val="0"/>
                  <w:vAlign w:val="center"/>
                </w:tcPr>
                <w:p w14:paraId="67374993">
                  <w:pPr>
                    <w:jc w:val="center"/>
                    <w:rPr>
                      <w:rFonts w:ascii="Times New Roman" w:hAnsi="Times New Roman" w:eastAsia="宋体" w:cs="Times New Roman"/>
                      <w:color w:val="auto"/>
                      <w:sz w:val="21"/>
                      <w:szCs w:val="21"/>
                    </w:rPr>
                  </w:pPr>
                </w:p>
              </w:tc>
              <w:tc>
                <w:tcPr>
                  <w:tcW w:w="1626" w:type="pct"/>
                  <w:vMerge w:val="continue"/>
                  <w:tcBorders>
                    <w:tl2br w:val="nil"/>
                    <w:tr2bl w:val="nil"/>
                  </w:tcBorders>
                  <w:noWrap w:val="0"/>
                  <w:vAlign w:val="center"/>
                </w:tcPr>
                <w:p w14:paraId="11C74146">
                  <w:pPr>
                    <w:jc w:val="center"/>
                    <w:rPr>
                      <w:rFonts w:ascii="Times New Roman" w:hAnsi="Times New Roman" w:eastAsia="宋体" w:cs="Times New Roman"/>
                      <w:color w:val="auto"/>
                      <w:sz w:val="21"/>
                      <w:szCs w:val="21"/>
                    </w:rPr>
                  </w:pPr>
                </w:p>
              </w:tc>
            </w:tr>
            <w:tr w14:paraId="1F957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90" w:type="pct"/>
                  <w:tcBorders>
                    <w:tl2br w:val="nil"/>
                    <w:tr2bl w:val="nil"/>
                  </w:tcBorders>
                  <w:noWrap w:val="0"/>
                  <w:vAlign w:val="center"/>
                </w:tcPr>
                <w:p w14:paraId="2C146941">
                  <w:pPr>
                    <w:jc w:val="center"/>
                    <w:rPr>
                      <w:rFonts w:ascii="Times New Roman" w:hAnsi="Times New Roman" w:eastAsia="宋体" w:cs="Times New Roman"/>
                      <w:color w:val="auto"/>
                      <w:sz w:val="21"/>
                      <w:szCs w:val="21"/>
                    </w:rPr>
                  </w:pPr>
                  <w:r>
                    <w:rPr>
                      <w:rFonts w:hint="default" w:ascii="Times New Roman" w:hAnsi="Times New Roman" w:eastAsia="宋体" w:cs="Times New Roman"/>
                      <w:color w:val="auto"/>
                      <w:spacing w:val="0"/>
                      <w:sz w:val="21"/>
                      <w:szCs w:val="21"/>
                    </w:rPr>
                    <w:t>D9</w:t>
                  </w:r>
                </w:p>
              </w:tc>
              <w:tc>
                <w:tcPr>
                  <w:tcW w:w="1395" w:type="pct"/>
                  <w:tcBorders>
                    <w:tl2br w:val="nil"/>
                    <w:tr2bl w:val="nil"/>
                  </w:tcBorders>
                  <w:noWrap w:val="0"/>
                  <w:vAlign w:val="center"/>
                </w:tcPr>
                <w:p w14:paraId="1C8FE190">
                  <w:pPr>
                    <w:widowControl/>
                    <w:jc w:val="center"/>
                    <w:rPr>
                      <w:rFonts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spacing w:val="0"/>
                      <w:sz w:val="21"/>
                      <w:szCs w:val="21"/>
                    </w:rPr>
                    <w:t>杨泗渡饮用水源取水口</w:t>
                  </w:r>
                </w:p>
              </w:tc>
              <w:tc>
                <w:tcPr>
                  <w:tcW w:w="1387" w:type="pct"/>
                  <w:vMerge w:val="continue"/>
                  <w:tcBorders>
                    <w:tl2br w:val="nil"/>
                    <w:tr2bl w:val="nil"/>
                  </w:tcBorders>
                  <w:noWrap w:val="0"/>
                  <w:vAlign w:val="center"/>
                </w:tcPr>
                <w:p w14:paraId="6C15DCD2">
                  <w:pPr>
                    <w:jc w:val="center"/>
                    <w:rPr>
                      <w:rFonts w:ascii="Times New Roman" w:hAnsi="Times New Roman" w:eastAsia="宋体" w:cs="Times New Roman"/>
                      <w:color w:val="auto"/>
                      <w:sz w:val="21"/>
                      <w:szCs w:val="21"/>
                    </w:rPr>
                  </w:pPr>
                </w:p>
              </w:tc>
              <w:tc>
                <w:tcPr>
                  <w:tcW w:w="1626" w:type="pct"/>
                  <w:vMerge w:val="continue"/>
                  <w:tcBorders>
                    <w:tl2br w:val="nil"/>
                    <w:tr2bl w:val="nil"/>
                  </w:tcBorders>
                  <w:noWrap w:val="0"/>
                  <w:vAlign w:val="center"/>
                </w:tcPr>
                <w:p w14:paraId="160364B8">
                  <w:pPr>
                    <w:jc w:val="center"/>
                    <w:rPr>
                      <w:rFonts w:ascii="Times New Roman" w:hAnsi="Times New Roman" w:eastAsia="宋体" w:cs="Times New Roman"/>
                      <w:color w:val="auto"/>
                      <w:sz w:val="21"/>
                      <w:szCs w:val="21"/>
                    </w:rPr>
                  </w:pPr>
                </w:p>
              </w:tc>
            </w:tr>
          </w:tbl>
          <w:p w14:paraId="30D881C2">
            <w:pPr>
              <w:spacing w:before="120" w:beforeLines="50" w:line="360" w:lineRule="auto"/>
              <w:ind w:firstLine="480" w:firstLineChars="200"/>
              <w:rPr>
                <w:rFonts w:ascii="Times New Roman" w:hAnsi="Times New Roman" w:eastAsia="宋体" w:cs="Times New Roman"/>
                <w:color w:val="auto"/>
                <w:sz w:val="24"/>
              </w:rPr>
            </w:pPr>
            <w:r>
              <w:rPr>
                <w:rFonts w:ascii="Times New Roman" w:hAnsi="Times New Roman" w:eastAsia="宋体" w:cs="Times New Roman"/>
                <w:color w:val="auto"/>
                <w:sz w:val="24"/>
              </w:rPr>
              <w:t>（3）监测结果：监测结果见表3-</w:t>
            </w:r>
            <w:r>
              <w:rPr>
                <w:rFonts w:hint="eastAsia" w:ascii="Times New Roman" w:hAnsi="Times New Roman" w:eastAsia="宋体" w:cs="Times New Roman"/>
                <w:color w:val="auto"/>
                <w:sz w:val="24"/>
                <w:lang w:val="en-US" w:eastAsia="zh-CN"/>
              </w:rPr>
              <w:t>4</w:t>
            </w:r>
            <w:r>
              <w:rPr>
                <w:rFonts w:ascii="Times New Roman" w:hAnsi="Times New Roman" w:eastAsia="宋体" w:cs="Times New Roman"/>
                <w:color w:val="auto"/>
                <w:sz w:val="24"/>
              </w:rPr>
              <w:t>。</w:t>
            </w:r>
          </w:p>
          <w:p w14:paraId="45373884">
            <w:pPr>
              <w:keepNext w:val="0"/>
              <w:keepLines w:val="0"/>
              <w:pageBreakBefore w:val="0"/>
              <w:widowControl w:val="0"/>
              <w:kinsoku/>
              <w:wordWrap/>
              <w:overflowPunct/>
              <w:topLinePunct w:val="0"/>
              <w:autoSpaceDE/>
              <w:autoSpaceDN/>
              <w:bidi w:val="0"/>
              <w:adjustRightInd/>
              <w:snapToGrid/>
              <w:spacing w:beforeAutospacing="0"/>
              <w:jc w:val="center"/>
              <w:textAlignment w:val="auto"/>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表3-</w:t>
            </w:r>
            <w:r>
              <w:rPr>
                <w:rFonts w:hint="eastAsia" w:ascii="Times New Roman" w:hAnsi="Times New Roman" w:eastAsia="宋体" w:cs="Times New Roman"/>
                <w:b/>
                <w:color w:val="auto"/>
                <w:kern w:val="0"/>
                <w:sz w:val="24"/>
                <w:szCs w:val="24"/>
                <w:lang w:val="en-US" w:eastAsia="zh-CN" w:bidi="ar-SA"/>
              </w:rPr>
              <w:t xml:space="preserve">4  </w:t>
            </w:r>
            <w:r>
              <w:rPr>
                <w:rFonts w:hint="default" w:ascii="Times New Roman" w:hAnsi="Times New Roman" w:eastAsia="宋体" w:cs="Times New Roman"/>
                <w:b/>
                <w:color w:val="auto"/>
                <w:kern w:val="0"/>
                <w:sz w:val="24"/>
                <w:szCs w:val="24"/>
                <w:lang w:val="en-US" w:eastAsia="zh-CN" w:bidi="ar-SA"/>
              </w:rPr>
              <w:t>地表水监测结果  单位：mg/L（</w:t>
            </w:r>
            <w:r>
              <w:rPr>
                <w:rFonts w:hint="eastAsia" w:ascii="Times New Roman" w:hAnsi="Times New Roman" w:eastAsia="宋体" w:cs="Times New Roman"/>
                <w:b/>
                <w:color w:val="auto"/>
                <w:kern w:val="0"/>
                <w:sz w:val="24"/>
                <w:szCs w:val="24"/>
                <w:lang w:val="en-US" w:eastAsia="zh-CN" w:bidi="ar-SA"/>
              </w:rPr>
              <w:t>p</w:t>
            </w:r>
            <w:r>
              <w:rPr>
                <w:rFonts w:hint="default" w:ascii="Times New Roman" w:hAnsi="Times New Roman" w:eastAsia="宋体" w:cs="Times New Roman"/>
                <w:b/>
                <w:color w:val="auto"/>
                <w:kern w:val="0"/>
                <w:sz w:val="24"/>
                <w:szCs w:val="24"/>
                <w:lang w:val="en-US" w:eastAsia="zh-CN" w:bidi="ar-SA"/>
              </w:rPr>
              <w:t>H除外）</w:t>
            </w:r>
          </w:p>
          <w:tbl>
            <w:tblPr>
              <w:tblStyle w:val="1094"/>
              <w:tblW w:w="4999" w:type="pct"/>
              <w:tblInd w:w="-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05"/>
              <w:gridCol w:w="1102"/>
              <w:gridCol w:w="592"/>
              <w:gridCol w:w="536"/>
              <w:gridCol w:w="678"/>
              <w:gridCol w:w="777"/>
              <w:gridCol w:w="806"/>
              <w:gridCol w:w="578"/>
              <w:gridCol w:w="692"/>
              <w:gridCol w:w="637"/>
              <w:gridCol w:w="995"/>
            </w:tblGrid>
            <w:tr w14:paraId="19503A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23" w:type="pct"/>
                  <w:vMerge w:val="restart"/>
                  <w:tcBorders>
                    <w:tl2br w:val="nil"/>
                    <w:tr2bl w:val="nil"/>
                  </w:tcBorders>
                  <w:noWrap w:val="0"/>
                  <w:vAlign w:val="center"/>
                </w:tcPr>
                <w:p w14:paraId="4065B1D1">
                  <w:pPr>
                    <w:pStyle w:val="109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b/>
                      <w:bCs/>
                      <w:color w:val="auto"/>
                      <w:spacing w:val="0"/>
                      <w:sz w:val="21"/>
                      <w:szCs w:val="21"/>
                    </w:rPr>
                    <w:t>监测点位</w:t>
                  </w:r>
                </w:p>
              </w:tc>
              <w:tc>
                <w:tcPr>
                  <w:tcW w:w="637" w:type="pct"/>
                  <w:vMerge w:val="restart"/>
                  <w:tcBorders>
                    <w:tl2br w:val="nil"/>
                    <w:tr2bl w:val="nil"/>
                  </w:tcBorders>
                  <w:noWrap w:val="0"/>
                  <w:vAlign w:val="center"/>
                </w:tcPr>
                <w:p w14:paraId="5D9D7BEB">
                  <w:pPr>
                    <w:pStyle w:val="109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b/>
                      <w:bCs/>
                      <w:color w:val="auto"/>
                      <w:spacing w:val="0"/>
                      <w:sz w:val="21"/>
                      <w:szCs w:val="21"/>
                    </w:rPr>
                    <w:t>监测日期</w:t>
                  </w:r>
                </w:p>
              </w:tc>
              <w:tc>
                <w:tcPr>
                  <w:tcW w:w="3636" w:type="pct"/>
                  <w:gridSpan w:val="9"/>
                  <w:tcBorders>
                    <w:tl2br w:val="nil"/>
                    <w:tr2bl w:val="nil"/>
                  </w:tcBorders>
                  <w:noWrap w:val="0"/>
                  <w:vAlign w:val="center"/>
                </w:tcPr>
                <w:p w14:paraId="55C247D8">
                  <w:pPr>
                    <w:pStyle w:val="109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b/>
                      <w:bCs/>
                      <w:color w:val="auto"/>
                      <w:spacing w:val="0"/>
                      <w:sz w:val="21"/>
                      <w:szCs w:val="21"/>
                    </w:rPr>
                    <w:t>监测项目</w:t>
                  </w:r>
                </w:p>
              </w:tc>
            </w:tr>
            <w:tr w14:paraId="1F648F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23" w:type="pct"/>
                  <w:vMerge w:val="continue"/>
                  <w:tcBorders>
                    <w:tl2br w:val="nil"/>
                    <w:tr2bl w:val="nil"/>
                  </w:tcBorders>
                  <w:noWrap w:val="0"/>
                  <w:vAlign w:val="center"/>
                </w:tcPr>
                <w:p w14:paraId="2EF2E4F4">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p>
              </w:tc>
              <w:tc>
                <w:tcPr>
                  <w:tcW w:w="637" w:type="pct"/>
                  <w:vMerge w:val="continue"/>
                  <w:tcBorders>
                    <w:tl2br w:val="nil"/>
                    <w:tr2bl w:val="nil"/>
                  </w:tcBorders>
                  <w:noWrap w:val="0"/>
                  <w:vAlign w:val="center"/>
                </w:tcPr>
                <w:p w14:paraId="782BAB9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p>
              </w:tc>
              <w:tc>
                <w:tcPr>
                  <w:tcW w:w="342" w:type="pct"/>
                  <w:tcBorders>
                    <w:tl2br w:val="nil"/>
                    <w:tr2bl w:val="nil"/>
                  </w:tcBorders>
                  <w:noWrap w:val="0"/>
                  <w:vAlign w:val="center"/>
                </w:tcPr>
                <w:p w14:paraId="1FD769FD">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b/>
                      <w:bCs/>
                      <w:color w:val="auto"/>
                      <w:spacing w:val="0"/>
                      <w:sz w:val="21"/>
                      <w:szCs w:val="21"/>
                    </w:rPr>
                    <w:t>pH</w:t>
                  </w:r>
                </w:p>
              </w:tc>
              <w:tc>
                <w:tcPr>
                  <w:tcW w:w="310" w:type="pct"/>
                  <w:tcBorders>
                    <w:tl2br w:val="nil"/>
                    <w:tr2bl w:val="nil"/>
                  </w:tcBorders>
                  <w:noWrap w:val="0"/>
                  <w:vAlign w:val="center"/>
                </w:tcPr>
                <w:p w14:paraId="10286D62">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b/>
                      <w:bCs/>
                      <w:color w:val="auto"/>
                      <w:spacing w:val="0"/>
                      <w:sz w:val="21"/>
                      <w:szCs w:val="21"/>
                    </w:rPr>
                    <w:t>DO</w:t>
                  </w:r>
                </w:p>
              </w:tc>
              <w:tc>
                <w:tcPr>
                  <w:tcW w:w="392" w:type="pct"/>
                  <w:tcBorders>
                    <w:tl2br w:val="nil"/>
                    <w:tr2bl w:val="nil"/>
                  </w:tcBorders>
                  <w:noWrap w:val="0"/>
                  <w:vAlign w:val="center"/>
                </w:tcPr>
                <w:p w14:paraId="684A3C41">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b/>
                      <w:bCs/>
                      <w:color w:val="auto"/>
                      <w:spacing w:val="0"/>
                      <w:sz w:val="21"/>
                      <w:szCs w:val="21"/>
                    </w:rPr>
                    <w:t>COD</w:t>
                  </w:r>
                </w:p>
              </w:tc>
              <w:tc>
                <w:tcPr>
                  <w:tcW w:w="449" w:type="pct"/>
                  <w:tcBorders>
                    <w:tl2br w:val="nil"/>
                    <w:tr2bl w:val="nil"/>
                  </w:tcBorders>
                  <w:noWrap w:val="0"/>
                  <w:vAlign w:val="center"/>
                </w:tcPr>
                <w:p w14:paraId="60666A4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b/>
                      <w:bCs/>
                      <w:color w:val="auto"/>
                      <w:spacing w:val="0"/>
                      <w:sz w:val="21"/>
                      <w:szCs w:val="21"/>
                    </w:rPr>
                    <w:t>BOD</w:t>
                  </w:r>
                  <w:r>
                    <w:rPr>
                      <w:rFonts w:hint="default" w:ascii="Times New Roman" w:hAnsi="Times New Roman" w:eastAsia="宋体" w:cs="Times New Roman"/>
                      <w:b/>
                      <w:bCs/>
                      <w:color w:val="auto"/>
                      <w:spacing w:val="0"/>
                      <w:sz w:val="21"/>
                      <w:szCs w:val="21"/>
                      <w:vertAlign w:val="subscript"/>
                    </w:rPr>
                    <w:t>5</w:t>
                  </w:r>
                </w:p>
              </w:tc>
              <w:tc>
                <w:tcPr>
                  <w:tcW w:w="466" w:type="pct"/>
                  <w:tcBorders>
                    <w:tl2br w:val="nil"/>
                    <w:tr2bl w:val="nil"/>
                  </w:tcBorders>
                  <w:noWrap w:val="0"/>
                  <w:vAlign w:val="center"/>
                </w:tcPr>
                <w:p w14:paraId="1ABF6D3C">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b/>
                      <w:bCs/>
                      <w:color w:val="auto"/>
                      <w:spacing w:val="0"/>
                      <w:sz w:val="21"/>
                      <w:szCs w:val="21"/>
                    </w:rPr>
                    <w:t>NH</w:t>
                  </w:r>
                  <w:r>
                    <w:rPr>
                      <w:rFonts w:hint="default" w:ascii="Times New Roman" w:hAnsi="Times New Roman" w:eastAsia="宋体" w:cs="Times New Roman"/>
                      <w:b/>
                      <w:bCs/>
                      <w:color w:val="auto"/>
                      <w:spacing w:val="0"/>
                      <w:sz w:val="21"/>
                      <w:szCs w:val="21"/>
                      <w:vertAlign w:val="subscript"/>
                    </w:rPr>
                    <w:t>3</w:t>
                  </w:r>
                  <w:r>
                    <w:rPr>
                      <w:rFonts w:hint="default" w:ascii="Times New Roman" w:hAnsi="Times New Roman" w:eastAsia="宋体" w:cs="Times New Roman"/>
                      <w:b/>
                      <w:bCs/>
                      <w:color w:val="auto"/>
                      <w:spacing w:val="0"/>
                      <w:sz w:val="21"/>
                      <w:szCs w:val="21"/>
                    </w:rPr>
                    <w:t>-N</w:t>
                  </w:r>
                </w:p>
              </w:tc>
              <w:tc>
                <w:tcPr>
                  <w:tcW w:w="334" w:type="pct"/>
                  <w:tcBorders>
                    <w:tl2br w:val="nil"/>
                    <w:tr2bl w:val="nil"/>
                  </w:tcBorders>
                  <w:noWrap w:val="0"/>
                  <w:vAlign w:val="center"/>
                </w:tcPr>
                <w:p w14:paraId="209DDA0C">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b/>
                      <w:bCs/>
                      <w:color w:val="auto"/>
                      <w:spacing w:val="0"/>
                      <w:sz w:val="21"/>
                      <w:szCs w:val="21"/>
                    </w:rPr>
                    <w:t>TN</w:t>
                  </w:r>
                </w:p>
              </w:tc>
              <w:tc>
                <w:tcPr>
                  <w:tcW w:w="400" w:type="pct"/>
                  <w:tcBorders>
                    <w:tl2br w:val="nil"/>
                    <w:tr2bl w:val="nil"/>
                  </w:tcBorders>
                  <w:noWrap w:val="0"/>
                  <w:vAlign w:val="center"/>
                </w:tcPr>
                <w:p w14:paraId="2C37F441">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b/>
                      <w:bCs/>
                      <w:color w:val="auto"/>
                      <w:spacing w:val="0"/>
                      <w:sz w:val="21"/>
                      <w:szCs w:val="21"/>
                    </w:rPr>
                    <w:t>TP</w:t>
                  </w:r>
                </w:p>
              </w:tc>
              <w:tc>
                <w:tcPr>
                  <w:tcW w:w="368" w:type="pct"/>
                  <w:tcBorders>
                    <w:tl2br w:val="nil"/>
                    <w:tr2bl w:val="nil"/>
                  </w:tcBorders>
                  <w:noWrap w:val="0"/>
                  <w:vAlign w:val="center"/>
                </w:tcPr>
                <w:p w14:paraId="005B0342">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b/>
                      <w:bCs/>
                      <w:color w:val="auto"/>
                      <w:spacing w:val="0"/>
                      <w:sz w:val="21"/>
                      <w:szCs w:val="21"/>
                    </w:rPr>
                    <w:t>SS</w:t>
                  </w:r>
                </w:p>
              </w:tc>
              <w:tc>
                <w:tcPr>
                  <w:tcW w:w="570" w:type="pct"/>
                  <w:tcBorders>
                    <w:tl2br w:val="nil"/>
                    <w:tr2bl w:val="nil"/>
                  </w:tcBorders>
                  <w:noWrap w:val="0"/>
                  <w:vAlign w:val="center"/>
                </w:tcPr>
                <w:p w14:paraId="6F66E04A">
                  <w:pPr>
                    <w:pStyle w:val="109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b/>
                      <w:bCs/>
                      <w:color w:val="auto"/>
                      <w:spacing w:val="0"/>
                      <w:sz w:val="21"/>
                      <w:szCs w:val="21"/>
                    </w:rPr>
                    <w:t>氟化物</w:t>
                  </w:r>
                </w:p>
              </w:tc>
            </w:tr>
            <w:tr w14:paraId="31F422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23" w:type="pct"/>
                  <w:vMerge w:val="restart"/>
                  <w:tcBorders>
                    <w:tl2br w:val="nil"/>
                    <w:tr2bl w:val="nil"/>
                  </w:tcBorders>
                  <w:noWrap w:val="0"/>
                  <w:vAlign w:val="center"/>
                </w:tcPr>
                <w:p w14:paraId="741C5AA4">
                  <w:pPr>
                    <w:pStyle w:val="109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D7</w:t>
                  </w:r>
                  <w:r>
                    <w:rPr>
                      <w:rFonts w:hint="eastAsia" w:ascii="Times New Roman" w:hAnsi="Times New Roman" w:eastAsia="宋体" w:cs="Times New Roman"/>
                      <w:color w:val="auto"/>
                      <w:spacing w:val="0"/>
                      <w:sz w:val="21"/>
                      <w:szCs w:val="21"/>
                      <w:lang w:eastAsia="zh-CN"/>
                    </w:rPr>
                    <w:t>裘公河</w:t>
                  </w:r>
                  <w:r>
                    <w:rPr>
                      <w:rFonts w:hint="default" w:ascii="Times New Roman" w:hAnsi="Times New Roman" w:eastAsia="宋体" w:cs="Times New Roman"/>
                      <w:color w:val="auto"/>
                      <w:spacing w:val="0"/>
                      <w:sz w:val="21"/>
                      <w:szCs w:val="21"/>
                    </w:rPr>
                    <w:t>上游500m</w:t>
                  </w:r>
                </w:p>
              </w:tc>
              <w:tc>
                <w:tcPr>
                  <w:tcW w:w="637" w:type="pct"/>
                  <w:tcBorders>
                    <w:tl2br w:val="nil"/>
                    <w:tr2bl w:val="nil"/>
                  </w:tcBorders>
                  <w:noWrap w:val="0"/>
                  <w:vAlign w:val="center"/>
                </w:tcPr>
                <w:p w14:paraId="0D948FC6">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2022.11.13</w:t>
                  </w:r>
                </w:p>
              </w:tc>
              <w:tc>
                <w:tcPr>
                  <w:tcW w:w="342" w:type="pct"/>
                  <w:tcBorders>
                    <w:tl2br w:val="nil"/>
                    <w:tr2bl w:val="nil"/>
                  </w:tcBorders>
                  <w:noWrap w:val="0"/>
                  <w:vAlign w:val="center"/>
                </w:tcPr>
                <w:p w14:paraId="7E6AF63F">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7.3</w:t>
                  </w:r>
                </w:p>
              </w:tc>
              <w:tc>
                <w:tcPr>
                  <w:tcW w:w="310" w:type="pct"/>
                  <w:tcBorders>
                    <w:tl2br w:val="nil"/>
                    <w:tr2bl w:val="nil"/>
                  </w:tcBorders>
                  <w:noWrap w:val="0"/>
                  <w:vAlign w:val="center"/>
                </w:tcPr>
                <w:p w14:paraId="2D03CDE2">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5.6</w:t>
                  </w:r>
                </w:p>
              </w:tc>
              <w:tc>
                <w:tcPr>
                  <w:tcW w:w="392" w:type="pct"/>
                  <w:tcBorders>
                    <w:tl2br w:val="nil"/>
                    <w:tr2bl w:val="nil"/>
                  </w:tcBorders>
                  <w:noWrap w:val="0"/>
                  <w:vAlign w:val="center"/>
                </w:tcPr>
                <w:p w14:paraId="0C111555">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15</w:t>
                  </w:r>
                </w:p>
              </w:tc>
              <w:tc>
                <w:tcPr>
                  <w:tcW w:w="449" w:type="pct"/>
                  <w:tcBorders>
                    <w:tl2br w:val="nil"/>
                    <w:tr2bl w:val="nil"/>
                  </w:tcBorders>
                  <w:noWrap w:val="0"/>
                  <w:vAlign w:val="center"/>
                </w:tcPr>
                <w:p w14:paraId="1854E7A5">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2.4</w:t>
                  </w:r>
                </w:p>
              </w:tc>
              <w:tc>
                <w:tcPr>
                  <w:tcW w:w="466" w:type="pct"/>
                  <w:tcBorders>
                    <w:tl2br w:val="nil"/>
                    <w:tr2bl w:val="nil"/>
                  </w:tcBorders>
                  <w:noWrap w:val="0"/>
                  <w:vAlign w:val="center"/>
                </w:tcPr>
                <w:p w14:paraId="3C841566">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0.370</w:t>
                  </w:r>
                </w:p>
              </w:tc>
              <w:tc>
                <w:tcPr>
                  <w:tcW w:w="334" w:type="pct"/>
                  <w:tcBorders>
                    <w:tl2br w:val="nil"/>
                    <w:tr2bl w:val="nil"/>
                  </w:tcBorders>
                  <w:noWrap w:val="0"/>
                  <w:vAlign w:val="center"/>
                </w:tcPr>
                <w:p w14:paraId="07170B24">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5.39</w:t>
                  </w:r>
                </w:p>
              </w:tc>
              <w:tc>
                <w:tcPr>
                  <w:tcW w:w="400" w:type="pct"/>
                  <w:tcBorders>
                    <w:tl2br w:val="nil"/>
                    <w:tr2bl w:val="nil"/>
                  </w:tcBorders>
                  <w:noWrap w:val="0"/>
                  <w:vAlign w:val="center"/>
                </w:tcPr>
                <w:p w14:paraId="55BAE265">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0.015</w:t>
                  </w:r>
                </w:p>
              </w:tc>
              <w:tc>
                <w:tcPr>
                  <w:tcW w:w="368" w:type="pct"/>
                  <w:tcBorders>
                    <w:tl2br w:val="nil"/>
                    <w:tr2bl w:val="nil"/>
                  </w:tcBorders>
                  <w:noWrap w:val="0"/>
                  <w:vAlign w:val="center"/>
                </w:tcPr>
                <w:p w14:paraId="635D51B5">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14</w:t>
                  </w:r>
                </w:p>
              </w:tc>
              <w:tc>
                <w:tcPr>
                  <w:tcW w:w="570" w:type="pct"/>
                  <w:tcBorders>
                    <w:tl2br w:val="nil"/>
                    <w:tr2bl w:val="nil"/>
                  </w:tcBorders>
                  <w:noWrap w:val="0"/>
                  <w:vAlign w:val="center"/>
                </w:tcPr>
                <w:p w14:paraId="5B8363F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0.41</w:t>
                  </w:r>
                </w:p>
              </w:tc>
            </w:tr>
            <w:tr w14:paraId="390DDF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23" w:type="pct"/>
                  <w:vMerge w:val="continue"/>
                  <w:tcBorders>
                    <w:tl2br w:val="nil"/>
                    <w:tr2bl w:val="nil"/>
                  </w:tcBorders>
                  <w:noWrap w:val="0"/>
                  <w:vAlign w:val="center"/>
                </w:tcPr>
                <w:p w14:paraId="388F73BB">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p>
              </w:tc>
              <w:tc>
                <w:tcPr>
                  <w:tcW w:w="637" w:type="pct"/>
                  <w:tcBorders>
                    <w:tl2br w:val="nil"/>
                    <w:tr2bl w:val="nil"/>
                  </w:tcBorders>
                  <w:noWrap w:val="0"/>
                  <w:vAlign w:val="center"/>
                </w:tcPr>
                <w:p w14:paraId="40880D84">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2022.11.14</w:t>
                  </w:r>
                </w:p>
              </w:tc>
              <w:tc>
                <w:tcPr>
                  <w:tcW w:w="342" w:type="pct"/>
                  <w:tcBorders>
                    <w:tl2br w:val="nil"/>
                    <w:tr2bl w:val="nil"/>
                  </w:tcBorders>
                  <w:noWrap w:val="0"/>
                  <w:vAlign w:val="center"/>
                </w:tcPr>
                <w:p w14:paraId="5D0A3DF4">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7.2</w:t>
                  </w:r>
                </w:p>
              </w:tc>
              <w:tc>
                <w:tcPr>
                  <w:tcW w:w="310" w:type="pct"/>
                  <w:tcBorders>
                    <w:tl2br w:val="nil"/>
                    <w:tr2bl w:val="nil"/>
                  </w:tcBorders>
                  <w:noWrap w:val="0"/>
                  <w:vAlign w:val="center"/>
                </w:tcPr>
                <w:p w14:paraId="6D01DE57">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5.3</w:t>
                  </w:r>
                </w:p>
              </w:tc>
              <w:tc>
                <w:tcPr>
                  <w:tcW w:w="392" w:type="pct"/>
                  <w:tcBorders>
                    <w:tl2br w:val="nil"/>
                    <w:tr2bl w:val="nil"/>
                  </w:tcBorders>
                  <w:noWrap w:val="0"/>
                  <w:vAlign w:val="center"/>
                </w:tcPr>
                <w:p w14:paraId="12F6B8C7">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16</w:t>
                  </w:r>
                </w:p>
              </w:tc>
              <w:tc>
                <w:tcPr>
                  <w:tcW w:w="449" w:type="pct"/>
                  <w:tcBorders>
                    <w:tl2br w:val="nil"/>
                    <w:tr2bl w:val="nil"/>
                  </w:tcBorders>
                  <w:noWrap w:val="0"/>
                  <w:vAlign w:val="center"/>
                </w:tcPr>
                <w:p w14:paraId="7DE40581">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2.5</w:t>
                  </w:r>
                </w:p>
              </w:tc>
              <w:tc>
                <w:tcPr>
                  <w:tcW w:w="466" w:type="pct"/>
                  <w:tcBorders>
                    <w:tl2br w:val="nil"/>
                    <w:tr2bl w:val="nil"/>
                  </w:tcBorders>
                  <w:noWrap w:val="0"/>
                  <w:vAlign w:val="center"/>
                </w:tcPr>
                <w:p w14:paraId="4F8FF72F">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0.380</w:t>
                  </w:r>
                </w:p>
              </w:tc>
              <w:tc>
                <w:tcPr>
                  <w:tcW w:w="334" w:type="pct"/>
                  <w:tcBorders>
                    <w:tl2br w:val="nil"/>
                    <w:tr2bl w:val="nil"/>
                  </w:tcBorders>
                  <w:noWrap w:val="0"/>
                  <w:vAlign w:val="center"/>
                </w:tcPr>
                <w:p w14:paraId="2305F21D">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5.31</w:t>
                  </w:r>
                </w:p>
              </w:tc>
              <w:tc>
                <w:tcPr>
                  <w:tcW w:w="400" w:type="pct"/>
                  <w:tcBorders>
                    <w:tl2br w:val="nil"/>
                    <w:tr2bl w:val="nil"/>
                  </w:tcBorders>
                  <w:noWrap w:val="0"/>
                  <w:vAlign w:val="center"/>
                </w:tcPr>
                <w:p w14:paraId="744DFF26">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0.019</w:t>
                  </w:r>
                </w:p>
              </w:tc>
              <w:tc>
                <w:tcPr>
                  <w:tcW w:w="368" w:type="pct"/>
                  <w:tcBorders>
                    <w:tl2br w:val="nil"/>
                    <w:tr2bl w:val="nil"/>
                  </w:tcBorders>
                  <w:noWrap w:val="0"/>
                  <w:vAlign w:val="center"/>
                </w:tcPr>
                <w:p w14:paraId="2847E69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16</w:t>
                  </w:r>
                </w:p>
              </w:tc>
              <w:tc>
                <w:tcPr>
                  <w:tcW w:w="570" w:type="pct"/>
                  <w:tcBorders>
                    <w:tl2br w:val="nil"/>
                    <w:tr2bl w:val="nil"/>
                  </w:tcBorders>
                  <w:noWrap w:val="0"/>
                  <w:vAlign w:val="center"/>
                </w:tcPr>
                <w:p w14:paraId="3F94322F">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0.40</w:t>
                  </w:r>
                </w:p>
              </w:tc>
            </w:tr>
            <w:tr w14:paraId="4DB4FF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23" w:type="pct"/>
                  <w:vMerge w:val="continue"/>
                  <w:tcBorders>
                    <w:tl2br w:val="nil"/>
                    <w:tr2bl w:val="nil"/>
                  </w:tcBorders>
                  <w:noWrap w:val="0"/>
                  <w:vAlign w:val="center"/>
                </w:tcPr>
                <w:p w14:paraId="670EF2B2">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p>
              </w:tc>
              <w:tc>
                <w:tcPr>
                  <w:tcW w:w="637" w:type="pct"/>
                  <w:tcBorders>
                    <w:tl2br w:val="nil"/>
                    <w:tr2bl w:val="nil"/>
                  </w:tcBorders>
                  <w:noWrap w:val="0"/>
                  <w:vAlign w:val="center"/>
                </w:tcPr>
                <w:p w14:paraId="09517A8C">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2022.11.15</w:t>
                  </w:r>
                </w:p>
              </w:tc>
              <w:tc>
                <w:tcPr>
                  <w:tcW w:w="342" w:type="pct"/>
                  <w:tcBorders>
                    <w:tl2br w:val="nil"/>
                    <w:tr2bl w:val="nil"/>
                  </w:tcBorders>
                  <w:noWrap w:val="0"/>
                  <w:vAlign w:val="center"/>
                </w:tcPr>
                <w:p w14:paraId="465E0DCE">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7.3</w:t>
                  </w:r>
                </w:p>
              </w:tc>
              <w:tc>
                <w:tcPr>
                  <w:tcW w:w="310" w:type="pct"/>
                  <w:tcBorders>
                    <w:tl2br w:val="nil"/>
                    <w:tr2bl w:val="nil"/>
                  </w:tcBorders>
                  <w:noWrap w:val="0"/>
                  <w:vAlign w:val="center"/>
                </w:tcPr>
                <w:p w14:paraId="1967C107">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6.5</w:t>
                  </w:r>
                </w:p>
              </w:tc>
              <w:tc>
                <w:tcPr>
                  <w:tcW w:w="392" w:type="pct"/>
                  <w:tcBorders>
                    <w:tl2br w:val="nil"/>
                    <w:tr2bl w:val="nil"/>
                  </w:tcBorders>
                  <w:noWrap w:val="0"/>
                  <w:vAlign w:val="center"/>
                </w:tcPr>
                <w:p w14:paraId="79BC37E4">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13</w:t>
                  </w:r>
                </w:p>
              </w:tc>
              <w:tc>
                <w:tcPr>
                  <w:tcW w:w="449" w:type="pct"/>
                  <w:tcBorders>
                    <w:tl2br w:val="nil"/>
                    <w:tr2bl w:val="nil"/>
                  </w:tcBorders>
                  <w:noWrap w:val="0"/>
                  <w:vAlign w:val="center"/>
                </w:tcPr>
                <w:p w14:paraId="5081E48B">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2. 1</w:t>
                  </w:r>
                </w:p>
              </w:tc>
              <w:tc>
                <w:tcPr>
                  <w:tcW w:w="466" w:type="pct"/>
                  <w:tcBorders>
                    <w:tl2br w:val="nil"/>
                    <w:tr2bl w:val="nil"/>
                  </w:tcBorders>
                  <w:noWrap w:val="0"/>
                  <w:vAlign w:val="center"/>
                </w:tcPr>
                <w:p w14:paraId="6D1A5005">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0.440</w:t>
                  </w:r>
                </w:p>
              </w:tc>
              <w:tc>
                <w:tcPr>
                  <w:tcW w:w="334" w:type="pct"/>
                  <w:tcBorders>
                    <w:tl2br w:val="nil"/>
                    <w:tr2bl w:val="nil"/>
                  </w:tcBorders>
                  <w:noWrap w:val="0"/>
                  <w:vAlign w:val="center"/>
                </w:tcPr>
                <w:p w14:paraId="1E858574">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5.49</w:t>
                  </w:r>
                </w:p>
              </w:tc>
              <w:tc>
                <w:tcPr>
                  <w:tcW w:w="400" w:type="pct"/>
                  <w:tcBorders>
                    <w:tl2br w:val="nil"/>
                    <w:tr2bl w:val="nil"/>
                  </w:tcBorders>
                  <w:noWrap w:val="0"/>
                  <w:vAlign w:val="center"/>
                </w:tcPr>
                <w:p w14:paraId="26022BD1">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0.021</w:t>
                  </w:r>
                </w:p>
              </w:tc>
              <w:tc>
                <w:tcPr>
                  <w:tcW w:w="368" w:type="pct"/>
                  <w:tcBorders>
                    <w:tl2br w:val="nil"/>
                    <w:tr2bl w:val="nil"/>
                  </w:tcBorders>
                  <w:noWrap w:val="0"/>
                  <w:vAlign w:val="center"/>
                </w:tcPr>
                <w:p w14:paraId="4A372B40">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13</w:t>
                  </w:r>
                </w:p>
              </w:tc>
              <w:tc>
                <w:tcPr>
                  <w:tcW w:w="570" w:type="pct"/>
                  <w:tcBorders>
                    <w:tl2br w:val="nil"/>
                    <w:tr2bl w:val="nil"/>
                  </w:tcBorders>
                  <w:noWrap w:val="0"/>
                  <w:vAlign w:val="center"/>
                </w:tcPr>
                <w:p w14:paraId="62810B58">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0.40</w:t>
                  </w:r>
                </w:p>
              </w:tc>
            </w:tr>
            <w:tr w14:paraId="6B8DE7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23" w:type="pct"/>
                  <w:vMerge w:val="restart"/>
                  <w:tcBorders>
                    <w:tl2br w:val="nil"/>
                    <w:tr2bl w:val="nil"/>
                  </w:tcBorders>
                  <w:noWrap w:val="0"/>
                  <w:vAlign w:val="center"/>
                </w:tcPr>
                <w:p w14:paraId="6A65A76B">
                  <w:pPr>
                    <w:pStyle w:val="109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D8杨泗渡控制断面</w:t>
                  </w:r>
                </w:p>
              </w:tc>
              <w:tc>
                <w:tcPr>
                  <w:tcW w:w="637" w:type="pct"/>
                  <w:tcBorders>
                    <w:tl2br w:val="nil"/>
                    <w:tr2bl w:val="nil"/>
                  </w:tcBorders>
                  <w:noWrap w:val="0"/>
                  <w:vAlign w:val="center"/>
                </w:tcPr>
                <w:p w14:paraId="4E71156C">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2022.11.13</w:t>
                  </w:r>
                </w:p>
              </w:tc>
              <w:tc>
                <w:tcPr>
                  <w:tcW w:w="342" w:type="pct"/>
                  <w:tcBorders>
                    <w:tl2br w:val="nil"/>
                    <w:tr2bl w:val="nil"/>
                  </w:tcBorders>
                  <w:noWrap w:val="0"/>
                  <w:vAlign w:val="center"/>
                </w:tcPr>
                <w:p w14:paraId="34D92C7C">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7.4</w:t>
                  </w:r>
                </w:p>
              </w:tc>
              <w:tc>
                <w:tcPr>
                  <w:tcW w:w="310" w:type="pct"/>
                  <w:tcBorders>
                    <w:tl2br w:val="nil"/>
                    <w:tr2bl w:val="nil"/>
                  </w:tcBorders>
                  <w:noWrap w:val="0"/>
                  <w:vAlign w:val="center"/>
                </w:tcPr>
                <w:p w14:paraId="099C669D">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5.2</w:t>
                  </w:r>
                </w:p>
              </w:tc>
              <w:tc>
                <w:tcPr>
                  <w:tcW w:w="392" w:type="pct"/>
                  <w:tcBorders>
                    <w:tl2br w:val="nil"/>
                    <w:tr2bl w:val="nil"/>
                  </w:tcBorders>
                  <w:noWrap w:val="0"/>
                  <w:vAlign w:val="center"/>
                </w:tcPr>
                <w:p w14:paraId="0D984096">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16</w:t>
                  </w:r>
                </w:p>
              </w:tc>
              <w:tc>
                <w:tcPr>
                  <w:tcW w:w="449" w:type="pct"/>
                  <w:tcBorders>
                    <w:tl2br w:val="nil"/>
                    <w:tr2bl w:val="nil"/>
                  </w:tcBorders>
                  <w:noWrap w:val="0"/>
                  <w:vAlign w:val="center"/>
                </w:tcPr>
                <w:p w14:paraId="4868547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2.2</w:t>
                  </w:r>
                </w:p>
              </w:tc>
              <w:tc>
                <w:tcPr>
                  <w:tcW w:w="466" w:type="pct"/>
                  <w:tcBorders>
                    <w:tl2br w:val="nil"/>
                    <w:tr2bl w:val="nil"/>
                  </w:tcBorders>
                  <w:noWrap w:val="0"/>
                  <w:vAlign w:val="center"/>
                </w:tcPr>
                <w:p w14:paraId="175F352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0.429</w:t>
                  </w:r>
                </w:p>
              </w:tc>
              <w:tc>
                <w:tcPr>
                  <w:tcW w:w="334" w:type="pct"/>
                  <w:tcBorders>
                    <w:tl2br w:val="nil"/>
                    <w:tr2bl w:val="nil"/>
                  </w:tcBorders>
                  <w:noWrap w:val="0"/>
                  <w:vAlign w:val="center"/>
                </w:tcPr>
                <w:p w14:paraId="5438B6B8">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6.25</w:t>
                  </w:r>
                </w:p>
              </w:tc>
              <w:tc>
                <w:tcPr>
                  <w:tcW w:w="400" w:type="pct"/>
                  <w:tcBorders>
                    <w:tl2br w:val="nil"/>
                    <w:tr2bl w:val="nil"/>
                  </w:tcBorders>
                  <w:noWrap w:val="0"/>
                  <w:vAlign w:val="center"/>
                </w:tcPr>
                <w:p w14:paraId="456AEB97">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0.011</w:t>
                  </w:r>
                </w:p>
              </w:tc>
              <w:tc>
                <w:tcPr>
                  <w:tcW w:w="368" w:type="pct"/>
                  <w:tcBorders>
                    <w:tl2br w:val="nil"/>
                    <w:tr2bl w:val="nil"/>
                  </w:tcBorders>
                  <w:noWrap w:val="0"/>
                  <w:vAlign w:val="center"/>
                </w:tcPr>
                <w:p w14:paraId="024D926B">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13</w:t>
                  </w:r>
                </w:p>
              </w:tc>
              <w:tc>
                <w:tcPr>
                  <w:tcW w:w="570" w:type="pct"/>
                  <w:tcBorders>
                    <w:tl2br w:val="nil"/>
                    <w:tr2bl w:val="nil"/>
                  </w:tcBorders>
                  <w:noWrap w:val="0"/>
                  <w:vAlign w:val="center"/>
                </w:tcPr>
                <w:p w14:paraId="58EAAF60">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0.42</w:t>
                  </w:r>
                </w:p>
              </w:tc>
            </w:tr>
            <w:tr w14:paraId="31D4C9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23" w:type="pct"/>
                  <w:vMerge w:val="continue"/>
                  <w:tcBorders>
                    <w:tl2br w:val="nil"/>
                    <w:tr2bl w:val="nil"/>
                  </w:tcBorders>
                  <w:noWrap w:val="0"/>
                  <w:vAlign w:val="center"/>
                </w:tcPr>
                <w:p w14:paraId="2A832CC7">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p>
              </w:tc>
              <w:tc>
                <w:tcPr>
                  <w:tcW w:w="637" w:type="pct"/>
                  <w:tcBorders>
                    <w:tl2br w:val="nil"/>
                    <w:tr2bl w:val="nil"/>
                  </w:tcBorders>
                  <w:noWrap w:val="0"/>
                  <w:vAlign w:val="center"/>
                </w:tcPr>
                <w:p w14:paraId="0AE9991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2022.11.14</w:t>
                  </w:r>
                </w:p>
              </w:tc>
              <w:tc>
                <w:tcPr>
                  <w:tcW w:w="342" w:type="pct"/>
                  <w:tcBorders>
                    <w:tl2br w:val="nil"/>
                    <w:tr2bl w:val="nil"/>
                  </w:tcBorders>
                  <w:noWrap w:val="0"/>
                  <w:vAlign w:val="center"/>
                </w:tcPr>
                <w:p w14:paraId="6F33255B">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7.4</w:t>
                  </w:r>
                </w:p>
              </w:tc>
              <w:tc>
                <w:tcPr>
                  <w:tcW w:w="310" w:type="pct"/>
                  <w:tcBorders>
                    <w:tl2br w:val="nil"/>
                    <w:tr2bl w:val="nil"/>
                  </w:tcBorders>
                  <w:noWrap w:val="0"/>
                  <w:vAlign w:val="center"/>
                </w:tcPr>
                <w:p w14:paraId="73B3516A">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6. 1</w:t>
                  </w:r>
                </w:p>
              </w:tc>
              <w:tc>
                <w:tcPr>
                  <w:tcW w:w="392" w:type="pct"/>
                  <w:tcBorders>
                    <w:tl2br w:val="nil"/>
                    <w:tr2bl w:val="nil"/>
                  </w:tcBorders>
                  <w:noWrap w:val="0"/>
                  <w:vAlign w:val="center"/>
                </w:tcPr>
                <w:p w14:paraId="0AAA0D0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17</w:t>
                  </w:r>
                </w:p>
              </w:tc>
              <w:tc>
                <w:tcPr>
                  <w:tcW w:w="449" w:type="pct"/>
                  <w:tcBorders>
                    <w:tl2br w:val="nil"/>
                    <w:tr2bl w:val="nil"/>
                  </w:tcBorders>
                  <w:noWrap w:val="0"/>
                  <w:vAlign w:val="center"/>
                </w:tcPr>
                <w:p w14:paraId="5A7E34F5">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2.7</w:t>
                  </w:r>
                </w:p>
              </w:tc>
              <w:tc>
                <w:tcPr>
                  <w:tcW w:w="466" w:type="pct"/>
                  <w:tcBorders>
                    <w:tl2br w:val="nil"/>
                    <w:tr2bl w:val="nil"/>
                  </w:tcBorders>
                  <w:noWrap w:val="0"/>
                  <w:vAlign w:val="center"/>
                </w:tcPr>
                <w:p w14:paraId="53C488E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0.446</w:t>
                  </w:r>
                </w:p>
              </w:tc>
              <w:tc>
                <w:tcPr>
                  <w:tcW w:w="334" w:type="pct"/>
                  <w:tcBorders>
                    <w:tl2br w:val="nil"/>
                    <w:tr2bl w:val="nil"/>
                  </w:tcBorders>
                  <w:noWrap w:val="0"/>
                  <w:vAlign w:val="center"/>
                </w:tcPr>
                <w:p w14:paraId="57659116">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6.17</w:t>
                  </w:r>
                </w:p>
              </w:tc>
              <w:tc>
                <w:tcPr>
                  <w:tcW w:w="400" w:type="pct"/>
                  <w:tcBorders>
                    <w:tl2br w:val="nil"/>
                    <w:tr2bl w:val="nil"/>
                  </w:tcBorders>
                  <w:noWrap w:val="0"/>
                  <w:vAlign w:val="center"/>
                </w:tcPr>
                <w:p w14:paraId="60FBD9C1">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0.010</w:t>
                  </w:r>
                </w:p>
              </w:tc>
              <w:tc>
                <w:tcPr>
                  <w:tcW w:w="368" w:type="pct"/>
                  <w:tcBorders>
                    <w:tl2br w:val="nil"/>
                    <w:tr2bl w:val="nil"/>
                  </w:tcBorders>
                  <w:noWrap w:val="0"/>
                  <w:vAlign w:val="center"/>
                </w:tcPr>
                <w:p w14:paraId="484C8112">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14</w:t>
                  </w:r>
                </w:p>
              </w:tc>
              <w:tc>
                <w:tcPr>
                  <w:tcW w:w="570" w:type="pct"/>
                  <w:tcBorders>
                    <w:tl2br w:val="nil"/>
                    <w:tr2bl w:val="nil"/>
                  </w:tcBorders>
                  <w:noWrap w:val="0"/>
                  <w:vAlign w:val="center"/>
                </w:tcPr>
                <w:p w14:paraId="2D971455">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0.41</w:t>
                  </w:r>
                </w:p>
              </w:tc>
            </w:tr>
            <w:tr w14:paraId="712756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23" w:type="pct"/>
                  <w:vMerge w:val="continue"/>
                  <w:tcBorders>
                    <w:tl2br w:val="nil"/>
                    <w:tr2bl w:val="nil"/>
                  </w:tcBorders>
                  <w:noWrap w:val="0"/>
                  <w:vAlign w:val="center"/>
                </w:tcPr>
                <w:p w14:paraId="2D7A0765">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p>
              </w:tc>
              <w:tc>
                <w:tcPr>
                  <w:tcW w:w="637" w:type="pct"/>
                  <w:tcBorders>
                    <w:tl2br w:val="nil"/>
                    <w:tr2bl w:val="nil"/>
                  </w:tcBorders>
                  <w:noWrap w:val="0"/>
                  <w:vAlign w:val="center"/>
                </w:tcPr>
                <w:p w14:paraId="6C9DC65D">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2022.11.15</w:t>
                  </w:r>
                </w:p>
              </w:tc>
              <w:tc>
                <w:tcPr>
                  <w:tcW w:w="342" w:type="pct"/>
                  <w:tcBorders>
                    <w:tl2br w:val="nil"/>
                    <w:tr2bl w:val="nil"/>
                  </w:tcBorders>
                  <w:noWrap w:val="0"/>
                  <w:vAlign w:val="center"/>
                </w:tcPr>
                <w:p w14:paraId="4018E319">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7.4</w:t>
                  </w:r>
                </w:p>
              </w:tc>
              <w:tc>
                <w:tcPr>
                  <w:tcW w:w="310" w:type="pct"/>
                  <w:tcBorders>
                    <w:tl2br w:val="nil"/>
                    <w:tr2bl w:val="nil"/>
                  </w:tcBorders>
                  <w:noWrap w:val="0"/>
                  <w:vAlign w:val="center"/>
                </w:tcPr>
                <w:p w14:paraId="0A214B72">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6.4</w:t>
                  </w:r>
                </w:p>
              </w:tc>
              <w:tc>
                <w:tcPr>
                  <w:tcW w:w="392" w:type="pct"/>
                  <w:tcBorders>
                    <w:tl2br w:val="nil"/>
                    <w:tr2bl w:val="nil"/>
                  </w:tcBorders>
                  <w:noWrap w:val="0"/>
                  <w:vAlign w:val="center"/>
                </w:tcPr>
                <w:p w14:paraId="10DA74AD">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17</w:t>
                  </w:r>
                </w:p>
              </w:tc>
              <w:tc>
                <w:tcPr>
                  <w:tcW w:w="449" w:type="pct"/>
                  <w:tcBorders>
                    <w:tl2br w:val="nil"/>
                    <w:tr2bl w:val="nil"/>
                  </w:tcBorders>
                  <w:noWrap w:val="0"/>
                  <w:vAlign w:val="center"/>
                </w:tcPr>
                <w:p w14:paraId="69B473E2">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2.4</w:t>
                  </w:r>
                </w:p>
              </w:tc>
              <w:tc>
                <w:tcPr>
                  <w:tcW w:w="466" w:type="pct"/>
                  <w:tcBorders>
                    <w:tl2br w:val="nil"/>
                    <w:tr2bl w:val="nil"/>
                  </w:tcBorders>
                  <w:noWrap w:val="0"/>
                  <w:vAlign w:val="center"/>
                </w:tcPr>
                <w:p w14:paraId="7258FBF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0.473</w:t>
                  </w:r>
                </w:p>
              </w:tc>
              <w:tc>
                <w:tcPr>
                  <w:tcW w:w="334" w:type="pct"/>
                  <w:tcBorders>
                    <w:tl2br w:val="nil"/>
                    <w:tr2bl w:val="nil"/>
                  </w:tcBorders>
                  <w:noWrap w:val="0"/>
                  <w:vAlign w:val="center"/>
                </w:tcPr>
                <w:p w14:paraId="6E41C9CA">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5.75</w:t>
                  </w:r>
                </w:p>
              </w:tc>
              <w:tc>
                <w:tcPr>
                  <w:tcW w:w="400" w:type="pct"/>
                  <w:tcBorders>
                    <w:tl2br w:val="nil"/>
                    <w:tr2bl w:val="nil"/>
                  </w:tcBorders>
                  <w:noWrap w:val="0"/>
                  <w:vAlign w:val="center"/>
                </w:tcPr>
                <w:p w14:paraId="03E2FABD">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0.012</w:t>
                  </w:r>
                </w:p>
              </w:tc>
              <w:tc>
                <w:tcPr>
                  <w:tcW w:w="368" w:type="pct"/>
                  <w:tcBorders>
                    <w:tl2br w:val="nil"/>
                    <w:tr2bl w:val="nil"/>
                  </w:tcBorders>
                  <w:noWrap w:val="0"/>
                  <w:vAlign w:val="center"/>
                </w:tcPr>
                <w:p w14:paraId="6EAF1F16">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17</w:t>
                  </w:r>
                </w:p>
              </w:tc>
              <w:tc>
                <w:tcPr>
                  <w:tcW w:w="570" w:type="pct"/>
                  <w:tcBorders>
                    <w:tl2br w:val="nil"/>
                    <w:tr2bl w:val="nil"/>
                  </w:tcBorders>
                  <w:noWrap w:val="0"/>
                  <w:vAlign w:val="center"/>
                </w:tcPr>
                <w:p w14:paraId="66D7BBAE">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0.38</w:t>
                  </w:r>
                </w:p>
              </w:tc>
            </w:tr>
            <w:tr w14:paraId="1958EC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23" w:type="pct"/>
                  <w:vMerge w:val="restart"/>
                  <w:tcBorders>
                    <w:tl2br w:val="nil"/>
                    <w:tr2bl w:val="nil"/>
                  </w:tcBorders>
                  <w:noWrap w:val="0"/>
                  <w:vAlign w:val="center"/>
                </w:tcPr>
                <w:p w14:paraId="3B48304D">
                  <w:pPr>
                    <w:pStyle w:val="109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D9杨泗渡饮用水源取水口</w:t>
                  </w:r>
                </w:p>
              </w:tc>
              <w:tc>
                <w:tcPr>
                  <w:tcW w:w="637" w:type="pct"/>
                  <w:tcBorders>
                    <w:tl2br w:val="nil"/>
                    <w:tr2bl w:val="nil"/>
                  </w:tcBorders>
                  <w:noWrap w:val="0"/>
                  <w:vAlign w:val="center"/>
                </w:tcPr>
                <w:p w14:paraId="2FE26C1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2022.11.13</w:t>
                  </w:r>
                </w:p>
              </w:tc>
              <w:tc>
                <w:tcPr>
                  <w:tcW w:w="342" w:type="pct"/>
                  <w:tcBorders>
                    <w:tl2br w:val="nil"/>
                    <w:tr2bl w:val="nil"/>
                  </w:tcBorders>
                  <w:noWrap w:val="0"/>
                  <w:vAlign w:val="center"/>
                </w:tcPr>
                <w:p w14:paraId="3F525B0D">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7. 1</w:t>
                  </w:r>
                </w:p>
              </w:tc>
              <w:tc>
                <w:tcPr>
                  <w:tcW w:w="310" w:type="pct"/>
                  <w:tcBorders>
                    <w:tl2br w:val="nil"/>
                    <w:tr2bl w:val="nil"/>
                  </w:tcBorders>
                  <w:noWrap w:val="0"/>
                  <w:vAlign w:val="center"/>
                </w:tcPr>
                <w:p w14:paraId="49357832">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5.7</w:t>
                  </w:r>
                </w:p>
              </w:tc>
              <w:tc>
                <w:tcPr>
                  <w:tcW w:w="392" w:type="pct"/>
                  <w:tcBorders>
                    <w:tl2br w:val="nil"/>
                    <w:tr2bl w:val="nil"/>
                  </w:tcBorders>
                  <w:noWrap w:val="0"/>
                  <w:vAlign w:val="center"/>
                </w:tcPr>
                <w:p w14:paraId="101003F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14</w:t>
                  </w:r>
                </w:p>
              </w:tc>
              <w:tc>
                <w:tcPr>
                  <w:tcW w:w="449" w:type="pct"/>
                  <w:tcBorders>
                    <w:tl2br w:val="nil"/>
                    <w:tr2bl w:val="nil"/>
                  </w:tcBorders>
                  <w:noWrap w:val="0"/>
                  <w:vAlign w:val="center"/>
                </w:tcPr>
                <w:p w14:paraId="689BBF15">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2.2</w:t>
                  </w:r>
                </w:p>
              </w:tc>
              <w:tc>
                <w:tcPr>
                  <w:tcW w:w="466" w:type="pct"/>
                  <w:tcBorders>
                    <w:tl2br w:val="nil"/>
                    <w:tr2bl w:val="nil"/>
                  </w:tcBorders>
                  <w:noWrap w:val="0"/>
                  <w:vAlign w:val="center"/>
                </w:tcPr>
                <w:p w14:paraId="2E37B670">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0.543</w:t>
                  </w:r>
                </w:p>
              </w:tc>
              <w:tc>
                <w:tcPr>
                  <w:tcW w:w="334" w:type="pct"/>
                  <w:tcBorders>
                    <w:tl2br w:val="nil"/>
                    <w:tr2bl w:val="nil"/>
                  </w:tcBorders>
                  <w:noWrap w:val="0"/>
                  <w:vAlign w:val="center"/>
                </w:tcPr>
                <w:p w14:paraId="6E35D95E">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5.85</w:t>
                  </w:r>
                </w:p>
              </w:tc>
              <w:tc>
                <w:tcPr>
                  <w:tcW w:w="400" w:type="pct"/>
                  <w:tcBorders>
                    <w:tl2br w:val="nil"/>
                    <w:tr2bl w:val="nil"/>
                  </w:tcBorders>
                  <w:noWrap w:val="0"/>
                  <w:vAlign w:val="center"/>
                </w:tcPr>
                <w:p w14:paraId="4E3C619C">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0.010</w:t>
                  </w:r>
                </w:p>
              </w:tc>
              <w:tc>
                <w:tcPr>
                  <w:tcW w:w="368" w:type="pct"/>
                  <w:tcBorders>
                    <w:tl2br w:val="nil"/>
                    <w:tr2bl w:val="nil"/>
                  </w:tcBorders>
                  <w:noWrap w:val="0"/>
                  <w:vAlign w:val="center"/>
                </w:tcPr>
                <w:p w14:paraId="4B010CEF">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18</w:t>
                  </w:r>
                </w:p>
              </w:tc>
              <w:tc>
                <w:tcPr>
                  <w:tcW w:w="570" w:type="pct"/>
                  <w:tcBorders>
                    <w:tl2br w:val="nil"/>
                    <w:tr2bl w:val="nil"/>
                  </w:tcBorders>
                  <w:noWrap w:val="0"/>
                  <w:vAlign w:val="center"/>
                </w:tcPr>
                <w:p w14:paraId="589ADAC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0.42</w:t>
                  </w:r>
                </w:p>
              </w:tc>
            </w:tr>
            <w:tr w14:paraId="19C055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23" w:type="pct"/>
                  <w:vMerge w:val="continue"/>
                  <w:tcBorders>
                    <w:tl2br w:val="nil"/>
                    <w:tr2bl w:val="nil"/>
                  </w:tcBorders>
                  <w:noWrap w:val="0"/>
                  <w:vAlign w:val="center"/>
                </w:tcPr>
                <w:p w14:paraId="0141A60E">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p>
              </w:tc>
              <w:tc>
                <w:tcPr>
                  <w:tcW w:w="637" w:type="pct"/>
                  <w:tcBorders>
                    <w:tl2br w:val="nil"/>
                    <w:tr2bl w:val="nil"/>
                  </w:tcBorders>
                  <w:noWrap w:val="0"/>
                  <w:vAlign w:val="center"/>
                </w:tcPr>
                <w:p w14:paraId="6DF2A047">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2022.11.14</w:t>
                  </w:r>
                </w:p>
              </w:tc>
              <w:tc>
                <w:tcPr>
                  <w:tcW w:w="342" w:type="pct"/>
                  <w:tcBorders>
                    <w:tl2br w:val="nil"/>
                    <w:tr2bl w:val="nil"/>
                  </w:tcBorders>
                  <w:noWrap w:val="0"/>
                  <w:vAlign w:val="center"/>
                </w:tcPr>
                <w:p w14:paraId="28D191EA">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7.3</w:t>
                  </w:r>
                </w:p>
              </w:tc>
              <w:tc>
                <w:tcPr>
                  <w:tcW w:w="310" w:type="pct"/>
                  <w:tcBorders>
                    <w:tl2br w:val="nil"/>
                    <w:tr2bl w:val="nil"/>
                  </w:tcBorders>
                  <w:noWrap w:val="0"/>
                  <w:vAlign w:val="center"/>
                </w:tcPr>
                <w:p w14:paraId="4E79C5D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6.5</w:t>
                  </w:r>
                </w:p>
              </w:tc>
              <w:tc>
                <w:tcPr>
                  <w:tcW w:w="392" w:type="pct"/>
                  <w:tcBorders>
                    <w:tl2br w:val="nil"/>
                    <w:tr2bl w:val="nil"/>
                  </w:tcBorders>
                  <w:noWrap w:val="0"/>
                  <w:vAlign w:val="center"/>
                </w:tcPr>
                <w:p w14:paraId="6C86CB7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15</w:t>
                  </w:r>
                </w:p>
              </w:tc>
              <w:tc>
                <w:tcPr>
                  <w:tcW w:w="449" w:type="pct"/>
                  <w:tcBorders>
                    <w:tl2br w:val="nil"/>
                    <w:tr2bl w:val="nil"/>
                  </w:tcBorders>
                  <w:noWrap w:val="0"/>
                  <w:vAlign w:val="center"/>
                </w:tcPr>
                <w:p w14:paraId="22D45A1E">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2.7</w:t>
                  </w:r>
                </w:p>
              </w:tc>
              <w:tc>
                <w:tcPr>
                  <w:tcW w:w="466" w:type="pct"/>
                  <w:tcBorders>
                    <w:tl2br w:val="nil"/>
                    <w:tr2bl w:val="nil"/>
                  </w:tcBorders>
                  <w:noWrap w:val="0"/>
                  <w:vAlign w:val="center"/>
                </w:tcPr>
                <w:p w14:paraId="13988C16">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0.603</w:t>
                  </w:r>
                </w:p>
              </w:tc>
              <w:tc>
                <w:tcPr>
                  <w:tcW w:w="334" w:type="pct"/>
                  <w:tcBorders>
                    <w:tl2br w:val="nil"/>
                    <w:tr2bl w:val="nil"/>
                  </w:tcBorders>
                  <w:noWrap w:val="0"/>
                  <w:vAlign w:val="center"/>
                </w:tcPr>
                <w:p w14:paraId="7BEA9D94">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5.87</w:t>
                  </w:r>
                </w:p>
              </w:tc>
              <w:tc>
                <w:tcPr>
                  <w:tcW w:w="400" w:type="pct"/>
                  <w:tcBorders>
                    <w:tl2br w:val="nil"/>
                    <w:tr2bl w:val="nil"/>
                  </w:tcBorders>
                  <w:noWrap w:val="0"/>
                  <w:vAlign w:val="center"/>
                </w:tcPr>
                <w:p w14:paraId="27DC67F9">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0.012</w:t>
                  </w:r>
                </w:p>
              </w:tc>
              <w:tc>
                <w:tcPr>
                  <w:tcW w:w="368" w:type="pct"/>
                  <w:tcBorders>
                    <w:tl2br w:val="nil"/>
                    <w:tr2bl w:val="nil"/>
                  </w:tcBorders>
                  <w:noWrap w:val="0"/>
                  <w:vAlign w:val="center"/>
                </w:tcPr>
                <w:p w14:paraId="0866BF09">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19</w:t>
                  </w:r>
                </w:p>
              </w:tc>
              <w:tc>
                <w:tcPr>
                  <w:tcW w:w="570" w:type="pct"/>
                  <w:tcBorders>
                    <w:tl2br w:val="nil"/>
                    <w:tr2bl w:val="nil"/>
                  </w:tcBorders>
                  <w:noWrap w:val="0"/>
                  <w:vAlign w:val="center"/>
                </w:tcPr>
                <w:p w14:paraId="6FF96334">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0.42</w:t>
                  </w:r>
                </w:p>
              </w:tc>
            </w:tr>
            <w:tr w14:paraId="765014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23" w:type="pct"/>
                  <w:vMerge w:val="continue"/>
                  <w:tcBorders>
                    <w:tl2br w:val="nil"/>
                    <w:tr2bl w:val="nil"/>
                  </w:tcBorders>
                  <w:noWrap w:val="0"/>
                  <w:vAlign w:val="center"/>
                </w:tcPr>
                <w:p w14:paraId="3FA9DD36">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p>
              </w:tc>
              <w:tc>
                <w:tcPr>
                  <w:tcW w:w="637" w:type="pct"/>
                  <w:tcBorders>
                    <w:tl2br w:val="nil"/>
                    <w:tr2bl w:val="nil"/>
                  </w:tcBorders>
                  <w:noWrap w:val="0"/>
                  <w:vAlign w:val="center"/>
                </w:tcPr>
                <w:p w14:paraId="13AB473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2022.11.15</w:t>
                  </w:r>
                </w:p>
              </w:tc>
              <w:tc>
                <w:tcPr>
                  <w:tcW w:w="342" w:type="pct"/>
                  <w:tcBorders>
                    <w:tl2br w:val="nil"/>
                    <w:tr2bl w:val="nil"/>
                  </w:tcBorders>
                  <w:noWrap w:val="0"/>
                  <w:vAlign w:val="center"/>
                </w:tcPr>
                <w:p w14:paraId="5EA43B0C">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7.4</w:t>
                  </w:r>
                </w:p>
              </w:tc>
              <w:tc>
                <w:tcPr>
                  <w:tcW w:w="310" w:type="pct"/>
                  <w:tcBorders>
                    <w:tl2br w:val="nil"/>
                    <w:tr2bl w:val="nil"/>
                  </w:tcBorders>
                  <w:noWrap w:val="0"/>
                  <w:vAlign w:val="center"/>
                </w:tcPr>
                <w:p w14:paraId="199CFD9F">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5.3</w:t>
                  </w:r>
                </w:p>
              </w:tc>
              <w:tc>
                <w:tcPr>
                  <w:tcW w:w="392" w:type="pct"/>
                  <w:tcBorders>
                    <w:tl2br w:val="nil"/>
                    <w:tr2bl w:val="nil"/>
                  </w:tcBorders>
                  <w:noWrap w:val="0"/>
                  <w:vAlign w:val="center"/>
                </w:tcPr>
                <w:p w14:paraId="139CB222">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14</w:t>
                  </w:r>
                </w:p>
              </w:tc>
              <w:tc>
                <w:tcPr>
                  <w:tcW w:w="449" w:type="pct"/>
                  <w:tcBorders>
                    <w:tl2br w:val="nil"/>
                    <w:tr2bl w:val="nil"/>
                  </w:tcBorders>
                  <w:noWrap w:val="0"/>
                  <w:vAlign w:val="center"/>
                </w:tcPr>
                <w:p w14:paraId="219C3EE9">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2. 1</w:t>
                  </w:r>
                </w:p>
              </w:tc>
              <w:tc>
                <w:tcPr>
                  <w:tcW w:w="466" w:type="pct"/>
                  <w:tcBorders>
                    <w:tl2br w:val="nil"/>
                    <w:tr2bl w:val="nil"/>
                  </w:tcBorders>
                  <w:noWrap w:val="0"/>
                  <w:vAlign w:val="center"/>
                </w:tcPr>
                <w:p w14:paraId="74C96608">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0.592</w:t>
                  </w:r>
                </w:p>
              </w:tc>
              <w:tc>
                <w:tcPr>
                  <w:tcW w:w="334" w:type="pct"/>
                  <w:tcBorders>
                    <w:tl2br w:val="nil"/>
                    <w:tr2bl w:val="nil"/>
                  </w:tcBorders>
                  <w:noWrap w:val="0"/>
                  <w:vAlign w:val="center"/>
                </w:tcPr>
                <w:p w14:paraId="6FA37356">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5.49</w:t>
                  </w:r>
                </w:p>
              </w:tc>
              <w:tc>
                <w:tcPr>
                  <w:tcW w:w="400" w:type="pct"/>
                  <w:tcBorders>
                    <w:tl2br w:val="nil"/>
                    <w:tr2bl w:val="nil"/>
                  </w:tcBorders>
                  <w:noWrap w:val="0"/>
                  <w:vAlign w:val="center"/>
                </w:tcPr>
                <w:p w14:paraId="7EDF9D26">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0.011</w:t>
                  </w:r>
                </w:p>
              </w:tc>
              <w:tc>
                <w:tcPr>
                  <w:tcW w:w="368" w:type="pct"/>
                  <w:tcBorders>
                    <w:tl2br w:val="nil"/>
                    <w:tr2bl w:val="nil"/>
                  </w:tcBorders>
                  <w:noWrap w:val="0"/>
                  <w:vAlign w:val="center"/>
                </w:tcPr>
                <w:p w14:paraId="70705088">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22</w:t>
                  </w:r>
                </w:p>
              </w:tc>
              <w:tc>
                <w:tcPr>
                  <w:tcW w:w="570" w:type="pct"/>
                  <w:tcBorders>
                    <w:tl2br w:val="nil"/>
                    <w:tr2bl w:val="nil"/>
                  </w:tcBorders>
                  <w:noWrap w:val="0"/>
                  <w:vAlign w:val="center"/>
                </w:tcPr>
                <w:p w14:paraId="55DAED29">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0"/>
                      <w:sz w:val="21"/>
                      <w:szCs w:val="21"/>
                    </w:rPr>
                  </w:pPr>
                  <w:r>
                    <w:rPr>
                      <w:rFonts w:hint="default" w:ascii="Times New Roman" w:hAnsi="Times New Roman" w:eastAsia="宋体" w:cs="Times New Roman"/>
                      <w:color w:val="auto"/>
                      <w:spacing w:val="0"/>
                      <w:sz w:val="21"/>
                      <w:szCs w:val="21"/>
                    </w:rPr>
                    <w:t>0.43</w:t>
                  </w:r>
                </w:p>
              </w:tc>
            </w:tr>
          </w:tbl>
          <w:p w14:paraId="5A0072A7">
            <w:pPr>
              <w:keepNext w:val="0"/>
              <w:keepLines w:val="0"/>
              <w:pageBreakBefore w:val="0"/>
              <w:widowControl/>
              <w:tabs>
                <w:tab w:val="left" w:pos="1418"/>
              </w:tabs>
              <w:kinsoku/>
              <w:wordWrap/>
              <w:overflowPunct/>
              <w:topLinePunct w:val="0"/>
              <w:autoSpaceDE/>
              <w:autoSpaceDN/>
              <w:bidi w:val="0"/>
              <w:adjustRightInd/>
              <w:snapToGrid/>
              <w:spacing w:line="360" w:lineRule="auto"/>
              <w:ind w:firstLine="480" w:firstLineChars="200"/>
              <w:jc w:val="left"/>
              <w:textAlignment w:val="auto"/>
              <w:rPr>
                <w:color w:val="auto"/>
                <w:kern w:val="0"/>
                <w:sz w:val="24"/>
                <w:szCs w:val="20"/>
                <w:highlight w:val="none"/>
              </w:rPr>
            </w:pPr>
            <w:r>
              <w:rPr>
                <w:rFonts w:ascii="Times New Roman" w:hAnsi="Times New Roman" w:eastAsia="宋体" w:cs="Times New Roman"/>
                <w:color w:val="auto"/>
                <w:kern w:val="0"/>
                <w:sz w:val="24"/>
              </w:rPr>
              <w:t>由监测结果可以看出，该评价水域</w:t>
            </w:r>
            <w:r>
              <w:rPr>
                <w:rFonts w:hint="eastAsia" w:ascii="Times New Roman" w:hAnsi="Times New Roman" w:eastAsia="宋体" w:cs="Times New Roman"/>
                <w:color w:val="auto"/>
                <w:kern w:val="0"/>
                <w:sz w:val="24"/>
                <w:lang w:eastAsia="zh-CN"/>
              </w:rPr>
              <w:t>裘公河</w:t>
            </w:r>
            <w:r>
              <w:rPr>
                <w:rFonts w:ascii="Times New Roman" w:hAnsi="Times New Roman" w:eastAsia="宋体" w:cs="Times New Roman"/>
                <w:color w:val="auto"/>
                <w:kern w:val="0"/>
                <w:sz w:val="24"/>
              </w:rPr>
              <w:t>各监测断面水质满足《地表水环境质量标准》（GB3838-2002）中Ⅲ类水质标准</w:t>
            </w:r>
            <w:r>
              <w:rPr>
                <w:rFonts w:ascii="Times New Roman" w:hAnsi="Times New Roman" w:eastAsia="宋体" w:cs="Times New Roman"/>
                <w:color w:val="auto"/>
                <w:sz w:val="24"/>
              </w:rPr>
              <w:t>，区域地表水水质状况良好。</w:t>
            </w:r>
          </w:p>
          <w:p w14:paraId="6B3DCEE4">
            <w:pPr>
              <w:widowControl/>
              <w:tabs>
                <w:tab w:val="left" w:pos="1418"/>
              </w:tabs>
              <w:spacing w:line="360" w:lineRule="auto"/>
              <w:ind w:firstLine="602" w:firstLineChars="250"/>
              <w:jc w:val="left"/>
              <w:rPr>
                <w:rFonts w:hint="default" w:ascii="Times New Roman" w:hAnsi="Times New Roman" w:cs="Times New Roman"/>
                <w:b/>
                <w:bCs/>
                <w:color w:val="auto"/>
                <w:sz w:val="24"/>
              </w:rPr>
            </w:pPr>
            <w:r>
              <w:rPr>
                <w:rFonts w:hint="default" w:ascii="Times New Roman" w:hAnsi="Times New Roman" w:cs="Times New Roman"/>
                <w:b/>
                <w:bCs/>
                <w:color w:val="auto"/>
                <w:sz w:val="24"/>
              </w:rPr>
              <w:t>3、区域声环境状况</w:t>
            </w:r>
          </w:p>
          <w:p w14:paraId="7395405B">
            <w:pPr>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根据《建设项目环境影响报告表编制技术指南（污染影响类）（试行）》中</w:t>
            </w:r>
            <w:r>
              <w:rPr>
                <w:rFonts w:hint="default" w:ascii="Times New Roman" w:hAnsi="Times New Roman" w:cs="Times New Roman" w:eastAsiaTheme="minorEastAsia"/>
                <w:bCs/>
                <w:color w:val="auto"/>
                <w:sz w:val="24"/>
              </w:rPr>
              <w:t>“</w:t>
            </w:r>
            <w:r>
              <w:rPr>
                <w:rFonts w:hint="default" w:ascii="Times New Roman" w:hAnsi="Times New Roman" w:cs="Times New Roman"/>
                <w:bCs/>
                <w:color w:val="auto"/>
                <w:sz w:val="24"/>
              </w:rPr>
              <w:t>区域环境质量</w:t>
            </w:r>
            <w:r>
              <w:rPr>
                <w:rFonts w:hint="default" w:ascii="Times New Roman" w:hAnsi="Times New Roman" w:cs="Times New Roman" w:eastAsiaTheme="minorEastAsia"/>
                <w:bCs/>
                <w:color w:val="auto"/>
                <w:sz w:val="24"/>
              </w:rPr>
              <w:t>”</w:t>
            </w:r>
            <w:r>
              <w:rPr>
                <w:rFonts w:hint="default" w:ascii="Times New Roman" w:hAnsi="Times New Roman" w:cs="Times New Roman"/>
                <w:bCs/>
                <w:color w:val="auto"/>
                <w:sz w:val="24"/>
              </w:rPr>
              <w:t>的</w:t>
            </w:r>
            <w:r>
              <w:rPr>
                <w:rFonts w:hint="default" w:ascii="Times New Roman" w:hAnsi="Times New Roman" w:cs="Times New Roman" w:eastAsiaTheme="minorEastAsia"/>
                <w:bCs/>
                <w:color w:val="auto"/>
                <w:sz w:val="24"/>
              </w:rPr>
              <w:t>“</w:t>
            </w:r>
            <w:r>
              <w:rPr>
                <w:rFonts w:hint="default" w:ascii="Times New Roman" w:hAnsi="Times New Roman" w:cs="Times New Roman"/>
                <w:bCs/>
                <w:color w:val="auto"/>
                <w:sz w:val="24"/>
              </w:rPr>
              <w:t>3、声环境厂界外周边50米范围内存在声环境保护目标的建设项目，应监测保护目标声环境质量现状并评价达标情况。各点位应监测昼夜间噪声，监测时间不少于1天，项目夜间不生产则仅监测昼间噪声</w:t>
            </w:r>
            <w:r>
              <w:rPr>
                <w:rFonts w:hint="default" w:ascii="Times New Roman" w:hAnsi="Times New Roman" w:cs="Times New Roman" w:eastAsiaTheme="minorEastAsia"/>
                <w:bCs/>
                <w:color w:val="auto"/>
                <w:sz w:val="24"/>
              </w:rPr>
              <w:t>”</w:t>
            </w:r>
            <w:r>
              <w:rPr>
                <w:rFonts w:hint="default" w:ascii="Times New Roman" w:hAnsi="Times New Roman" w:cs="Times New Roman"/>
                <w:bCs/>
                <w:color w:val="auto"/>
                <w:sz w:val="24"/>
              </w:rPr>
              <w:t>。</w:t>
            </w:r>
          </w:p>
          <w:p w14:paraId="50943B45">
            <w:pPr>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本项目厂界外周边50米范围内不存在声环境保护目标，故无需进行声现状监测。</w:t>
            </w:r>
          </w:p>
          <w:p w14:paraId="2461EB2C">
            <w:pPr>
              <w:autoSpaceDE w:val="0"/>
              <w:spacing w:line="360" w:lineRule="auto"/>
              <w:ind w:firstLine="482" w:firstLineChars="200"/>
              <w:rPr>
                <w:rFonts w:hint="default" w:ascii="Times New Roman" w:hAnsi="Times New Roman" w:eastAsia="宋体" w:cs="Times New Roman"/>
                <w:b/>
                <w:color w:val="auto"/>
                <w:kern w:val="1"/>
                <w:sz w:val="24"/>
                <w:szCs w:val="24"/>
              </w:rPr>
            </w:pPr>
            <w:r>
              <w:rPr>
                <w:rFonts w:hint="default" w:ascii="Times New Roman" w:hAnsi="Times New Roman" w:cs="Times New Roman"/>
                <w:b/>
                <w:color w:val="auto"/>
                <w:kern w:val="1"/>
                <w:sz w:val="24"/>
                <w:szCs w:val="24"/>
                <w:lang w:val="en-US" w:eastAsia="zh-CN"/>
              </w:rPr>
              <w:t>4、</w:t>
            </w:r>
            <w:r>
              <w:rPr>
                <w:rFonts w:hint="default" w:ascii="Times New Roman" w:hAnsi="Times New Roman" w:eastAsia="宋体" w:cs="Times New Roman"/>
                <w:b/>
                <w:color w:val="auto"/>
                <w:kern w:val="1"/>
                <w:sz w:val="24"/>
                <w:szCs w:val="24"/>
              </w:rPr>
              <w:t>地下水环境质量现状</w:t>
            </w:r>
          </w:p>
          <w:p w14:paraId="1AE317FF">
            <w:pPr>
              <w:autoSpaceDE w:val="0"/>
              <w:spacing w:line="360" w:lineRule="auto"/>
              <w:ind w:firstLine="480" w:firstLineChars="200"/>
              <w:rPr>
                <w:rFonts w:hint="default" w:ascii="Times New Roman" w:hAnsi="Times New Roman" w:eastAsia="宋体" w:cs="Times New Roman"/>
                <w:bCs/>
                <w:color w:val="auto"/>
                <w:kern w:val="1"/>
                <w:sz w:val="24"/>
                <w:szCs w:val="24"/>
              </w:rPr>
            </w:pPr>
            <w:r>
              <w:rPr>
                <w:rFonts w:hint="default" w:ascii="Times New Roman" w:hAnsi="Times New Roman" w:cs="Times New Roman"/>
                <w:bCs/>
                <w:color w:val="auto"/>
                <w:kern w:val="1"/>
                <w:sz w:val="24"/>
                <w:szCs w:val="24"/>
              </w:rPr>
              <w:t>本次环评不涉及地下水现状调查。</w:t>
            </w:r>
          </w:p>
          <w:p w14:paraId="5C7F1212">
            <w:pPr>
              <w:autoSpaceDE w:val="0"/>
              <w:spacing w:line="360" w:lineRule="auto"/>
              <w:ind w:firstLine="482" w:firstLineChars="200"/>
              <w:rPr>
                <w:rFonts w:hint="default" w:ascii="Times New Roman" w:hAnsi="Times New Roman" w:eastAsia="宋体" w:cs="Times New Roman"/>
                <w:b/>
                <w:color w:val="auto"/>
                <w:kern w:val="1"/>
                <w:sz w:val="24"/>
                <w:szCs w:val="24"/>
              </w:rPr>
            </w:pPr>
            <w:r>
              <w:rPr>
                <w:rFonts w:hint="default" w:ascii="Times New Roman" w:hAnsi="Times New Roman" w:cs="Times New Roman"/>
                <w:b/>
                <w:color w:val="auto"/>
                <w:kern w:val="1"/>
                <w:sz w:val="24"/>
                <w:szCs w:val="24"/>
                <w:lang w:val="en-US" w:eastAsia="zh-CN"/>
              </w:rPr>
              <w:t>5、</w:t>
            </w:r>
            <w:r>
              <w:rPr>
                <w:rFonts w:hint="default" w:ascii="Times New Roman" w:hAnsi="Times New Roman" w:eastAsia="宋体" w:cs="Times New Roman"/>
                <w:b/>
                <w:color w:val="auto"/>
                <w:kern w:val="1"/>
                <w:sz w:val="24"/>
                <w:szCs w:val="24"/>
              </w:rPr>
              <w:t>土壤环境质量现状</w:t>
            </w:r>
          </w:p>
          <w:p w14:paraId="2D8FFA3D">
            <w:pPr>
              <w:autoSpaceDE w:val="0"/>
              <w:spacing w:line="360" w:lineRule="auto"/>
              <w:ind w:firstLine="480" w:firstLineChars="200"/>
              <w:rPr>
                <w:rFonts w:hint="default" w:ascii="Times New Roman" w:hAnsi="Times New Roman" w:eastAsia="宋体" w:cs="Times New Roman"/>
                <w:bCs/>
                <w:color w:val="auto"/>
                <w:kern w:val="1"/>
                <w:sz w:val="24"/>
                <w:szCs w:val="24"/>
              </w:rPr>
            </w:pPr>
            <w:r>
              <w:rPr>
                <w:rFonts w:hint="default" w:ascii="Times New Roman" w:hAnsi="Times New Roman" w:cs="Times New Roman"/>
                <w:b w:val="0"/>
                <w:bCs/>
                <w:color w:val="auto"/>
                <w:kern w:val="1"/>
                <w:sz w:val="24"/>
                <w:szCs w:val="24"/>
              </w:rPr>
              <w:t>本次环评不涉及土壤现状调查。</w:t>
            </w:r>
          </w:p>
          <w:p w14:paraId="4529B643">
            <w:pPr>
              <w:autoSpaceDE w:val="0"/>
              <w:spacing w:line="360" w:lineRule="auto"/>
              <w:ind w:firstLine="482" w:firstLineChars="200"/>
              <w:rPr>
                <w:rFonts w:hint="default" w:ascii="Times New Roman" w:hAnsi="Times New Roman" w:eastAsia="宋体" w:cs="Times New Roman"/>
                <w:bCs/>
                <w:color w:val="auto"/>
                <w:kern w:val="1"/>
                <w:sz w:val="24"/>
                <w:szCs w:val="24"/>
              </w:rPr>
            </w:pPr>
            <w:r>
              <w:rPr>
                <w:rFonts w:hint="default" w:ascii="Times New Roman" w:hAnsi="Times New Roman" w:cs="Times New Roman"/>
                <w:b/>
                <w:color w:val="auto"/>
                <w:kern w:val="1"/>
                <w:sz w:val="24"/>
                <w:szCs w:val="24"/>
                <w:lang w:val="en-US" w:eastAsia="zh-CN"/>
              </w:rPr>
              <w:t>6、</w:t>
            </w:r>
            <w:r>
              <w:rPr>
                <w:rFonts w:hint="default" w:ascii="Times New Roman" w:hAnsi="Times New Roman" w:eastAsia="宋体" w:cs="Times New Roman"/>
                <w:b/>
                <w:color w:val="auto"/>
                <w:kern w:val="1"/>
                <w:sz w:val="24"/>
                <w:szCs w:val="24"/>
              </w:rPr>
              <w:t>生态环境质量现状</w:t>
            </w:r>
          </w:p>
          <w:p w14:paraId="60A0A49A">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color w:val="auto"/>
                <w:sz w:val="24"/>
              </w:rPr>
            </w:pPr>
            <w:r>
              <w:rPr>
                <w:color w:val="auto"/>
                <w:sz w:val="24"/>
              </w:rPr>
              <w:t>项目属于工业用地内，用地范围内不含生态环境保护目标，不涉及生态环境影响，故不需进行生态现状调查。</w:t>
            </w:r>
          </w:p>
          <w:p w14:paraId="1611C8FC">
            <w:pPr>
              <w:autoSpaceDE w:val="0"/>
              <w:spacing w:line="360" w:lineRule="auto"/>
              <w:ind w:firstLine="482" w:firstLineChars="200"/>
              <w:rPr>
                <w:rFonts w:hint="default" w:ascii="Times New Roman" w:hAnsi="Times New Roman" w:eastAsia="宋体" w:cs="Times New Roman"/>
                <w:bCs/>
                <w:color w:val="auto"/>
                <w:kern w:val="1"/>
                <w:sz w:val="24"/>
                <w:szCs w:val="24"/>
              </w:rPr>
            </w:pPr>
            <w:r>
              <w:rPr>
                <w:rFonts w:hint="default" w:ascii="Times New Roman" w:hAnsi="Times New Roman" w:cs="Times New Roman"/>
                <w:b/>
                <w:color w:val="auto"/>
                <w:kern w:val="1"/>
                <w:sz w:val="24"/>
                <w:szCs w:val="24"/>
                <w:lang w:val="en-US" w:eastAsia="zh-CN"/>
              </w:rPr>
              <w:t>7、</w:t>
            </w:r>
            <w:r>
              <w:rPr>
                <w:rFonts w:hint="default" w:ascii="Times New Roman" w:hAnsi="Times New Roman" w:eastAsia="宋体" w:cs="Times New Roman"/>
                <w:b/>
                <w:color w:val="auto"/>
                <w:kern w:val="1"/>
                <w:sz w:val="24"/>
                <w:szCs w:val="24"/>
              </w:rPr>
              <w:t>电磁辐射环境质量现状</w:t>
            </w:r>
          </w:p>
          <w:p w14:paraId="5D78AFE8">
            <w:pPr>
              <w:spacing w:line="360" w:lineRule="auto"/>
              <w:ind w:firstLine="480" w:firstLineChars="200"/>
              <w:rPr>
                <w:rFonts w:hint="default" w:ascii="Times New Roman" w:hAnsi="Times New Roman" w:cs="Times New Roman"/>
                <w:color w:val="auto"/>
              </w:rPr>
            </w:pPr>
            <w:r>
              <w:rPr>
                <w:rFonts w:hint="eastAsia" w:ascii="Times New Roman" w:hAnsi="Times New Roman" w:eastAsia="宋体" w:cs="Times New Roman"/>
                <w:bCs/>
                <w:color w:val="auto"/>
                <w:sz w:val="24"/>
                <w:lang w:val="en-US" w:eastAsia="zh-CN"/>
              </w:rPr>
              <w:t>本项目不属于广播电台、差转台、电视塔台、卫星地球上行站、雷达等电磁辐射类项目，无需对电磁辐射现状开展监测与评价。</w:t>
            </w:r>
          </w:p>
        </w:tc>
      </w:tr>
      <w:tr w14:paraId="34DB36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33" w:type="dxa"/>
            <w:vAlign w:val="center"/>
          </w:tcPr>
          <w:p w14:paraId="08A0B35B">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环境</w:t>
            </w:r>
          </w:p>
          <w:p w14:paraId="4DC84B36">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保护</w:t>
            </w:r>
          </w:p>
          <w:p w14:paraId="1F2179CD">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目标</w:t>
            </w:r>
          </w:p>
        </w:tc>
        <w:tc>
          <w:tcPr>
            <w:tcW w:w="8526" w:type="dxa"/>
            <w:vAlign w:val="center"/>
          </w:tcPr>
          <w:p w14:paraId="5C05C0BF">
            <w:pPr>
              <w:pStyle w:val="3"/>
              <w:keepNext w:val="0"/>
              <w:keepLines w:val="0"/>
              <w:numPr>
                <w:ilvl w:val="0"/>
                <w:numId w:val="8"/>
              </w:numPr>
              <w:spacing w:before="120" w:after="0" w:line="360" w:lineRule="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大气环境</w:t>
            </w:r>
          </w:p>
          <w:p w14:paraId="335E9AA4">
            <w:pPr>
              <w:pStyle w:val="10"/>
              <w:spacing w:after="0" w:line="360" w:lineRule="auto"/>
              <w:ind w:left="0" w:leftChars="0" w:firstLine="480" w:firstLineChars="200"/>
              <w:jc w:val="left"/>
              <w:rPr>
                <w:rFonts w:hint="default" w:ascii="Times New Roman" w:hAnsi="Times New Roman" w:cs="Times New Roman"/>
                <w:color w:val="auto"/>
              </w:rPr>
            </w:pPr>
            <w:r>
              <w:rPr>
                <w:rFonts w:hint="default" w:ascii="Times New Roman" w:hAnsi="Times New Roman" w:cs="Times New Roman"/>
                <w:color w:val="auto"/>
                <w:szCs w:val="24"/>
              </w:rPr>
              <w:t>本项目位于</w:t>
            </w:r>
            <w:r>
              <w:rPr>
                <w:rFonts w:hint="eastAsia" w:cs="Times New Roman"/>
                <w:color w:val="auto"/>
                <w:szCs w:val="24"/>
                <w:lang w:eastAsia="zh-CN"/>
              </w:rPr>
              <w:t>芜湖市湾沚区安</w:t>
            </w:r>
            <w:r>
              <w:rPr>
                <w:rFonts w:hint="eastAsia" w:ascii="Times New Roman" w:hAnsi="Times New Roman" w:eastAsia="宋体" w:cs="Times New Roman"/>
                <w:color w:val="auto"/>
                <w:szCs w:val="24"/>
                <w:lang w:eastAsia="zh-CN"/>
              </w:rPr>
              <w:t>徽新芜经济开发区西支六路222号</w:t>
            </w:r>
            <w:r>
              <w:rPr>
                <w:rFonts w:hint="default" w:ascii="Times New Roman" w:hAnsi="Times New Roman" w:eastAsia="宋体" w:cs="Times New Roman"/>
                <w:color w:val="auto"/>
                <w:szCs w:val="24"/>
                <w:lang w:eastAsia="zh-CN"/>
              </w:rPr>
              <w:t>，</w:t>
            </w:r>
            <w:r>
              <w:rPr>
                <w:rFonts w:hint="default" w:ascii="Times New Roman" w:hAnsi="Times New Roman" w:cs="Times New Roman"/>
                <w:color w:val="auto"/>
                <w:szCs w:val="24"/>
              </w:rPr>
              <w:t>项目厂区四周均为工业企业和市政道路，厂界外500米范围内无自然保护区、风景名胜区、文化区、居住区保护目标。</w:t>
            </w:r>
          </w:p>
          <w:p w14:paraId="38A6C872">
            <w:pPr>
              <w:pStyle w:val="3"/>
              <w:keepNext w:val="0"/>
              <w:keepLines w:val="0"/>
              <w:numPr>
                <w:ilvl w:val="0"/>
                <w:numId w:val="9"/>
              </w:numPr>
              <w:spacing w:before="120" w:after="0" w:line="360" w:lineRule="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声环境</w:t>
            </w:r>
          </w:p>
          <w:p w14:paraId="361B378E">
            <w:pPr>
              <w:snapToGrid w:val="0"/>
              <w:spacing w:line="360" w:lineRule="auto"/>
              <w:ind w:firstLine="480" w:firstLineChars="200"/>
              <w:rPr>
                <w:rFonts w:hint="default" w:ascii="Times New Roman" w:hAnsi="Times New Roman" w:cs="Times New Roman"/>
                <w:b/>
                <w:color w:val="auto"/>
                <w:sz w:val="24"/>
              </w:rPr>
            </w:pPr>
            <w:r>
              <w:rPr>
                <w:rFonts w:hint="default" w:ascii="Times New Roman" w:hAnsi="Times New Roman" w:cs="Times New Roman"/>
                <w:color w:val="auto"/>
                <w:sz w:val="24"/>
              </w:rPr>
              <w:t>项目厂界外50m范围内无环境保护目标。</w:t>
            </w:r>
          </w:p>
          <w:p w14:paraId="1BD1A5B1">
            <w:pPr>
              <w:pStyle w:val="3"/>
              <w:keepNext w:val="0"/>
              <w:keepLines w:val="0"/>
              <w:numPr>
                <w:ilvl w:val="0"/>
                <w:numId w:val="9"/>
              </w:numPr>
              <w:spacing w:before="120" w:after="0" w:line="360" w:lineRule="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地下水环境</w:t>
            </w:r>
          </w:p>
          <w:p w14:paraId="52D580E6">
            <w:pPr>
              <w:spacing w:line="360" w:lineRule="auto"/>
              <w:ind w:firstLine="472"/>
              <w:rPr>
                <w:rFonts w:hint="default" w:ascii="Times New Roman" w:hAnsi="Times New Roman" w:cs="Times New Roman"/>
                <w:color w:val="auto"/>
                <w:sz w:val="24"/>
              </w:rPr>
            </w:pPr>
            <w:r>
              <w:rPr>
                <w:rFonts w:hint="default" w:ascii="Times New Roman" w:hAnsi="Times New Roman" w:cs="Times New Roman"/>
                <w:color w:val="auto"/>
                <w:sz w:val="24"/>
              </w:rPr>
              <w:t>项目厂界外500米范围内无地下水集中式饮用水水源和热水、矿泉水、温泉等特殊地下水资源，无地下水环境保护目标。</w:t>
            </w:r>
          </w:p>
          <w:p w14:paraId="0BF9287F">
            <w:pPr>
              <w:pStyle w:val="3"/>
              <w:keepNext w:val="0"/>
              <w:keepLines w:val="0"/>
              <w:numPr>
                <w:ilvl w:val="0"/>
                <w:numId w:val="9"/>
              </w:numPr>
              <w:spacing w:before="120" w:after="0" w:line="360" w:lineRule="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生态环境</w:t>
            </w:r>
          </w:p>
          <w:p w14:paraId="04E393AD">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本项目位于</w:t>
            </w:r>
            <w:r>
              <w:rPr>
                <w:rFonts w:hint="eastAsia" w:cs="Times New Roman"/>
                <w:color w:val="auto"/>
                <w:sz w:val="24"/>
                <w:lang w:eastAsia="zh-CN"/>
              </w:rPr>
              <w:t>芜湖市湾沚区安徽新芜经济开发区西支六路222号</w:t>
            </w:r>
            <w:r>
              <w:rPr>
                <w:rFonts w:hint="default" w:ascii="Times New Roman" w:hAnsi="Times New Roman" w:cs="Times New Roman"/>
                <w:color w:val="auto"/>
                <w:sz w:val="24"/>
              </w:rPr>
              <w:t>，属于开发区内建设用地，用地范围内不涉及生态环境保护目标。</w:t>
            </w:r>
          </w:p>
          <w:p w14:paraId="611F739F">
            <w:pPr>
              <w:keepNext w:val="0"/>
              <w:keepLines w:val="0"/>
              <w:pageBreakBefore w:val="0"/>
              <w:widowControl w:val="0"/>
              <w:kinsoku/>
              <w:wordWrap/>
              <w:overflowPunct/>
              <w:topLinePunct w:val="0"/>
              <w:autoSpaceDE/>
              <w:autoSpaceDN/>
              <w:bidi w:val="0"/>
              <w:adjustRightInd/>
              <w:snapToGrid/>
              <w:spacing w:beforeAutospacing="0"/>
              <w:jc w:val="center"/>
              <w:textAlignment w:val="auto"/>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表3-</w:t>
            </w:r>
            <w:r>
              <w:rPr>
                <w:rFonts w:hint="eastAsia" w:ascii="Times New Roman" w:hAnsi="Times New Roman" w:eastAsia="宋体" w:cs="Times New Roman"/>
                <w:b/>
                <w:color w:val="auto"/>
                <w:kern w:val="0"/>
                <w:sz w:val="24"/>
                <w:szCs w:val="24"/>
                <w:lang w:val="en-US" w:eastAsia="zh-CN" w:bidi="ar-SA"/>
              </w:rPr>
              <w:t>5</w:t>
            </w:r>
            <w:r>
              <w:rPr>
                <w:rFonts w:hint="default" w:ascii="Times New Roman" w:hAnsi="Times New Roman" w:eastAsia="宋体" w:cs="Times New Roman"/>
                <w:b/>
                <w:color w:val="auto"/>
                <w:kern w:val="0"/>
                <w:sz w:val="24"/>
                <w:szCs w:val="24"/>
                <w:lang w:val="en-US" w:eastAsia="zh-CN" w:bidi="ar-SA"/>
              </w:rPr>
              <w:t xml:space="preserve">  本项目主要环境保护目标一览表</w:t>
            </w:r>
          </w:p>
          <w:tbl>
            <w:tblPr>
              <w:tblStyle w:val="6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3"/>
              <w:gridCol w:w="1051"/>
              <w:gridCol w:w="660"/>
              <w:gridCol w:w="690"/>
              <w:gridCol w:w="825"/>
              <w:gridCol w:w="2698"/>
              <w:gridCol w:w="590"/>
              <w:gridCol w:w="852"/>
            </w:tblGrid>
            <w:tr w14:paraId="3AAE7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3" w:type="dxa"/>
                  <w:vMerge w:val="restart"/>
                  <w:tcBorders>
                    <w:top w:val="single" w:color="auto" w:sz="4" w:space="0"/>
                    <w:left w:val="single" w:color="auto" w:sz="4" w:space="0"/>
                    <w:right w:val="single" w:color="auto" w:sz="6" w:space="0"/>
                  </w:tcBorders>
                  <w:vAlign w:val="center"/>
                </w:tcPr>
                <w:p w14:paraId="5D02A388">
                  <w:pPr>
                    <w:adjustRightInd w:val="0"/>
                    <w:snapToGrid w:val="0"/>
                    <w:jc w:val="center"/>
                    <w:textAlignment w:val="baseline"/>
                    <w:rPr>
                      <w:rFonts w:hint="default" w:ascii="Times New Roman" w:hAnsi="Times New Roman" w:cs="Times New Roman"/>
                      <w:b/>
                      <w:bCs/>
                      <w:color w:val="auto"/>
                      <w:szCs w:val="21"/>
                    </w:rPr>
                  </w:pPr>
                  <w:r>
                    <w:rPr>
                      <w:rFonts w:hint="default" w:ascii="Times New Roman" w:hAnsi="Times New Roman" w:cs="Times New Roman"/>
                      <w:b/>
                      <w:bCs/>
                      <w:color w:val="auto"/>
                      <w:szCs w:val="21"/>
                    </w:rPr>
                    <w:t>环境</w:t>
                  </w:r>
                </w:p>
              </w:tc>
              <w:tc>
                <w:tcPr>
                  <w:tcW w:w="1051" w:type="dxa"/>
                  <w:vMerge w:val="restart"/>
                  <w:tcBorders>
                    <w:top w:val="single" w:color="auto" w:sz="4" w:space="0"/>
                    <w:left w:val="single" w:color="auto" w:sz="4" w:space="0"/>
                    <w:bottom w:val="single" w:color="auto" w:sz="4" w:space="0"/>
                    <w:right w:val="single" w:color="auto" w:sz="6" w:space="0"/>
                  </w:tcBorders>
                  <w:vAlign w:val="center"/>
                </w:tcPr>
                <w:p w14:paraId="5AA45B51">
                  <w:pPr>
                    <w:adjustRightInd w:val="0"/>
                    <w:snapToGrid w:val="0"/>
                    <w:jc w:val="center"/>
                    <w:textAlignment w:val="baseline"/>
                    <w:rPr>
                      <w:rFonts w:hint="default" w:ascii="Times New Roman" w:hAnsi="Times New Roman" w:cs="Times New Roman"/>
                      <w:b/>
                      <w:bCs/>
                      <w:color w:val="auto"/>
                      <w:szCs w:val="21"/>
                    </w:rPr>
                  </w:pPr>
                  <w:r>
                    <w:rPr>
                      <w:rFonts w:hint="default" w:ascii="Times New Roman" w:hAnsi="Times New Roman" w:cs="Times New Roman"/>
                      <w:b/>
                      <w:bCs/>
                      <w:color w:val="auto"/>
                      <w:szCs w:val="21"/>
                    </w:rPr>
                    <w:t>名称</w:t>
                  </w:r>
                </w:p>
              </w:tc>
              <w:tc>
                <w:tcPr>
                  <w:tcW w:w="1350" w:type="dxa"/>
                  <w:gridSpan w:val="2"/>
                  <w:tcBorders>
                    <w:top w:val="single" w:color="auto" w:sz="4" w:space="0"/>
                    <w:left w:val="nil"/>
                    <w:bottom w:val="single" w:color="auto" w:sz="6" w:space="0"/>
                    <w:right w:val="single" w:color="auto" w:sz="4" w:space="0"/>
                  </w:tcBorders>
                  <w:vAlign w:val="center"/>
                </w:tcPr>
                <w:p w14:paraId="570652EE">
                  <w:pPr>
                    <w:adjustRightInd w:val="0"/>
                    <w:snapToGrid w:val="0"/>
                    <w:jc w:val="center"/>
                    <w:textAlignment w:val="baseline"/>
                    <w:rPr>
                      <w:rFonts w:hint="default" w:ascii="Times New Roman" w:hAnsi="Times New Roman" w:cs="Times New Roman"/>
                      <w:b/>
                      <w:bCs/>
                      <w:color w:val="auto"/>
                      <w:szCs w:val="21"/>
                    </w:rPr>
                  </w:pPr>
                  <w:r>
                    <w:rPr>
                      <w:rFonts w:hint="default" w:ascii="Times New Roman" w:hAnsi="Times New Roman" w:cs="Times New Roman"/>
                      <w:b/>
                      <w:bCs/>
                      <w:color w:val="auto"/>
                      <w:szCs w:val="21"/>
                    </w:rPr>
                    <w:t>坐标/m</w:t>
                  </w:r>
                </w:p>
              </w:tc>
              <w:tc>
                <w:tcPr>
                  <w:tcW w:w="825" w:type="dxa"/>
                  <w:vMerge w:val="restart"/>
                  <w:tcBorders>
                    <w:top w:val="single" w:color="auto" w:sz="4" w:space="0"/>
                    <w:left w:val="nil"/>
                    <w:bottom w:val="single" w:color="auto" w:sz="4" w:space="0"/>
                    <w:right w:val="single" w:color="auto" w:sz="4" w:space="0"/>
                  </w:tcBorders>
                  <w:vAlign w:val="center"/>
                </w:tcPr>
                <w:p w14:paraId="68A8987E">
                  <w:pPr>
                    <w:adjustRightInd w:val="0"/>
                    <w:snapToGrid w:val="0"/>
                    <w:jc w:val="center"/>
                    <w:textAlignment w:val="baseline"/>
                    <w:rPr>
                      <w:rFonts w:hint="default" w:ascii="Times New Roman" w:hAnsi="Times New Roman" w:cs="Times New Roman"/>
                      <w:b/>
                      <w:bCs/>
                      <w:color w:val="auto"/>
                      <w:szCs w:val="21"/>
                    </w:rPr>
                  </w:pPr>
                  <w:r>
                    <w:rPr>
                      <w:rFonts w:hint="default" w:ascii="Times New Roman" w:hAnsi="Times New Roman" w:cs="Times New Roman"/>
                      <w:b/>
                      <w:bCs/>
                      <w:color w:val="auto"/>
                      <w:szCs w:val="21"/>
                    </w:rPr>
                    <w:t>保护内容</w:t>
                  </w:r>
                </w:p>
              </w:tc>
              <w:tc>
                <w:tcPr>
                  <w:tcW w:w="2698" w:type="dxa"/>
                  <w:vMerge w:val="restart"/>
                  <w:tcBorders>
                    <w:top w:val="single" w:color="auto" w:sz="4" w:space="0"/>
                    <w:left w:val="nil"/>
                    <w:right w:val="single" w:color="auto" w:sz="4" w:space="0"/>
                  </w:tcBorders>
                  <w:vAlign w:val="center"/>
                </w:tcPr>
                <w:p w14:paraId="48AA08FF">
                  <w:pPr>
                    <w:adjustRightInd w:val="0"/>
                    <w:snapToGrid w:val="0"/>
                    <w:jc w:val="center"/>
                    <w:textAlignment w:val="baseline"/>
                    <w:rPr>
                      <w:rFonts w:hint="default" w:ascii="Times New Roman" w:hAnsi="Times New Roman" w:cs="Times New Roman"/>
                      <w:b/>
                      <w:bCs/>
                      <w:color w:val="auto"/>
                      <w:szCs w:val="21"/>
                    </w:rPr>
                  </w:pPr>
                  <w:r>
                    <w:rPr>
                      <w:rFonts w:hint="default" w:ascii="Times New Roman" w:hAnsi="Times New Roman" w:cs="Times New Roman"/>
                      <w:b/>
                      <w:bCs/>
                      <w:color w:val="auto"/>
                      <w:szCs w:val="21"/>
                    </w:rPr>
                    <w:t>保护级别</w:t>
                  </w:r>
                </w:p>
              </w:tc>
              <w:tc>
                <w:tcPr>
                  <w:tcW w:w="590" w:type="dxa"/>
                  <w:vMerge w:val="restart"/>
                  <w:tcBorders>
                    <w:top w:val="single" w:color="auto" w:sz="4" w:space="0"/>
                    <w:left w:val="nil"/>
                    <w:bottom w:val="single" w:color="auto" w:sz="4" w:space="0"/>
                    <w:right w:val="single" w:color="auto" w:sz="6" w:space="0"/>
                  </w:tcBorders>
                  <w:vAlign w:val="center"/>
                </w:tcPr>
                <w:p w14:paraId="7E98EA40">
                  <w:pPr>
                    <w:adjustRightInd w:val="0"/>
                    <w:snapToGrid w:val="0"/>
                    <w:jc w:val="center"/>
                    <w:textAlignment w:val="baseline"/>
                    <w:rPr>
                      <w:rFonts w:hint="default" w:ascii="Times New Roman" w:hAnsi="Times New Roman" w:cs="Times New Roman"/>
                      <w:b/>
                      <w:bCs/>
                      <w:color w:val="auto"/>
                      <w:szCs w:val="21"/>
                    </w:rPr>
                  </w:pPr>
                  <w:r>
                    <w:rPr>
                      <w:rFonts w:hint="default" w:ascii="Times New Roman" w:hAnsi="Times New Roman" w:cs="Times New Roman"/>
                      <w:b/>
                      <w:bCs/>
                      <w:color w:val="auto"/>
                      <w:szCs w:val="21"/>
                    </w:rPr>
                    <w:t>方位</w:t>
                  </w:r>
                </w:p>
              </w:tc>
              <w:tc>
                <w:tcPr>
                  <w:tcW w:w="852" w:type="dxa"/>
                  <w:vMerge w:val="restart"/>
                  <w:tcBorders>
                    <w:top w:val="single" w:color="auto" w:sz="4" w:space="0"/>
                    <w:left w:val="nil"/>
                    <w:bottom w:val="single" w:color="auto" w:sz="4" w:space="0"/>
                    <w:right w:val="single" w:color="auto" w:sz="4" w:space="0"/>
                  </w:tcBorders>
                  <w:vAlign w:val="center"/>
                </w:tcPr>
                <w:p w14:paraId="2566558D">
                  <w:pPr>
                    <w:adjustRightInd w:val="0"/>
                    <w:snapToGrid w:val="0"/>
                    <w:jc w:val="center"/>
                    <w:textAlignment w:val="baseline"/>
                    <w:rPr>
                      <w:rFonts w:hint="default" w:ascii="Times New Roman" w:hAnsi="Times New Roman" w:eastAsia="宋体" w:cs="Times New Roman"/>
                      <w:b/>
                      <w:bCs/>
                      <w:color w:val="auto"/>
                      <w:szCs w:val="21"/>
                      <w:lang w:val="en-US" w:eastAsia="zh-CN"/>
                    </w:rPr>
                  </w:pPr>
                  <w:r>
                    <w:rPr>
                      <w:rFonts w:hint="default" w:ascii="Times New Roman" w:hAnsi="Times New Roman" w:cs="Times New Roman"/>
                      <w:b/>
                      <w:bCs/>
                      <w:color w:val="auto"/>
                      <w:szCs w:val="21"/>
                    </w:rPr>
                    <w:t>距离</w:t>
                  </w:r>
                </w:p>
              </w:tc>
            </w:tr>
            <w:tr w14:paraId="2070C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3" w:type="dxa"/>
                  <w:vMerge w:val="continue"/>
                  <w:tcBorders>
                    <w:left w:val="single" w:color="auto" w:sz="4" w:space="0"/>
                    <w:bottom w:val="single" w:color="auto" w:sz="4" w:space="0"/>
                    <w:right w:val="single" w:color="auto" w:sz="6" w:space="0"/>
                  </w:tcBorders>
                  <w:vAlign w:val="center"/>
                </w:tcPr>
                <w:p w14:paraId="71348A24">
                  <w:pPr>
                    <w:adjustRightInd w:val="0"/>
                    <w:snapToGrid w:val="0"/>
                    <w:jc w:val="center"/>
                    <w:textAlignment w:val="baseline"/>
                    <w:rPr>
                      <w:rFonts w:hint="default" w:ascii="Times New Roman" w:hAnsi="Times New Roman" w:cs="Times New Roman"/>
                      <w:color w:val="auto"/>
                      <w:szCs w:val="21"/>
                    </w:rPr>
                  </w:pPr>
                </w:p>
              </w:tc>
              <w:tc>
                <w:tcPr>
                  <w:tcW w:w="1051" w:type="dxa"/>
                  <w:vMerge w:val="continue"/>
                  <w:tcBorders>
                    <w:top w:val="single" w:color="auto" w:sz="4" w:space="0"/>
                    <w:left w:val="single" w:color="auto" w:sz="4" w:space="0"/>
                    <w:bottom w:val="single" w:color="auto" w:sz="4" w:space="0"/>
                    <w:right w:val="single" w:color="auto" w:sz="6" w:space="0"/>
                  </w:tcBorders>
                  <w:vAlign w:val="center"/>
                </w:tcPr>
                <w:p w14:paraId="4FA57636">
                  <w:pPr>
                    <w:adjustRightInd w:val="0"/>
                    <w:snapToGrid w:val="0"/>
                    <w:jc w:val="center"/>
                    <w:textAlignment w:val="baseline"/>
                    <w:rPr>
                      <w:rFonts w:hint="default" w:ascii="Times New Roman" w:hAnsi="Times New Roman" w:cs="Times New Roman"/>
                      <w:color w:val="auto"/>
                      <w:szCs w:val="21"/>
                    </w:rPr>
                  </w:pPr>
                </w:p>
              </w:tc>
              <w:tc>
                <w:tcPr>
                  <w:tcW w:w="660" w:type="dxa"/>
                  <w:tcBorders>
                    <w:top w:val="single" w:color="auto" w:sz="6" w:space="0"/>
                    <w:left w:val="nil"/>
                    <w:bottom w:val="single" w:color="auto" w:sz="4" w:space="0"/>
                    <w:right w:val="single" w:color="auto" w:sz="4" w:space="0"/>
                  </w:tcBorders>
                  <w:vAlign w:val="center"/>
                </w:tcPr>
                <w:p w14:paraId="78781582">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X</w:t>
                  </w:r>
                </w:p>
              </w:tc>
              <w:tc>
                <w:tcPr>
                  <w:tcW w:w="690" w:type="dxa"/>
                  <w:tcBorders>
                    <w:top w:val="single" w:color="auto" w:sz="6" w:space="0"/>
                    <w:left w:val="single" w:color="auto" w:sz="6" w:space="0"/>
                    <w:bottom w:val="single" w:color="auto" w:sz="4" w:space="0"/>
                    <w:right w:val="single" w:color="auto" w:sz="4" w:space="0"/>
                  </w:tcBorders>
                  <w:vAlign w:val="center"/>
                </w:tcPr>
                <w:p w14:paraId="7CD30E60">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Y</w:t>
                  </w:r>
                </w:p>
              </w:tc>
              <w:tc>
                <w:tcPr>
                  <w:tcW w:w="825" w:type="dxa"/>
                  <w:vMerge w:val="continue"/>
                  <w:tcBorders>
                    <w:top w:val="single" w:color="auto" w:sz="4" w:space="0"/>
                    <w:left w:val="nil"/>
                    <w:bottom w:val="single" w:color="auto" w:sz="4" w:space="0"/>
                    <w:right w:val="single" w:color="auto" w:sz="4" w:space="0"/>
                  </w:tcBorders>
                  <w:vAlign w:val="center"/>
                </w:tcPr>
                <w:p w14:paraId="20A53890">
                  <w:pPr>
                    <w:adjustRightInd w:val="0"/>
                    <w:snapToGrid w:val="0"/>
                    <w:jc w:val="center"/>
                    <w:textAlignment w:val="baseline"/>
                    <w:rPr>
                      <w:rFonts w:hint="default" w:ascii="Times New Roman" w:hAnsi="Times New Roman" w:cs="Times New Roman"/>
                      <w:color w:val="auto"/>
                      <w:szCs w:val="21"/>
                    </w:rPr>
                  </w:pPr>
                </w:p>
              </w:tc>
              <w:tc>
                <w:tcPr>
                  <w:tcW w:w="2698" w:type="dxa"/>
                  <w:vMerge w:val="continue"/>
                  <w:tcBorders>
                    <w:left w:val="nil"/>
                    <w:bottom w:val="single" w:color="auto" w:sz="4" w:space="0"/>
                    <w:right w:val="single" w:color="auto" w:sz="4" w:space="0"/>
                  </w:tcBorders>
                  <w:vAlign w:val="center"/>
                </w:tcPr>
                <w:p w14:paraId="32BF2B00">
                  <w:pPr>
                    <w:adjustRightInd w:val="0"/>
                    <w:snapToGrid w:val="0"/>
                    <w:jc w:val="center"/>
                    <w:textAlignment w:val="baseline"/>
                    <w:rPr>
                      <w:rFonts w:hint="default" w:ascii="Times New Roman" w:hAnsi="Times New Roman" w:cs="Times New Roman"/>
                      <w:color w:val="auto"/>
                      <w:szCs w:val="21"/>
                    </w:rPr>
                  </w:pPr>
                </w:p>
              </w:tc>
              <w:tc>
                <w:tcPr>
                  <w:tcW w:w="590" w:type="dxa"/>
                  <w:vMerge w:val="continue"/>
                  <w:tcBorders>
                    <w:top w:val="single" w:color="auto" w:sz="4" w:space="0"/>
                    <w:left w:val="nil"/>
                    <w:bottom w:val="single" w:color="auto" w:sz="4" w:space="0"/>
                    <w:right w:val="single" w:color="auto" w:sz="6" w:space="0"/>
                  </w:tcBorders>
                  <w:vAlign w:val="center"/>
                </w:tcPr>
                <w:p w14:paraId="23D86215">
                  <w:pPr>
                    <w:adjustRightInd w:val="0"/>
                    <w:snapToGrid w:val="0"/>
                    <w:jc w:val="center"/>
                    <w:textAlignment w:val="baseline"/>
                    <w:rPr>
                      <w:rFonts w:hint="default" w:ascii="Times New Roman" w:hAnsi="Times New Roman" w:cs="Times New Roman"/>
                      <w:color w:val="auto"/>
                      <w:szCs w:val="21"/>
                    </w:rPr>
                  </w:pPr>
                </w:p>
              </w:tc>
              <w:tc>
                <w:tcPr>
                  <w:tcW w:w="852" w:type="dxa"/>
                  <w:vMerge w:val="continue"/>
                  <w:tcBorders>
                    <w:top w:val="single" w:color="auto" w:sz="4" w:space="0"/>
                    <w:left w:val="nil"/>
                    <w:bottom w:val="single" w:color="auto" w:sz="4" w:space="0"/>
                    <w:right w:val="single" w:color="auto" w:sz="4" w:space="0"/>
                  </w:tcBorders>
                  <w:vAlign w:val="center"/>
                </w:tcPr>
                <w:p w14:paraId="7B26E85F">
                  <w:pPr>
                    <w:adjustRightInd w:val="0"/>
                    <w:snapToGrid w:val="0"/>
                    <w:jc w:val="center"/>
                    <w:textAlignment w:val="baseline"/>
                    <w:rPr>
                      <w:rFonts w:hint="default" w:ascii="Times New Roman" w:hAnsi="Times New Roman" w:cs="Times New Roman"/>
                      <w:color w:val="auto"/>
                      <w:szCs w:val="21"/>
                    </w:rPr>
                  </w:pPr>
                </w:p>
              </w:tc>
            </w:tr>
            <w:tr w14:paraId="3C460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873" w:type="dxa"/>
                  <w:tcBorders>
                    <w:top w:val="single" w:color="auto" w:sz="4" w:space="0"/>
                    <w:left w:val="single" w:color="auto" w:sz="4" w:space="0"/>
                    <w:bottom w:val="single" w:color="auto" w:sz="4" w:space="0"/>
                    <w:right w:val="single" w:color="auto" w:sz="6" w:space="0"/>
                  </w:tcBorders>
                  <w:vAlign w:val="center"/>
                </w:tcPr>
                <w:p w14:paraId="38D39502">
                  <w:pPr>
                    <w:adjustRightInd w:val="0"/>
                    <w:snapToGrid w:val="0"/>
                    <w:jc w:val="center"/>
                    <w:textAlignment w:val="baseline"/>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大气</w:t>
                  </w:r>
                </w:p>
                <w:p w14:paraId="3C400EF1">
                  <w:pPr>
                    <w:adjustRightInd w:val="0"/>
                    <w:snapToGri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环境</w:t>
                  </w:r>
                </w:p>
              </w:tc>
              <w:tc>
                <w:tcPr>
                  <w:tcW w:w="1051" w:type="dxa"/>
                  <w:tcBorders>
                    <w:top w:val="single" w:color="auto" w:sz="4" w:space="0"/>
                    <w:left w:val="single" w:color="auto" w:sz="4" w:space="0"/>
                    <w:bottom w:val="single" w:color="auto" w:sz="4" w:space="0"/>
                    <w:right w:val="single" w:color="auto" w:sz="6" w:space="0"/>
                  </w:tcBorders>
                  <w:vAlign w:val="center"/>
                </w:tcPr>
                <w:p w14:paraId="29AE5706">
                  <w:pPr>
                    <w:adjustRightInd w:val="0"/>
                    <w:snapToGrid w:val="0"/>
                    <w:jc w:val="center"/>
                    <w:textAlignment w:val="baseline"/>
                    <w:rPr>
                      <w:rFonts w:hint="default" w:ascii="Times New Roman" w:hAnsi="Times New Roman" w:cs="Times New Roman"/>
                      <w:color w:val="auto"/>
                      <w:szCs w:val="21"/>
                      <w:lang w:val="en-US" w:eastAsia="zh-CN"/>
                    </w:rPr>
                  </w:pPr>
                  <w:r>
                    <w:rPr>
                      <w:rFonts w:hint="eastAsia" w:cs="Times New Roman"/>
                      <w:color w:val="auto"/>
                      <w:szCs w:val="21"/>
                      <w:lang w:val="en-US" w:eastAsia="zh-CN"/>
                    </w:rPr>
                    <w:t>/</w:t>
                  </w:r>
                </w:p>
              </w:tc>
              <w:tc>
                <w:tcPr>
                  <w:tcW w:w="660" w:type="dxa"/>
                  <w:tcBorders>
                    <w:top w:val="single" w:color="auto" w:sz="6" w:space="0"/>
                    <w:left w:val="nil"/>
                    <w:bottom w:val="single" w:color="auto" w:sz="6" w:space="0"/>
                    <w:right w:val="single" w:color="auto" w:sz="4" w:space="0"/>
                  </w:tcBorders>
                  <w:vAlign w:val="center"/>
                </w:tcPr>
                <w:p w14:paraId="59D93710">
                  <w:pPr>
                    <w:adjustRightInd w:val="0"/>
                    <w:snapToGrid w:val="0"/>
                    <w:jc w:val="center"/>
                    <w:textAlignment w:val="baseline"/>
                    <w:rPr>
                      <w:rFonts w:hint="default" w:ascii="Times New Roman" w:hAnsi="Times New Roman" w:cs="Times New Roman"/>
                      <w:color w:val="auto"/>
                      <w:szCs w:val="21"/>
                      <w:lang w:val="en-US" w:eastAsia="zh-CN"/>
                    </w:rPr>
                  </w:pPr>
                  <w:r>
                    <w:rPr>
                      <w:rFonts w:hint="eastAsia" w:cs="Times New Roman"/>
                      <w:color w:val="auto"/>
                      <w:szCs w:val="21"/>
                      <w:lang w:val="en-US" w:eastAsia="zh-CN"/>
                    </w:rPr>
                    <w:t>/</w:t>
                  </w:r>
                </w:p>
              </w:tc>
              <w:tc>
                <w:tcPr>
                  <w:tcW w:w="690" w:type="dxa"/>
                  <w:tcBorders>
                    <w:top w:val="single" w:color="auto" w:sz="6" w:space="0"/>
                    <w:left w:val="single" w:color="auto" w:sz="6" w:space="0"/>
                    <w:bottom w:val="single" w:color="auto" w:sz="6" w:space="0"/>
                    <w:right w:val="single" w:color="auto" w:sz="4" w:space="0"/>
                  </w:tcBorders>
                  <w:vAlign w:val="center"/>
                </w:tcPr>
                <w:p w14:paraId="274B81C9">
                  <w:pPr>
                    <w:adjustRightInd w:val="0"/>
                    <w:snapToGrid w:val="0"/>
                    <w:jc w:val="center"/>
                    <w:textAlignment w:val="baseline"/>
                    <w:rPr>
                      <w:rFonts w:hint="default" w:ascii="Times New Roman" w:hAnsi="Times New Roman" w:cs="Times New Roman"/>
                      <w:color w:val="auto"/>
                      <w:szCs w:val="21"/>
                      <w:lang w:val="en-US" w:eastAsia="zh-CN"/>
                    </w:rPr>
                  </w:pPr>
                  <w:r>
                    <w:rPr>
                      <w:rFonts w:hint="eastAsia" w:cs="Times New Roman"/>
                      <w:color w:val="auto"/>
                      <w:szCs w:val="21"/>
                      <w:lang w:val="en-US" w:eastAsia="zh-CN"/>
                    </w:rPr>
                    <w:t>/</w:t>
                  </w:r>
                </w:p>
              </w:tc>
              <w:tc>
                <w:tcPr>
                  <w:tcW w:w="825" w:type="dxa"/>
                  <w:tcBorders>
                    <w:top w:val="single" w:color="auto" w:sz="4" w:space="0"/>
                    <w:left w:val="nil"/>
                    <w:bottom w:val="single" w:color="auto" w:sz="4" w:space="0"/>
                    <w:right w:val="single" w:color="auto" w:sz="4" w:space="0"/>
                  </w:tcBorders>
                  <w:vAlign w:val="center"/>
                </w:tcPr>
                <w:p w14:paraId="7FD7632D">
                  <w:pPr>
                    <w:adjustRightInd w:val="0"/>
                    <w:snapToGrid w:val="0"/>
                    <w:jc w:val="center"/>
                    <w:textAlignment w:val="baseline"/>
                    <w:rPr>
                      <w:rFonts w:hint="default" w:ascii="Times New Roman" w:hAnsi="Times New Roman" w:cs="Times New Roman"/>
                      <w:color w:val="auto"/>
                      <w:szCs w:val="21"/>
                      <w:lang w:val="en-US" w:eastAsia="zh-CN"/>
                    </w:rPr>
                  </w:pPr>
                  <w:r>
                    <w:rPr>
                      <w:rFonts w:hint="eastAsia" w:cs="Times New Roman"/>
                      <w:color w:val="auto"/>
                      <w:szCs w:val="21"/>
                      <w:lang w:val="en-US" w:eastAsia="zh-CN"/>
                    </w:rPr>
                    <w:t>/</w:t>
                  </w:r>
                </w:p>
              </w:tc>
              <w:tc>
                <w:tcPr>
                  <w:tcW w:w="2698" w:type="dxa"/>
                  <w:tcBorders>
                    <w:left w:val="nil"/>
                    <w:right w:val="single" w:color="auto" w:sz="4" w:space="0"/>
                  </w:tcBorders>
                  <w:vAlign w:val="center"/>
                </w:tcPr>
                <w:p w14:paraId="79A813F7">
                  <w:pPr>
                    <w:adjustRightInd w:val="0"/>
                    <w:snapToGrid w:val="0"/>
                    <w:jc w:val="center"/>
                    <w:textAlignment w:val="baseline"/>
                    <w:rPr>
                      <w:rFonts w:hint="default" w:ascii="Times New Roman" w:hAnsi="Times New Roman" w:cs="Times New Roman"/>
                      <w:color w:val="auto"/>
                      <w:szCs w:val="21"/>
                      <w:lang w:val="en-US" w:eastAsia="zh-CN"/>
                    </w:rPr>
                  </w:pPr>
                  <w:r>
                    <w:rPr>
                      <w:rFonts w:hint="eastAsia" w:cs="Times New Roman"/>
                      <w:color w:val="auto"/>
                      <w:szCs w:val="21"/>
                      <w:lang w:val="en-US" w:eastAsia="zh-CN"/>
                    </w:rPr>
                    <w:t>/</w:t>
                  </w:r>
                </w:p>
              </w:tc>
              <w:tc>
                <w:tcPr>
                  <w:tcW w:w="590" w:type="dxa"/>
                  <w:tcBorders>
                    <w:top w:val="single" w:color="auto" w:sz="4" w:space="0"/>
                    <w:left w:val="nil"/>
                    <w:bottom w:val="single" w:color="auto" w:sz="4" w:space="0"/>
                    <w:right w:val="single" w:color="auto" w:sz="6" w:space="0"/>
                  </w:tcBorders>
                  <w:vAlign w:val="center"/>
                </w:tcPr>
                <w:p w14:paraId="3D31069B">
                  <w:pPr>
                    <w:adjustRightInd w:val="0"/>
                    <w:snapToGrid w:val="0"/>
                    <w:jc w:val="center"/>
                    <w:textAlignment w:val="baseline"/>
                    <w:rPr>
                      <w:rFonts w:hint="default" w:ascii="Times New Roman" w:hAnsi="Times New Roman" w:cs="Times New Roman"/>
                      <w:color w:val="auto"/>
                      <w:szCs w:val="21"/>
                      <w:lang w:val="en-US" w:eastAsia="zh-CN"/>
                    </w:rPr>
                  </w:pPr>
                  <w:r>
                    <w:rPr>
                      <w:rFonts w:hint="eastAsia" w:cs="Times New Roman"/>
                      <w:color w:val="auto"/>
                      <w:szCs w:val="21"/>
                      <w:lang w:val="en-US" w:eastAsia="zh-CN"/>
                    </w:rPr>
                    <w:t>/</w:t>
                  </w:r>
                </w:p>
              </w:tc>
              <w:tc>
                <w:tcPr>
                  <w:tcW w:w="852" w:type="dxa"/>
                  <w:tcBorders>
                    <w:top w:val="single" w:color="auto" w:sz="4" w:space="0"/>
                    <w:left w:val="nil"/>
                    <w:bottom w:val="single" w:color="auto" w:sz="4" w:space="0"/>
                    <w:right w:val="single" w:color="auto" w:sz="4" w:space="0"/>
                  </w:tcBorders>
                  <w:vAlign w:val="center"/>
                </w:tcPr>
                <w:p w14:paraId="7A89740A">
                  <w:pPr>
                    <w:adjustRightInd w:val="0"/>
                    <w:snapToGrid w:val="0"/>
                    <w:jc w:val="center"/>
                    <w:textAlignment w:val="baseline"/>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w:t>
                  </w:r>
                </w:p>
              </w:tc>
            </w:tr>
            <w:tr w14:paraId="1D5CE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873" w:type="dxa"/>
                  <w:vMerge w:val="restart"/>
                  <w:tcBorders>
                    <w:top w:val="single" w:color="auto" w:sz="4" w:space="0"/>
                    <w:left w:val="single" w:color="auto" w:sz="4" w:space="0"/>
                    <w:right w:val="single" w:color="auto" w:sz="6" w:space="0"/>
                  </w:tcBorders>
                  <w:shd w:val="clear" w:color="auto" w:fill="auto"/>
                  <w:vAlign w:val="center"/>
                </w:tcPr>
                <w:p w14:paraId="6E3E86C4">
                  <w:pPr>
                    <w:adjustRightInd w:val="0"/>
                    <w:snapToGrid w:val="0"/>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地表水环境</w:t>
                  </w:r>
                </w:p>
              </w:tc>
              <w:tc>
                <w:tcPr>
                  <w:tcW w:w="240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7F47D686">
                  <w:pPr>
                    <w:adjustRightInd w:val="0"/>
                    <w:snapToGrid w:val="0"/>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青弋江</w:t>
                  </w:r>
                </w:p>
              </w:tc>
              <w:tc>
                <w:tcPr>
                  <w:tcW w:w="825" w:type="dxa"/>
                  <w:tcBorders>
                    <w:top w:val="single" w:color="auto" w:sz="4" w:space="0"/>
                    <w:left w:val="nil"/>
                    <w:bottom w:val="single" w:color="auto" w:sz="4" w:space="0"/>
                    <w:right w:val="single" w:color="auto" w:sz="4" w:space="0"/>
                  </w:tcBorders>
                  <w:shd w:val="clear" w:color="auto" w:fill="auto"/>
                  <w:vAlign w:val="center"/>
                </w:tcPr>
                <w:p w14:paraId="5702B339">
                  <w:pPr>
                    <w:adjustRightInd w:val="0"/>
                    <w:snapToGrid w:val="0"/>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中型</w:t>
                  </w:r>
                </w:p>
              </w:tc>
              <w:tc>
                <w:tcPr>
                  <w:tcW w:w="2698" w:type="dxa"/>
                  <w:tcBorders>
                    <w:left w:val="nil"/>
                    <w:right w:val="single" w:color="auto" w:sz="4" w:space="0"/>
                  </w:tcBorders>
                  <w:shd w:val="clear" w:color="auto" w:fill="auto"/>
                  <w:vAlign w:val="center"/>
                </w:tcPr>
                <w:p w14:paraId="581637A3">
                  <w:pPr>
                    <w:adjustRightInd w:val="0"/>
                    <w:snapToGrid w:val="0"/>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0"/>
                      <w:szCs w:val="21"/>
                    </w:rPr>
                    <w:t>《地表水环境质量标准》（GB3838-2002）</w:t>
                  </w:r>
                  <w:r>
                    <w:rPr>
                      <w:rFonts w:hint="default" w:ascii="Times New Roman" w:hAnsi="Times New Roman" w:eastAsia="宋体" w:cs="Times New Roman"/>
                      <w:color w:val="auto"/>
                      <w:szCs w:val="21"/>
                      <w:lang w:val="en-US" w:eastAsia="zh-CN"/>
                    </w:rPr>
                    <w:t>Ⅱ类</w:t>
                  </w:r>
                </w:p>
              </w:tc>
              <w:tc>
                <w:tcPr>
                  <w:tcW w:w="590" w:type="dxa"/>
                  <w:tcBorders>
                    <w:top w:val="single" w:color="auto" w:sz="4" w:space="0"/>
                    <w:left w:val="nil"/>
                    <w:bottom w:val="single" w:color="auto" w:sz="4" w:space="0"/>
                    <w:right w:val="single" w:color="auto" w:sz="6" w:space="0"/>
                  </w:tcBorders>
                  <w:shd w:val="clear" w:color="auto" w:fill="auto"/>
                  <w:vAlign w:val="center"/>
                </w:tcPr>
                <w:p w14:paraId="1505B07A">
                  <w:pPr>
                    <w:adjustRightInd w:val="0"/>
                    <w:snapToGrid w:val="0"/>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W</w:t>
                  </w:r>
                </w:p>
              </w:tc>
              <w:tc>
                <w:tcPr>
                  <w:tcW w:w="852" w:type="dxa"/>
                  <w:tcBorders>
                    <w:top w:val="single" w:color="auto" w:sz="4" w:space="0"/>
                    <w:left w:val="nil"/>
                    <w:bottom w:val="single" w:color="auto" w:sz="4" w:space="0"/>
                    <w:right w:val="single" w:color="auto" w:sz="4" w:space="0"/>
                  </w:tcBorders>
                  <w:shd w:val="clear" w:color="auto" w:fill="auto"/>
                  <w:vAlign w:val="center"/>
                </w:tcPr>
                <w:p w14:paraId="469C258E">
                  <w:pPr>
                    <w:adjustRightInd w:val="0"/>
                    <w:snapToGrid w:val="0"/>
                    <w:jc w:val="center"/>
                    <w:textAlignment w:val="baseline"/>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4.7</w:t>
                  </w:r>
                  <w:r>
                    <w:rPr>
                      <w:rFonts w:hint="default" w:ascii="Times New Roman" w:hAnsi="Times New Roman" w:cs="Times New Roman"/>
                      <w:color w:val="auto"/>
                      <w:szCs w:val="21"/>
                    </w:rPr>
                    <w:t>km</w:t>
                  </w:r>
                </w:p>
              </w:tc>
            </w:tr>
            <w:tr w14:paraId="4BAB7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873" w:type="dxa"/>
                  <w:vMerge w:val="continue"/>
                  <w:tcBorders>
                    <w:left w:val="single" w:color="auto" w:sz="4" w:space="0"/>
                    <w:right w:val="single" w:color="auto" w:sz="6" w:space="0"/>
                  </w:tcBorders>
                </w:tcPr>
                <w:p w14:paraId="2DF9BDC2">
                  <w:pPr>
                    <w:adjustRightInd w:val="0"/>
                    <w:snapToGrid w:val="0"/>
                    <w:jc w:val="center"/>
                    <w:textAlignment w:val="baseline"/>
                    <w:rPr>
                      <w:rFonts w:hint="default" w:ascii="Times New Roman" w:hAnsi="Times New Roman" w:cs="Times New Roman"/>
                      <w:color w:val="auto"/>
                      <w:szCs w:val="21"/>
                      <w:lang w:val="en-US" w:eastAsia="zh-CN"/>
                    </w:rPr>
                  </w:pPr>
                </w:p>
              </w:tc>
              <w:tc>
                <w:tcPr>
                  <w:tcW w:w="2401" w:type="dxa"/>
                  <w:gridSpan w:val="3"/>
                  <w:shd w:val="clear" w:color="auto" w:fill="auto"/>
                  <w:vAlign w:val="center"/>
                </w:tcPr>
                <w:p w14:paraId="373C6A3A">
                  <w:pPr>
                    <w:adjustRightInd w:val="0"/>
                    <w:snapToGrid w:val="0"/>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长江</w:t>
                  </w:r>
                </w:p>
              </w:tc>
              <w:tc>
                <w:tcPr>
                  <w:tcW w:w="825" w:type="dxa"/>
                  <w:shd w:val="clear" w:color="auto" w:fill="auto"/>
                  <w:vAlign w:val="center"/>
                </w:tcPr>
                <w:p w14:paraId="570371F5">
                  <w:pPr>
                    <w:adjustRightInd w:val="0"/>
                    <w:snapToGrid w:val="0"/>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大型</w:t>
                  </w:r>
                </w:p>
              </w:tc>
              <w:tc>
                <w:tcPr>
                  <w:tcW w:w="2698" w:type="dxa"/>
                  <w:vMerge w:val="restart"/>
                  <w:tcBorders>
                    <w:left w:val="nil"/>
                    <w:right w:val="single" w:color="auto" w:sz="4" w:space="0"/>
                  </w:tcBorders>
                  <w:shd w:val="clear" w:color="auto" w:fill="auto"/>
                  <w:vAlign w:val="top"/>
                </w:tcPr>
                <w:p w14:paraId="09E88AB4">
                  <w:pPr>
                    <w:adjustRightInd w:val="0"/>
                    <w:snapToGrid w:val="0"/>
                    <w:jc w:val="center"/>
                    <w:textAlignment w:val="baseline"/>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rPr>
                    <w:t>《地表水环境质量标准》（GB3838-2002）Ⅲ类</w:t>
                  </w:r>
                </w:p>
              </w:tc>
              <w:tc>
                <w:tcPr>
                  <w:tcW w:w="590" w:type="dxa"/>
                  <w:shd w:val="clear" w:color="auto" w:fill="auto"/>
                  <w:vAlign w:val="center"/>
                </w:tcPr>
                <w:p w14:paraId="72E4360B">
                  <w:pPr>
                    <w:adjustRightInd w:val="0"/>
                    <w:snapToGrid w:val="0"/>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W</w:t>
                  </w:r>
                </w:p>
              </w:tc>
              <w:tc>
                <w:tcPr>
                  <w:tcW w:w="852" w:type="dxa"/>
                  <w:shd w:val="clear" w:color="auto" w:fill="auto"/>
                  <w:vAlign w:val="center"/>
                </w:tcPr>
                <w:p w14:paraId="58FCECED">
                  <w:pPr>
                    <w:adjustRightInd w:val="0"/>
                    <w:snapToGrid w:val="0"/>
                    <w:jc w:val="center"/>
                    <w:textAlignment w:val="baseline"/>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30.9</w:t>
                  </w:r>
                  <w:r>
                    <w:rPr>
                      <w:rFonts w:hint="default" w:ascii="Times New Roman" w:hAnsi="Times New Roman" w:cs="Times New Roman"/>
                      <w:color w:val="auto"/>
                      <w:szCs w:val="21"/>
                    </w:rPr>
                    <w:t>km</w:t>
                  </w:r>
                </w:p>
              </w:tc>
            </w:tr>
            <w:tr w14:paraId="3ABA0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3" w:type="dxa"/>
                  <w:vMerge w:val="continue"/>
                  <w:tcBorders>
                    <w:left w:val="single" w:color="auto" w:sz="4" w:space="0"/>
                    <w:right w:val="single" w:color="auto" w:sz="6" w:space="0"/>
                  </w:tcBorders>
                </w:tcPr>
                <w:p w14:paraId="218C3F8E">
                  <w:pPr>
                    <w:adjustRightInd w:val="0"/>
                    <w:snapToGrid w:val="0"/>
                    <w:jc w:val="center"/>
                    <w:textAlignment w:val="baseline"/>
                    <w:rPr>
                      <w:rFonts w:hint="default" w:ascii="Times New Roman" w:hAnsi="Times New Roman" w:cs="Times New Roman"/>
                      <w:color w:val="auto"/>
                      <w:szCs w:val="21"/>
                      <w:lang w:val="en-US" w:eastAsia="zh-CN"/>
                    </w:rPr>
                  </w:pPr>
                </w:p>
              </w:tc>
              <w:tc>
                <w:tcPr>
                  <w:tcW w:w="2401" w:type="dxa"/>
                  <w:gridSpan w:val="3"/>
                  <w:shd w:val="clear" w:color="auto" w:fill="auto"/>
                  <w:vAlign w:val="center"/>
                </w:tcPr>
                <w:p w14:paraId="52AC17AD">
                  <w:pPr>
                    <w:adjustRightInd w:val="0"/>
                    <w:snapToGrid w:val="0"/>
                    <w:jc w:val="center"/>
                    <w:textAlignment w:val="baseline"/>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裘公河</w:t>
                  </w:r>
                </w:p>
              </w:tc>
              <w:tc>
                <w:tcPr>
                  <w:tcW w:w="825" w:type="dxa"/>
                  <w:shd w:val="clear" w:color="auto" w:fill="auto"/>
                  <w:vAlign w:val="center"/>
                </w:tcPr>
                <w:p w14:paraId="21CB4879">
                  <w:pPr>
                    <w:adjustRightInd w:val="0"/>
                    <w:snapToGrid w:val="0"/>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小型</w:t>
                  </w:r>
                </w:p>
              </w:tc>
              <w:tc>
                <w:tcPr>
                  <w:tcW w:w="2698" w:type="dxa"/>
                  <w:vMerge w:val="continue"/>
                  <w:tcBorders>
                    <w:left w:val="nil"/>
                    <w:right w:val="single" w:color="auto" w:sz="4" w:space="0"/>
                  </w:tcBorders>
                  <w:shd w:val="clear" w:color="auto" w:fill="auto"/>
                  <w:vAlign w:val="top"/>
                </w:tcPr>
                <w:p w14:paraId="57E665BA">
                  <w:pPr>
                    <w:adjustRightInd w:val="0"/>
                    <w:snapToGrid w:val="0"/>
                    <w:jc w:val="center"/>
                    <w:textAlignment w:val="baseline"/>
                    <w:rPr>
                      <w:rFonts w:hint="default" w:ascii="Times New Roman" w:hAnsi="Times New Roman" w:eastAsia="宋体" w:cs="Times New Roman"/>
                      <w:color w:val="auto"/>
                      <w:kern w:val="0"/>
                      <w:szCs w:val="21"/>
                      <w:lang w:val="en-US" w:eastAsia="zh-CN"/>
                    </w:rPr>
                  </w:pPr>
                </w:p>
              </w:tc>
              <w:tc>
                <w:tcPr>
                  <w:tcW w:w="590" w:type="dxa"/>
                  <w:shd w:val="clear" w:color="auto" w:fill="auto"/>
                  <w:vAlign w:val="center"/>
                </w:tcPr>
                <w:p w14:paraId="6B105197">
                  <w:pPr>
                    <w:adjustRightInd w:val="0"/>
                    <w:snapToGrid w:val="0"/>
                    <w:jc w:val="center"/>
                    <w:textAlignment w:val="baseline"/>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NE</w:t>
                  </w:r>
                </w:p>
              </w:tc>
              <w:tc>
                <w:tcPr>
                  <w:tcW w:w="852" w:type="dxa"/>
                  <w:shd w:val="clear" w:color="auto" w:fill="auto"/>
                  <w:vAlign w:val="center"/>
                </w:tcPr>
                <w:p w14:paraId="7D22F9B9">
                  <w:pPr>
                    <w:adjustRightInd w:val="0"/>
                    <w:snapToGrid w:val="0"/>
                    <w:jc w:val="center"/>
                    <w:textAlignment w:val="baseline"/>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9.7km</w:t>
                  </w:r>
                </w:p>
              </w:tc>
            </w:tr>
            <w:tr w14:paraId="0F9A8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3" w:type="dxa"/>
                  <w:vMerge w:val="continue"/>
                  <w:tcBorders>
                    <w:left w:val="single" w:color="auto" w:sz="4" w:space="0"/>
                    <w:right w:val="single" w:color="auto" w:sz="6" w:space="0"/>
                  </w:tcBorders>
                </w:tcPr>
                <w:p w14:paraId="70A500A1">
                  <w:pPr>
                    <w:adjustRightInd w:val="0"/>
                    <w:snapToGrid w:val="0"/>
                    <w:jc w:val="center"/>
                    <w:textAlignment w:val="baseline"/>
                    <w:rPr>
                      <w:rFonts w:hint="default" w:ascii="Times New Roman" w:hAnsi="Times New Roman" w:cs="Times New Roman"/>
                      <w:color w:val="auto"/>
                      <w:szCs w:val="21"/>
                      <w:lang w:val="en-US" w:eastAsia="zh-CN"/>
                    </w:rPr>
                  </w:pPr>
                </w:p>
              </w:tc>
              <w:tc>
                <w:tcPr>
                  <w:tcW w:w="2401" w:type="dxa"/>
                  <w:gridSpan w:val="3"/>
                  <w:shd w:val="clear" w:color="auto" w:fill="auto"/>
                  <w:vAlign w:val="center"/>
                </w:tcPr>
                <w:p w14:paraId="55FB52CE">
                  <w:pPr>
                    <w:adjustRightInd w:val="0"/>
                    <w:snapToGrid w:val="0"/>
                    <w:jc w:val="center"/>
                    <w:textAlignment w:val="baseline"/>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汪溪坝撇洪沟</w:t>
                  </w:r>
                </w:p>
              </w:tc>
              <w:tc>
                <w:tcPr>
                  <w:tcW w:w="825" w:type="dxa"/>
                  <w:shd w:val="clear" w:color="auto" w:fill="auto"/>
                  <w:vAlign w:val="center"/>
                </w:tcPr>
                <w:p w14:paraId="219559DE">
                  <w:pPr>
                    <w:adjustRightInd w:val="0"/>
                    <w:snapToGrid w:val="0"/>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小型</w:t>
                  </w:r>
                </w:p>
              </w:tc>
              <w:tc>
                <w:tcPr>
                  <w:tcW w:w="2698" w:type="dxa"/>
                  <w:tcBorders>
                    <w:left w:val="nil"/>
                    <w:right w:val="single" w:color="auto" w:sz="4" w:space="0"/>
                  </w:tcBorders>
                  <w:shd w:val="clear" w:color="auto" w:fill="auto"/>
                  <w:vAlign w:val="top"/>
                </w:tcPr>
                <w:p w14:paraId="5AED28AF">
                  <w:pPr>
                    <w:adjustRightInd w:val="0"/>
                    <w:snapToGrid w:val="0"/>
                    <w:jc w:val="center"/>
                    <w:textAlignment w:val="baseline"/>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rPr>
                    <w:t>《地表水环境质量标准》（GB3838-2002）</w:t>
                  </w:r>
                  <w:r>
                    <w:rPr>
                      <w:rFonts w:hint="eastAsia" w:ascii="Times New Roman" w:hAnsi="Times New Roman" w:eastAsia="宋体" w:cs="Times New Roman"/>
                      <w:color w:val="auto"/>
                      <w:kern w:val="0"/>
                      <w:szCs w:val="21"/>
                      <w:lang w:val="en-US" w:eastAsia="zh-CN"/>
                    </w:rPr>
                    <w:t>Ⅳ类</w:t>
                  </w:r>
                </w:p>
              </w:tc>
              <w:tc>
                <w:tcPr>
                  <w:tcW w:w="590" w:type="dxa"/>
                  <w:shd w:val="clear" w:color="auto" w:fill="auto"/>
                  <w:vAlign w:val="center"/>
                </w:tcPr>
                <w:p w14:paraId="2C481A81">
                  <w:pPr>
                    <w:adjustRightInd w:val="0"/>
                    <w:snapToGrid w:val="0"/>
                    <w:jc w:val="center"/>
                    <w:textAlignment w:val="baseline"/>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E</w:t>
                  </w:r>
                </w:p>
              </w:tc>
              <w:tc>
                <w:tcPr>
                  <w:tcW w:w="852" w:type="dxa"/>
                  <w:shd w:val="clear" w:color="auto" w:fill="auto"/>
                  <w:vAlign w:val="center"/>
                </w:tcPr>
                <w:p w14:paraId="7DB39001">
                  <w:pPr>
                    <w:adjustRightInd w:val="0"/>
                    <w:snapToGrid w:val="0"/>
                    <w:jc w:val="center"/>
                    <w:textAlignment w:val="baseline"/>
                    <w:rPr>
                      <w:rFonts w:hint="default"/>
                      <w:color w:val="auto"/>
                      <w:lang w:val="en-US" w:eastAsia="zh-CN"/>
                    </w:rPr>
                  </w:pPr>
                  <w:r>
                    <w:rPr>
                      <w:rFonts w:hint="eastAsia" w:cs="Times New Roman"/>
                      <w:color w:val="auto"/>
                      <w:kern w:val="2"/>
                      <w:sz w:val="21"/>
                      <w:szCs w:val="21"/>
                      <w:lang w:val="en-US" w:eastAsia="zh-CN" w:bidi="ar-SA"/>
                    </w:rPr>
                    <w:t>440m</w:t>
                  </w:r>
                </w:p>
              </w:tc>
            </w:tr>
            <w:tr w14:paraId="360FF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873" w:type="dxa"/>
                  <w:shd w:val="clear" w:color="auto" w:fill="auto"/>
                  <w:vAlign w:val="center"/>
                </w:tcPr>
                <w:p w14:paraId="1AFC9CD6">
                  <w:pPr>
                    <w:adjustRightInd w:val="0"/>
                    <w:snapToGrid w:val="0"/>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声环境</w:t>
                  </w:r>
                </w:p>
              </w:tc>
              <w:tc>
                <w:tcPr>
                  <w:tcW w:w="2401" w:type="dxa"/>
                  <w:gridSpan w:val="3"/>
                  <w:shd w:val="clear" w:color="auto" w:fill="auto"/>
                  <w:vAlign w:val="center"/>
                </w:tcPr>
                <w:p w14:paraId="5F4E28BE">
                  <w:pPr>
                    <w:adjustRightInd w:val="0"/>
                    <w:snapToGrid w:val="0"/>
                    <w:jc w:val="center"/>
                    <w:textAlignment w:val="baseline"/>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厂界</w:t>
                  </w:r>
                </w:p>
              </w:tc>
              <w:tc>
                <w:tcPr>
                  <w:tcW w:w="825" w:type="dxa"/>
                  <w:shd w:val="clear" w:color="auto" w:fill="auto"/>
                  <w:vAlign w:val="center"/>
                </w:tcPr>
                <w:p w14:paraId="0E69CBCB">
                  <w:pPr>
                    <w:adjustRightInd w:val="0"/>
                    <w:snapToGrid w:val="0"/>
                    <w:jc w:val="center"/>
                    <w:textAlignment w:val="baseline"/>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w:t>
                  </w:r>
                </w:p>
              </w:tc>
              <w:tc>
                <w:tcPr>
                  <w:tcW w:w="2698" w:type="dxa"/>
                  <w:shd w:val="clear" w:color="auto" w:fill="auto"/>
                  <w:vAlign w:val="center"/>
                </w:tcPr>
                <w:p w14:paraId="32DC1142">
                  <w:pPr>
                    <w:adjustRightInd w:val="0"/>
                    <w:snapToGrid w:val="0"/>
                    <w:jc w:val="center"/>
                    <w:textAlignment w:val="baseline"/>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《声环境质量标准》（GB3096-2008）3类标准</w:t>
                  </w:r>
                </w:p>
              </w:tc>
              <w:tc>
                <w:tcPr>
                  <w:tcW w:w="590" w:type="dxa"/>
                  <w:shd w:val="clear" w:color="auto" w:fill="auto"/>
                  <w:vAlign w:val="center"/>
                </w:tcPr>
                <w:p w14:paraId="44BBCB17">
                  <w:pPr>
                    <w:adjustRightInd w:val="0"/>
                    <w:snapToGrid w:val="0"/>
                    <w:jc w:val="center"/>
                    <w:textAlignment w:val="baseline"/>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w:t>
                  </w:r>
                </w:p>
              </w:tc>
              <w:tc>
                <w:tcPr>
                  <w:tcW w:w="852" w:type="dxa"/>
                  <w:shd w:val="clear" w:color="auto" w:fill="auto"/>
                  <w:vAlign w:val="center"/>
                </w:tcPr>
                <w:p w14:paraId="708325FE">
                  <w:pPr>
                    <w:adjustRightInd w:val="0"/>
                    <w:snapToGrid w:val="0"/>
                    <w:jc w:val="center"/>
                    <w:textAlignment w:val="baseline"/>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1m</w:t>
                  </w:r>
                </w:p>
              </w:tc>
            </w:tr>
          </w:tbl>
          <w:p w14:paraId="31EE6A29">
            <w:pPr>
              <w:pStyle w:val="36"/>
              <w:spacing w:before="0" w:line="240" w:lineRule="auto"/>
              <w:ind w:firstLine="420" w:firstLineChars="200"/>
              <w:rPr>
                <w:rFonts w:hint="default" w:ascii="Times New Roman" w:hAnsi="Times New Roman" w:cs="Times New Roman"/>
                <w:color w:val="auto"/>
                <w:sz w:val="24"/>
              </w:rPr>
            </w:pPr>
            <w:r>
              <w:rPr>
                <w:rFonts w:ascii="Times New Roman" w:hAnsi="Times New Roman"/>
                <w:color w:val="auto"/>
              </w:rPr>
              <w:t>注：本项目以厂址中心为坐标原点，正东为X轴正方向，正北为Y轴正方向，其中环境空气保护目标坐标取距离厂址最近点位位置。</w:t>
            </w:r>
          </w:p>
        </w:tc>
      </w:tr>
      <w:tr w14:paraId="638344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3" w:type="dxa"/>
            <w:tcMar>
              <w:left w:w="28" w:type="dxa"/>
              <w:right w:w="28" w:type="dxa"/>
            </w:tcMar>
            <w:vAlign w:val="center"/>
          </w:tcPr>
          <w:p w14:paraId="0C52285A">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污染</w:t>
            </w:r>
          </w:p>
          <w:p w14:paraId="56F84981">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物排</w:t>
            </w:r>
          </w:p>
          <w:p w14:paraId="66B5307A">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放控</w:t>
            </w:r>
          </w:p>
          <w:p w14:paraId="7536F4E9">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制标</w:t>
            </w:r>
          </w:p>
          <w:p w14:paraId="1B3C5BE7">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准</w:t>
            </w:r>
          </w:p>
        </w:tc>
        <w:tc>
          <w:tcPr>
            <w:tcW w:w="8526" w:type="dxa"/>
            <w:vAlign w:val="center"/>
          </w:tcPr>
          <w:p w14:paraId="368F83B1">
            <w:pPr>
              <w:spacing w:line="360" w:lineRule="auto"/>
              <w:ind w:firstLine="482" w:firstLineChars="200"/>
              <w:rPr>
                <w:rFonts w:hint="default" w:ascii="Times New Roman" w:hAnsi="Times New Roman" w:cs="Times New Roman"/>
                <w:b/>
                <w:color w:val="auto"/>
                <w:kern w:val="0"/>
                <w:sz w:val="24"/>
                <w:szCs w:val="20"/>
              </w:rPr>
            </w:pPr>
            <w:r>
              <w:rPr>
                <w:rFonts w:hint="default" w:ascii="Times New Roman" w:hAnsi="Times New Roman" w:cs="Times New Roman"/>
                <w:b/>
                <w:color w:val="auto"/>
                <w:kern w:val="0"/>
                <w:sz w:val="24"/>
                <w:szCs w:val="20"/>
              </w:rPr>
              <w:t>1、废气</w:t>
            </w:r>
          </w:p>
          <w:p w14:paraId="0718D8E1">
            <w:pPr>
              <w:spacing w:line="360" w:lineRule="auto"/>
              <w:ind w:firstLine="480" w:firstLineChars="200"/>
              <w:rPr>
                <w:rFonts w:hint="default" w:ascii="Times New Roman" w:hAnsi="Times New Roman" w:eastAsia="宋体" w:cs="Times New Roman"/>
                <w:color w:val="auto"/>
                <w:sz w:val="24"/>
                <w:lang w:val="en-US" w:eastAsia="zh-CN"/>
              </w:rPr>
            </w:pPr>
            <w:r>
              <w:rPr>
                <w:rFonts w:hint="eastAsia" w:ascii="Times New Roman" w:hAnsi="Times New Roman" w:cs="Times New Roman"/>
                <w:color w:val="auto"/>
                <w:sz w:val="24"/>
                <w:lang w:val="en-US" w:eastAsia="zh-CN"/>
              </w:rPr>
              <w:t>项目颗粒物</w:t>
            </w:r>
            <w:r>
              <w:rPr>
                <w:rFonts w:hint="eastAsia" w:cs="Times New Roman"/>
                <w:color w:val="auto"/>
                <w:sz w:val="24"/>
                <w:lang w:val="en-US" w:eastAsia="zh-CN"/>
              </w:rPr>
              <w:t>和非甲烷总烃均</w:t>
            </w:r>
            <w:r>
              <w:rPr>
                <w:rFonts w:hint="eastAsia" w:ascii="Times New Roman" w:hAnsi="Times New Roman" w:cs="Times New Roman"/>
                <w:color w:val="auto"/>
                <w:sz w:val="24"/>
                <w:lang w:val="en-US" w:eastAsia="zh-CN"/>
              </w:rPr>
              <w:t>执行</w:t>
            </w:r>
            <w:r>
              <w:rPr>
                <w:rFonts w:hint="default" w:ascii="Times New Roman" w:hAnsi="Times New Roman" w:eastAsia="宋体" w:cs="Times New Roman"/>
                <w:color w:val="auto"/>
                <w:sz w:val="24"/>
                <w:lang w:val="en-US" w:eastAsia="zh-CN"/>
              </w:rPr>
              <w:t>《大气污染物综合排放标准》（</w:t>
            </w:r>
            <w:r>
              <w:rPr>
                <w:rFonts w:hint="default" w:ascii="Times New Roman" w:hAnsi="Times New Roman" w:cs="Times New Roman"/>
                <w:color w:val="auto"/>
                <w:sz w:val="24"/>
                <w:lang w:val="en-US" w:eastAsia="zh-CN"/>
              </w:rPr>
              <w:t>GB 16297-1996</w:t>
            </w:r>
            <w:r>
              <w:rPr>
                <w:rFonts w:hint="default" w:ascii="Times New Roman" w:hAnsi="Times New Roman" w:eastAsia="宋体" w:cs="Times New Roman"/>
                <w:color w:val="auto"/>
                <w:sz w:val="24"/>
                <w:lang w:val="en-US" w:eastAsia="zh-CN"/>
              </w:rPr>
              <w:t>）表2中</w:t>
            </w:r>
            <w:r>
              <w:rPr>
                <w:rFonts w:hint="eastAsia" w:cs="Times New Roman"/>
                <w:color w:val="auto"/>
                <w:sz w:val="24"/>
                <w:lang w:val="en-US" w:eastAsia="zh-CN"/>
              </w:rPr>
              <w:t>两级</w:t>
            </w:r>
            <w:r>
              <w:rPr>
                <w:rFonts w:hint="default" w:ascii="Times New Roman" w:hAnsi="Times New Roman" w:eastAsia="宋体" w:cs="Times New Roman"/>
                <w:color w:val="auto"/>
                <w:sz w:val="24"/>
                <w:lang w:val="en-US" w:eastAsia="zh-CN"/>
              </w:rPr>
              <w:t>排放限值及无组织排放监控浓度限值</w:t>
            </w:r>
            <w:r>
              <w:rPr>
                <w:rFonts w:hint="eastAsia" w:ascii="Times New Roman" w:hAnsi="Times New Roman" w:cs="Times New Roman"/>
                <w:color w:val="auto"/>
                <w:sz w:val="24"/>
                <w:lang w:val="en-US" w:eastAsia="zh-CN"/>
              </w:rPr>
              <w:t>。</w:t>
            </w:r>
            <w:r>
              <w:rPr>
                <w:rFonts w:hint="default"/>
                <w:color w:val="auto"/>
                <w:sz w:val="24"/>
                <w:szCs w:val="24"/>
                <w:lang w:val="en-US" w:eastAsia="zh-CN"/>
              </w:rPr>
              <w:t>厂区内非甲烷总烃排放参照执行</w:t>
            </w:r>
            <w:r>
              <w:rPr>
                <w:rFonts w:hint="eastAsia"/>
                <w:color w:val="auto"/>
                <w:sz w:val="24"/>
                <w:szCs w:val="24"/>
                <w:lang w:eastAsia="zh-CN"/>
              </w:rPr>
              <w:t>安徽省地方标准</w:t>
            </w:r>
            <w:r>
              <w:rPr>
                <w:rFonts w:hint="default"/>
                <w:color w:val="auto"/>
                <w:sz w:val="24"/>
                <w:szCs w:val="24"/>
                <w:lang w:val="en-US" w:eastAsia="zh-CN"/>
              </w:rPr>
              <w:t>《</w:t>
            </w:r>
            <w:r>
              <w:rPr>
                <w:rFonts w:hint="eastAsia"/>
                <w:color w:val="auto"/>
                <w:sz w:val="24"/>
                <w:szCs w:val="24"/>
                <w:lang w:val="en-US" w:eastAsia="zh-CN"/>
              </w:rPr>
              <w:t>固定源挥发性有机物合排放标准</w:t>
            </w:r>
            <w:r>
              <w:rPr>
                <w:rFonts w:hint="default"/>
                <w:color w:val="auto"/>
                <w:sz w:val="24"/>
                <w:szCs w:val="24"/>
                <w:lang w:val="en-US" w:eastAsia="zh-CN"/>
              </w:rPr>
              <w:t>第6部分：其他行业》（DB34/4812.6-2024）表4</w:t>
            </w:r>
            <w:r>
              <w:rPr>
                <w:rFonts w:hint="eastAsia"/>
                <w:color w:val="auto"/>
                <w:sz w:val="24"/>
                <w:szCs w:val="24"/>
                <w:lang w:val="en-US" w:eastAsia="zh-CN"/>
              </w:rPr>
              <w:t>。</w:t>
            </w:r>
          </w:p>
          <w:p w14:paraId="362C1D5E">
            <w:pPr>
              <w:keepNext w:val="0"/>
              <w:keepLines w:val="0"/>
              <w:pageBreakBefore w:val="0"/>
              <w:widowControl w:val="0"/>
              <w:kinsoku/>
              <w:wordWrap/>
              <w:overflowPunct/>
              <w:topLinePunct w:val="0"/>
              <w:autoSpaceDE/>
              <w:autoSpaceDN/>
              <w:bidi w:val="0"/>
              <w:adjustRightInd/>
              <w:snapToGrid/>
              <w:spacing w:beforeAutospacing="0"/>
              <w:jc w:val="center"/>
              <w:textAlignment w:val="auto"/>
              <w:rPr>
                <w:rFonts w:hint="default" w:ascii="Times New Roman" w:hAnsi="Times New Roman" w:eastAsia="宋体" w:cs="Times New Roman"/>
                <w:b/>
                <w:color w:val="auto"/>
                <w:kern w:val="0"/>
                <w:sz w:val="24"/>
                <w:szCs w:val="24"/>
                <w:lang w:val="zh-CN" w:eastAsia="zh-CN" w:bidi="ar-SA"/>
              </w:rPr>
            </w:pPr>
            <w:r>
              <w:rPr>
                <w:rFonts w:hint="default" w:ascii="Times New Roman" w:hAnsi="Times New Roman" w:eastAsia="宋体" w:cs="Times New Roman"/>
                <w:b/>
                <w:color w:val="auto"/>
                <w:kern w:val="0"/>
                <w:sz w:val="24"/>
                <w:szCs w:val="24"/>
                <w:lang w:val="zh-CN" w:eastAsia="zh-CN" w:bidi="ar-SA"/>
              </w:rPr>
              <w:t>表3-</w:t>
            </w:r>
            <w:r>
              <w:rPr>
                <w:rFonts w:hint="eastAsia" w:ascii="Times New Roman" w:hAnsi="Times New Roman" w:eastAsia="宋体" w:cs="Times New Roman"/>
                <w:b/>
                <w:color w:val="auto"/>
                <w:kern w:val="0"/>
                <w:sz w:val="24"/>
                <w:szCs w:val="24"/>
                <w:lang w:val="en-US" w:eastAsia="zh-CN" w:bidi="ar-SA"/>
              </w:rPr>
              <w:t>6</w:t>
            </w:r>
            <w:r>
              <w:rPr>
                <w:rFonts w:hint="default" w:ascii="Times New Roman" w:hAnsi="Times New Roman" w:eastAsia="宋体" w:cs="Times New Roman"/>
                <w:b/>
                <w:color w:val="auto"/>
                <w:kern w:val="0"/>
                <w:sz w:val="24"/>
                <w:szCs w:val="24"/>
                <w:lang w:val="en-US" w:eastAsia="zh-CN" w:bidi="ar-SA"/>
              </w:rPr>
              <w:t xml:space="preserve"> </w:t>
            </w:r>
            <w:r>
              <w:rPr>
                <w:rFonts w:hint="default" w:ascii="Times New Roman" w:hAnsi="Times New Roman" w:eastAsia="宋体" w:cs="Times New Roman"/>
                <w:b/>
                <w:color w:val="auto"/>
                <w:kern w:val="0"/>
                <w:sz w:val="24"/>
                <w:szCs w:val="24"/>
                <w:lang w:val="zh-CN" w:eastAsia="zh-CN" w:bidi="ar-SA"/>
              </w:rPr>
              <w:t xml:space="preserve"> </w:t>
            </w:r>
            <w:r>
              <w:rPr>
                <w:rFonts w:hint="eastAsia" w:ascii="Times New Roman" w:hAnsi="Times New Roman" w:eastAsia="宋体" w:cs="Times New Roman"/>
                <w:b/>
                <w:color w:val="auto"/>
                <w:kern w:val="0"/>
                <w:sz w:val="24"/>
                <w:szCs w:val="24"/>
                <w:lang w:val="en-US" w:eastAsia="zh-CN" w:bidi="ar-SA"/>
              </w:rPr>
              <w:t>大气</w:t>
            </w:r>
            <w:r>
              <w:rPr>
                <w:rFonts w:hint="default" w:ascii="Times New Roman" w:hAnsi="Times New Roman" w:eastAsia="宋体" w:cs="Times New Roman"/>
                <w:b/>
                <w:color w:val="auto"/>
                <w:kern w:val="0"/>
                <w:sz w:val="24"/>
                <w:szCs w:val="24"/>
                <w:lang w:val="zh-CN" w:eastAsia="zh-CN" w:bidi="ar-SA"/>
              </w:rPr>
              <w:t>污染物</w:t>
            </w:r>
            <w:r>
              <w:rPr>
                <w:rFonts w:hint="eastAsia" w:ascii="Times New Roman" w:hAnsi="Times New Roman" w:eastAsia="宋体" w:cs="Times New Roman"/>
                <w:b/>
                <w:color w:val="auto"/>
                <w:kern w:val="0"/>
                <w:sz w:val="24"/>
                <w:szCs w:val="24"/>
                <w:lang w:val="en-US" w:eastAsia="zh-CN" w:bidi="ar-SA"/>
              </w:rPr>
              <w:t>综合</w:t>
            </w:r>
            <w:r>
              <w:rPr>
                <w:rFonts w:hint="default" w:ascii="Times New Roman" w:hAnsi="Times New Roman" w:eastAsia="宋体" w:cs="Times New Roman"/>
                <w:b/>
                <w:color w:val="auto"/>
                <w:kern w:val="0"/>
                <w:sz w:val="24"/>
                <w:szCs w:val="24"/>
                <w:lang w:val="zh-CN" w:eastAsia="zh-CN" w:bidi="ar-SA"/>
              </w:rPr>
              <w:t>排放标准</w:t>
            </w:r>
          </w:p>
          <w:tbl>
            <w:tblPr>
              <w:tblStyle w:val="6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38"/>
              <w:gridCol w:w="1379"/>
              <w:gridCol w:w="1261"/>
              <w:gridCol w:w="1078"/>
              <w:gridCol w:w="1279"/>
              <w:gridCol w:w="2565"/>
            </w:tblGrid>
            <w:tr w14:paraId="0D49C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39" w:hRule="atLeast"/>
                <w:jc w:val="center"/>
              </w:trPr>
              <w:tc>
                <w:tcPr>
                  <w:tcW w:w="445" w:type="pct"/>
                  <w:vMerge w:val="restart"/>
                  <w:noWrap w:val="0"/>
                  <w:vAlign w:val="center"/>
                </w:tcPr>
                <w:p w14:paraId="6EC1BB15">
                  <w:pPr>
                    <w:widowControl/>
                    <w:snapToGrid w:val="0"/>
                    <w:jc w:val="center"/>
                    <w:rPr>
                      <w:rFonts w:hint="default" w:ascii="Times New Roman" w:hAnsi="Times New Roman" w:eastAsia="宋体" w:cs="Times New Roman"/>
                      <w:b/>
                      <w:color w:val="auto"/>
                      <w:kern w:val="0"/>
                      <w:sz w:val="21"/>
                      <w:szCs w:val="21"/>
                    </w:rPr>
                  </w:pPr>
                  <w:r>
                    <w:rPr>
                      <w:rFonts w:hint="default" w:ascii="Times New Roman" w:hAnsi="Times New Roman" w:eastAsia="宋体" w:cs="Times New Roman"/>
                      <w:b/>
                      <w:color w:val="auto"/>
                      <w:kern w:val="0"/>
                      <w:sz w:val="21"/>
                      <w:szCs w:val="21"/>
                    </w:rPr>
                    <w:t>污染物</w:t>
                  </w:r>
                </w:p>
                <w:p w14:paraId="54FA0595">
                  <w:pPr>
                    <w:widowControl/>
                    <w:snapToGrid w:val="0"/>
                    <w:jc w:val="center"/>
                    <w:rPr>
                      <w:rFonts w:hint="default" w:ascii="Times New Roman" w:hAnsi="Times New Roman" w:eastAsia="宋体" w:cs="Times New Roman"/>
                      <w:b/>
                      <w:color w:val="auto"/>
                      <w:kern w:val="0"/>
                      <w:sz w:val="21"/>
                      <w:szCs w:val="21"/>
                    </w:rPr>
                  </w:pPr>
                  <w:r>
                    <w:rPr>
                      <w:rFonts w:hint="default" w:ascii="Times New Roman" w:hAnsi="Times New Roman" w:eastAsia="宋体" w:cs="Times New Roman"/>
                      <w:b/>
                      <w:color w:val="auto"/>
                      <w:kern w:val="0"/>
                      <w:sz w:val="21"/>
                      <w:szCs w:val="21"/>
                    </w:rPr>
                    <w:t>名称</w:t>
                  </w:r>
                </w:p>
              </w:tc>
              <w:tc>
                <w:tcPr>
                  <w:tcW w:w="830" w:type="pct"/>
                  <w:vMerge w:val="restart"/>
                  <w:noWrap w:val="0"/>
                  <w:vAlign w:val="center"/>
                </w:tcPr>
                <w:p w14:paraId="7994D88D">
                  <w:pPr>
                    <w:widowControl/>
                    <w:snapToGrid w:val="0"/>
                    <w:jc w:val="center"/>
                    <w:rPr>
                      <w:rFonts w:hint="default" w:ascii="Times New Roman" w:hAnsi="Times New Roman" w:cs="Times New Roman"/>
                      <w:b/>
                      <w:bCs/>
                      <w:color w:val="auto"/>
                    </w:rPr>
                  </w:pPr>
                  <w:r>
                    <w:rPr>
                      <w:rFonts w:hint="default" w:ascii="Times New Roman" w:hAnsi="Times New Roman" w:eastAsia="宋体" w:cs="Times New Roman"/>
                      <w:b/>
                      <w:color w:val="auto"/>
                      <w:kern w:val="0"/>
                      <w:sz w:val="21"/>
                      <w:szCs w:val="21"/>
                    </w:rPr>
                    <w:t>最高允许排放浓度（mg/m</w:t>
                  </w:r>
                  <w:r>
                    <w:rPr>
                      <w:rFonts w:hint="default" w:ascii="Times New Roman" w:hAnsi="Times New Roman" w:eastAsia="宋体" w:cs="Times New Roman"/>
                      <w:b/>
                      <w:color w:val="auto"/>
                      <w:kern w:val="0"/>
                      <w:sz w:val="21"/>
                      <w:szCs w:val="21"/>
                      <w:vertAlign w:val="superscript"/>
                    </w:rPr>
                    <w:t>3</w:t>
                  </w:r>
                  <w:r>
                    <w:rPr>
                      <w:rFonts w:hint="default" w:ascii="Times New Roman" w:hAnsi="Times New Roman" w:eastAsia="宋体" w:cs="Times New Roman"/>
                      <w:b/>
                      <w:color w:val="auto"/>
                      <w:kern w:val="0"/>
                      <w:sz w:val="21"/>
                      <w:szCs w:val="21"/>
                    </w:rPr>
                    <w:t>）</w:t>
                  </w:r>
                </w:p>
              </w:tc>
              <w:tc>
                <w:tcPr>
                  <w:tcW w:w="759" w:type="pct"/>
                  <w:vMerge w:val="restart"/>
                  <w:noWrap w:val="0"/>
                  <w:vAlign w:val="center"/>
                </w:tcPr>
                <w:p w14:paraId="53C5F11E">
                  <w:pPr>
                    <w:widowControl/>
                    <w:snapToGrid w:val="0"/>
                    <w:jc w:val="center"/>
                    <w:rPr>
                      <w:rFonts w:hint="default" w:ascii="Times New Roman" w:hAnsi="Times New Roman" w:eastAsia="宋体" w:cs="Times New Roman"/>
                      <w:b/>
                      <w:bCs/>
                      <w:color w:val="auto"/>
                      <w:kern w:val="0"/>
                      <w:sz w:val="21"/>
                      <w:szCs w:val="21"/>
                      <w:lang w:val="en-US" w:eastAsia="zh-CN" w:bidi="ar-SA"/>
                    </w:rPr>
                  </w:pPr>
                  <w:r>
                    <w:rPr>
                      <w:rFonts w:hint="default" w:ascii="Times New Roman" w:hAnsi="Times New Roman" w:cs="Times New Roman"/>
                      <w:b/>
                      <w:color w:val="auto"/>
                      <w:kern w:val="0"/>
                      <w:sz w:val="21"/>
                      <w:szCs w:val="21"/>
                      <w:lang w:eastAsia="zh-CN"/>
                    </w:rPr>
                    <w:t>最高允许</w:t>
                  </w:r>
                  <w:r>
                    <w:rPr>
                      <w:rFonts w:hint="default" w:ascii="Times New Roman" w:hAnsi="Times New Roman" w:eastAsia="宋体" w:cs="Times New Roman"/>
                      <w:b/>
                      <w:color w:val="auto"/>
                      <w:kern w:val="0"/>
                      <w:sz w:val="21"/>
                      <w:szCs w:val="21"/>
                    </w:rPr>
                    <w:t>排放速率（kg/h）</w:t>
                  </w:r>
                </w:p>
              </w:tc>
              <w:tc>
                <w:tcPr>
                  <w:tcW w:w="1419" w:type="pct"/>
                  <w:gridSpan w:val="2"/>
                  <w:noWrap w:val="0"/>
                  <w:vAlign w:val="center"/>
                </w:tcPr>
                <w:p w14:paraId="0D6B73FB">
                  <w:pPr>
                    <w:widowControl/>
                    <w:snapToGrid w:val="0"/>
                    <w:jc w:val="center"/>
                    <w:rPr>
                      <w:rFonts w:hint="default" w:ascii="Times New Roman" w:hAnsi="Times New Roman" w:cs="Times New Roman"/>
                      <w:b/>
                      <w:color w:val="auto"/>
                      <w:kern w:val="0"/>
                      <w:sz w:val="21"/>
                      <w:szCs w:val="21"/>
                      <w:lang w:val="en-US" w:eastAsia="zh-CN"/>
                    </w:rPr>
                  </w:pPr>
                  <w:r>
                    <w:rPr>
                      <w:rFonts w:hint="eastAsia" w:cs="Times New Roman"/>
                      <w:b/>
                      <w:color w:val="auto"/>
                      <w:kern w:val="0"/>
                      <w:sz w:val="21"/>
                      <w:szCs w:val="21"/>
                      <w:lang w:val="en-US" w:eastAsia="zh-CN"/>
                    </w:rPr>
                    <w:t>无组织排放监控浓度限值</w:t>
                  </w:r>
                </w:p>
              </w:tc>
              <w:tc>
                <w:tcPr>
                  <w:tcW w:w="1544" w:type="pct"/>
                  <w:vMerge w:val="restart"/>
                  <w:noWrap w:val="0"/>
                  <w:vAlign w:val="center"/>
                </w:tcPr>
                <w:p w14:paraId="09A206CE">
                  <w:pPr>
                    <w:widowControl/>
                    <w:snapToGrid w:val="0"/>
                    <w:jc w:val="center"/>
                    <w:rPr>
                      <w:rFonts w:hint="default" w:ascii="Times New Roman" w:hAnsi="Times New Roman" w:eastAsia="宋体" w:cs="Times New Roman"/>
                      <w:b/>
                      <w:color w:val="auto"/>
                      <w:kern w:val="0"/>
                      <w:sz w:val="21"/>
                      <w:szCs w:val="21"/>
                      <w:lang w:eastAsia="zh-CN"/>
                    </w:rPr>
                  </w:pPr>
                  <w:r>
                    <w:rPr>
                      <w:rFonts w:hint="default" w:ascii="Times New Roman" w:hAnsi="Times New Roman" w:cs="Times New Roman"/>
                      <w:b/>
                      <w:color w:val="auto"/>
                      <w:kern w:val="0"/>
                      <w:sz w:val="21"/>
                      <w:szCs w:val="21"/>
                      <w:lang w:eastAsia="zh-CN"/>
                    </w:rPr>
                    <w:t>标准来源</w:t>
                  </w:r>
                </w:p>
              </w:tc>
            </w:tr>
            <w:tr w14:paraId="39399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39" w:hRule="atLeast"/>
                <w:jc w:val="center"/>
              </w:trPr>
              <w:tc>
                <w:tcPr>
                  <w:tcW w:w="445" w:type="pct"/>
                  <w:vMerge w:val="continue"/>
                  <w:noWrap w:val="0"/>
                  <w:vAlign w:val="center"/>
                </w:tcPr>
                <w:p w14:paraId="21B8F914">
                  <w:pPr>
                    <w:widowControl/>
                    <w:snapToGrid w:val="0"/>
                    <w:jc w:val="center"/>
                    <w:rPr>
                      <w:color w:val="auto"/>
                    </w:rPr>
                  </w:pPr>
                </w:p>
              </w:tc>
              <w:tc>
                <w:tcPr>
                  <w:tcW w:w="830" w:type="pct"/>
                  <w:vMerge w:val="continue"/>
                  <w:noWrap w:val="0"/>
                  <w:vAlign w:val="center"/>
                </w:tcPr>
                <w:p w14:paraId="26B23450">
                  <w:pPr>
                    <w:widowControl/>
                    <w:snapToGrid w:val="0"/>
                    <w:jc w:val="center"/>
                    <w:rPr>
                      <w:rFonts w:hint="default" w:ascii="Times New Roman" w:hAnsi="Times New Roman" w:eastAsia="宋体" w:cs="Times New Roman"/>
                      <w:b/>
                      <w:color w:val="auto"/>
                      <w:kern w:val="0"/>
                      <w:sz w:val="21"/>
                      <w:szCs w:val="21"/>
                    </w:rPr>
                  </w:pPr>
                </w:p>
              </w:tc>
              <w:tc>
                <w:tcPr>
                  <w:tcW w:w="759" w:type="pct"/>
                  <w:vMerge w:val="continue"/>
                  <w:noWrap w:val="0"/>
                  <w:vAlign w:val="center"/>
                </w:tcPr>
                <w:p w14:paraId="541156D8">
                  <w:pPr>
                    <w:widowControl/>
                    <w:snapToGrid w:val="0"/>
                    <w:jc w:val="center"/>
                    <w:rPr>
                      <w:rFonts w:hint="default" w:ascii="Times New Roman" w:hAnsi="Times New Roman" w:eastAsia="宋体" w:cs="Times New Roman"/>
                      <w:b/>
                      <w:color w:val="auto"/>
                      <w:kern w:val="0"/>
                      <w:sz w:val="21"/>
                      <w:szCs w:val="21"/>
                    </w:rPr>
                  </w:pPr>
                </w:p>
              </w:tc>
              <w:tc>
                <w:tcPr>
                  <w:tcW w:w="649" w:type="pct"/>
                  <w:noWrap w:val="0"/>
                  <w:vAlign w:val="center"/>
                </w:tcPr>
                <w:p w14:paraId="3F32BFE7">
                  <w:pPr>
                    <w:widowControl/>
                    <w:snapToGrid w:val="0"/>
                    <w:jc w:val="center"/>
                    <w:rPr>
                      <w:rFonts w:hint="eastAsia" w:ascii="Times New Roman" w:hAnsi="Times New Roman" w:eastAsia="宋体" w:cs="Times New Roman"/>
                      <w:b/>
                      <w:color w:val="auto"/>
                      <w:kern w:val="0"/>
                      <w:sz w:val="21"/>
                      <w:szCs w:val="21"/>
                      <w:lang w:val="en-US" w:eastAsia="zh-CN"/>
                    </w:rPr>
                  </w:pPr>
                  <w:r>
                    <w:rPr>
                      <w:rFonts w:hint="eastAsia" w:cs="Times New Roman"/>
                      <w:b/>
                      <w:color w:val="auto"/>
                      <w:kern w:val="0"/>
                      <w:sz w:val="21"/>
                      <w:szCs w:val="21"/>
                      <w:lang w:val="en-US" w:eastAsia="zh-CN"/>
                    </w:rPr>
                    <w:t>监控点</w:t>
                  </w:r>
                </w:p>
              </w:tc>
              <w:tc>
                <w:tcPr>
                  <w:tcW w:w="770" w:type="pct"/>
                  <w:noWrap w:val="0"/>
                  <w:vAlign w:val="center"/>
                </w:tcPr>
                <w:p w14:paraId="01D47500">
                  <w:pPr>
                    <w:widowControl/>
                    <w:snapToGrid w:val="0"/>
                    <w:jc w:val="center"/>
                    <w:rPr>
                      <w:rFonts w:hint="eastAsia" w:ascii="Times New Roman" w:hAnsi="Times New Roman" w:eastAsia="宋体" w:cs="Times New Roman"/>
                      <w:b/>
                      <w:color w:val="auto"/>
                      <w:kern w:val="0"/>
                      <w:sz w:val="21"/>
                      <w:szCs w:val="21"/>
                      <w:lang w:val="en-US" w:eastAsia="zh-CN"/>
                    </w:rPr>
                  </w:pPr>
                  <w:r>
                    <w:rPr>
                      <w:rFonts w:hint="eastAsia" w:cs="Times New Roman"/>
                      <w:b/>
                      <w:color w:val="auto"/>
                      <w:kern w:val="0"/>
                      <w:sz w:val="21"/>
                      <w:szCs w:val="21"/>
                      <w:lang w:val="en-US" w:eastAsia="zh-CN"/>
                    </w:rPr>
                    <w:t>浓度</w:t>
                  </w:r>
                  <w:r>
                    <w:rPr>
                      <w:rFonts w:hint="default" w:ascii="Times New Roman" w:hAnsi="Times New Roman" w:eastAsia="宋体" w:cs="Times New Roman"/>
                      <w:b/>
                      <w:color w:val="auto"/>
                      <w:kern w:val="0"/>
                      <w:sz w:val="21"/>
                      <w:szCs w:val="21"/>
                    </w:rPr>
                    <w:t>（mg/m</w:t>
                  </w:r>
                  <w:r>
                    <w:rPr>
                      <w:rFonts w:hint="default" w:ascii="Times New Roman" w:hAnsi="Times New Roman" w:eastAsia="宋体" w:cs="Times New Roman"/>
                      <w:b/>
                      <w:color w:val="auto"/>
                      <w:kern w:val="0"/>
                      <w:sz w:val="21"/>
                      <w:szCs w:val="21"/>
                      <w:vertAlign w:val="superscript"/>
                    </w:rPr>
                    <w:t>3</w:t>
                  </w:r>
                  <w:r>
                    <w:rPr>
                      <w:rFonts w:hint="default" w:ascii="Times New Roman" w:hAnsi="Times New Roman" w:eastAsia="宋体" w:cs="Times New Roman"/>
                      <w:b/>
                      <w:color w:val="auto"/>
                      <w:kern w:val="0"/>
                      <w:sz w:val="21"/>
                      <w:szCs w:val="21"/>
                    </w:rPr>
                    <w:t>）</w:t>
                  </w:r>
                </w:p>
              </w:tc>
              <w:tc>
                <w:tcPr>
                  <w:tcW w:w="1544" w:type="pct"/>
                  <w:vMerge w:val="continue"/>
                  <w:noWrap w:val="0"/>
                  <w:vAlign w:val="center"/>
                </w:tcPr>
                <w:p w14:paraId="1097C7A3">
                  <w:pPr>
                    <w:widowControl/>
                    <w:snapToGrid w:val="0"/>
                    <w:jc w:val="center"/>
                    <w:rPr>
                      <w:rFonts w:hint="default" w:ascii="Times New Roman" w:hAnsi="Times New Roman" w:eastAsia="宋体" w:cs="Times New Roman"/>
                      <w:b/>
                      <w:color w:val="auto"/>
                      <w:kern w:val="0"/>
                      <w:sz w:val="21"/>
                      <w:szCs w:val="21"/>
                    </w:rPr>
                  </w:pPr>
                </w:p>
              </w:tc>
            </w:tr>
            <w:tr w14:paraId="393BE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79" w:hRule="atLeast"/>
                <w:jc w:val="center"/>
              </w:trPr>
              <w:tc>
                <w:tcPr>
                  <w:tcW w:w="445" w:type="pct"/>
                  <w:shd w:val="clear" w:color="auto" w:fill="auto"/>
                  <w:noWrap w:val="0"/>
                  <w:vAlign w:val="center"/>
                </w:tcPr>
                <w:p w14:paraId="6BB15F43">
                  <w:pPr>
                    <w:widowControl/>
                    <w:snapToGrid w:val="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颗粒物</w:t>
                  </w:r>
                </w:p>
              </w:tc>
              <w:tc>
                <w:tcPr>
                  <w:tcW w:w="830" w:type="pct"/>
                  <w:shd w:val="clear" w:color="auto" w:fill="auto"/>
                  <w:noWrap w:val="0"/>
                  <w:vAlign w:val="center"/>
                </w:tcPr>
                <w:p w14:paraId="09F0A4E2">
                  <w:pPr>
                    <w:widowControl/>
                    <w:snapToGrid w:val="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120</w:t>
                  </w:r>
                </w:p>
              </w:tc>
              <w:tc>
                <w:tcPr>
                  <w:tcW w:w="759" w:type="pct"/>
                  <w:shd w:val="clear" w:color="auto" w:fill="auto"/>
                  <w:noWrap w:val="0"/>
                  <w:vAlign w:val="center"/>
                </w:tcPr>
                <w:p w14:paraId="5D294A1D">
                  <w:pPr>
                    <w:widowControl/>
                    <w:snapToGrid w:val="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4.94</w:t>
                  </w:r>
                </w:p>
              </w:tc>
              <w:tc>
                <w:tcPr>
                  <w:tcW w:w="649" w:type="pct"/>
                  <w:vMerge w:val="restart"/>
                  <w:shd w:val="clear" w:color="auto" w:fill="auto"/>
                  <w:noWrap w:val="0"/>
                  <w:vAlign w:val="center"/>
                </w:tcPr>
                <w:p w14:paraId="7D020C62">
                  <w:pPr>
                    <w:widowControl/>
                    <w:snapToGrid w:val="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周界外浓度最高点</w:t>
                  </w:r>
                </w:p>
              </w:tc>
              <w:tc>
                <w:tcPr>
                  <w:tcW w:w="770" w:type="pct"/>
                  <w:shd w:val="clear" w:color="auto" w:fill="auto"/>
                  <w:noWrap w:val="0"/>
                  <w:vAlign w:val="center"/>
                </w:tcPr>
                <w:p w14:paraId="7C248B7D">
                  <w:pPr>
                    <w:widowControl/>
                    <w:snapToGrid w:val="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1.0</w:t>
                  </w:r>
                </w:p>
              </w:tc>
              <w:tc>
                <w:tcPr>
                  <w:tcW w:w="1544" w:type="pct"/>
                  <w:vMerge w:val="restart"/>
                  <w:shd w:val="clear" w:color="auto" w:fill="auto"/>
                  <w:noWrap w:val="0"/>
                  <w:vAlign w:val="center"/>
                </w:tcPr>
                <w:p w14:paraId="3D3A64B1">
                  <w:pPr>
                    <w:widowControl/>
                    <w:snapToGrid w:val="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《大气污染物综合排放标准》（GB 1629-1996）表2</w:t>
                  </w:r>
                </w:p>
              </w:tc>
            </w:tr>
            <w:tr w14:paraId="370EB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79" w:hRule="atLeast"/>
                <w:jc w:val="center"/>
              </w:trPr>
              <w:tc>
                <w:tcPr>
                  <w:tcW w:w="445" w:type="pct"/>
                  <w:shd w:val="clear" w:color="auto" w:fill="auto"/>
                  <w:noWrap w:val="0"/>
                  <w:vAlign w:val="center"/>
                </w:tcPr>
                <w:p w14:paraId="7A99FFDB">
                  <w:pPr>
                    <w:widowControl/>
                    <w:snapToGrid w:val="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非甲烷总烃</w:t>
                  </w:r>
                </w:p>
              </w:tc>
              <w:tc>
                <w:tcPr>
                  <w:tcW w:w="830" w:type="pct"/>
                  <w:shd w:val="clear" w:color="auto" w:fill="auto"/>
                  <w:noWrap w:val="0"/>
                  <w:vAlign w:val="center"/>
                </w:tcPr>
                <w:p w14:paraId="2F905193">
                  <w:pPr>
                    <w:widowControl/>
                    <w:snapToGrid w:val="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120</w:t>
                  </w:r>
                </w:p>
              </w:tc>
              <w:tc>
                <w:tcPr>
                  <w:tcW w:w="759" w:type="pct"/>
                  <w:shd w:val="clear" w:color="auto" w:fill="auto"/>
                  <w:noWrap w:val="0"/>
                  <w:vAlign w:val="center"/>
                </w:tcPr>
                <w:p w14:paraId="26BDF214">
                  <w:pPr>
                    <w:widowControl/>
                    <w:snapToGrid w:val="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14.2</w:t>
                  </w:r>
                </w:p>
              </w:tc>
              <w:tc>
                <w:tcPr>
                  <w:tcW w:w="649" w:type="pct"/>
                  <w:vMerge w:val="continue"/>
                  <w:shd w:val="clear" w:color="auto" w:fill="auto"/>
                  <w:noWrap w:val="0"/>
                  <w:vAlign w:val="center"/>
                </w:tcPr>
                <w:p w14:paraId="370582A9">
                  <w:pPr>
                    <w:widowControl/>
                    <w:snapToGrid w:val="0"/>
                    <w:jc w:val="center"/>
                    <w:rPr>
                      <w:rFonts w:hint="eastAsia" w:ascii="Times New Roman" w:hAnsi="Times New Roman" w:eastAsia="宋体" w:cs="Times New Roman"/>
                      <w:color w:val="auto"/>
                      <w:kern w:val="0"/>
                      <w:sz w:val="21"/>
                      <w:szCs w:val="21"/>
                      <w:lang w:val="en-US" w:eastAsia="zh-CN" w:bidi="ar-SA"/>
                    </w:rPr>
                  </w:pPr>
                </w:p>
              </w:tc>
              <w:tc>
                <w:tcPr>
                  <w:tcW w:w="770" w:type="pct"/>
                  <w:shd w:val="clear" w:color="auto" w:fill="auto"/>
                  <w:noWrap w:val="0"/>
                  <w:vAlign w:val="center"/>
                </w:tcPr>
                <w:p w14:paraId="1B9219AC">
                  <w:pPr>
                    <w:widowControl/>
                    <w:snapToGrid w:val="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4.0</w:t>
                  </w:r>
                </w:p>
              </w:tc>
              <w:tc>
                <w:tcPr>
                  <w:tcW w:w="1544" w:type="pct"/>
                  <w:vMerge w:val="continue"/>
                  <w:shd w:val="clear" w:color="auto" w:fill="auto"/>
                  <w:noWrap w:val="0"/>
                  <w:vAlign w:val="center"/>
                </w:tcPr>
                <w:p w14:paraId="46F621F2">
                  <w:pPr>
                    <w:widowControl/>
                    <w:snapToGrid w:val="0"/>
                    <w:jc w:val="center"/>
                    <w:rPr>
                      <w:rFonts w:hint="eastAsia" w:ascii="Times New Roman" w:hAnsi="Times New Roman" w:eastAsia="宋体" w:cs="Times New Roman"/>
                      <w:color w:val="auto"/>
                      <w:kern w:val="0"/>
                      <w:sz w:val="21"/>
                      <w:szCs w:val="21"/>
                      <w:lang w:val="en-US" w:eastAsia="zh-CN" w:bidi="ar-SA"/>
                    </w:rPr>
                  </w:pPr>
                </w:p>
              </w:tc>
            </w:tr>
          </w:tbl>
          <w:p w14:paraId="28CF6B53">
            <w:pPr>
              <w:spacing w:line="360" w:lineRule="auto"/>
              <w:ind w:firstLine="420" w:firstLineChars="200"/>
              <w:rPr>
                <w:rFonts w:hint="eastAsia"/>
                <w:color w:val="auto"/>
                <w:sz w:val="21"/>
                <w:szCs w:val="21"/>
                <w:lang w:val="en-US" w:eastAsia="zh-CN"/>
              </w:rPr>
            </w:pPr>
            <w:r>
              <w:rPr>
                <w:rFonts w:hint="eastAsia"/>
                <w:color w:val="auto"/>
                <w:sz w:val="21"/>
                <w:szCs w:val="21"/>
                <w:lang w:val="en-US" w:eastAsia="zh-CN"/>
              </w:rPr>
              <w:t>注：本项目排气筒高度为18m，根据中华人民共和国国家标准《大气污染物综合排放标准》规定：某排气简高度处于表列两高度之间，用内插法计算其最高允许排放速率，按下式计算∶</w:t>
            </w:r>
          </w:p>
          <w:p w14:paraId="055452E8">
            <w:pPr>
              <w:spacing w:line="360" w:lineRule="auto"/>
              <w:ind w:firstLine="420" w:firstLineChars="200"/>
              <w:rPr>
                <w:rFonts w:hint="eastAsia"/>
                <w:color w:val="auto"/>
                <w:sz w:val="21"/>
                <w:szCs w:val="21"/>
                <w:lang w:val="en-US" w:eastAsia="zh-CN"/>
              </w:rPr>
            </w:pPr>
            <w:r>
              <w:rPr>
                <w:rFonts w:hint="eastAsia"/>
                <w:color w:val="auto"/>
                <w:sz w:val="21"/>
                <w:szCs w:val="21"/>
                <w:lang w:val="en-US" w:eastAsia="zh-CN"/>
              </w:rPr>
              <w:t>Q=Qa+(Qa+1-Qa)(h-ha)/(ha+1-ha)</w:t>
            </w:r>
          </w:p>
          <w:p w14:paraId="0808041B">
            <w:pPr>
              <w:spacing w:line="360" w:lineRule="auto"/>
              <w:ind w:firstLine="420" w:firstLineChars="200"/>
              <w:rPr>
                <w:rFonts w:hint="eastAsia"/>
                <w:color w:val="auto"/>
                <w:sz w:val="21"/>
                <w:szCs w:val="21"/>
                <w:lang w:val="en-US" w:eastAsia="zh-CN"/>
              </w:rPr>
            </w:pPr>
            <w:r>
              <w:rPr>
                <w:rFonts w:hint="eastAsia"/>
                <w:color w:val="auto"/>
                <w:sz w:val="21"/>
                <w:szCs w:val="21"/>
                <w:lang w:val="en-US" w:eastAsia="zh-CN"/>
              </w:rPr>
              <w:t>式中∶Q——某排气筒最高允许排放速率；</w:t>
            </w:r>
          </w:p>
          <w:p w14:paraId="048D2E62">
            <w:pPr>
              <w:spacing w:line="360" w:lineRule="auto"/>
              <w:ind w:firstLine="420" w:firstLineChars="200"/>
              <w:rPr>
                <w:rFonts w:hint="eastAsia"/>
                <w:color w:val="auto"/>
                <w:sz w:val="21"/>
                <w:szCs w:val="21"/>
                <w:lang w:val="en-US" w:eastAsia="zh-CN"/>
              </w:rPr>
            </w:pPr>
            <w:r>
              <w:rPr>
                <w:rFonts w:hint="eastAsia"/>
                <w:color w:val="auto"/>
                <w:sz w:val="21"/>
                <w:szCs w:val="21"/>
                <w:lang w:val="en-US" w:eastAsia="zh-CN"/>
              </w:rPr>
              <w:t>Qa———比某排气筒低的表列限值中的最大值；</w:t>
            </w:r>
          </w:p>
          <w:p w14:paraId="3B6AFCA8">
            <w:pPr>
              <w:spacing w:line="360" w:lineRule="auto"/>
              <w:ind w:firstLine="420" w:firstLineChars="200"/>
              <w:rPr>
                <w:rFonts w:hint="eastAsia"/>
                <w:color w:val="auto"/>
                <w:sz w:val="21"/>
                <w:szCs w:val="21"/>
                <w:lang w:val="en-US" w:eastAsia="zh-CN"/>
              </w:rPr>
            </w:pPr>
            <w:r>
              <w:rPr>
                <w:rFonts w:hint="eastAsia"/>
                <w:color w:val="auto"/>
                <w:sz w:val="21"/>
                <w:szCs w:val="21"/>
                <w:lang w:val="en-US" w:eastAsia="zh-CN"/>
              </w:rPr>
              <w:t>Qa+1——比某排气筒高的表列限值中的最小值；</w:t>
            </w:r>
          </w:p>
          <w:p w14:paraId="05087E23">
            <w:pPr>
              <w:spacing w:line="360" w:lineRule="auto"/>
              <w:ind w:firstLine="420" w:firstLineChars="200"/>
              <w:rPr>
                <w:rFonts w:hint="eastAsia"/>
                <w:color w:val="auto"/>
                <w:sz w:val="21"/>
                <w:szCs w:val="21"/>
                <w:lang w:val="en-US" w:eastAsia="zh-CN"/>
              </w:rPr>
            </w:pPr>
            <w:r>
              <w:rPr>
                <w:rFonts w:hint="eastAsia"/>
                <w:color w:val="auto"/>
                <w:sz w:val="21"/>
                <w:szCs w:val="21"/>
                <w:lang w:val="en-US" w:eastAsia="zh-CN"/>
              </w:rPr>
              <w:t>h———某排气筒的几何高度；</w:t>
            </w:r>
          </w:p>
          <w:p w14:paraId="0DB0D035">
            <w:pPr>
              <w:spacing w:line="360" w:lineRule="auto"/>
              <w:ind w:firstLine="420" w:firstLineChars="200"/>
              <w:rPr>
                <w:rFonts w:hint="eastAsia"/>
                <w:color w:val="auto"/>
                <w:sz w:val="21"/>
                <w:szCs w:val="21"/>
                <w:lang w:val="en-US" w:eastAsia="zh-CN"/>
              </w:rPr>
            </w:pPr>
            <w:r>
              <w:rPr>
                <w:rFonts w:hint="eastAsia"/>
                <w:color w:val="auto"/>
                <w:sz w:val="21"/>
                <w:szCs w:val="21"/>
                <w:lang w:val="en-US" w:eastAsia="zh-CN"/>
              </w:rPr>
              <w:t>ha———比某排气筒低的表列高度中的最大值；</w:t>
            </w:r>
          </w:p>
          <w:p w14:paraId="625EDB24">
            <w:pPr>
              <w:spacing w:line="360" w:lineRule="auto"/>
              <w:ind w:firstLine="420" w:firstLineChars="200"/>
              <w:rPr>
                <w:rFonts w:hint="eastAsia"/>
                <w:color w:val="auto"/>
                <w:sz w:val="21"/>
                <w:szCs w:val="21"/>
                <w:lang w:val="en-US" w:eastAsia="zh-CN"/>
              </w:rPr>
            </w:pPr>
            <w:r>
              <w:rPr>
                <w:rFonts w:hint="eastAsia"/>
                <w:color w:val="auto"/>
                <w:sz w:val="21"/>
                <w:szCs w:val="21"/>
                <w:lang w:val="en-US" w:eastAsia="zh-CN"/>
              </w:rPr>
              <w:t>ha+1———比某排气筒高的表列高度中的最小值。</w:t>
            </w:r>
          </w:p>
          <w:p w14:paraId="1865ADF7">
            <w:pPr>
              <w:spacing w:line="360" w:lineRule="auto"/>
              <w:ind w:firstLine="420" w:firstLineChars="200"/>
              <w:rPr>
                <w:rFonts w:hint="default" w:ascii="Times New Roman" w:hAnsi="Times New Roman" w:cs="Times New Roman"/>
                <w:color w:val="auto"/>
                <w:sz w:val="21"/>
                <w:szCs w:val="21"/>
                <w:lang w:val="en-US" w:eastAsia="zh-CN"/>
              </w:rPr>
            </w:pPr>
            <w:r>
              <w:rPr>
                <w:rFonts w:hint="eastAsia"/>
                <w:color w:val="auto"/>
                <w:sz w:val="21"/>
                <w:szCs w:val="21"/>
                <w:lang w:val="en-US" w:eastAsia="zh-CN"/>
              </w:rPr>
              <w:t>根据计算公式得（Q1：颗粒物，Q2：非甲烷总烃）：Q1=3.5+(5.9-3.5)*(18-15）/(20-15）=4.94kg/h,Q2=10+（17-10）*（18-15）/（20-15）=14.2kg/h，则颗粒物18m高排气筒允许速率为4.94kg/h，非甲烷总烃18m高排气筒允许速率为14.2kg/h</w:t>
            </w:r>
            <w:r>
              <w:rPr>
                <w:rFonts w:hint="default" w:ascii="Times New Roman" w:hAnsi="Times New Roman" w:cs="Times New Roman"/>
                <w:color w:val="auto"/>
                <w:sz w:val="21"/>
                <w:szCs w:val="21"/>
                <w:lang w:val="en-US" w:eastAsia="zh-CN"/>
              </w:rPr>
              <w:t>。</w:t>
            </w:r>
          </w:p>
          <w:p w14:paraId="741437FE">
            <w:pPr>
              <w:keepNext w:val="0"/>
              <w:keepLines w:val="0"/>
              <w:pageBreakBefore w:val="0"/>
              <w:widowControl w:val="0"/>
              <w:kinsoku/>
              <w:wordWrap/>
              <w:overflowPunct/>
              <w:topLinePunct w:val="0"/>
              <w:autoSpaceDE/>
              <w:autoSpaceDN/>
              <w:bidi w:val="0"/>
              <w:adjustRightInd/>
              <w:snapToGrid/>
              <w:spacing w:beforeAutospacing="0"/>
              <w:jc w:val="center"/>
              <w:textAlignment w:val="auto"/>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表3-</w:t>
            </w:r>
            <w:r>
              <w:rPr>
                <w:rFonts w:hint="eastAsia" w:ascii="Times New Roman" w:hAnsi="Times New Roman" w:eastAsia="宋体" w:cs="Times New Roman"/>
                <w:b/>
                <w:color w:val="auto"/>
                <w:kern w:val="0"/>
                <w:sz w:val="24"/>
                <w:szCs w:val="24"/>
                <w:lang w:val="en-US" w:eastAsia="zh-CN" w:bidi="ar-SA"/>
              </w:rPr>
              <w:t>7</w:t>
            </w:r>
            <w:r>
              <w:rPr>
                <w:rFonts w:hint="default" w:ascii="Times New Roman" w:hAnsi="Times New Roman" w:eastAsia="宋体" w:cs="Times New Roman"/>
                <w:b/>
                <w:color w:val="auto"/>
                <w:kern w:val="0"/>
                <w:sz w:val="24"/>
                <w:szCs w:val="24"/>
                <w:lang w:val="en-US" w:eastAsia="zh-CN" w:bidi="ar-SA"/>
              </w:rPr>
              <w:t xml:space="preserve">  厂区内VOCs无组织排放限值   单位：mg/m</w:t>
            </w:r>
            <w:r>
              <w:rPr>
                <w:rFonts w:hint="default" w:ascii="Times New Roman" w:hAnsi="Times New Roman" w:eastAsia="宋体" w:cs="Times New Roman"/>
                <w:b/>
                <w:color w:val="auto"/>
                <w:kern w:val="0"/>
                <w:sz w:val="24"/>
                <w:szCs w:val="24"/>
                <w:vertAlign w:val="superscript"/>
                <w:lang w:val="en-US" w:eastAsia="zh-CN" w:bidi="ar-SA"/>
              </w:rPr>
              <w:t>3</w:t>
            </w:r>
          </w:p>
          <w:tbl>
            <w:tblPr>
              <w:tblStyle w:val="63"/>
              <w:tblW w:w="499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630"/>
              <w:gridCol w:w="900"/>
              <w:gridCol w:w="1496"/>
              <w:gridCol w:w="1419"/>
              <w:gridCol w:w="2852"/>
            </w:tblGrid>
            <w:tr w14:paraId="29C23B1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35" w:hRule="atLeast"/>
                <w:jc w:val="center"/>
              </w:trPr>
              <w:tc>
                <w:tcPr>
                  <w:tcW w:w="982" w:type="pct"/>
                  <w:noWrap w:val="0"/>
                  <w:vAlign w:val="center"/>
                </w:tcPr>
                <w:p w14:paraId="7E4D2205">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污染物</w:t>
                  </w:r>
                </w:p>
              </w:tc>
              <w:tc>
                <w:tcPr>
                  <w:tcW w:w="542" w:type="pct"/>
                  <w:noWrap w:val="0"/>
                  <w:vAlign w:val="center"/>
                </w:tcPr>
                <w:p w14:paraId="7EC6D08D">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排放</w:t>
                  </w:r>
                </w:p>
                <w:p w14:paraId="62A95D42">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限值</w:t>
                  </w:r>
                </w:p>
              </w:tc>
              <w:tc>
                <w:tcPr>
                  <w:tcW w:w="901" w:type="pct"/>
                  <w:noWrap w:val="0"/>
                  <w:vAlign w:val="center"/>
                </w:tcPr>
                <w:p w14:paraId="0057B1C1">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限值含义</w:t>
                  </w:r>
                </w:p>
              </w:tc>
              <w:tc>
                <w:tcPr>
                  <w:tcW w:w="855" w:type="pct"/>
                  <w:noWrap w:val="0"/>
                  <w:vAlign w:val="center"/>
                </w:tcPr>
                <w:p w14:paraId="03BB310F">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无组织排放监控位置</w:t>
                  </w:r>
                </w:p>
              </w:tc>
              <w:tc>
                <w:tcPr>
                  <w:tcW w:w="1718" w:type="pct"/>
                  <w:noWrap w:val="0"/>
                  <w:vAlign w:val="center"/>
                </w:tcPr>
                <w:p w14:paraId="2D78BED8">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标准来源</w:t>
                  </w:r>
                </w:p>
              </w:tc>
            </w:tr>
            <w:tr w14:paraId="7566544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jc w:val="center"/>
              </w:trPr>
              <w:tc>
                <w:tcPr>
                  <w:tcW w:w="982" w:type="pct"/>
                  <w:vMerge w:val="restart"/>
                  <w:noWrap w:val="0"/>
                  <w:vAlign w:val="center"/>
                </w:tcPr>
                <w:p w14:paraId="46D7BCB3">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rPr>
                    <w:t>NMHC</w:t>
                  </w:r>
                </w:p>
              </w:tc>
              <w:tc>
                <w:tcPr>
                  <w:tcW w:w="542" w:type="pct"/>
                  <w:noWrap w:val="0"/>
                  <w:vAlign w:val="center"/>
                </w:tcPr>
                <w:p w14:paraId="488E9676">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901" w:type="pct"/>
                  <w:noWrap w:val="0"/>
                  <w:vAlign w:val="center"/>
                </w:tcPr>
                <w:p w14:paraId="05BB7727">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监控点处1h平均浓度值</w:t>
                  </w:r>
                </w:p>
              </w:tc>
              <w:tc>
                <w:tcPr>
                  <w:tcW w:w="855" w:type="pct"/>
                  <w:vMerge w:val="restart"/>
                  <w:noWrap w:val="0"/>
                  <w:vAlign w:val="center"/>
                </w:tcPr>
                <w:p w14:paraId="33B179D6">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在厂房外设置监控点</w:t>
                  </w:r>
                </w:p>
              </w:tc>
              <w:tc>
                <w:tcPr>
                  <w:tcW w:w="1718" w:type="pct"/>
                  <w:vMerge w:val="restart"/>
                  <w:noWrap w:val="0"/>
                  <w:vAlign w:val="center"/>
                </w:tcPr>
                <w:p w14:paraId="63CA7981">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r>
                    <w:rPr>
                      <w:rFonts w:hint="eastAsia" w:cs="Times New Roman"/>
                      <w:color w:val="auto"/>
                      <w:sz w:val="21"/>
                      <w:szCs w:val="21"/>
                      <w:lang w:val="en-US" w:eastAsia="zh-CN"/>
                    </w:rPr>
                    <w:t>固定源挥发性有机物综合排放标准</w:t>
                  </w:r>
                  <w:r>
                    <w:rPr>
                      <w:rFonts w:hint="default" w:ascii="Times New Roman" w:hAnsi="Times New Roman" w:eastAsia="宋体" w:cs="Times New Roman"/>
                      <w:color w:val="auto"/>
                      <w:sz w:val="21"/>
                      <w:szCs w:val="21"/>
                      <w:lang w:val="en-US" w:eastAsia="zh-CN"/>
                    </w:rPr>
                    <w:t>第6部分：其他行业》（DB34/4812.6-2024）表4</w:t>
                  </w:r>
                </w:p>
              </w:tc>
            </w:tr>
            <w:tr w14:paraId="5F14384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9" w:hRule="atLeast"/>
                <w:jc w:val="center"/>
              </w:trPr>
              <w:tc>
                <w:tcPr>
                  <w:tcW w:w="982" w:type="pct"/>
                  <w:vMerge w:val="continue"/>
                  <w:noWrap w:val="0"/>
                  <w:vAlign w:val="center"/>
                </w:tcPr>
                <w:p w14:paraId="7A1337A4">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color w:val="auto"/>
                      <w:sz w:val="21"/>
                      <w:szCs w:val="21"/>
                    </w:rPr>
                  </w:pPr>
                </w:p>
              </w:tc>
              <w:tc>
                <w:tcPr>
                  <w:tcW w:w="542" w:type="pct"/>
                  <w:noWrap w:val="0"/>
                  <w:vAlign w:val="center"/>
                </w:tcPr>
                <w:p w14:paraId="13E91030">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w:t>
                  </w:r>
                </w:p>
              </w:tc>
              <w:tc>
                <w:tcPr>
                  <w:tcW w:w="901" w:type="pct"/>
                  <w:noWrap w:val="0"/>
                  <w:vAlign w:val="center"/>
                </w:tcPr>
                <w:p w14:paraId="10504D36">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监控点处任意一次浓度值</w:t>
                  </w:r>
                </w:p>
              </w:tc>
              <w:tc>
                <w:tcPr>
                  <w:tcW w:w="855" w:type="pct"/>
                  <w:vMerge w:val="continue"/>
                  <w:noWrap w:val="0"/>
                  <w:vAlign w:val="center"/>
                </w:tcPr>
                <w:p w14:paraId="76A1ABC3">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color w:val="auto"/>
                      <w:sz w:val="21"/>
                      <w:szCs w:val="21"/>
                    </w:rPr>
                  </w:pPr>
                </w:p>
              </w:tc>
              <w:tc>
                <w:tcPr>
                  <w:tcW w:w="1718" w:type="pct"/>
                  <w:vMerge w:val="continue"/>
                  <w:noWrap w:val="0"/>
                  <w:vAlign w:val="center"/>
                </w:tcPr>
                <w:p w14:paraId="5D6894AE">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color w:val="auto"/>
                      <w:sz w:val="21"/>
                      <w:szCs w:val="21"/>
                      <w:lang w:val="en-US" w:eastAsia="zh-CN"/>
                    </w:rPr>
                  </w:pPr>
                </w:p>
              </w:tc>
            </w:tr>
          </w:tbl>
          <w:p w14:paraId="01DFEDC4">
            <w:pPr>
              <w:adjustRightInd w:val="0"/>
              <w:spacing w:before="100" w:beforeAutospacing="1" w:line="360" w:lineRule="auto"/>
              <w:ind w:firstLine="482" w:firstLineChars="200"/>
              <w:rPr>
                <w:rFonts w:hint="default" w:ascii="Times New Roman" w:hAnsi="Times New Roman" w:cs="Times New Roman"/>
                <w:b/>
                <w:color w:val="auto"/>
                <w:sz w:val="24"/>
              </w:rPr>
            </w:pPr>
            <w:r>
              <w:rPr>
                <w:rFonts w:hint="default" w:ascii="Times New Roman" w:hAnsi="Times New Roman" w:cs="Times New Roman"/>
                <w:b/>
                <w:color w:val="auto"/>
                <w:sz w:val="24"/>
              </w:rPr>
              <w:t>2、废水</w:t>
            </w:r>
          </w:p>
          <w:p w14:paraId="17365679">
            <w:pPr>
              <w:keepNext w:val="0"/>
              <w:keepLines w:val="0"/>
              <w:pageBreakBefore w:val="0"/>
              <w:widowControl w:val="0"/>
              <w:kinsoku/>
              <w:wordWrap w:val="0"/>
              <w:overflowPunct/>
              <w:topLinePunct/>
              <w:autoSpaceDE/>
              <w:autoSpaceDN/>
              <w:bidi w:val="0"/>
              <w:adjustRightInd/>
              <w:snapToGrid/>
              <w:spacing w:line="360" w:lineRule="auto"/>
              <w:ind w:firstLine="480" w:firstLineChars="200"/>
              <w:jc w:val="both"/>
              <w:textAlignment w:val="auto"/>
              <w:rPr>
                <w:b/>
                <w:bCs/>
                <w:color w:val="auto"/>
                <w:sz w:val="21"/>
                <w:szCs w:val="21"/>
              </w:rPr>
            </w:pPr>
            <w:r>
              <w:rPr>
                <w:rFonts w:hint="eastAsia"/>
                <w:color w:val="auto"/>
                <w:kern w:val="0"/>
                <w:sz w:val="24"/>
              </w:rPr>
              <w:t>项目排水采用雨、污分流制。雨水经雨水管道排入雨水管网，</w:t>
            </w:r>
            <w:r>
              <w:rPr>
                <w:rFonts w:hint="eastAsia" w:ascii="Times New Roman" w:hAnsi="Times New Roman" w:eastAsia="宋体" w:cs="Times New Roman"/>
                <w:color w:val="auto"/>
                <w:kern w:val="0"/>
                <w:sz w:val="24"/>
                <w:szCs w:val="24"/>
                <w:lang w:val="en-US" w:eastAsia="zh-CN" w:bidi="ar-SA"/>
              </w:rPr>
              <w:t>项目无生产废水外排，</w:t>
            </w:r>
            <w:r>
              <w:rPr>
                <w:rFonts w:hint="default" w:ascii="Times New Roman" w:hAnsi="Times New Roman" w:eastAsia="宋体" w:cs="Times New Roman"/>
                <w:color w:val="auto"/>
                <w:kern w:val="0"/>
                <w:sz w:val="24"/>
                <w:szCs w:val="24"/>
                <w:lang w:val="en-US" w:eastAsia="zh-CN" w:bidi="ar-SA"/>
              </w:rPr>
              <w:t>项目</w:t>
            </w:r>
            <w:r>
              <w:rPr>
                <w:rFonts w:hint="eastAsia" w:cs="Times New Roman"/>
                <w:color w:val="auto"/>
                <w:kern w:val="0"/>
                <w:sz w:val="24"/>
                <w:szCs w:val="24"/>
                <w:lang w:val="en-US" w:eastAsia="zh-CN" w:bidi="ar-SA"/>
              </w:rPr>
              <w:t>水性脱模剂</w:t>
            </w:r>
            <w:r>
              <w:rPr>
                <w:rFonts w:hint="default" w:ascii="Times New Roman" w:hAnsi="Times New Roman" w:eastAsia="宋体" w:cs="Times New Roman"/>
                <w:color w:val="auto"/>
                <w:kern w:val="0"/>
                <w:sz w:val="24"/>
                <w:szCs w:val="24"/>
                <w:lang w:val="en-US" w:eastAsia="zh-CN" w:bidi="ar-SA"/>
              </w:rPr>
              <w:t>配比水、切削液配比水蒸发损耗不外排；</w:t>
            </w:r>
            <w:r>
              <w:rPr>
                <w:rFonts w:hint="eastAsia" w:ascii="Times New Roman" w:hAnsi="Times New Roman" w:eastAsia="宋体" w:cs="Times New Roman"/>
                <w:color w:val="auto"/>
                <w:kern w:val="0"/>
                <w:sz w:val="24"/>
                <w:szCs w:val="24"/>
                <w:lang w:val="en-US" w:eastAsia="zh-CN" w:bidi="ar-SA"/>
              </w:rPr>
              <w:t>淬火废水在淬火槽循环使用，不外排，定期补充，定期捞渣；湿式磨削废水经沉淀池处理后回用，不外排，定期补充，定期捞渣；循环冷却水循环使用，定期补充，不外排</w:t>
            </w:r>
            <w:r>
              <w:rPr>
                <w:rFonts w:hint="eastAsia"/>
                <w:color w:val="auto"/>
                <w:kern w:val="0"/>
                <w:sz w:val="24"/>
                <w:lang w:val="en-US" w:eastAsia="zh-CN"/>
              </w:rPr>
              <w:t>；</w:t>
            </w:r>
            <w:r>
              <w:rPr>
                <w:rFonts w:hint="eastAsia"/>
                <w:color w:val="auto"/>
                <w:kern w:val="0"/>
                <w:sz w:val="24"/>
              </w:rPr>
              <w:t>项目生活污水经</w:t>
            </w:r>
            <w:r>
              <w:rPr>
                <w:color w:val="auto"/>
                <w:kern w:val="0"/>
                <w:sz w:val="24"/>
              </w:rPr>
              <w:t>化粪池</w:t>
            </w:r>
            <w:r>
              <w:rPr>
                <w:rFonts w:hint="eastAsia"/>
                <w:color w:val="auto"/>
                <w:kern w:val="0"/>
                <w:sz w:val="24"/>
              </w:rPr>
              <w:t>预</w:t>
            </w:r>
            <w:r>
              <w:rPr>
                <w:color w:val="auto"/>
                <w:kern w:val="0"/>
                <w:sz w:val="24"/>
              </w:rPr>
              <w:t>处理</w:t>
            </w:r>
            <w:r>
              <w:rPr>
                <w:rFonts w:hint="eastAsia"/>
                <w:color w:val="auto"/>
                <w:kern w:val="0"/>
                <w:sz w:val="24"/>
              </w:rPr>
              <w:t>后</w:t>
            </w:r>
            <w:r>
              <w:rPr>
                <w:rFonts w:hint="eastAsia"/>
                <w:color w:val="auto"/>
                <w:sz w:val="24"/>
                <w:highlight w:val="none"/>
              </w:rPr>
              <w:t>排入市政污水管网，</w:t>
            </w:r>
            <w:r>
              <w:rPr>
                <w:rFonts w:hint="eastAsia"/>
                <w:color w:val="auto"/>
                <w:kern w:val="0"/>
                <w:sz w:val="24"/>
                <w:lang w:val="en-US" w:eastAsia="zh-CN"/>
              </w:rPr>
              <w:t>接</w:t>
            </w:r>
            <w:r>
              <w:rPr>
                <w:rFonts w:hint="eastAsia"/>
                <w:color w:val="auto"/>
                <w:kern w:val="0"/>
                <w:sz w:val="24"/>
              </w:rPr>
              <w:t>入</w:t>
            </w:r>
            <w:r>
              <w:rPr>
                <w:rFonts w:hint="eastAsia"/>
                <w:color w:val="auto"/>
                <w:kern w:val="0"/>
                <w:sz w:val="24"/>
                <w:lang w:eastAsia="zh-CN"/>
              </w:rPr>
              <w:t>芜湖县新芜开发区城东污水处理厂</w:t>
            </w:r>
            <w:r>
              <w:rPr>
                <w:rFonts w:hint="eastAsia"/>
                <w:color w:val="auto"/>
                <w:kern w:val="0"/>
                <w:sz w:val="24"/>
                <w:lang w:val="en-US" w:eastAsia="zh-CN"/>
              </w:rPr>
              <w:t>处理</w:t>
            </w:r>
            <w:r>
              <w:rPr>
                <w:rFonts w:hint="eastAsia"/>
                <w:color w:val="auto"/>
                <w:kern w:val="0"/>
                <w:sz w:val="24"/>
              </w:rPr>
              <w:t>，</w:t>
            </w:r>
            <w:r>
              <w:rPr>
                <w:rFonts w:hint="eastAsia"/>
                <w:color w:val="auto"/>
                <w:kern w:val="0"/>
                <w:sz w:val="24"/>
                <w:lang w:val="en-US" w:eastAsia="zh-CN"/>
              </w:rPr>
              <w:t>废水水质执行</w:t>
            </w:r>
            <w:r>
              <w:rPr>
                <w:rFonts w:hint="eastAsia"/>
                <w:color w:val="auto"/>
                <w:kern w:val="0"/>
                <w:sz w:val="24"/>
              </w:rPr>
              <w:t>《污水综合排放标准》（GB8978-1996）表4中三级标准，</w:t>
            </w:r>
            <w:r>
              <w:rPr>
                <w:rFonts w:hint="eastAsia"/>
                <w:color w:val="auto"/>
                <w:kern w:val="0"/>
                <w:sz w:val="24"/>
                <w:lang w:eastAsia="zh-CN"/>
              </w:rPr>
              <w:t>芜湖县新芜开发区城东污水处理厂</w:t>
            </w:r>
            <w:r>
              <w:rPr>
                <w:rFonts w:hint="eastAsia"/>
                <w:color w:val="auto"/>
                <w:kern w:val="0"/>
                <w:sz w:val="24"/>
                <w:lang w:val="en-US" w:eastAsia="zh-CN"/>
              </w:rPr>
              <w:t>出水水质</w:t>
            </w:r>
            <w:r>
              <w:rPr>
                <w:rFonts w:hint="eastAsia"/>
                <w:color w:val="auto"/>
                <w:kern w:val="0"/>
                <w:sz w:val="24"/>
              </w:rPr>
              <w:t>执行《城镇污水处理厂污染物排放标准》（GB18918-2002）表1中一级A标准，</w:t>
            </w:r>
            <w:r>
              <w:rPr>
                <w:rFonts w:hint="eastAsia"/>
                <w:color w:val="auto"/>
                <w:kern w:val="0"/>
                <w:sz w:val="24"/>
                <w:lang w:val="en-US" w:eastAsia="zh-CN"/>
              </w:rPr>
              <w:t>尾水</w:t>
            </w:r>
            <w:r>
              <w:rPr>
                <w:rFonts w:hint="eastAsia"/>
                <w:color w:val="auto"/>
                <w:kern w:val="0"/>
                <w:sz w:val="24"/>
              </w:rPr>
              <w:t>排入</w:t>
            </w:r>
            <w:r>
              <w:rPr>
                <w:rFonts w:hint="eastAsia"/>
                <w:color w:val="auto"/>
                <w:kern w:val="0"/>
                <w:sz w:val="24"/>
                <w:lang w:eastAsia="zh-CN"/>
              </w:rPr>
              <w:t>汪溪坝撇洪沟后汇入裘公河</w:t>
            </w:r>
            <w:r>
              <w:rPr>
                <w:rFonts w:hint="eastAsia"/>
                <w:color w:val="auto"/>
                <w:kern w:val="0"/>
                <w:sz w:val="24"/>
              </w:rPr>
              <w:t>，废水排放标准如下表。</w:t>
            </w:r>
          </w:p>
          <w:p w14:paraId="49D409EB">
            <w:pPr>
              <w:keepNext w:val="0"/>
              <w:keepLines w:val="0"/>
              <w:pageBreakBefore w:val="0"/>
              <w:widowControl w:val="0"/>
              <w:kinsoku/>
              <w:wordWrap/>
              <w:overflowPunct/>
              <w:topLinePunct w:val="0"/>
              <w:autoSpaceDE/>
              <w:autoSpaceDN/>
              <w:bidi w:val="0"/>
              <w:adjustRightInd/>
              <w:snapToGrid/>
              <w:spacing w:beforeAutospacing="0"/>
              <w:jc w:val="center"/>
              <w:textAlignment w:val="auto"/>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表3-</w:t>
            </w:r>
            <w:r>
              <w:rPr>
                <w:rFonts w:hint="eastAsia" w:ascii="Times New Roman" w:hAnsi="Times New Roman" w:eastAsia="宋体" w:cs="Times New Roman"/>
                <w:b/>
                <w:color w:val="auto"/>
                <w:kern w:val="0"/>
                <w:sz w:val="24"/>
                <w:szCs w:val="24"/>
                <w:lang w:val="en-US" w:eastAsia="zh-CN" w:bidi="ar-SA"/>
              </w:rPr>
              <w:t xml:space="preserve">8  </w:t>
            </w:r>
            <w:r>
              <w:rPr>
                <w:rFonts w:hint="default" w:ascii="Times New Roman" w:hAnsi="Times New Roman" w:eastAsia="宋体" w:cs="Times New Roman"/>
                <w:b/>
                <w:color w:val="auto"/>
                <w:kern w:val="0"/>
                <w:sz w:val="24"/>
                <w:szCs w:val="24"/>
                <w:lang w:val="en-US" w:eastAsia="zh-CN" w:bidi="ar-SA"/>
              </w:rPr>
              <w:t>污水排放标准执行标准值  单位：mg/L，pH除外</w:t>
            </w:r>
          </w:p>
          <w:tbl>
            <w:tblPr>
              <w:tblStyle w:val="63"/>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471"/>
              <w:gridCol w:w="2371"/>
              <w:gridCol w:w="541"/>
              <w:gridCol w:w="684"/>
              <w:gridCol w:w="741"/>
              <w:gridCol w:w="532"/>
              <w:gridCol w:w="824"/>
              <w:gridCol w:w="486"/>
              <w:gridCol w:w="626"/>
              <w:gridCol w:w="505"/>
              <w:gridCol w:w="509"/>
            </w:tblGrid>
            <w:tr w14:paraId="185F3C1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blHeader/>
                <w:jc w:val="center"/>
              </w:trPr>
              <w:tc>
                <w:tcPr>
                  <w:tcW w:w="0" w:type="auto"/>
                  <w:gridSpan w:val="2"/>
                  <w:tcBorders>
                    <w:tl2br w:val="nil"/>
                    <w:tr2bl w:val="nil"/>
                  </w:tcBorders>
                  <w:noWrap w:val="0"/>
                  <w:vAlign w:val="center"/>
                </w:tcPr>
                <w:p w14:paraId="4EAC4C5D">
                  <w:pPr>
                    <w:pStyle w:val="98"/>
                    <w:keepNext w:val="0"/>
                    <w:keepLines w:val="0"/>
                    <w:pageBreakBefore w:val="0"/>
                    <w:kinsoku/>
                    <w:overflowPunct/>
                    <w:autoSpaceDE/>
                    <w:autoSpaceDN/>
                    <w:bidi w:val="0"/>
                    <w:spacing w:before="24" w:after="24"/>
                    <w:ind w:firstLine="1"/>
                    <w:textAlignment w:val="auto"/>
                    <w:rPr>
                      <w:rFonts w:ascii="Times New Roman"/>
                      <w:b/>
                      <w:bCs/>
                      <w:color w:val="auto"/>
                      <w:sz w:val="21"/>
                      <w:szCs w:val="21"/>
                    </w:rPr>
                  </w:pPr>
                  <w:r>
                    <w:rPr>
                      <w:rFonts w:ascii="Times New Roman"/>
                      <w:b/>
                      <w:bCs/>
                      <w:color w:val="auto"/>
                      <w:sz w:val="21"/>
                      <w:szCs w:val="21"/>
                    </w:rPr>
                    <w:t>污染物</w:t>
                  </w:r>
                </w:p>
              </w:tc>
              <w:tc>
                <w:tcPr>
                  <w:tcW w:w="0" w:type="auto"/>
                  <w:tcBorders>
                    <w:tl2br w:val="nil"/>
                    <w:tr2bl w:val="nil"/>
                  </w:tcBorders>
                  <w:noWrap w:val="0"/>
                  <w:vAlign w:val="center"/>
                </w:tcPr>
                <w:p w14:paraId="74E1C61E">
                  <w:pPr>
                    <w:pStyle w:val="98"/>
                    <w:keepNext w:val="0"/>
                    <w:keepLines w:val="0"/>
                    <w:pageBreakBefore w:val="0"/>
                    <w:kinsoku/>
                    <w:overflowPunct/>
                    <w:autoSpaceDE/>
                    <w:autoSpaceDN/>
                    <w:bidi w:val="0"/>
                    <w:spacing w:before="24" w:after="24"/>
                    <w:ind w:firstLine="1"/>
                    <w:textAlignment w:val="auto"/>
                    <w:rPr>
                      <w:rFonts w:ascii="Times New Roman"/>
                      <w:b/>
                      <w:bCs/>
                      <w:color w:val="auto"/>
                      <w:sz w:val="21"/>
                      <w:szCs w:val="21"/>
                    </w:rPr>
                  </w:pPr>
                  <w:r>
                    <w:rPr>
                      <w:rFonts w:ascii="Times New Roman"/>
                      <w:b/>
                      <w:bCs/>
                      <w:color w:val="auto"/>
                      <w:sz w:val="21"/>
                      <w:szCs w:val="21"/>
                    </w:rPr>
                    <w:t>pH</w:t>
                  </w:r>
                </w:p>
              </w:tc>
              <w:tc>
                <w:tcPr>
                  <w:tcW w:w="0" w:type="auto"/>
                  <w:tcBorders>
                    <w:tl2br w:val="nil"/>
                    <w:tr2bl w:val="nil"/>
                  </w:tcBorders>
                  <w:noWrap w:val="0"/>
                  <w:vAlign w:val="center"/>
                </w:tcPr>
                <w:p w14:paraId="3D94AE46">
                  <w:pPr>
                    <w:pStyle w:val="98"/>
                    <w:keepNext w:val="0"/>
                    <w:keepLines w:val="0"/>
                    <w:pageBreakBefore w:val="0"/>
                    <w:kinsoku/>
                    <w:overflowPunct/>
                    <w:autoSpaceDE/>
                    <w:autoSpaceDN/>
                    <w:bidi w:val="0"/>
                    <w:spacing w:before="24" w:after="24"/>
                    <w:ind w:firstLine="1"/>
                    <w:textAlignment w:val="auto"/>
                    <w:rPr>
                      <w:rFonts w:ascii="Times New Roman"/>
                      <w:b/>
                      <w:bCs/>
                      <w:color w:val="auto"/>
                      <w:sz w:val="21"/>
                      <w:szCs w:val="21"/>
                    </w:rPr>
                  </w:pPr>
                  <w:r>
                    <w:rPr>
                      <w:rFonts w:ascii="Times New Roman"/>
                      <w:b/>
                      <w:bCs/>
                      <w:color w:val="auto"/>
                      <w:sz w:val="21"/>
                      <w:szCs w:val="21"/>
                    </w:rPr>
                    <w:t>COD</w:t>
                  </w:r>
                </w:p>
              </w:tc>
              <w:tc>
                <w:tcPr>
                  <w:tcW w:w="0" w:type="auto"/>
                  <w:tcBorders>
                    <w:tl2br w:val="nil"/>
                    <w:tr2bl w:val="nil"/>
                  </w:tcBorders>
                  <w:noWrap w:val="0"/>
                  <w:vAlign w:val="center"/>
                </w:tcPr>
                <w:p w14:paraId="3DC4D10E">
                  <w:pPr>
                    <w:pStyle w:val="98"/>
                    <w:keepNext w:val="0"/>
                    <w:keepLines w:val="0"/>
                    <w:pageBreakBefore w:val="0"/>
                    <w:kinsoku/>
                    <w:overflowPunct/>
                    <w:autoSpaceDE/>
                    <w:autoSpaceDN/>
                    <w:bidi w:val="0"/>
                    <w:spacing w:before="24" w:after="24"/>
                    <w:ind w:firstLine="1"/>
                    <w:textAlignment w:val="auto"/>
                    <w:rPr>
                      <w:rFonts w:ascii="Times New Roman"/>
                      <w:b/>
                      <w:bCs/>
                      <w:color w:val="auto"/>
                      <w:sz w:val="21"/>
                      <w:szCs w:val="21"/>
                    </w:rPr>
                  </w:pPr>
                  <w:r>
                    <w:rPr>
                      <w:rFonts w:ascii="Times New Roman"/>
                      <w:b/>
                      <w:bCs/>
                      <w:color w:val="auto"/>
                      <w:sz w:val="21"/>
                      <w:szCs w:val="21"/>
                    </w:rPr>
                    <w:t>BOD</w:t>
                  </w:r>
                  <w:r>
                    <w:rPr>
                      <w:rFonts w:ascii="Times New Roman"/>
                      <w:b/>
                      <w:bCs/>
                      <w:color w:val="auto"/>
                      <w:sz w:val="21"/>
                      <w:szCs w:val="21"/>
                      <w:vertAlign w:val="subscript"/>
                    </w:rPr>
                    <w:t>5</w:t>
                  </w:r>
                </w:p>
              </w:tc>
              <w:tc>
                <w:tcPr>
                  <w:tcW w:w="0" w:type="auto"/>
                  <w:tcBorders>
                    <w:tl2br w:val="nil"/>
                    <w:tr2bl w:val="nil"/>
                  </w:tcBorders>
                  <w:noWrap w:val="0"/>
                  <w:vAlign w:val="center"/>
                </w:tcPr>
                <w:p w14:paraId="51D5E95A">
                  <w:pPr>
                    <w:pStyle w:val="98"/>
                    <w:keepNext w:val="0"/>
                    <w:keepLines w:val="0"/>
                    <w:pageBreakBefore w:val="0"/>
                    <w:kinsoku/>
                    <w:overflowPunct/>
                    <w:autoSpaceDE/>
                    <w:autoSpaceDN/>
                    <w:bidi w:val="0"/>
                    <w:spacing w:before="24" w:after="24"/>
                    <w:ind w:firstLine="1"/>
                    <w:textAlignment w:val="auto"/>
                    <w:rPr>
                      <w:rFonts w:ascii="Times New Roman"/>
                      <w:b/>
                      <w:bCs/>
                      <w:color w:val="auto"/>
                      <w:sz w:val="21"/>
                      <w:szCs w:val="21"/>
                    </w:rPr>
                  </w:pPr>
                  <w:r>
                    <w:rPr>
                      <w:rFonts w:ascii="Times New Roman"/>
                      <w:b/>
                      <w:bCs/>
                      <w:color w:val="auto"/>
                      <w:sz w:val="21"/>
                      <w:szCs w:val="21"/>
                    </w:rPr>
                    <w:t>SS</w:t>
                  </w:r>
                </w:p>
              </w:tc>
              <w:tc>
                <w:tcPr>
                  <w:tcW w:w="0" w:type="auto"/>
                  <w:tcBorders>
                    <w:tl2br w:val="nil"/>
                    <w:tr2bl w:val="nil"/>
                  </w:tcBorders>
                  <w:noWrap w:val="0"/>
                  <w:vAlign w:val="center"/>
                </w:tcPr>
                <w:p w14:paraId="7ECFCECE">
                  <w:pPr>
                    <w:pStyle w:val="98"/>
                    <w:keepNext w:val="0"/>
                    <w:keepLines w:val="0"/>
                    <w:pageBreakBefore w:val="0"/>
                    <w:kinsoku/>
                    <w:overflowPunct/>
                    <w:autoSpaceDE/>
                    <w:autoSpaceDN/>
                    <w:bidi w:val="0"/>
                    <w:spacing w:before="24" w:after="24"/>
                    <w:ind w:firstLine="1"/>
                    <w:textAlignment w:val="auto"/>
                    <w:rPr>
                      <w:rFonts w:ascii="Times New Roman"/>
                      <w:b/>
                      <w:bCs/>
                      <w:color w:val="auto"/>
                      <w:sz w:val="21"/>
                      <w:szCs w:val="21"/>
                    </w:rPr>
                  </w:pPr>
                  <w:r>
                    <w:rPr>
                      <w:rFonts w:ascii="Times New Roman"/>
                      <w:b/>
                      <w:bCs/>
                      <w:color w:val="auto"/>
                      <w:sz w:val="21"/>
                      <w:szCs w:val="21"/>
                    </w:rPr>
                    <w:t>NH</w:t>
                  </w:r>
                  <w:r>
                    <w:rPr>
                      <w:rFonts w:ascii="Times New Roman"/>
                      <w:b/>
                      <w:bCs/>
                      <w:color w:val="auto"/>
                      <w:sz w:val="21"/>
                      <w:szCs w:val="21"/>
                      <w:vertAlign w:val="subscript"/>
                    </w:rPr>
                    <w:t>3</w:t>
                  </w:r>
                  <w:r>
                    <w:rPr>
                      <w:rFonts w:ascii="Times New Roman"/>
                      <w:b/>
                      <w:bCs/>
                      <w:color w:val="auto"/>
                      <w:sz w:val="21"/>
                      <w:szCs w:val="21"/>
                    </w:rPr>
                    <w:t>-N</w:t>
                  </w:r>
                </w:p>
              </w:tc>
              <w:tc>
                <w:tcPr>
                  <w:tcW w:w="0" w:type="auto"/>
                  <w:tcBorders>
                    <w:tl2br w:val="nil"/>
                    <w:tr2bl w:val="nil"/>
                  </w:tcBorders>
                  <w:noWrap w:val="0"/>
                  <w:vAlign w:val="center"/>
                </w:tcPr>
                <w:p w14:paraId="220FCE10">
                  <w:pPr>
                    <w:pStyle w:val="98"/>
                    <w:keepNext w:val="0"/>
                    <w:keepLines w:val="0"/>
                    <w:pageBreakBefore w:val="0"/>
                    <w:kinsoku/>
                    <w:overflowPunct/>
                    <w:autoSpaceDE/>
                    <w:autoSpaceDN/>
                    <w:bidi w:val="0"/>
                    <w:spacing w:before="24" w:after="24"/>
                    <w:ind w:firstLine="1"/>
                    <w:textAlignment w:val="auto"/>
                    <w:rPr>
                      <w:rFonts w:hint="default" w:ascii="Times New Roman" w:eastAsia="宋体"/>
                      <w:b/>
                      <w:bCs/>
                      <w:color w:val="auto"/>
                      <w:sz w:val="21"/>
                      <w:szCs w:val="21"/>
                      <w:lang w:val="en-US" w:eastAsia="zh-CN"/>
                    </w:rPr>
                  </w:pPr>
                  <w:r>
                    <w:rPr>
                      <w:rFonts w:hint="eastAsia" w:ascii="Times New Roman"/>
                      <w:b/>
                      <w:bCs/>
                      <w:color w:val="auto"/>
                      <w:sz w:val="21"/>
                      <w:szCs w:val="21"/>
                      <w:lang w:val="en-US" w:eastAsia="zh-CN"/>
                    </w:rPr>
                    <w:t>TP</w:t>
                  </w:r>
                </w:p>
              </w:tc>
              <w:tc>
                <w:tcPr>
                  <w:tcW w:w="0" w:type="auto"/>
                  <w:tcBorders>
                    <w:tl2br w:val="nil"/>
                    <w:tr2bl w:val="nil"/>
                  </w:tcBorders>
                  <w:noWrap w:val="0"/>
                  <w:vAlign w:val="center"/>
                </w:tcPr>
                <w:p w14:paraId="2267926A">
                  <w:pPr>
                    <w:pStyle w:val="98"/>
                    <w:keepNext w:val="0"/>
                    <w:keepLines w:val="0"/>
                    <w:pageBreakBefore w:val="0"/>
                    <w:kinsoku/>
                    <w:overflowPunct/>
                    <w:autoSpaceDE/>
                    <w:autoSpaceDN/>
                    <w:bidi w:val="0"/>
                    <w:spacing w:before="24" w:after="24"/>
                    <w:ind w:firstLine="1"/>
                    <w:textAlignment w:val="auto"/>
                    <w:rPr>
                      <w:rFonts w:hint="default" w:ascii="Times New Roman" w:eastAsia="宋体"/>
                      <w:b/>
                      <w:bCs/>
                      <w:color w:val="auto"/>
                      <w:sz w:val="21"/>
                      <w:szCs w:val="21"/>
                      <w:lang w:val="en-US" w:eastAsia="zh-CN"/>
                    </w:rPr>
                  </w:pPr>
                  <w:r>
                    <w:rPr>
                      <w:rFonts w:hint="eastAsia" w:ascii="Times New Roman"/>
                      <w:b/>
                      <w:bCs/>
                      <w:color w:val="auto"/>
                      <w:sz w:val="21"/>
                      <w:szCs w:val="21"/>
                      <w:lang w:val="en-US" w:eastAsia="zh-CN"/>
                    </w:rPr>
                    <w:t>LAS</w:t>
                  </w:r>
                </w:p>
              </w:tc>
              <w:tc>
                <w:tcPr>
                  <w:tcW w:w="0" w:type="auto"/>
                  <w:tcBorders>
                    <w:tl2br w:val="nil"/>
                    <w:tr2bl w:val="nil"/>
                  </w:tcBorders>
                  <w:noWrap w:val="0"/>
                  <w:vAlign w:val="center"/>
                </w:tcPr>
                <w:p w14:paraId="5E6D786B">
                  <w:pPr>
                    <w:pStyle w:val="98"/>
                    <w:keepNext w:val="0"/>
                    <w:keepLines w:val="0"/>
                    <w:pageBreakBefore w:val="0"/>
                    <w:kinsoku/>
                    <w:overflowPunct/>
                    <w:autoSpaceDE/>
                    <w:autoSpaceDN/>
                    <w:bidi w:val="0"/>
                    <w:spacing w:before="24" w:after="24"/>
                    <w:ind w:firstLine="1"/>
                    <w:textAlignment w:val="auto"/>
                    <w:rPr>
                      <w:rFonts w:hint="eastAsia" w:ascii="Times New Roman" w:eastAsia="宋体"/>
                      <w:b/>
                      <w:bCs/>
                      <w:color w:val="auto"/>
                      <w:sz w:val="21"/>
                      <w:szCs w:val="21"/>
                      <w:lang w:val="en-US" w:eastAsia="zh-CN"/>
                    </w:rPr>
                  </w:pPr>
                  <w:r>
                    <w:rPr>
                      <w:rFonts w:hint="eastAsia" w:ascii="Times New Roman"/>
                      <w:b/>
                      <w:bCs/>
                      <w:color w:val="auto"/>
                      <w:sz w:val="21"/>
                      <w:szCs w:val="21"/>
                      <w:lang w:val="en-US" w:eastAsia="zh-CN"/>
                    </w:rPr>
                    <w:t>石油类</w:t>
                  </w:r>
                </w:p>
              </w:tc>
              <w:tc>
                <w:tcPr>
                  <w:tcW w:w="0" w:type="auto"/>
                  <w:tcBorders>
                    <w:tl2br w:val="nil"/>
                    <w:tr2bl w:val="nil"/>
                  </w:tcBorders>
                  <w:noWrap w:val="0"/>
                  <w:vAlign w:val="center"/>
                </w:tcPr>
                <w:p w14:paraId="4A905A6C">
                  <w:pPr>
                    <w:pStyle w:val="98"/>
                    <w:keepNext w:val="0"/>
                    <w:keepLines w:val="0"/>
                    <w:pageBreakBefore w:val="0"/>
                    <w:kinsoku/>
                    <w:overflowPunct/>
                    <w:autoSpaceDE/>
                    <w:autoSpaceDN/>
                    <w:bidi w:val="0"/>
                    <w:spacing w:before="24" w:after="24"/>
                    <w:ind w:firstLine="1"/>
                    <w:textAlignment w:val="auto"/>
                    <w:rPr>
                      <w:rFonts w:hint="default" w:ascii="Times New Roman" w:eastAsia="宋体"/>
                      <w:b/>
                      <w:bCs/>
                      <w:color w:val="auto"/>
                      <w:sz w:val="21"/>
                      <w:szCs w:val="21"/>
                      <w:lang w:val="en-US" w:eastAsia="zh-CN"/>
                    </w:rPr>
                  </w:pPr>
                  <w:r>
                    <w:rPr>
                      <w:rFonts w:hint="eastAsia" w:ascii="Times New Roman"/>
                      <w:b/>
                      <w:bCs/>
                      <w:color w:val="auto"/>
                      <w:sz w:val="21"/>
                      <w:szCs w:val="21"/>
                      <w:lang w:val="en-US" w:eastAsia="zh-CN"/>
                    </w:rPr>
                    <w:t>TN</w:t>
                  </w:r>
                </w:p>
              </w:tc>
            </w:tr>
            <w:tr w14:paraId="22495AF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blHeader/>
                <w:jc w:val="center"/>
              </w:trPr>
              <w:tc>
                <w:tcPr>
                  <w:tcW w:w="0" w:type="auto"/>
                  <w:tcBorders>
                    <w:tl2br w:val="nil"/>
                    <w:tr2bl w:val="nil"/>
                  </w:tcBorders>
                  <w:noWrap w:val="0"/>
                  <w:vAlign w:val="center"/>
                </w:tcPr>
                <w:p w14:paraId="68700DC4">
                  <w:pPr>
                    <w:pStyle w:val="98"/>
                    <w:keepNext w:val="0"/>
                    <w:keepLines w:val="0"/>
                    <w:pageBreakBefore w:val="0"/>
                    <w:kinsoku/>
                    <w:overflowPunct/>
                    <w:autoSpaceDE/>
                    <w:autoSpaceDN/>
                    <w:bidi w:val="0"/>
                    <w:spacing w:before="24" w:after="24"/>
                    <w:ind w:firstLine="1"/>
                    <w:textAlignment w:val="auto"/>
                    <w:rPr>
                      <w:rFonts w:hint="default" w:ascii="Times New Roman" w:eastAsia="宋体"/>
                      <w:b/>
                      <w:bCs/>
                      <w:color w:val="auto"/>
                      <w:sz w:val="21"/>
                      <w:szCs w:val="21"/>
                      <w:lang w:val="en-US" w:eastAsia="zh-CN"/>
                    </w:rPr>
                  </w:pPr>
                  <w:r>
                    <w:rPr>
                      <w:rFonts w:hint="eastAsia" w:ascii="Times New Roman"/>
                      <w:b/>
                      <w:bCs/>
                      <w:color w:val="auto"/>
                      <w:sz w:val="21"/>
                      <w:szCs w:val="21"/>
                      <w:lang w:val="en-US" w:eastAsia="zh-CN"/>
                    </w:rPr>
                    <w:t>接管标准</w:t>
                  </w:r>
                </w:p>
              </w:tc>
              <w:tc>
                <w:tcPr>
                  <w:tcW w:w="0" w:type="auto"/>
                  <w:tcBorders>
                    <w:tl2br w:val="nil"/>
                    <w:tr2bl w:val="nil"/>
                  </w:tcBorders>
                  <w:shd w:val="clear" w:color="auto" w:fill="auto"/>
                  <w:noWrap w:val="0"/>
                  <w:vAlign w:val="center"/>
                </w:tcPr>
                <w:p w14:paraId="2DE2304F">
                  <w:pPr>
                    <w:pStyle w:val="98"/>
                    <w:keepNext w:val="0"/>
                    <w:keepLines w:val="0"/>
                    <w:pageBreakBefore w:val="0"/>
                    <w:kinsoku/>
                    <w:overflowPunct/>
                    <w:autoSpaceDE/>
                    <w:autoSpaceDN/>
                    <w:bidi w:val="0"/>
                    <w:spacing w:before="24" w:after="24"/>
                    <w:ind w:firstLine="1" w:firstLineChars="0"/>
                    <w:textAlignment w:val="auto"/>
                    <w:rPr>
                      <w:rFonts w:hint="eastAsia" w:ascii="Times New Roman" w:hAnsi="Courier New" w:eastAsia="宋体" w:cs="Times New Roman"/>
                      <w:color w:val="auto"/>
                      <w:kern w:val="0"/>
                      <w:sz w:val="21"/>
                      <w:szCs w:val="21"/>
                      <w:lang w:val="en-US" w:eastAsia="zh-CN" w:bidi="ar-SA"/>
                    </w:rPr>
                  </w:pPr>
                  <w:r>
                    <w:rPr>
                      <w:rFonts w:ascii="Times New Roman"/>
                      <w:color w:val="auto"/>
                      <w:sz w:val="21"/>
                      <w:szCs w:val="21"/>
                    </w:rPr>
                    <w:t>《污水综合排放标准》（GB8978-1996）</w:t>
                  </w:r>
                  <w:r>
                    <w:rPr>
                      <w:rFonts w:hint="eastAsia" w:ascii="Times New Roman"/>
                      <w:color w:val="auto"/>
                      <w:sz w:val="21"/>
                      <w:szCs w:val="21"/>
                    </w:rPr>
                    <w:t>表4中</w:t>
                  </w:r>
                  <w:r>
                    <w:rPr>
                      <w:rFonts w:ascii="Times New Roman"/>
                      <w:color w:val="auto"/>
                      <w:sz w:val="21"/>
                      <w:szCs w:val="21"/>
                    </w:rPr>
                    <w:t>三级标准</w:t>
                  </w:r>
                </w:p>
              </w:tc>
              <w:tc>
                <w:tcPr>
                  <w:tcW w:w="0" w:type="auto"/>
                  <w:tcBorders>
                    <w:tl2br w:val="nil"/>
                    <w:tr2bl w:val="nil"/>
                  </w:tcBorders>
                  <w:noWrap w:val="0"/>
                  <w:vAlign w:val="center"/>
                </w:tcPr>
                <w:p w14:paraId="158DBAB4">
                  <w:pPr>
                    <w:pStyle w:val="98"/>
                    <w:keepNext w:val="0"/>
                    <w:keepLines w:val="0"/>
                    <w:pageBreakBefore w:val="0"/>
                    <w:kinsoku/>
                    <w:overflowPunct/>
                    <w:autoSpaceDE/>
                    <w:autoSpaceDN/>
                    <w:bidi w:val="0"/>
                    <w:spacing w:before="24" w:after="24"/>
                    <w:ind w:firstLine="1"/>
                    <w:textAlignment w:val="auto"/>
                    <w:rPr>
                      <w:rFonts w:ascii="Times New Roman"/>
                      <w:color w:val="auto"/>
                      <w:sz w:val="21"/>
                      <w:szCs w:val="21"/>
                    </w:rPr>
                  </w:pPr>
                  <w:r>
                    <w:rPr>
                      <w:rFonts w:ascii="Times New Roman"/>
                      <w:color w:val="auto"/>
                      <w:sz w:val="21"/>
                      <w:szCs w:val="21"/>
                    </w:rPr>
                    <w:t>6~9</w:t>
                  </w:r>
                </w:p>
              </w:tc>
              <w:tc>
                <w:tcPr>
                  <w:tcW w:w="0" w:type="auto"/>
                  <w:tcBorders>
                    <w:tl2br w:val="nil"/>
                    <w:tr2bl w:val="nil"/>
                  </w:tcBorders>
                  <w:noWrap w:val="0"/>
                  <w:vAlign w:val="center"/>
                </w:tcPr>
                <w:p w14:paraId="5E64D27B">
                  <w:pPr>
                    <w:pStyle w:val="98"/>
                    <w:keepNext w:val="0"/>
                    <w:keepLines w:val="0"/>
                    <w:pageBreakBefore w:val="0"/>
                    <w:kinsoku/>
                    <w:overflowPunct/>
                    <w:autoSpaceDE/>
                    <w:autoSpaceDN/>
                    <w:bidi w:val="0"/>
                    <w:spacing w:before="24" w:after="24"/>
                    <w:ind w:firstLine="1"/>
                    <w:textAlignment w:val="auto"/>
                    <w:rPr>
                      <w:rFonts w:ascii="Times New Roman"/>
                      <w:color w:val="auto"/>
                      <w:sz w:val="21"/>
                      <w:szCs w:val="21"/>
                    </w:rPr>
                  </w:pPr>
                  <w:r>
                    <w:rPr>
                      <w:rFonts w:ascii="Times New Roman"/>
                      <w:color w:val="auto"/>
                      <w:sz w:val="21"/>
                      <w:szCs w:val="21"/>
                    </w:rPr>
                    <w:t>500</w:t>
                  </w:r>
                </w:p>
              </w:tc>
              <w:tc>
                <w:tcPr>
                  <w:tcW w:w="0" w:type="auto"/>
                  <w:tcBorders>
                    <w:tl2br w:val="nil"/>
                    <w:tr2bl w:val="nil"/>
                  </w:tcBorders>
                  <w:noWrap w:val="0"/>
                  <w:vAlign w:val="center"/>
                </w:tcPr>
                <w:p w14:paraId="0DE8E65C">
                  <w:pPr>
                    <w:pStyle w:val="98"/>
                    <w:keepNext w:val="0"/>
                    <w:keepLines w:val="0"/>
                    <w:pageBreakBefore w:val="0"/>
                    <w:kinsoku/>
                    <w:overflowPunct/>
                    <w:autoSpaceDE/>
                    <w:autoSpaceDN/>
                    <w:bidi w:val="0"/>
                    <w:spacing w:before="24" w:after="24"/>
                    <w:ind w:firstLine="1"/>
                    <w:textAlignment w:val="auto"/>
                    <w:rPr>
                      <w:rFonts w:ascii="Times New Roman"/>
                      <w:color w:val="auto"/>
                      <w:sz w:val="21"/>
                      <w:szCs w:val="21"/>
                    </w:rPr>
                  </w:pPr>
                  <w:r>
                    <w:rPr>
                      <w:rFonts w:ascii="Times New Roman"/>
                      <w:color w:val="auto"/>
                      <w:sz w:val="21"/>
                      <w:szCs w:val="21"/>
                    </w:rPr>
                    <w:t>300</w:t>
                  </w:r>
                </w:p>
              </w:tc>
              <w:tc>
                <w:tcPr>
                  <w:tcW w:w="0" w:type="auto"/>
                  <w:tcBorders>
                    <w:tl2br w:val="nil"/>
                    <w:tr2bl w:val="nil"/>
                  </w:tcBorders>
                  <w:noWrap w:val="0"/>
                  <w:vAlign w:val="center"/>
                </w:tcPr>
                <w:p w14:paraId="08139A99">
                  <w:pPr>
                    <w:pStyle w:val="98"/>
                    <w:keepNext w:val="0"/>
                    <w:keepLines w:val="0"/>
                    <w:pageBreakBefore w:val="0"/>
                    <w:kinsoku/>
                    <w:overflowPunct/>
                    <w:autoSpaceDE/>
                    <w:autoSpaceDN/>
                    <w:bidi w:val="0"/>
                    <w:spacing w:before="24" w:after="24"/>
                    <w:ind w:firstLine="1"/>
                    <w:textAlignment w:val="auto"/>
                    <w:rPr>
                      <w:rFonts w:ascii="Times New Roman"/>
                      <w:color w:val="auto"/>
                      <w:sz w:val="21"/>
                      <w:szCs w:val="21"/>
                    </w:rPr>
                  </w:pPr>
                  <w:r>
                    <w:rPr>
                      <w:rFonts w:ascii="Times New Roman"/>
                      <w:color w:val="auto"/>
                      <w:sz w:val="21"/>
                      <w:szCs w:val="21"/>
                    </w:rPr>
                    <w:t>400</w:t>
                  </w:r>
                </w:p>
              </w:tc>
              <w:tc>
                <w:tcPr>
                  <w:tcW w:w="0" w:type="auto"/>
                  <w:tcBorders>
                    <w:tl2br w:val="nil"/>
                    <w:tr2bl w:val="nil"/>
                  </w:tcBorders>
                  <w:noWrap w:val="0"/>
                  <w:vAlign w:val="center"/>
                </w:tcPr>
                <w:p w14:paraId="43EAEED4">
                  <w:pPr>
                    <w:pStyle w:val="98"/>
                    <w:keepNext w:val="0"/>
                    <w:keepLines w:val="0"/>
                    <w:pageBreakBefore w:val="0"/>
                    <w:kinsoku/>
                    <w:overflowPunct/>
                    <w:autoSpaceDE/>
                    <w:autoSpaceDN/>
                    <w:bidi w:val="0"/>
                    <w:spacing w:before="24" w:after="24"/>
                    <w:ind w:firstLine="1"/>
                    <w:textAlignment w:val="auto"/>
                    <w:rPr>
                      <w:rFonts w:ascii="Times New Roman"/>
                      <w:color w:val="auto"/>
                      <w:sz w:val="21"/>
                      <w:szCs w:val="21"/>
                    </w:rPr>
                  </w:pPr>
                  <w:r>
                    <w:rPr>
                      <w:rFonts w:ascii="Times New Roman"/>
                      <w:color w:val="auto"/>
                      <w:sz w:val="21"/>
                      <w:szCs w:val="21"/>
                    </w:rPr>
                    <w:t>-</w:t>
                  </w:r>
                </w:p>
              </w:tc>
              <w:tc>
                <w:tcPr>
                  <w:tcW w:w="0" w:type="auto"/>
                  <w:tcBorders>
                    <w:tl2br w:val="nil"/>
                    <w:tr2bl w:val="nil"/>
                  </w:tcBorders>
                  <w:noWrap w:val="0"/>
                  <w:vAlign w:val="center"/>
                </w:tcPr>
                <w:p w14:paraId="3F694AFC">
                  <w:pPr>
                    <w:pStyle w:val="98"/>
                    <w:keepNext w:val="0"/>
                    <w:keepLines w:val="0"/>
                    <w:pageBreakBefore w:val="0"/>
                    <w:kinsoku/>
                    <w:overflowPunct/>
                    <w:autoSpaceDE/>
                    <w:autoSpaceDN/>
                    <w:bidi w:val="0"/>
                    <w:spacing w:before="24" w:after="24"/>
                    <w:ind w:firstLine="1"/>
                    <w:textAlignment w:val="auto"/>
                    <w:rPr>
                      <w:rFonts w:hint="eastAsia" w:ascii="Times New Roman" w:eastAsia="宋体"/>
                      <w:color w:val="auto"/>
                      <w:sz w:val="21"/>
                      <w:szCs w:val="21"/>
                      <w:lang w:val="en-US" w:eastAsia="zh-CN"/>
                    </w:rPr>
                  </w:pPr>
                  <w:r>
                    <w:rPr>
                      <w:rFonts w:hint="eastAsia" w:ascii="Times New Roman"/>
                      <w:color w:val="auto"/>
                      <w:sz w:val="21"/>
                      <w:szCs w:val="21"/>
                      <w:lang w:val="en-US" w:eastAsia="zh-CN"/>
                    </w:rPr>
                    <w:t>-</w:t>
                  </w:r>
                </w:p>
              </w:tc>
              <w:tc>
                <w:tcPr>
                  <w:tcW w:w="0" w:type="auto"/>
                  <w:tcBorders>
                    <w:tl2br w:val="nil"/>
                    <w:tr2bl w:val="nil"/>
                  </w:tcBorders>
                  <w:noWrap w:val="0"/>
                  <w:vAlign w:val="center"/>
                </w:tcPr>
                <w:p w14:paraId="1FE7D477">
                  <w:pPr>
                    <w:pStyle w:val="98"/>
                    <w:keepNext w:val="0"/>
                    <w:keepLines w:val="0"/>
                    <w:pageBreakBefore w:val="0"/>
                    <w:kinsoku/>
                    <w:overflowPunct/>
                    <w:autoSpaceDE/>
                    <w:autoSpaceDN/>
                    <w:bidi w:val="0"/>
                    <w:spacing w:before="24" w:after="24"/>
                    <w:ind w:firstLine="1"/>
                    <w:textAlignment w:val="auto"/>
                    <w:rPr>
                      <w:rFonts w:hint="default" w:ascii="Times New Roman" w:eastAsia="宋体"/>
                      <w:color w:val="auto"/>
                      <w:sz w:val="21"/>
                      <w:szCs w:val="21"/>
                      <w:lang w:val="en-US" w:eastAsia="zh-CN"/>
                    </w:rPr>
                  </w:pPr>
                  <w:r>
                    <w:rPr>
                      <w:rFonts w:hint="eastAsia" w:ascii="Times New Roman"/>
                      <w:color w:val="auto"/>
                      <w:sz w:val="21"/>
                      <w:szCs w:val="21"/>
                      <w:lang w:val="en-US" w:eastAsia="zh-CN"/>
                    </w:rPr>
                    <w:t>20</w:t>
                  </w:r>
                </w:p>
              </w:tc>
              <w:tc>
                <w:tcPr>
                  <w:tcW w:w="0" w:type="auto"/>
                  <w:tcBorders>
                    <w:tl2br w:val="nil"/>
                    <w:tr2bl w:val="nil"/>
                  </w:tcBorders>
                  <w:noWrap w:val="0"/>
                  <w:vAlign w:val="center"/>
                </w:tcPr>
                <w:p w14:paraId="03CA737D">
                  <w:pPr>
                    <w:pStyle w:val="98"/>
                    <w:keepNext w:val="0"/>
                    <w:keepLines w:val="0"/>
                    <w:pageBreakBefore w:val="0"/>
                    <w:kinsoku/>
                    <w:overflowPunct/>
                    <w:autoSpaceDE/>
                    <w:autoSpaceDN/>
                    <w:bidi w:val="0"/>
                    <w:spacing w:before="24" w:after="24"/>
                    <w:ind w:firstLine="1"/>
                    <w:textAlignment w:val="auto"/>
                    <w:rPr>
                      <w:rFonts w:hint="default" w:ascii="Times New Roman" w:eastAsia="宋体"/>
                      <w:color w:val="auto"/>
                      <w:sz w:val="21"/>
                      <w:szCs w:val="21"/>
                      <w:lang w:val="en-US" w:eastAsia="zh-CN"/>
                    </w:rPr>
                  </w:pPr>
                  <w:r>
                    <w:rPr>
                      <w:rFonts w:hint="eastAsia" w:ascii="Times New Roman"/>
                      <w:color w:val="auto"/>
                      <w:sz w:val="21"/>
                      <w:szCs w:val="21"/>
                      <w:lang w:val="en-US" w:eastAsia="zh-CN"/>
                    </w:rPr>
                    <w:t>20</w:t>
                  </w:r>
                </w:p>
              </w:tc>
              <w:tc>
                <w:tcPr>
                  <w:tcW w:w="0" w:type="auto"/>
                  <w:tcBorders>
                    <w:tl2br w:val="nil"/>
                    <w:tr2bl w:val="nil"/>
                  </w:tcBorders>
                  <w:noWrap w:val="0"/>
                  <w:vAlign w:val="center"/>
                </w:tcPr>
                <w:p w14:paraId="09E31A26">
                  <w:pPr>
                    <w:pStyle w:val="98"/>
                    <w:keepNext w:val="0"/>
                    <w:keepLines w:val="0"/>
                    <w:pageBreakBefore w:val="0"/>
                    <w:kinsoku/>
                    <w:overflowPunct/>
                    <w:autoSpaceDE/>
                    <w:autoSpaceDN/>
                    <w:bidi w:val="0"/>
                    <w:spacing w:before="24" w:after="24"/>
                    <w:ind w:firstLine="1"/>
                    <w:textAlignment w:val="auto"/>
                    <w:rPr>
                      <w:rFonts w:hint="eastAsia" w:ascii="Times New Roman" w:eastAsia="宋体"/>
                      <w:color w:val="auto"/>
                      <w:sz w:val="21"/>
                      <w:szCs w:val="21"/>
                      <w:lang w:val="en-US" w:eastAsia="zh-CN"/>
                    </w:rPr>
                  </w:pPr>
                  <w:r>
                    <w:rPr>
                      <w:rFonts w:hint="eastAsia" w:ascii="Times New Roman"/>
                      <w:color w:val="auto"/>
                      <w:sz w:val="21"/>
                      <w:szCs w:val="21"/>
                      <w:lang w:val="en-US" w:eastAsia="zh-CN"/>
                    </w:rPr>
                    <w:t>-</w:t>
                  </w:r>
                </w:p>
              </w:tc>
            </w:tr>
            <w:tr w14:paraId="172D228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tblHeader/>
                <w:jc w:val="center"/>
              </w:trPr>
              <w:tc>
                <w:tcPr>
                  <w:tcW w:w="0" w:type="auto"/>
                  <w:tcBorders>
                    <w:tl2br w:val="nil"/>
                    <w:tr2bl w:val="nil"/>
                  </w:tcBorders>
                  <w:noWrap w:val="0"/>
                  <w:vAlign w:val="center"/>
                </w:tcPr>
                <w:p w14:paraId="133EF31C">
                  <w:pPr>
                    <w:pStyle w:val="98"/>
                    <w:keepNext w:val="0"/>
                    <w:keepLines w:val="0"/>
                    <w:pageBreakBefore w:val="0"/>
                    <w:kinsoku/>
                    <w:overflowPunct/>
                    <w:autoSpaceDE/>
                    <w:autoSpaceDN/>
                    <w:bidi w:val="0"/>
                    <w:spacing w:before="24" w:after="24"/>
                    <w:ind w:firstLine="1"/>
                    <w:textAlignment w:val="auto"/>
                    <w:rPr>
                      <w:rFonts w:hint="default" w:ascii="Times New Roman" w:eastAsia="宋体"/>
                      <w:b/>
                      <w:bCs/>
                      <w:color w:val="auto"/>
                      <w:sz w:val="21"/>
                      <w:szCs w:val="21"/>
                      <w:lang w:val="en-US" w:eastAsia="zh-CN"/>
                    </w:rPr>
                  </w:pPr>
                  <w:r>
                    <w:rPr>
                      <w:rFonts w:hint="eastAsia" w:ascii="Times New Roman"/>
                      <w:b/>
                      <w:bCs/>
                      <w:color w:val="auto"/>
                      <w:sz w:val="21"/>
                      <w:szCs w:val="21"/>
                      <w:lang w:val="en-US" w:eastAsia="zh-CN"/>
                    </w:rPr>
                    <w:t>出水标准</w:t>
                  </w:r>
                </w:p>
              </w:tc>
              <w:tc>
                <w:tcPr>
                  <w:tcW w:w="0" w:type="auto"/>
                  <w:tcBorders>
                    <w:tl2br w:val="nil"/>
                    <w:tr2bl w:val="nil"/>
                  </w:tcBorders>
                  <w:shd w:val="clear" w:color="auto" w:fill="auto"/>
                  <w:noWrap w:val="0"/>
                  <w:vAlign w:val="center"/>
                </w:tcPr>
                <w:p w14:paraId="5FBE4D63">
                  <w:pPr>
                    <w:pStyle w:val="98"/>
                    <w:keepNext w:val="0"/>
                    <w:keepLines w:val="0"/>
                    <w:pageBreakBefore w:val="0"/>
                    <w:kinsoku/>
                    <w:overflowPunct/>
                    <w:autoSpaceDE/>
                    <w:autoSpaceDN/>
                    <w:bidi w:val="0"/>
                    <w:spacing w:before="24" w:after="24"/>
                    <w:ind w:firstLine="1" w:firstLineChars="0"/>
                    <w:textAlignment w:val="auto"/>
                    <w:rPr>
                      <w:rFonts w:ascii="Times New Roman" w:hAnsi="Courier New" w:eastAsia="宋体" w:cs="Times New Roman"/>
                      <w:color w:val="auto"/>
                      <w:kern w:val="0"/>
                      <w:sz w:val="21"/>
                      <w:szCs w:val="21"/>
                      <w:lang w:val="en-US" w:eastAsia="zh-CN" w:bidi="ar-SA"/>
                    </w:rPr>
                  </w:pPr>
                  <w:r>
                    <w:rPr>
                      <w:rFonts w:ascii="Times New Roman"/>
                      <w:color w:val="auto"/>
                      <w:sz w:val="21"/>
                      <w:szCs w:val="21"/>
                    </w:rPr>
                    <w:t>城镇污水处理厂污染物排放标准》（GB18918—2002）一级A标准</w:t>
                  </w:r>
                </w:p>
              </w:tc>
              <w:tc>
                <w:tcPr>
                  <w:tcW w:w="0" w:type="auto"/>
                  <w:tcBorders>
                    <w:tl2br w:val="nil"/>
                    <w:tr2bl w:val="nil"/>
                  </w:tcBorders>
                  <w:noWrap w:val="0"/>
                  <w:vAlign w:val="center"/>
                </w:tcPr>
                <w:p w14:paraId="05BC07FD">
                  <w:pPr>
                    <w:pStyle w:val="98"/>
                    <w:keepNext w:val="0"/>
                    <w:keepLines w:val="0"/>
                    <w:pageBreakBefore w:val="0"/>
                    <w:kinsoku/>
                    <w:overflowPunct/>
                    <w:autoSpaceDE/>
                    <w:autoSpaceDN/>
                    <w:bidi w:val="0"/>
                    <w:spacing w:before="24" w:after="24"/>
                    <w:ind w:firstLine="1"/>
                    <w:textAlignment w:val="auto"/>
                    <w:rPr>
                      <w:rFonts w:ascii="Times New Roman"/>
                      <w:color w:val="auto"/>
                      <w:sz w:val="21"/>
                      <w:szCs w:val="21"/>
                    </w:rPr>
                  </w:pPr>
                  <w:r>
                    <w:rPr>
                      <w:rFonts w:ascii="Times New Roman"/>
                      <w:color w:val="auto"/>
                      <w:sz w:val="21"/>
                      <w:szCs w:val="21"/>
                    </w:rPr>
                    <w:t>6~9</w:t>
                  </w:r>
                </w:p>
              </w:tc>
              <w:tc>
                <w:tcPr>
                  <w:tcW w:w="0" w:type="auto"/>
                  <w:tcBorders>
                    <w:tl2br w:val="nil"/>
                    <w:tr2bl w:val="nil"/>
                  </w:tcBorders>
                  <w:noWrap w:val="0"/>
                  <w:vAlign w:val="center"/>
                </w:tcPr>
                <w:p w14:paraId="532DCDE1">
                  <w:pPr>
                    <w:pStyle w:val="98"/>
                    <w:keepNext w:val="0"/>
                    <w:keepLines w:val="0"/>
                    <w:pageBreakBefore w:val="0"/>
                    <w:kinsoku/>
                    <w:overflowPunct/>
                    <w:autoSpaceDE/>
                    <w:autoSpaceDN/>
                    <w:bidi w:val="0"/>
                    <w:spacing w:before="24" w:after="24"/>
                    <w:ind w:firstLine="1"/>
                    <w:textAlignment w:val="auto"/>
                    <w:rPr>
                      <w:rFonts w:ascii="Times New Roman"/>
                      <w:color w:val="auto"/>
                      <w:sz w:val="21"/>
                      <w:szCs w:val="21"/>
                    </w:rPr>
                  </w:pPr>
                  <w:r>
                    <w:rPr>
                      <w:rFonts w:ascii="Times New Roman"/>
                      <w:color w:val="auto"/>
                      <w:sz w:val="21"/>
                      <w:szCs w:val="21"/>
                    </w:rPr>
                    <w:t>50</w:t>
                  </w:r>
                </w:p>
              </w:tc>
              <w:tc>
                <w:tcPr>
                  <w:tcW w:w="0" w:type="auto"/>
                  <w:tcBorders>
                    <w:tl2br w:val="nil"/>
                    <w:tr2bl w:val="nil"/>
                  </w:tcBorders>
                  <w:noWrap w:val="0"/>
                  <w:vAlign w:val="center"/>
                </w:tcPr>
                <w:p w14:paraId="5D05CCC4">
                  <w:pPr>
                    <w:pStyle w:val="98"/>
                    <w:keepNext w:val="0"/>
                    <w:keepLines w:val="0"/>
                    <w:pageBreakBefore w:val="0"/>
                    <w:kinsoku/>
                    <w:overflowPunct/>
                    <w:autoSpaceDE/>
                    <w:autoSpaceDN/>
                    <w:bidi w:val="0"/>
                    <w:spacing w:before="24" w:after="24"/>
                    <w:ind w:firstLine="1"/>
                    <w:textAlignment w:val="auto"/>
                    <w:rPr>
                      <w:rFonts w:ascii="Times New Roman"/>
                      <w:color w:val="auto"/>
                      <w:sz w:val="21"/>
                      <w:szCs w:val="21"/>
                    </w:rPr>
                  </w:pPr>
                  <w:r>
                    <w:rPr>
                      <w:rFonts w:ascii="Times New Roman"/>
                      <w:color w:val="auto"/>
                      <w:sz w:val="21"/>
                      <w:szCs w:val="21"/>
                    </w:rPr>
                    <w:t>10</w:t>
                  </w:r>
                </w:p>
              </w:tc>
              <w:tc>
                <w:tcPr>
                  <w:tcW w:w="0" w:type="auto"/>
                  <w:tcBorders>
                    <w:tl2br w:val="nil"/>
                    <w:tr2bl w:val="nil"/>
                  </w:tcBorders>
                  <w:noWrap w:val="0"/>
                  <w:vAlign w:val="center"/>
                </w:tcPr>
                <w:p w14:paraId="1F0D0F8C">
                  <w:pPr>
                    <w:pStyle w:val="98"/>
                    <w:keepNext w:val="0"/>
                    <w:keepLines w:val="0"/>
                    <w:pageBreakBefore w:val="0"/>
                    <w:kinsoku/>
                    <w:overflowPunct/>
                    <w:autoSpaceDE/>
                    <w:autoSpaceDN/>
                    <w:bidi w:val="0"/>
                    <w:spacing w:before="24" w:after="24"/>
                    <w:ind w:firstLine="1"/>
                    <w:textAlignment w:val="auto"/>
                    <w:rPr>
                      <w:rFonts w:ascii="Times New Roman"/>
                      <w:color w:val="auto"/>
                      <w:sz w:val="21"/>
                      <w:szCs w:val="21"/>
                    </w:rPr>
                  </w:pPr>
                  <w:r>
                    <w:rPr>
                      <w:rFonts w:ascii="Times New Roman"/>
                      <w:color w:val="auto"/>
                      <w:sz w:val="21"/>
                      <w:szCs w:val="21"/>
                    </w:rPr>
                    <w:t>10</w:t>
                  </w:r>
                </w:p>
              </w:tc>
              <w:tc>
                <w:tcPr>
                  <w:tcW w:w="0" w:type="auto"/>
                  <w:tcBorders>
                    <w:tl2br w:val="nil"/>
                    <w:tr2bl w:val="nil"/>
                  </w:tcBorders>
                  <w:noWrap w:val="0"/>
                  <w:vAlign w:val="center"/>
                </w:tcPr>
                <w:p w14:paraId="30BFA08D">
                  <w:pPr>
                    <w:pStyle w:val="98"/>
                    <w:keepNext w:val="0"/>
                    <w:keepLines w:val="0"/>
                    <w:pageBreakBefore w:val="0"/>
                    <w:kinsoku/>
                    <w:overflowPunct/>
                    <w:autoSpaceDE/>
                    <w:autoSpaceDN/>
                    <w:bidi w:val="0"/>
                    <w:spacing w:before="24" w:after="24"/>
                    <w:ind w:firstLine="1"/>
                    <w:textAlignment w:val="auto"/>
                    <w:rPr>
                      <w:rFonts w:ascii="Times New Roman"/>
                      <w:color w:val="auto"/>
                      <w:sz w:val="21"/>
                      <w:szCs w:val="21"/>
                    </w:rPr>
                  </w:pPr>
                  <w:r>
                    <w:rPr>
                      <w:rFonts w:ascii="Times New Roman"/>
                      <w:color w:val="auto"/>
                      <w:sz w:val="21"/>
                      <w:szCs w:val="21"/>
                    </w:rPr>
                    <w:t>5（8）</w:t>
                  </w:r>
                </w:p>
              </w:tc>
              <w:tc>
                <w:tcPr>
                  <w:tcW w:w="0" w:type="auto"/>
                  <w:tcBorders>
                    <w:tl2br w:val="nil"/>
                    <w:tr2bl w:val="nil"/>
                  </w:tcBorders>
                  <w:noWrap w:val="0"/>
                  <w:vAlign w:val="center"/>
                </w:tcPr>
                <w:p w14:paraId="44D88699">
                  <w:pPr>
                    <w:pStyle w:val="98"/>
                    <w:keepNext w:val="0"/>
                    <w:keepLines w:val="0"/>
                    <w:pageBreakBefore w:val="0"/>
                    <w:kinsoku/>
                    <w:overflowPunct/>
                    <w:autoSpaceDE/>
                    <w:autoSpaceDN/>
                    <w:bidi w:val="0"/>
                    <w:spacing w:before="24" w:after="24"/>
                    <w:ind w:firstLine="1"/>
                    <w:textAlignment w:val="auto"/>
                    <w:rPr>
                      <w:rFonts w:hint="default" w:ascii="Times New Roman" w:eastAsia="宋体"/>
                      <w:color w:val="auto"/>
                      <w:sz w:val="21"/>
                      <w:szCs w:val="21"/>
                      <w:lang w:val="en-US" w:eastAsia="zh-CN"/>
                    </w:rPr>
                  </w:pPr>
                  <w:r>
                    <w:rPr>
                      <w:rFonts w:hint="eastAsia" w:ascii="Times New Roman"/>
                      <w:color w:val="auto"/>
                      <w:sz w:val="21"/>
                      <w:szCs w:val="21"/>
                      <w:lang w:val="en-US" w:eastAsia="zh-CN"/>
                    </w:rPr>
                    <w:t>0.5</w:t>
                  </w:r>
                </w:p>
              </w:tc>
              <w:tc>
                <w:tcPr>
                  <w:tcW w:w="0" w:type="auto"/>
                  <w:tcBorders>
                    <w:tl2br w:val="nil"/>
                    <w:tr2bl w:val="nil"/>
                  </w:tcBorders>
                  <w:noWrap w:val="0"/>
                  <w:vAlign w:val="center"/>
                </w:tcPr>
                <w:p w14:paraId="259E9B1C">
                  <w:pPr>
                    <w:pStyle w:val="98"/>
                    <w:keepNext w:val="0"/>
                    <w:keepLines w:val="0"/>
                    <w:pageBreakBefore w:val="0"/>
                    <w:kinsoku/>
                    <w:overflowPunct/>
                    <w:autoSpaceDE/>
                    <w:autoSpaceDN/>
                    <w:bidi w:val="0"/>
                    <w:spacing w:before="24" w:after="24"/>
                    <w:ind w:firstLine="1"/>
                    <w:textAlignment w:val="auto"/>
                    <w:rPr>
                      <w:rFonts w:hint="default" w:ascii="Times New Roman" w:eastAsia="宋体"/>
                      <w:color w:val="auto"/>
                      <w:sz w:val="21"/>
                      <w:szCs w:val="21"/>
                      <w:lang w:val="en-US" w:eastAsia="zh-CN"/>
                    </w:rPr>
                  </w:pPr>
                  <w:r>
                    <w:rPr>
                      <w:rFonts w:hint="eastAsia" w:ascii="Times New Roman"/>
                      <w:color w:val="auto"/>
                      <w:sz w:val="21"/>
                      <w:szCs w:val="21"/>
                      <w:lang w:val="en-US" w:eastAsia="zh-CN"/>
                    </w:rPr>
                    <w:t>0.5</w:t>
                  </w:r>
                </w:p>
              </w:tc>
              <w:tc>
                <w:tcPr>
                  <w:tcW w:w="0" w:type="auto"/>
                  <w:tcBorders>
                    <w:tl2br w:val="nil"/>
                    <w:tr2bl w:val="nil"/>
                  </w:tcBorders>
                  <w:noWrap w:val="0"/>
                  <w:vAlign w:val="center"/>
                </w:tcPr>
                <w:p w14:paraId="0EE4A585">
                  <w:pPr>
                    <w:pStyle w:val="98"/>
                    <w:keepNext w:val="0"/>
                    <w:keepLines w:val="0"/>
                    <w:pageBreakBefore w:val="0"/>
                    <w:kinsoku/>
                    <w:overflowPunct/>
                    <w:autoSpaceDE/>
                    <w:autoSpaceDN/>
                    <w:bidi w:val="0"/>
                    <w:spacing w:before="24" w:after="24"/>
                    <w:ind w:firstLine="1"/>
                    <w:textAlignment w:val="auto"/>
                    <w:rPr>
                      <w:rFonts w:hint="default" w:ascii="Times New Roman" w:eastAsia="宋体"/>
                      <w:color w:val="auto"/>
                      <w:sz w:val="21"/>
                      <w:szCs w:val="21"/>
                      <w:lang w:val="en-US" w:eastAsia="zh-CN"/>
                    </w:rPr>
                  </w:pPr>
                  <w:r>
                    <w:rPr>
                      <w:rFonts w:hint="eastAsia" w:ascii="Times New Roman"/>
                      <w:color w:val="auto"/>
                      <w:sz w:val="21"/>
                      <w:szCs w:val="21"/>
                      <w:lang w:val="en-US" w:eastAsia="zh-CN"/>
                    </w:rPr>
                    <w:t>1.0</w:t>
                  </w:r>
                </w:p>
              </w:tc>
              <w:tc>
                <w:tcPr>
                  <w:tcW w:w="0" w:type="auto"/>
                  <w:tcBorders>
                    <w:tl2br w:val="nil"/>
                    <w:tr2bl w:val="nil"/>
                  </w:tcBorders>
                  <w:noWrap w:val="0"/>
                  <w:vAlign w:val="center"/>
                </w:tcPr>
                <w:p w14:paraId="1345E36E">
                  <w:pPr>
                    <w:pStyle w:val="98"/>
                    <w:keepNext w:val="0"/>
                    <w:keepLines w:val="0"/>
                    <w:pageBreakBefore w:val="0"/>
                    <w:kinsoku/>
                    <w:overflowPunct/>
                    <w:autoSpaceDE/>
                    <w:autoSpaceDN/>
                    <w:bidi w:val="0"/>
                    <w:spacing w:before="24" w:after="24"/>
                    <w:ind w:firstLine="1"/>
                    <w:textAlignment w:val="auto"/>
                    <w:rPr>
                      <w:rFonts w:hint="default" w:ascii="Times New Roman" w:eastAsia="宋体"/>
                      <w:color w:val="auto"/>
                      <w:sz w:val="21"/>
                      <w:szCs w:val="21"/>
                      <w:lang w:val="en-US" w:eastAsia="zh-CN"/>
                    </w:rPr>
                  </w:pPr>
                  <w:r>
                    <w:rPr>
                      <w:rFonts w:hint="eastAsia" w:ascii="Times New Roman"/>
                      <w:color w:val="auto"/>
                      <w:sz w:val="21"/>
                      <w:szCs w:val="21"/>
                      <w:lang w:val="en-US" w:eastAsia="zh-CN"/>
                    </w:rPr>
                    <w:t>15</w:t>
                  </w:r>
                </w:p>
              </w:tc>
            </w:tr>
          </w:tbl>
          <w:p w14:paraId="10946CFF">
            <w:pPr>
              <w:keepNext w:val="0"/>
              <w:keepLines w:val="0"/>
              <w:pageBreakBefore w:val="0"/>
              <w:kinsoku/>
              <w:wordWrap w:val="0"/>
              <w:overflowPunct/>
              <w:topLinePunct/>
              <w:autoSpaceDE/>
              <w:autoSpaceDN/>
              <w:bidi w:val="0"/>
              <w:adjustRightInd w:val="0"/>
              <w:snapToGrid w:val="0"/>
              <w:spacing w:line="360" w:lineRule="auto"/>
              <w:ind w:firstLine="361" w:firstLineChars="200"/>
              <w:jc w:val="left"/>
              <w:textAlignment w:val="auto"/>
              <w:rPr>
                <w:b/>
                <w:bCs/>
                <w:color w:val="auto"/>
                <w:kern w:val="0"/>
                <w:sz w:val="18"/>
                <w:szCs w:val="21"/>
              </w:rPr>
            </w:pPr>
            <w:r>
              <w:rPr>
                <w:rFonts w:hint="eastAsia"/>
                <w:b/>
                <w:bCs/>
                <w:color w:val="auto"/>
                <w:kern w:val="0"/>
                <w:sz w:val="18"/>
                <w:szCs w:val="21"/>
              </w:rPr>
              <w:t>注：</w:t>
            </w:r>
            <w:r>
              <w:rPr>
                <w:b/>
                <w:bCs/>
                <w:color w:val="auto"/>
                <w:kern w:val="0"/>
                <w:sz w:val="18"/>
                <w:szCs w:val="21"/>
              </w:rPr>
              <w:t>括号外数值为水温＞12℃时的控制指标，括号内数值为水温≤12℃时的控制指标。</w:t>
            </w:r>
          </w:p>
          <w:p w14:paraId="04BC3C98">
            <w:pPr>
              <w:spacing w:before="100" w:beforeAutospacing="1" w:line="360" w:lineRule="auto"/>
              <w:ind w:firstLine="482" w:firstLineChars="200"/>
              <w:rPr>
                <w:rFonts w:hint="default" w:ascii="Times New Roman" w:hAnsi="Times New Roman" w:cs="Times New Roman"/>
                <w:b/>
                <w:color w:val="auto"/>
                <w:kern w:val="0"/>
                <w:sz w:val="24"/>
                <w:szCs w:val="20"/>
              </w:rPr>
            </w:pPr>
            <w:r>
              <w:rPr>
                <w:rFonts w:hint="default" w:ascii="Times New Roman" w:hAnsi="Times New Roman" w:cs="Times New Roman"/>
                <w:b/>
                <w:color w:val="auto"/>
                <w:kern w:val="0"/>
                <w:sz w:val="24"/>
                <w:szCs w:val="20"/>
              </w:rPr>
              <w:t>3、噪声</w:t>
            </w:r>
          </w:p>
          <w:p w14:paraId="46311290">
            <w:pPr>
              <w:widowControl/>
              <w:spacing w:line="360" w:lineRule="auto"/>
              <w:ind w:left="-2" w:leftChars="-1" w:firstLine="480" w:firstLineChars="200"/>
              <w:jc w:val="left"/>
              <w:rPr>
                <w:rFonts w:hint="default" w:ascii="Times New Roman" w:hAnsi="Times New Roman" w:cs="Times New Roman"/>
                <w:color w:val="auto"/>
                <w:kern w:val="0"/>
                <w:sz w:val="24"/>
                <w:szCs w:val="20"/>
              </w:rPr>
            </w:pPr>
            <w:r>
              <w:rPr>
                <w:rFonts w:hint="default" w:ascii="Times New Roman" w:hAnsi="Times New Roman" w:cs="Times New Roman"/>
                <w:color w:val="auto"/>
                <w:kern w:val="0"/>
                <w:sz w:val="24"/>
                <w:szCs w:val="20"/>
              </w:rPr>
              <w:t>运营期厂界噪声执行《工业企业厂界环境噪声排放标准》（</w:t>
            </w:r>
            <w:r>
              <w:rPr>
                <w:rFonts w:hint="default" w:ascii="Times New Roman" w:hAnsi="Times New Roman" w:cs="Times New Roman"/>
                <w:bCs/>
                <w:color w:val="auto"/>
                <w:kern w:val="0"/>
                <w:sz w:val="24"/>
                <w:szCs w:val="20"/>
              </w:rPr>
              <w:t>GB12348-2008）</w:t>
            </w:r>
            <w:r>
              <w:rPr>
                <w:rFonts w:hint="default" w:ascii="Times New Roman" w:hAnsi="Times New Roman" w:cs="Times New Roman"/>
                <w:color w:val="auto"/>
                <w:kern w:val="0"/>
                <w:sz w:val="24"/>
                <w:szCs w:val="20"/>
              </w:rPr>
              <w:t>中的3类标准。</w:t>
            </w:r>
          </w:p>
          <w:p w14:paraId="67D3C5B7">
            <w:pPr>
              <w:keepNext w:val="0"/>
              <w:keepLines w:val="0"/>
              <w:pageBreakBefore w:val="0"/>
              <w:widowControl w:val="0"/>
              <w:kinsoku/>
              <w:wordWrap/>
              <w:overflowPunct/>
              <w:topLinePunct w:val="0"/>
              <w:autoSpaceDE/>
              <w:autoSpaceDN/>
              <w:bidi w:val="0"/>
              <w:adjustRightInd/>
              <w:snapToGrid/>
              <w:spacing w:beforeAutospacing="0"/>
              <w:jc w:val="center"/>
              <w:textAlignment w:val="auto"/>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表3-</w:t>
            </w:r>
            <w:r>
              <w:rPr>
                <w:rFonts w:hint="eastAsia" w:ascii="Times New Roman" w:hAnsi="Times New Roman" w:eastAsia="宋体" w:cs="Times New Roman"/>
                <w:b/>
                <w:color w:val="auto"/>
                <w:kern w:val="0"/>
                <w:sz w:val="24"/>
                <w:szCs w:val="24"/>
                <w:lang w:val="en-US" w:eastAsia="zh-CN" w:bidi="ar-SA"/>
              </w:rPr>
              <w:t>9</w:t>
            </w:r>
            <w:r>
              <w:rPr>
                <w:rFonts w:hint="default" w:ascii="Times New Roman" w:hAnsi="Times New Roman" w:eastAsia="宋体" w:cs="Times New Roman"/>
                <w:b/>
                <w:color w:val="auto"/>
                <w:kern w:val="0"/>
                <w:sz w:val="24"/>
                <w:szCs w:val="24"/>
                <w:lang w:val="en-US" w:eastAsia="zh-CN" w:bidi="ar-SA"/>
              </w:rPr>
              <w:t xml:space="preserve">  项目环境噪声排放标准  单位：dB(A)</w:t>
            </w:r>
          </w:p>
          <w:tbl>
            <w:tblPr>
              <w:tblStyle w:val="6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48"/>
              <w:gridCol w:w="1715"/>
              <w:gridCol w:w="1715"/>
              <w:gridCol w:w="3122"/>
            </w:tblGrid>
            <w:tr w14:paraId="6E29E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1053" w:type="pct"/>
                  <w:vMerge w:val="restart"/>
                  <w:vAlign w:val="center"/>
                </w:tcPr>
                <w:p w14:paraId="5BE0C81B">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类别</w:t>
                  </w:r>
                </w:p>
              </w:tc>
              <w:tc>
                <w:tcPr>
                  <w:tcW w:w="2066" w:type="pct"/>
                  <w:gridSpan w:val="2"/>
                  <w:vAlign w:val="center"/>
                </w:tcPr>
                <w:p w14:paraId="3B16BBD2">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标准值dB(A)</w:t>
                  </w:r>
                </w:p>
              </w:tc>
              <w:tc>
                <w:tcPr>
                  <w:tcW w:w="1880" w:type="pct"/>
                  <w:vMerge w:val="restart"/>
                  <w:vAlign w:val="center"/>
                </w:tcPr>
                <w:p w14:paraId="4A2862B2">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标准来源</w:t>
                  </w:r>
                </w:p>
              </w:tc>
            </w:tr>
            <w:tr w14:paraId="37BCA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053" w:type="pct"/>
                  <w:vMerge w:val="continue"/>
                  <w:vAlign w:val="center"/>
                </w:tcPr>
                <w:p w14:paraId="7D6D588D">
                  <w:pPr>
                    <w:widowControl/>
                    <w:jc w:val="center"/>
                    <w:rPr>
                      <w:rFonts w:hint="default" w:ascii="Times New Roman" w:hAnsi="Times New Roman" w:cs="Times New Roman"/>
                      <w:b/>
                      <w:color w:val="auto"/>
                      <w:kern w:val="0"/>
                      <w:szCs w:val="21"/>
                    </w:rPr>
                  </w:pPr>
                </w:p>
              </w:tc>
              <w:tc>
                <w:tcPr>
                  <w:tcW w:w="1033" w:type="pct"/>
                  <w:vAlign w:val="center"/>
                </w:tcPr>
                <w:p w14:paraId="69CDBF28">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昼间</w:t>
                  </w:r>
                </w:p>
              </w:tc>
              <w:tc>
                <w:tcPr>
                  <w:tcW w:w="1033" w:type="pct"/>
                  <w:vAlign w:val="center"/>
                </w:tcPr>
                <w:p w14:paraId="60444D83">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夜间</w:t>
                  </w:r>
                </w:p>
              </w:tc>
              <w:tc>
                <w:tcPr>
                  <w:tcW w:w="1880" w:type="pct"/>
                  <w:vMerge w:val="continue"/>
                  <w:vAlign w:val="center"/>
                </w:tcPr>
                <w:p w14:paraId="43498FA6">
                  <w:pPr>
                    <w:widowControl/>
                    <w:jc w:val="center"/>
                    <w:rPr>
                      <w:rFonts w:hint="default" w:ascii="Times New Roman" w:hAnsi="Times New Roman" w:cs="Times New Roman"/>
                      <w:b/>
                      <w:color w:val="auto"/>
                      <w:kern w:val="0"/>
                      <w:szCs w:val="21"/>
                    </w:rPr>
                  </w:pPr>
                </w:p>
              </w:tc>
            </w:tr>
            <w:tr w14:paraId="3C8FB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053" w:type="pct"/>
                  <w:vAlign w:val="center"/>
                </w:tcPr>
                <w:p w14:paraId="5E41B120">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3类</w:t>
                  </w:r>
                </w:p>
              </w:tc>
              <w:tc>
                <w:tcPr>
                  <w:tcW w:w="1033" w:type="pct"/>
                  <w:vAlign w:val="center"/>
                </w:tcPr>
                <w:p w14:paraId="527242C2">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65</w:t>
                  </w:r>
                </w:p>
              </w:tc>
              <w:tc>
                <w:tcPr>
                  <w:tcW w:w="1033" w:type="pct"/>
                  <w:vAlign w:val="center"/>
                </w:tcPr>
                <w:p w14:paraId="6B7BED05">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55</w:t>
                  </w:r>
                </w:p>
              </w:tc>
              <w:tc>
                <w:tcPr>
                  <w:tcW w:w="1880" w:type="pct"/>
                  <w:vAlign w:val="center"/>
                </w:tcPr>
                <w:p w14:paraId="43FD0857">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《工业企业厂界环境噪声排放标准》（</w:t>
                  </w:r>
                  <w:r>
                    <w:rPr>
                      <w:rFonts w:hint="default" w:ascii="Times New Roman" w:hAnsi="Times New Roman" w:cs="Times New Roman"/>
                      <w:bCs/>
                      <w:color w:val="auto"/>
                      <w:kern w:val="0"/>
                      <w:szCs w:val="21"/>
                    </w:rPr>
                    <w:t>GB12348-2008）</w:t>
                  </w:r>
                </w:p>
              </w:tc>
            </w:tr>
          </w:tbl>
          <w:p w14:paraId="4F13AB36">
            <w:pPr>
              <w:widowControl/>
              <w:spacing w:before="100" w:beforeAutospacing="1" w:line="360" w:lineRule="auto"/>
              <w:ind w:firstLine="482" w:firstLineChars="200"/>
              <w:jc w:val="left"/>
              <w:rPr>
                <w:rFonts w:hint="default" w:ascii="Times New Roman" w:hAnsi="Times New Roman" w:cs="Times New Roman"/>
                <w:b/>
                <w:color w:val="auto"/>
                <w:kern w:val="0"/>
                <w:sz w:val="24"/>
                <w:szCs w:val="20"/>
              </w:rPr>
            </w:pPr>
            <w:r>
              <w:rPr>
                <w:rFonts w:hint="default" w:ascii="Times New Roman" w:hAnsi="Times New Roman" w:cs="Times New Roman"/>
                <w:b/>
                <w:color w:val="auto"/>
                <w:kern w:val="0"/>
                <w:sz w:val="24"/>
                <w:szCs w:val="20"/>
              </w:rPr>
              <w:t>4、固废</w:t>
            </w:r>
          </w:p>
          <w:p w14:paraId="316B63EF">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项目运营期</w:t>
            </w:r>
            <w:r>
              <w:rPr>
                <w:rFonts w:hint="eastAsia" w:ascii="Times New Roman" w:hAnsi="Times New Roman" w:eastAsia="宋体" w:cs="Times New Roman"/>
                <w:color w:val="auto"/>
                <w:sz w:val="24"/>
                <w:lang w:val="en-US" w:eastAsia="zh-CN"/>
              </w:rPr>
              <w:t>生活垃圾的管理执行《中华人民共和国固体废物污染环境防治法》（</w:t>
            </w:r>
            <w:r>
              <w:rPr>
                <w:rFonts w:hint="default" w:ascii="Times New Roman" w:hAnsi="Times New Roman" w:eastAsia="宋体" w:cs="Times New Roman"/>
                <w:color w:val="auto"/>
                <w:sz w:val="24"/>
                <w:lang w:val="en-US" w:eastAsia="zh-CN"/>
              </w:rPr>
              <w:t>2020.4.29</w:t>
            </w:r>
            <w:r>
              <w:rPr>
                <w:rFonts w:hint="eastAsia" w:ascii="Times New Roman" w:hAnsi="Times New Roman" w:eastAsia="宋体" w:cs="Times New Roman"/>
                <w:color w:val="auto"/>
                <w:sz w:val="24"/>
                <w:lang w:val="en-US" w:eastAsia="zh-CN"/>
              </w:rPr>
              <w:t>修订）等有关规定；</w:t>
            </w:r>
            <w:r>
              <w:rPr>
                <w:rFonts w:hint="default" w:ascii="Times New Roman" w:hAnsi="Times New Roman" w:cs="Times New Roman"/>
                <w:color w:val="auto"/>
                <w:sz w:val="24"/>
              </w:rPr>
              <w:t>一般固废处置按照《一般工业固体废物贮存和填埋污染控制标准》（GB 18599-2020）中的有关规定执行；危险废物处置按照《危险废物贮存污染控制标准》（GB18597-2023）中的有关规定执行。</w:t>
            </w:r>
          </w:p>
          <w:p w14:paraId="363F8CE0">
            <w:pPr>
              <w:pStyle w:val="78"/>
              <w:rPr>
                <w:rFonts w:hint="default" w:ascii="Times New Roman" w:hAnsi="Times New Roman" w:cs="Times New Roman"/>
                <w:color w:val="auto"/>
                <w:sz w:val="24"/>
              </w:rPr>
            </w:pPr>
          </w:p>
          <w:p w14:paraId="2DEEF5C6">
            <w:pPr>
              <w:pStyle w:val="80"/>
              <w:rPr>
                <w:rFonts w:hint="default" w:ascii="Times New Roman" w:hAnsi="Times New Roman" w:cs="Times New Roman"/>
                <w:color w:val="auto"/>
                <w:sz w:val="24"/>
              </w:rPr>
            </w:pPr>
          </w:p>
          <w:p w14:paraId="71AE58CF">
            <w:pPr>
              <w:pStyle w:val="31"/>
              <w:ind w:left="0" w:leftChars="0" w:firstLine="0" w:firstLineChars="0"/>
              <w:rPr>
                <w:rFonts w:hint="default" w:ascii="Times New Roman" w:hAnsi="Times New Roman" w:cs="Times New Roman"/>
                <w:color w:val="auto"/>
                <w:sz w:val="24"/>
              </w:rPr>
            </w:pPr>
          </w:p>
          <w:p w14:paraId="2F93C409">
            <w:pPr>
              <w:pStyle w:val="31"/>
              <w:ind w:left="0" w:leftChars="0" w:firstLine="0" w:firstLineChars="0"/>
              <w:rPr>
                <w:rFonts w:hint="default" w:ascii="Times New Roman" w:hAnsi="Times New Roman" w:cs="Times New Roman"/>
                <w:color w:val="auto"/>
                <w:sz w:val="24"/>
              </w:rPr>
            </w:pPr>
          </w:p>
          <w:p w14:paraId="260FCBD3">
            <w:pPr>
              <w:pStyle w:val="31"/>
              <w:ind w:left="0" w:leftChars="0" w:firstLine="0" w:firstLineChars="0"/>
              <w:rPr>
                <w:rFonts w:hint="default" w:ascii="Times New Roman" w:hAnsi="Times New Roman" w:cs="Times New Roman"/>
                <w:color w:val="auto"/>
                <w:sz w:val="24"/>
              </w:rPr>
            </w:pPr>
          </w:p>
          <w:p w14:paraId="6783F6BE">
            <w:pPr>
              <w:pStyle w:val="31"/>
              <w:ind w:left="0" w:leftChars="0" w:firstLine="0" w:firstLineChars="0"/>
              <w:rPr>
                <w:rFonts w:hint="default" w:ascii="Times New Roman" w:hAnsi="Times New Roman" w:cs="Times New Roman"/>
                <w:color w:val="auto"/>
                <w:sz w:val="24"/>
              </w:rPr>
            </w:pPr>
          </w:p>
          <w:p w14:paraId="36932DF9">
            <w:pPr>
              <w:pStyle w:val="31"/>
              <w:ind w:left="0" w:leftChars="0" w:firstLine="0" w:firstLineChars="0"/>
              <w:rPr>
                <w:rFonts w:hint="default" w:ascii="Times New Roman" w:hAnsi="Times New Roman" w:cs="Times New Roman"/>
                <w:color w:val="auto"/>
                <w:sz w:val="24"/>
              </w:rPr>
            </w:pPr>
          </w:p>
          <w:p w14:paraId="35D934C0">
            <w:pPr>
              <w:pStyle w:val="31"/>
              <w:ind w:left="0" w:leftChars="0" w:firstLine="0" w:firstLineChars="0"/>
              <w:rPr>
                <w:rFonts w:hint="default" w:ascii="Times New Roman" w:hAnsi="Times New Roman" w:cs="Times New Roman"/>
                <w:color w:val="auto"/>
                <w:sz w:val="24"/>
              </w:rPr>
            </w:pPr>
          </w:p>
          <w:p w14:paraId="1825F76E">
            <w:pPr>
              <w:pStyle w:val="31"/>
              <w:ind w:left="0" w:leftChars="0" w:firstLine="0" w:firstLineChars="0"/>
              <w:rPr>
                <w:rFonts w:hint="default" w:ascii="Times New Roman" w:hAnsi="Times New Roman" w:cs="Times New Roman"/>
                <w:color w:val="auto"/>
                <w:sz w:val="24"/>
              </w:rPr>
            </w:pPr>
          </w:p>
          <w:p w14:paraId="3E62AE5F">
            <w:pPr>
              <w:pStyle w:val="31"/>
              <w:ind w:left="0" w:leftChars="0" w:firstLine="0" w:firstLineChars="0"/>
              <w:rPr>
                <w:rFonts w:hint="default" w:ascii="Times New Roman" w:hAnsi="Times New Roman" w:cs="Times New Roman"/>
                <w:color w:val="auto"/>
                <w:sz w:val="24"/>
              </w:rPr>
            </w:pPr>
          </w:p>
          <w:p w14:paraId="303018E0">
            <w:pPr>
              <w:pStyle w:val="31"/>
              <w:ind w:left="0" w:leftChars="0" w:firstLine="0" w:firstLineChars="0"/>
              <w:rPr>
                <w:rFonts w:hint="default" w:ascii="Times New Roman" w:hAnsi="Times New Roman" w:cs="Times New Roman"/>
                <w:color w:val="auto"/>
                <w:sz w:val="24"/>
              </w:rPr>
            </w:pPr>
          </w:p>
          <w:p w14:paraId="11E0B5D1">
            <w:pPr>
              <w:pStyle w:val="31"/>
              <w:ind w:left="0" w:leftChars="0" w:firstLine="0" w:firstLineChars="0"/>
              <w:rPr>
                <w:rFonts w:hint="default" w:ascii="Times New Roman" w:hAnsi="Times New Roman" w:cs="Times New Roman"/>
                <w:color w:val="auto"/>
                <w:sz w:val="24"/>
              </w:rPr>
            </w:pPr>
          </w:p>
          <w:p w14:paraId="087F3D9A">
            <w:pPr>
              <w:pStyle w:val="31"/>
              <w:ind w:left="0" w:leftChars="0" w:firstLine="0" w:firstLineChars="0"/>
              <w:rPr>
                <w:rFonts w:hint="default" w:ascii="Times New Roman" w:hAnsi="Times New Roman" w:cs="Times New Roman"/>
                <w:color w:val="auto"/>
                <w:sz w:val="24"/>
              </w:rPr>
            </w:pPr>
          </w:p>
          <w:p w14:paraId="64F0AF42">
            <w:pPr>
              <w:pStyle w:val="31"/>
              <w:ind w:left="0" w:leftChars="0" w:firstLine="0" w:firstLineChars="0"/>
              <w:rPr>
                <w:rFonts w:hint="default" w:ascii="Times New Roman" w:hAnsi="Times New Roman" w:cs="Times New Roman"/>
                <w:color w:val="auto"/>
                <w:sz w:val="24"/>
              </w:rPr>
            </w:pPr>
          </w:p>
          <w:p w14:paraId="1E292502">
            <w:pPr>
              <w:pStyle w:val="31"/>
              <w:ind w:left="0" w:leftChars="0" w:firstLine="0" w:firstLineChars="0"/>
              <w:rPr>
                <w:rFonts w:hint="default" w:ascii="Times New Roman" w:hAnsi="Times New Roman" w:cs="Times New Roman"/>
                <w:color w:val="auto"/>
                <w:sz w:val="24"/>
              </w:rPr>
            </w:pPr>
          </w:p>
          <w:p w14:paraId="16D75EA7">
            <w:pPr>
              <w:pStyle w:val="31"/>
              <w:ind w:left="0" w:leftChars="0" w:firstLine="0" w:firstLineChars="0"/>
              <w:rPr>
                <w:rFonts w:hint="default" w:ascii="Times New Roman" w:hAnsi="Times New Roman" w:cs="Times New Roman"/>
                <w:color w:val="auto"/>
                <w:sz w:val="24"/>
              </w:rPr>
            </w:pPr>
          </w:p>
          <w:p w14:paraId="5359A33B">
            <w:pPr>
              <w:pStyle w:val="31"/>
              <w:ind w:left="0" w:leftChars="0" w:firstLine="0" w:firstLineChars="0"/>
              <w:rPr>
                <w:rFonts w:hint="default" w:ascii="Times New Roman" w:hAnsi="Times New Roman" w:cs="Times New Roman"/>
                <w:color w:val="auto"/>
                <w:sz w:val="24"/>
              </w:rPr>
            </w:pPr>
          </w:p>
          <w:p w14:paraId="2C5389E1">
            <w:pPr>
              <w:pStyle w:val="31"/>
              <w:ind w:left="0" w:leftChars="0" w:firstLine="0" w:firstLineChars="0"/>
              <w:rPr>
                <w:rFonts w:hint="default" w:ascii="Times New Roman" w:hAnsi="Times New Roman" w:cs="Times New Roman"/>
                <w:color w:val="auto"/>
                <w:sz w:val="24"/>
              </w:rPr>
            </w:pPr>
          </w:p>
          <w:p w14:paraId="7F33968A">
            <w:pPr>
              <w:pStyle w:val="31"/>
              <w:ind w:left="0" w:leftChars="0" w:firstLine="0" w:firstLineChars="0"/>
              <w:rPr>
                <w:rFonts w:hint="default" w:ascii="Times New Roman" w:hAnsi="Times New Roman" w:cs="Times New Roman"/>
                <w:color w:val="auto"/>
                <w:sz w:val="24"/>
              </w:rPr>
            </w:pPr>
          </w:p>
          <w:p w14:paraId="18053E2F">
            <w:pPr>
              <w:pStyle w:val="31"/>
              <w:ind w:left="0" w:leftChars="0" w:firstLine="0" w:firstLineChars="0"/>
              <w:rPr>
                <w:rFonts w:hint="default" w:ascii="Times New Roman" w:hAnsi="Times New Roman" w:cs="Times New Roman"/>
                <w:color w:val="auto"/>
                <w:sz w:val="24"/>
              </w:rPr>
            </w:pPr>
          </w:p>
          <w:p w14:paraId="321F8ED7">
            <w:pPr>
              <w:pStyle w:val="31"/>
              <w:ind w:left="0" w:leftChars="0" w:firstLine="0" w:firstLineChars="0"/>
              <w:rPr>
                <w:rFonts w:hint="default" w:ascii="Times New Roman" w:hAnsi="Times New Roman" w:cs="Times New Roman"/>
                <w:color w:val="auto"/>
                <w:sz w:val="24"/>
              </w:rPr>
            </w:pPr>
          </w:p>
          <w:p w14:paraId="3B2B8900">
            <w:pPr>
              <w:pStyle w:val="31"/>
              <w:ind w:left="0" w:leftChars="0" w:firstLine="0" w:firstLineChars="0"/>
              <w:rPr>
                <w:rFonts w:hint="default" w:ascii="Times New Roman" w:hAnsi="Times New Roman" w:cs="Times New Roman"/>
                <w:color w:val="auto"/>
                <w:sz w:val="24"/>
              </w:rPr>
            </w:pPr>
          </w:p>
          <w:p w14:paraId="0B1A5938">
            <w:pPr>
              <w:pStyle w:val="31"/>
              <w:ind w:left="0" w:leftChars="0" w:firstLine="0" w:firstLineChars="0"/>
              <w:rPr>
                <w:rFonts w:hint="default" w:ascii="Times New Roman" w:hAnsi="Times New Roman" w:cs="Times New Roman"/>
                <w:color w:val="auto"/>
                <w:sz w:val="24"/>
              </w:rPr>
            </w:pPr>
          </w:p>
          <w:p w14:paraId="6B1424AC">
            <w:pPr>
              <w:pStyle w:val="31"/>
              <w:ind w:left="0" w:leftChars="0" w:firstLine="0" w:firstLineChars="0"/>
              <w:rPr>
                <w:rFonts w:hint="default" w:ascii="Times New Roman" w:hAnsi="Times New Roman" w:cs="Times New Roman"/>
                <w:color w:val="auto"/>
                <w:sz w:val="24"/>
              </w:rPr>
            </w:pPr>
          </w:p>
          <w:p w14:paraId="411FC075">
            <w:pPr>
              <w:pStyle w:val="31"/>
              <w:ind w:left="0" w:leftChars="0" w:firstLine="0" w:firstLineChars="0"/>
              <w:rPr>
                <w:rFonts w:hint="default" w:ascii="Times New Roman" w:hAnsi="Times New Roman" w:cs="Times New Roman"/>
                <w:color w:val="auto"/>
                <w:sz w:val="24"/>
              </w:rPr>
            </w:pPr>
          </w:p>
        </w:tc>
      </w:tr>
    </w:tbl>
    <w:p w14:paraId="7CFF9DE6">
      <w:pPr>
        <w:rPr>
          <w:rFonts w:hint="default" w:ascii="Times New Roman" w:hAnsi="Times New Roman" w:cs="Times New Roman"/>
          <w:snapToGrid w:val="0"/>
          <w:color w:val="auto"/>
          <w:sz w:val="36"/>
          <w:szCs w:val="36"/>
        </w:rPr>
      </w:pPr>
      <w:r>
        <w:rPr>
          <w:rFonts w:hint="default" w:ascii="Times New Roman" w:hAnsi="Times New Roman" w:cs="Times New Roman"/>
          <w:snapToGrid w:val="0"/>
          <w:color w:val="auto"/>
          <w:sz w:val="36"/>
          <w:szCs w:val="36"/>
        </w:rPr>
        <w:br w:type="page"/>
      </w:r>
    </w:p>
    <w:tbl>
      <w:tblPr>
        <w:tblStyle w:val="63"/>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13"/>
        <w:gridCol w:w="8544"/>
      </w:tblGrid>
      <w:tr w14:paraId="2D1E2E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81" w:hRule="atLeast"/>
          <w:jc w:val="center"/>
        </w:trPr>
        <w:tc>
          <w:tcPr>
            <w:tcW w:w="283" w:type="pct"/>
            <w:noWrap w:val="0"/>
            <w:vAlign w:val="center"/>
          </w:tcPr>
          <w:p w14:paraId="5D5501BA">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总量</w:t>
            </w:r>
          </w:p>
          <w:p w14:paraId="25EFE984">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控制</w:t>
            </w:r>
          </w:p>
          <w:p w14:paraId="6B474F25">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 w:val="24"/>
              </w:rPr>
              <w:t>指标</w:t>
            </w:r>
          </w:p>
        </w:tc>
        <w:tc>
          <w:tcPr>
            <w:tcW w:w="4716" w:type="pct"/>
            <w:noWrap w:val="0"/>
            <w:vAlign w:val="center"/>
          </w:tcPr>
          <w:p w14:paraId="0FFBB7AF">
            <w:pPr>
              <w:spacing w:line="360" w:lineRule="auto"/>
              <w:ind w:firstLine="480" w:firstLineChars="200"/>
              <w:rPr>
                <w:rFonts w:hint="default" w:ascii="Times New Roman" w:hAnsi="Times New Roman" w:cs="Times New Roman"/>
                <w:color w:val="auto"/>
                <w:sz w:val="24"/>
              </w:rPr>
            </w:pPr>
            <w:r>
              <w:rPr>
                <w:color w:val="auto"/>
                <w:sz w:val="24"/>
              </w:rPr>
              <w:t>根据《国务院关于印发&lt;“十四五”节能减排综合性工作方案&gt;的通知》（国发[2021]33号），目前国家对化学需氧量COD、氨氮NH</w:t>
            </w:r>
            <w:r>
              <w:rPr>
                <w:color w:val="auto"/>
                <w:sz w:val="24"/>
                <w:vertAlign w:val="subscript"/>
              </w:rPr>
              <w:t>3</w:t>
            </w:r>
            <w:r>
              <w:rPr>
                <w:color w:val="auto"/>
                <w:sz w:val="24"/>
              </w:rPr>
              <w:t>-N、氮氧化物NOx、挥发性有机物VOCs等四种主要污染物纳入排放总量控制计划管理。</w:t>
            </w:r>
          </w:p>
          <w:p w14:paraId="5A1126EB">
            <w:pPr>
              <w:wordWrap w:val="0"/>
              <w:topLinePunct/>
              <w:spacing w:line="360" w:lineRule="auto"/>
              <w:ind w:firstLine="480" w:firstLineChars="200"/>
              <w:contextualSpacing/>
              <w:textAlignment w:val="center"/>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eastAsia="zh-CN"/>
              </w:rPr>
              <w:t>本项目总量控制指标见下表</w:t>
            </w:r>
            <w:r>
              <w:rPr>
                <w:rFonts w:hint="eastAsia" w:cs="Times New Roman"/>
                <w:color w:val="auto"/>
                <w:sz w:val="24"/>
                <w:szCs w:val="24"/>
                <w:lang w:val="en-US" w:eastAsia="zh-CN"/>
              </w:rPr>
              <w:t>：</w:t>
            </w:r>
          </w:p>
          <w:p w14:paraId="0F481C25">
            <w:pPr>
              <w:keepNext w:val="0"/>
              <w:keepLines w:val="0"/>
              <w:pageBreakBefore w:val="0"/>
              <w:widowControl w:val="0"/>
              <w:kinsoku/>
              <w:wordWrap/>
              <w:overflowPunct/>
              <w:topLinePunct w:val="0"/>
              <w:autoSpaceDE/>
              <w:autoSpaceDN/>
              <w:bidi w:val="0"/>
              <w:adjustRightInd/>
              <w:snapToGrid/>
              <w:spacing w:beforeAutospacing="0"/>
              <w:jc w:val="center"/>
              <w:textAlignment w:val="auto"/>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表3-</w:t>
            </w:r>
            <w:r>
              <w:rPr>
                <w:rFonts w:hint="eastAsia" w:ascii="Times New Roman" w:hAnsi="Times New Roman" w:eastAsia="宋体" w:cs="Times New Roman"/>
                <w:b/>
                <w:color w:val="auto"/>
                <w:kern w:val="0"/>
                <w:sz w:val="24"/>
                <w:szCs w:val="24"/>
                <w:lang w:val="en-US" w:eastAsia="zh-CN" w:bidi="ar-SA"/>
              </w:rPr>
              <w:t xml:space="preserve">10  </w:t>
            </w:r>
            <w:r>
              <w:rPr>
                <w:rFonts w:hint="default" w:ascii="Times New Roman" w:hAnsi="Times New Roman" w:eastAsia="宋体" w:cs="Times New Roman"/>
                <w:b/>
                <w:color w:val="auto"/>
                <w:kern w:val="0"/>
                <w:sz w:val="24"/>
                <w:szCs w:val="24"/>
                <w:lang w:val="en-US" w:eastAsia="zh-CN" w:bidi="ar-SA"/>
              </w:rPr>
              <w:t>项目总量控制指标</w:t>
            </w:r>
            <w:r>
              <w:rPr>
                <w:rFonts w:hint="eastAsia" w:ascii="Times New Roman" w:hAnsi="Times New Roman" w:eastAsia="宋体" w:cs="Times New Roman"/>
                <w:b/>
                <w:color w:val="auto"/>
                <w:kern w:val="0"/>
                <w:sz w:val="24"/>
                <w:szCs w:val="24"/>
                <w:lang w:val="en-US" w:eastAsia="zh-CN" w:bidi="ar-SA"/>
              </w:rPr>
              <w:t xml:space="preserve"> </w:t>
            </w:r>
            <w:r>
              <w:rPr>
                <w:rFonts w:hint="default" w:ascii="Times New Roman" w:hAnsi="Times New Roman" w:eastAsia="宋体" w:cs="Times New Roman"/>
                <w:b/>
                <w:color w:val="auto"/>
                <w:kern w:val="0"/>
                <w:sz w:val="24"/>
                <w:szCs w:val="24"/>
                <w:lang w:val="en-US" w:eastAsia="zh-CN" w:bidi="ar-SA"/>
              </w:rPr>
              <w:t>单位：t/a</w:t>
            </w:r>
          </w:p>
          <w:tbl>
            <w:tblPr>
              <w:tblStyle w:val="6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6"/>
              <w:gridCol w:w="1837"/>
              <w:gridCol w:w="2040"/>
              <w:gridCol w:w="3005"/>
            </w:tblGrid>
            <w:tr w14:paraId="52890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 w:type="pct"/>
                  <w:tcBorders>
                    <w:tl2br w:val="nil"/>
                    <w:tr2bl w:val="nil"/>
                  </w:tcBorders>
                  <w:noWrap w:val="0"/>
                  <w:vAlign w:val="center"/>
                </w:tcPr>
                <w:p w14:paraId="7B752B1F">
                  <w:pPr>
                    <w:keepNext w:val="0"/>
                    <w:keepLines w:val="0"/>
                    <w:pageBreakBefore w:val="0"/>
                    <w:kinsoku/>
                    <w:overflowPunct/>
                    <w:autoSpaceDE/>
                    <w:autoSpaceDN/>
                    <w:bidi w:val="0"/>
                    <w:adjustRightInd w:val="0"/>
                    <w:snapToGrid w:val="0"/>
                    <w:jc w:val="center"/>
                    <w:textAlignment w:val="auto"/>
                    <w:rPr>
                      <w:b/>
                      <w:color w:val="auto"/>
                      <w:szCs w:val="21"/>
                    </w:rPr>
                  </w:pPr>
                  <w:r>
                    <w:rPr>
                      <w:b/>
                      <w:color w:val="auto"/>
                      <w:szCs w:val="21"/>
                    </w:rPr>
                    <w:t>项目</w:t>
                  </w:r>
                </w:p>
              </w:tc>
              <w:tc>
                <w:tcPr>
                  <w:tcW w:w="2330" w:type="pct"/>
                  <w:gridSpan w:val="2"/>
                  <w:tcBorders>
                    <w:tl2br w:val="nil"/>
                    <w:tr2bl w:val="nil"/>
                  </w:tcBorders>
                  <w:noWrap w:val="0"/>
                  <w:vAlign w:val="center"/>
                </w:tcPr>
                <w:p w14:paraId="3B2AD58A">
                  <w:pPr>
                    <w:keepNext w:val="0"/>
                    <w:keepLines w:val="0"/>
                    <w:pageBreakBefore w:val="0"/>
                    <w:kinsoku/>
                    <w:overflowPunct/>
                    <w:autoSpaceDE/>
                    <w:autoSpaceDN/>
                    <w:bidi w:val="0"/>
                    <w:adjustRightInd w:val="0"/>
                    <w:snapToGrid w:val="0"/>
                    <w:jc w:val="center"/>
                    <w:textAlignment w:val="auto"/>
                    <w:rPr>
                      <w:b/>
                      <w:color w:val="auto"/>
                      <w:szCs w:val="21"/>
                    </w:rPr>
                  </w:pPr>
                  <w:r>
                    <w:rPr>
                      <w:b/>
                      <w:color w:val="auto"/>
                      <w:szCs w:val="21"/>
                    </w:rPr>
                    <w:t>总量控制因子</w:t>
                  </w:r>
                </w:p>
              </w:tc>
              <w:tc>
                <w:tcPr>
                  <w:tcW w:w="1806" w:type="pct"/>
                  <w:tcBorders>
                    <w:tl2br w:val="nil"/>
                    <w:tr2bl w:val="nil"/>
                  </w:tcBorders>
                  <w:noWrap w:val="0"/>
                  <w:vAlign w:val="center"/>
                </w:tcPr>
                <w:p w14:paraId="6C5C0AE2">
                  <w:pPr>
                    <w:keepNext w:val="0"/>
                    <w:keepLines w:val="0"/>
                    <w:pageBreakBefore w:val="0"/>
                    <w:kinsoku/>
                    <w:overflowPunct/>
                    <w:autoSpaceDE/>
                    <w:autoSpaceDN/>
                    <w:bidi w:val="0"/>
                    <w:adjustRightInd w:val="0"/>
                    <w:snapToGrid w:val="0"/>
                    <w:jc w:val="center"/>
                    <w:textAlignment w:val="auto"/>
                    <w:rPr>
                      <w:rFonts w:hint="default" w:eastAsia="宋体"/>
                      <w:b/>
                      <w:color w:val="auto"/>
                      <w:szCs w:val="21"/>
                      <w:lang w:val="en-US" w:eastAsia="zh-CN"/>
                    </w:rPr>
                  </w:pPr>
                  <w:r>
                    <w:rPr>
                      <w:rFonts w:hint="eastAsia"/>
                      <w:b/>
                      <w:color w:val="auto"/>
                      <w:szCs w:val="21"/>
                      <w:lang w:val="en-US" w:eastAsia="zh-CN"/>
                    </w:rPr>
                    <w:t>总量控制指标</w:t>
                  </w:r>
                </w:p>
              </w:tc>
            </w:tr>
            <w:tr w14:paraId="40467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 w:type="pct"/>
                  <w:vMerge w:val="restart"/>
                  <w:tcBorders>
                    <w:tl2br w:val="nil"/>
                    <w:tr2bl w:val="nil"/>
                  </w:tcBorders>
                  <w:noWrap w:val="0"/>
                  <w:vAlign w:val="center"/>
                </w:tcPr>
                <w:p w14:paraId="69E77FD8">
                  <w:pPr>
                    <w:keepNext w:val="0"/>
                    <w:keepLines w:val="0"/>
                    <w:pageBreakBefore w:val="0"/>
                    <w:kinsoku/>
                    <w:overflowPunct/>
                    <w:autoSpaceDE/>
                    <w:autoSpaceDN/>
                    <w:bidi w:val="0"/>
                    <w:adjustRightInd w:val="0"/>
                    <w:snapToGrid w:val="0"/>
                    <w:jc w:val="center"/>
                    <w:textAlignment w:val="auto"/>
                    <w:rPr>
                      <w:color w:val="auto"/>
                      <w:szCs w:val="21"/>
                    </w:rPr>
                  </w:pPr>
                  <w:r>
                    <w:rPr>
                      <w:color w:val="auto"/>
                      <w:szCs w:val="21"/>
                    </w:rPr>
                    <w:t>废水</w:t>
                  </w:r>
                </w:p>
              </w:tc>
              <w:tc>
                <w:tcPr>
                  <w:tcW w:w="2330" w:type="pct"/>
                  <w:gridSpan w:val="2"/>
                  <w:tcBorders>
                    <w:tl2br w:val="nil"/>
                    <w:tr2bl w:val="nil"/>
                  </w:tcBorders>
                  <w:noWrap w:val="0"/>
                  <w:vAlign w:val="center"/>
                </w:tcPr>
                <w:p w14:paraId="45D986E3">
                  <w:pPr>
                    <w:keepNext w:val="0"/>
                    <w:keepLines w:val="0"/>
                    <w:pageBreakBefore w:val="0"/>
                    <w:kinsoku/>
                    <w:overflowPunct/>
                    <w:autoSpaceDE/>
                    <w:autoSpaceDN/>
                    <w:bidi w:val="0"/>
                    <w:adjustRightInd w:val="0"/>
                    <w:snapToGrid w:val="0"/>
                    <w:jc w:val="center"/>
                    <w:textAlignment w:val="auto"/>
                    <w:rPr>
                      <w:color w:val="auto"/>
                      <w:szCs w:val="21"/>
                    </w:rPr>
                  </w:pPr>
                  <w:r>
                    <w:rPr>
                      <w:color w:val="auto"/>
                      <w:szCs w:val="21"/>
                    </w:rPr>
                    <w:t>废水量</w:t>
                  </w:r>
                </w:p>
              </w:tc>
              <w:tc>
                <w:tcPr>
                  <w:tcW w:w="1806" w:type="pct"/>
                  <w:tcBorders>
                    <w:tl2br w:val="nil"/>
                    <w:tr2bl w:val="nil"/>
                  </w:tcBorders>
                  <w:noWrap w:val="0"/>
                  <w:vAlign w:val="center"/>
                </w:tcPr>
                <w:p w14:paraId="7E26CA79">
                  <w:pPr>
                    <w:pStyle w:val="1111"/>
                    <w:keepNext w:val="0"/>
                    <w:keepLines w:val="0"/>
                    <w:pageBreakBefore w:val="0"/>
                    <w:kinsoku/>
                    <w:overflowPunct/>
                    <w:autoSpaceDE/>
                    <w:autoSpaceDN/>
                    <w:bidi w:val="0"/>
                    <w:textAlignment w:val="auto"/>
                    <w:rPr>
                      <w:rFonts w:hint="default" w:eastAsia="宋体"/>
                      <w:color w:val="auto"/>
                      <w:kern w:val="2"/>
                      <w:lang w:val="en-US" w:eastAsia="zh-CN"/>
                    </w:rPr>
                  </w:pPr>
                  <w:r>
                    <w:rPr>
                      <w:rFonts w:hint="eastAsia"/>
                      <w:color w:val="auto"/>
                      <w:kern w:val="2"/>
                      <w:lang w:val="en-US" w:eastAsia="zh-CN"/>
                    </w:rPr>
                    <w:t>1536</w:t>
                  </w:r>
                </w:p>
              </w:tc>
            </w:tr>
            <w:tr w14:paraId="04773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 w:type="pct"/>
                  <w:vMerge w:val="continue"/>
                  <w:tcBorders>
                    <w:tl2br w:val="nil"/>
                    <w:tr2bl w:val="nil"/>
                  </w:tcBorders>
                  <w:noWrap w:val="0"/>
                  <w:vAlign w:val="center"/>
                </w:tcPr>
                <w:p w14:paraId="1829CBCF">
                  <w:pPr>
                    <w:keepNext w:val="0"/>
                    <w:keepLines w:val="0"/>
                    <w:pageBreakBefore w:val="0"/>
                    <w:kinsoku/>
                    <w:overflowPunct/>
                    <w:autoSpaceDE/>
                    <w:autoSpaceDN/>
                    <w:bidi w:val="0"/>
                    <w:adjustRightInd w:val="0"/>
                    <w:snapToGrid w:val="0"/>
                    <w:jc w:val="center"/>
                    <w:textAlignment w:val="auto"/>
                    <w:rPr>
                      <w:color w:val="auto"/>
                      <w:szCs w:val="21"/>
                    </w:rPr>
                  </w:pPr>
                </w:p>
              </w:tc>
              <w:tc>
                <w:tcPr>
                  <w:tcW w:w="1104" w:type="pct"/>
                  <w:vMerge w:val="restart"/>
                  <w:tcBorders>
                    <w:tl2br w:val="nil"/>
                    <w:tr2bl w:val="nil"/>
                  </w:tcBorders>
                  <w:noWrap w:val="0"/>
                  <w:vAlign w:val="center"/>
                </w:tcPr>
                <w:p w14:paraId="4312EC2B">
                  <w:pPr>
                    <w:keepNext w:val="0"/>
                    <w:keepLines w:val="0"/>
                    <w:pageBreakBefore w:val="0"/>
                    <w:kinsoku/>
                    <w:overflowPunct/>
                    <w:autoSpaceDE/>
                    <w:autoSpaceDN/>
                    <w:bidi w:val="0"/>
                    <w:adjustRightInd w:val="0"/>
                    <w:snapToGrid w:val="0"/>
                    <w:jc w:val="center"/>
                    <w:textAlignment w:val="auto"/>
                    <w:rPr>
                      <w:color w:val="auto"/>
                      <w:szCs w:val="21"/>
                    </w:rPr>
                  </w:pPr>
                  <w:r>
                    <w:rPr>
                      <w:color w:val="auto"/>
                      <w:szCs w:val="21"/>
                    </w:rPr>
                    <w:t>接管量</w:t>
                  </w:r>
                </w:p>
              </w:tc>
              <w:tc>
                <w:tcPr>
                  <w:tcW w:w="1226" w:type="pct"/>
                  <w:tcBorders>
                    <w:tl2br w:val="nil"/>
                    <w:tr2bl w:val="nil"/>
                  </w:tcBorders>
                  <w:noWrap w:val="0"/>
                  <w:vAlign w:val="center"/>
                </w:tcPr>
                <w:p w14:paraId="5D72008C">
                  <w:pPr>
                    <w:keepNext w:val="0"/>
                    <w:keepLines w:val="0"/>
                    <w:pageBreakBefore w:val="0"/>
                    <w:kinsoku/>
                    <w:overflowPunct/>
                    <w:autoSpaceDE/>
                    <w:autoSpaceDN/>
                    <w:bidi w:val="0"/>
                    <w:adjustRightInd w:val="0"/>
                    <w:snapToGrid w:val="0"/>
                    <w:jc w:val="center"/>
                    <w:textAlignment w:val="auto"/>
                    <w:rPr>
                      <w:color w:val="auto"/>
                      <w:sz w:val="21"/>
                      <w:szCs w:val="21"/>
                    </w:rPr>
                  </w:pPr>
                  <w:r>
                    <w:rPr>
                      <w:color w:val="auto"/>
                      <w:sz w:val="21"/>
                      <w:szCs w:val="21"/>
                    </w:rPr>
                    <w:t>COD</w:t>
                  </w:r>
                </w:p>
              </w:tc>
              <w:tc>
                <w:tcPr>
                  <w:tcW w:w="1806" w:type="pct"/>
                  <w:tcBorders>
                    <w:tl2br w:val="nil"/>
                    <w:tr2bl w:val="nil"/>
                  </w:tcBorders>
                  <w:noWrap w:val="0"/>
                  <w:vAlign w:val="center"/>
                </w:tcPr>
                <w:p w14:paraId="280AB141">
                  <w:pPr>
                    <w:pStyle w:val="1111"/>
                    <w:keepNext w:val="0"/>
                    <w:keepLines w:val="0"/>
                    <w:pageBreakBefore w:val="0"/>
                    <w:kinsoku/>
                    <w:overflowPunct/>
                    <w:autoSpaceDE/>
                    <w:autoSpaceDN/>
                    <w:bidi w:val="0"/>
                    <w:textAlignment w:val="auto"/>
                    <w:rPr>
                      <w:rFonts w:hint="default" w:eastAsia="宋体"/>
                      <w:color w:val="auto"/>
                      <w:kern w:val="2"/>
                      <w:lang w:val="en-US" w:eastAsia="zh-CN"/>
                    </w:rPr>
                  </w:pPr>
                  <w:r>
                    <w:rPr>
                      <w:rFonts w:hint="eastAsia"/>
                      <w:color w:val="auto"/>
                      <w:kern w:val="2"/>
                      <w:lang w:val="en-US" w:eastAsia="zh-CN"/>
                    </w:rPr>
                    <w:t>0.522</w:t>
                  </w:r>
                </w:p>
              </w:tc>
            </w:tr>
            <w:tr w14:paraId="6C52F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 w:type="pct"/>
                  <w:vMerge w:val="continue"/>
                  <w:tcBorders>
                    <w:tl2br w:val="nil"/>
                    <w:tr2bl w:val="nil"/>
                  </w:tcBorders>
                  <w:noWrap w:val="0"/>
                  <w:vAlign w:val="center"/>
                </w:tcPr>
                <w:p w14:paraId="6D21BFC5">
                  <w:pPr>
                    <w:keepNext w:val="0"/>
                    <w:keepLines w:val="0"/>
                    <w:pageBreakBefore w:val="0"/>
                    <w:kinsoku/>
                    <w:overflowPunct/>
                    <w:autoSpaceDE/>
                    <w:autoSpaceDN/>
                    <w:bidi w:val="0"/>
                    <w:adjustRightInd w:val="0"/>
                    <w:snapToGrid w:val="0"/>
                    <w:jc w:val="center"/>
                    <w:textAlignment w:val="auto"/>
                    <w:rPr>
                      <w:color w:val="auto"/>
                      <w:szCs w:val="21"/>
                    </w:rPr>
                  </w:pPr>
                </w:p>
              </w:tc>
              <w:tc>
                <w:tcPr>
                  <w:tcW w:w="1104" w:type="pct"/>
                  <w:vMerge w:val="continue"/>
                  <w:tcBorders>
                    <w:tl2br w:val="nil"/>
                    <w:tr2bl w:val="nil"/>
                  </w:tcBorders>
                  <w:noWrap w:val="0"/>
                  <w:vAlign w:val="center"/>
                </w:tcPr>
                <w:p w14:paraId="12056C28">
                  <w:pPr>
                    <w:keepNext w:val="0"/>
                    <w:keepLines w:val="0"/>
                    <w:pageBreakBefore w:val="0"/>
                    <w:kinsoku/>
                    <w:overflowPunct/>
                    <w:autoSpaceDE/>
                    <w:autoSpaceDN/>
                    <w:bidi w:val="0"/>
                    <w:adjustRightInd w:val="0"/>
                    <w:snapToGrid w:val="0"/>
                    <w:jc w:val="center"/>
                    <w:textAlignment w:val="auto"/>
                    <w:rPr>
                      <w:color w:val="auto"/>
                      <w:szCs w:val="21"/>
                    </w:rPr>
                  </w:pPr>
                </w:p>
              </w:tc>
              <w:tc>
                <w:tcPr>
                  <w:tcW w:w="1226" w:type="pct"/>
                  <w:tcBorders>
                    <w:tl2br w:val="nil"/>
                    <w:tr2bl w:val="nil"/>
                  </w:tcBorders>
                  <w:noWrap w:val="0"/>
                  <w:vAlign w:val="center"/>
                </w:tcPr>
                <w:p w14:paraId="7352B61C">
                  <w:pPr>
                    <w:keepNext w:val="0"/>
                    <w:keepLines w:val="0"/>
                    <w:pageBreakBefore w:val="0"/>
                    <w:kinsoku/>
                    <w:overflowPunct/>
                    <w:autoSpaceDE/>
                    <w:autoSpaceDN/>
                    <w:bidi w:val="0"/>
                    <w:adjustRightInd w:val="0"/>
                    <w:snapToGrid w:val="0"/>
                    <w:jc w:val="center"/>
                    <w:textAlignment w:val="auto"/>
                    <w:rPr>
                      <w:color w:val="auto"/>
                      <w:sz w:val="21"/>
                      <w:szCs w:val="21"/>
                    </w:rPr>
                  </w:pPr>
                  <w:r>
                    <w:rPr>
                      <w:color w:val="auto"/>
                      <w:kern w:val="0"/>
                      <w:sz w:val="21"/>
                      <w:szCs w:val="21"/>
                    </w:rPr>
                    <w:t>NH</w:t>
                  </w:r>
                  <w:r>
                    <w:rPr>
                      <w:color w:val="auto"/>
                      <w:kern w:val="0"/>
                      <w:sz w:val="21"/>
                      <w:szCs w:val="21"/>
                      <w:vertAlign w:val="subscript"/>
                    </w:rPr>
                    <w:t>3</w:t>
                  </w:r>
                  <w:r>
                    <w:rPr>
                      <w:color w:val="auto"/>
                      <w:kern w:val="0"/>
                      <w:sz w:val="21"/>
                      <w:szCs w:val="21"/>
                    </w:rPr>
                    <w:t>-N</w:t>
                  </w:r>
                </w:p>
              </w:tc>
              <w:tc>
                <w:tcPr>
                  <w:tcW w:w="1806" w:type="pct"/>
                  <w:tcBorders>
                    <w:tl2br w:val="nil"/>
                    <w:tr2bl w:val="nil"/>
                  </w:tcBorders>
                  <w:noWrap w:val="0"/>
                  <w:vAlign w:val="center"/>
                </w:tcPr>
                <w:p w14:paraId="021C4834">
                  <w:pPr>
                    <w:pStyle w:val="1111"/>
                    <w:keepNext w:val="0"/>
                    <w:keepLines w:val="0"/>
                    <w:pageBreakBefore w:val="0"/>
                    <w:kinsoku/>
                    <w:overflowPunct/>
                    <w:autoSpaceDE/>
                    <w:autoSpaceDN/>
                    <w:bidi w:val="0"/>
                    <w:textAlignment w:val="auto"/>
                    <w:rPr>
                      <w:rFonts w:hint="default" w:eastAsia="宋体"/>
                      <w:color w:val="auto"/>
                      <w:kern w:val="2"/>
                      <w:lang w:val="en-US" w:eastAsia="zh-CN"/>
                    </w:rPr>
                  </w:pPr>
                  <w:r>
                    <w:rPr>
                      <w:rFonts w:hint="eastAsia"/>
                      <w:color w:val="auto"/>
                      <w:kern w:val="2"/>
                      <w:lang w:val="en-US" w:eastAsia="zh-CN"/>
                    </w:rPr>
                    <w:t>0.046</w:t>
                  </w:r>
                </w:p>
              </w:tc>
            </w:tr>
            <w:tr w14:paraId="3EFBD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 w:type="pct"/>
                  <w:vMerge w:val="continue"/>
                  <w:tcBorders>
                    <w:tl2br w:val="nil"/>
                    <w:tr2bl w:val="nil"/>
                  </w:tcBorders>
                  <w:noWrap w:val="0"/>
                  <w:vAlign w:val="center"/>
                </w:tcPr>
                <w:p w14:paraId="431F8F86">
                  <w:pPr>
                    <w:keepNext w:val="0"/>
                    <w:keepLines w:val="0"/>
                    <w:pageBreakBefore w:val="0"/>
                    <w:kinsoku/>
                    <w:overflowPunct/>
                    <w:autoSpaceDE/>
                    <w:autoSpaceDN/>
                    <w:bidi w:val="0"/>
                    <w:adjustRightInd w:val="0"/>
                    <w:snapToGrid w:val="0"/>
                    <w:jc w:val="center"/>
                    <w:textAlignment w:val="auto"/>
                    <w:rPr>
                      <w:color w:val="auto"/>
                      <w:szCs w:val="21"/>
                    </w:rPr>
                  </w:pPr>
                </w:p>
              </w:tc>
              <w:tc>
                <w:tcPr>
                  <w:tcW w:w="1104" w:type="pct"/>
                  <w:vMerge w:val="restart"/>
                  <w:tcBorders>
                    <w:tl2br w:val="nil"/>
                    <w:tr2bl w:val="nil"/>
                  </w:tcBorders>
                  <w:noWrap w:val="0"/>
                  <w:vAlign w:val="center"/>
                </w:tcPr>
                <w:p w14:paraId="712B0FEC">
                  <w:pPr>
                    <w:keepNext w:val="0"/>
                    <w:keepLines w:val="0"/>
                    <w:pageBreakBefore w:val="0"/>
                    <w:kinsoku/>
                    <w:overflowPunct/>
                    <w:autoSpaceDE/>
                    <w:autoSpaceDN/>
                    <w:bidi w:val="0"/>
                    <w:adjustRightInd w:val="0"/>
                    <w:snapToGrid w:val="0"/>
                    <w:jc w:val="center"/>
                    <w:textAlignment w:val="auto"/>
                    <w:rPr>
                      <w:color w:val="auto"/>
                      <w:szCs w:val="21"/>
                    </w:rPr>
                  </w:pPr>
                  <w:r>
                    <w:rPr>
                      <w:color w:val="auto"/>
                      <w:szCs w:val="21"/>
                    </w:rPr>
                    <w:t>外排量</w:t>
                  </w:r>
                </w:p>
              </w:tc>
              <w:tc>
                <w:tcPr>
                  <w:tcW w:w="1226" w:type="pct"/>
                  <w:tcBorders>
                    <w:tl2br w:val="nil"/>
                    <w:tr2bl w:val="nil"/>
                  </w:tcBorders>
                  <w:noWrap w:val="0"/>
                  <w:vAlign w:val="center"/>
                </w:tcPr>
                <w:p w14:paraId="05D8127F">
                  <w:pPr>
                    <w:keepNext w:val="0"/>
                    <w:keepLines w:val="0"/>
                    <w:pageBreakBefore w:val="0"/>
                    <w:kinsoku/>
                    <w:overflowPunct/>
                    <w:autoSpaceDE/>
                    <w:autoSpaceDN/>
                    <w:bidi w:val="0"/>
                    <w:adjustRightInd w:val="0"/>
                    <w:snapToGrid w:val="0"/>
                    <w:jc w:val="center"/>
                    <w:textAlignment w:val="auto"/>
                    <w:rPr>
                      <w:color w:val="auto"/>
                      <w:sz w:val="21"/>
                      <w:szCs w:val="21"/>
                    </w:rPr>
                  </w:pPr>
                  <w:r>
                    <w:rPr>
                      <w:color w:val="auto"/>
                      <w:sz w:val="21"/>
                      <w:szCs w:val="21"/>
                    </w:rPr>
                    <w:t>COD</w:t>
                  </w:r>
                </w:p>
              </w:tc>
              <w:tc>
                <w:tcPr>
                  <w:tcW w:w="1806" w:type="pct"/>
                  <w:tcBorders>
                    <w:tl2br w:val="nil"/>
                    <w:tr2bl w:val="nil"/>
                  </w:tcBorders>
                  <w:noWrap w:val="0"/>
                  <w:vAlign w:val="center"/>
                </w:tcPr>
                <w:p w14:paraId="6950CFBC">
                  <w:pPr>
                    <w:pStyle w:val="1111"/>
                    <w:keepNext w:val="0"/>
                    <w:keepLines w:val="0"/>
                    <w:pageBreakBefore w:val="0"/>
                    <w:kinsoku/>
                    <w:overflowPunct/>
                    <w:autoSpaceDE/>
                    <w:autoSpaceDN/>
                    <w:bidi w:val="0"/>
                    <w:textAlignment w:val="auto"/>
                    <w:rPr>
                      <w:rFonts w:hint="default" w:eastAsia="宋体"/>
                      <w:color w:val="auto"/>
                      <w:kern w:val="2"/>
                      <w:lang w:val="en-US" w:eastAsia="zh-CN"/>
                    </w:rPr>
                  </w:pPr>
                  <w:r>
                    <w:rPr>
                      <w:rFonts w:hint="eastAsia"/>
                      <w:color w:val="auto"/>
                      <w:kern w:val="2"/>
                      <w:lang w:val="en-US" w:eastAsia="zh-CN"/>
                    </w:rPr>
                    <w:t>0.444</w:t>
                  </w:r>
                </w:p>
              </w:tc>
            </w:tr>
            <w:tr w14:paraId="7407F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 w:type="pct"/>
                  <w:vMerge w:val="continue"/>
                  <w:tcBorders>
                    <w:tl2br w:val="nil"/>
                    <w:tr2bl w:val="nil"/>
                  </w:tcBorders>
                  <w:noWrap w:val="0"/>
                  <w:vAlign w:val="center"/>
                </w:tcPr>
                <w:p w14:paraId="01959998">
                  <w:pPr>
                    <w:keepNext w:val="0"/>
                    <w:keepLines w:val="0"/>
                    <w:pageBreakBefore w:val="0"/>
                    <w:kinsoku/>
                    <w:overflowPunct/>
                    <w:autoSpaceDE/>
                    <w:autoSpaceDN/>
                    <w:bidi w:val="0"/>
                    <w:adjustRightInd w:val="0"/>
                    <w:snapToGrid w:val="0"/>
                    <w:jc w:val="center"/>
                    <w:textAlignment w:val="auto"/>
                    <w:rPr>
                      <w:color w:val="auto"/>
                      <w:szCs w:val="21"/>
                    </w:rPr>
                  </w:pPr>
                </w:p>
              </w:tc>
              <w:tc>
                <w:tcPr>
                  <w:tcW w:w="1104" w:type="pct"/>
                  <w:vMerge w:val="continue"/>
                  <w:tcBorders>
                    <w:tl2br w:val="nil"/>
                    <w:tr2bl w:val="nil"/>
                  </w:tcBorders>
                  <w:noWrap w:val="0"/>
                  <w:vAlign w:val="center"/>
                </w:tcPr>
                <w:p w14:paraId="7AB46587">
                  <w:pPr>
                    <w:keepNext w:val="0"/>
                    <w:keepLines w:val="0"/>
                    <w:pageBreakBefore w:val="0"/>
                    <w:kinsoku/>
                    <w:overflowPunct/>
                    <w:autoSpaceDE/>
                    <w:autoSpaceDN/>
                    <w:bidi w:val="0"/>
                    <w:adjustRightInd w:val="0"/>
                    <w:snapToGrid w:val="0"/>
                    <w:jc w:val="center"/>
                    <w:textAlignment w:val="auto"/>
                    <w:rPr>
                      <w:color w:val="auto"/>
                      <w:szCs w:val="21"/>
                    </w:rPr>
                  </w:pPr>
                </w:p>
              </w:tc>
              <w:tc>
                <w:tcPr>
                  <w:tcW w:w="1226" w:type="pct"/>
                  <w:tcBorders>
                    <w:tl2br w:val="nil"/>
                    <w:tr2bl w:val="nil"/>
                  </w:tcBorders>
                  <w:noWrap w:val="0"/>
                  <w:vAlign w:val="center"/>
                </w:tcPr>
                <w:p w14:paraId="515A497A">
                  <w:pPr>
                    <w:keepNext w:val="0"/>
                    <w:keepLines w:val="0"/>
                    <w:pageBreakBefore w:val="0"/>
                    <w:kinsoku/>
                    <w:overflowPunct/>
                    <w:autoSpaceDE/>
                    <w:autoSpaceDN/>
                    <w:bidi w:val="0"/>
                    <w:adjustRightInd w:val="0"/>
                    <w:snapToGrid w:val="0"/>
                    <w:jc w:val="center"/>
                    <w:textAlignment w:val="auto"/>
                    <w:rPr>
                      <w:color w:val="auto"/>
                      <w:sz w:val="21"/>
                      <w:szCs w:val="21"/>
                    </w:rPr>
                  </w:pPr>
                  <w:r>
                    <w:rPr>
                      <w:color w:val="auto"/>
                      <w:kern w:val="0"/>
                      <w:sz w:val="21"/>
                      <w:szCs w:val="21"/>
                    </w:rPr>
                    <w:t>NH</w:t>
                  </w:r>
                  <w:r>
                    <w:rPr>
                      <w:color w:val="auto"/>
                      <w:kern w:val="0"/>
                      <w:sz w:val="21"/>
                      <w:szCs w:val="21"/>
                      <w:vertAlign w:val="subscript"/>
                    </w:rPr>
                    <w:t>3</w:t>
                  </w:r>
                  <w:r>
                    <w:rPr>
                      <w:color w:val="auto"/>
                      <w:kern w:val="0"/>
                      <w:sz w:val="21"/>
                      <w:szCs w:val="21"/>
                    </w:rPr>
                    <w:t>-N</w:t>
                  </w:r>
                </w:p>
              </w:tc>
              <w:tc>
                <w:tcPr>
                  <w:tcW w:w="1806" w:type="pct"/>
                  <w:tcBorders>
                    <w:tl2br w:val="nil"/>
                    <w:tr2bl w:val="nil"/>
                  </w:tcBorders>
                  <w:noWrap w:val="0"/>
                  <w:vAlign w:val="center"/>
                </w:tcPr>
                <w:p w14:paraId="1D0E45A1">
                  <w:pPr>
                    <w:pStyle w:val="1111"/>
                    <w:keepNext w:val="0"/>
                    <w:keepLines w:val="0"/>
                    <w:pageBreakBefore w:val="0"/>
                    <w:kinsoku/>
                    <w:overflowPunct/>
                    <w:autoSpaceDE/>
                    <w:autoSpaceDN/>
                    <w:bidi w:val="0"/>
                    <w:textAlignment w:val="auto"/>
                    <w:rPr>
                      <w:rFonts w:hint="default" w:eastAsia="宋体"/>
                      <w:color w:val="auto"/>
                      <w:kern w:val="2"/>
                      <w:lang w:val="en-US" w:eastAsia="zh-CN"/>
                    </w:rPr>
                  </w:pPr>
                  <w:r>
                    <w:rPr>
                      <w:rFonts w:hint="eastAsia"/>
                      <w:color w:val="auto"/>
                      <w:kern w:val="2"/>
                      <w:lang w:val="en-US" w:eastAsia="zh-CN"/>
                    </w:rPr>
                    <w:t>0.045</w:t>
                  </w:r>
                </w:p>
              </w:tc>
            </w:tr>
            <w:tr w14:paraId="5E9A3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 w:type="pct"/>
                  <w:vMerge w:val="restart"/>
                  <w:tcBorders>
                    <w:tl2br w:val="nil"/>
                    <w:tr2bl w:val="nil"/>
                  </w:tcBorders>
                  <w:noWrap w:val="0"/>
                  <w:vAlign w:val="center"/>
                </w:tcPr>
                <w:p w14:paraId="49919D3D">
                  <w:pPr>
                    <w:keepNext w:val="0"/>
                    <w:keepLines w:val="0"/>
                    <w:pageBreakBefore w:val="0"/>
                    <w:kinsoku/>
                    <w:overflowPunct/>
                    <w:autoSpaceDE/>
                    <w:autoSpaceDN/>
                    <w:bidi w:val="0"/>
                    <w:adjustRightInd w:val="0"/>
                    <w:snapToGrid w:val="0"/>
                    <w:jc w:val="center"/>
                    <w:textAlignment w:val="auto"/>
                    <w:rPr>
                      <w:rFonts w:hint="eastAsia" w:eastAsia="宋体"/>
                      <w:color w:val="auto"/>
                      <w:szCs w:val="21"/>
                      <w:lang w:eastAsia="zh-CN"/>
                    </w:rPr>
                  </w:pPr>
                  <w:r>
                    <w:rPr>
                      <w:rFonts w:hint="eastAsia"/>
                      <w:color w:val="auto"/>
                      <w:szCs w:val="21"/>
                      <w:lang w:eastAsia="zh-CN"/>
                    </w:rPr>
                    <w:t>废气</w:t>
                  </w:r>
                </w:p>
              </w:tc>
              <w:tc>
                <w:tcPr>
                  <w:tcW w:w="2330" w:type="pct"/>
                  <w:gridSpan w:val="2"/>
                  <w:tcBorders>
                    <w:tl2br w:val="nil"/>
                    <w:tr2bl w:val="nil"/>
                  </w:tcBorders>
                  <w:noWrap w:val="0"/>
                  <w:vAlign w:val="center"/>
                </w:tcPr>
                <w:p w14:paraId="565643B4">
                  <w:pPr>
                    <w:keepNext w:val="0"/>
                    <w:keepLines w:val="0"/>
                    <w:pageBreakBefore w:val="0"/>
                    <w:kinsoku/>
                    <w:overflowPunct/>
                    <w:autoSpaceDE/>
                    <w:autoSpaceDN/>
                    <w:bidi w:val="0"/>
                    <w:adjustRightInd w:val="0"/>
                    <w:snapToGrid w:val="0"/>
                    <w:jc w:val="center"/>
                    <w:textAlignment w:val="auto"/>
                    <w:rPr>
                      <w:rFonts w:hint="eastAsia" w:eastAsia="宋体"/>
                      <w:color w:val="auto"/>
                      <w:kern w:val="0"/>
                      <w:sz w:val="21"/>
                      <w:szCs w:val="21"/>
                      <w:lang w:eastAsia="zh-CN"/>
                    </w:rPr>
                  </w:pPr>
                  <w:r>
                    <w:rPr>
                      <w:rFonts w:hint="eastAsia"/>
                      <w:color w:val="auto"/>
                      <w:kern w:val="0"/>
                      <w:sz w:val="21"/>
                      <w:szCs w:val="21"/>
                      <w:lang w:eastAsia="zh-CN"/>
                    </w:rPr>
                    <w:t>非甲烷总烃（有组织）</w:t>
                  </w:r>
                </w:p>
              </w:tc>
              <w:tc>
                <w:tcPr>
                  <w:tcW w:w="1806" w:type="pct"/>
                  <w:tcBorders>
                    <w:tl2br w:val="nil"/>
                    <w:tr2bl w:val="nil"/>
                  </w:tcBorders>
                  <w:noWrap w:val="0"/>
                  <w:vAlign w:val="center"/>
                </w:tcPr>
                <w:p w14:paraId="3E892A57">
                  <w:pPr>
                    <w:pStyle w:val="1111"/>
                    <w:keepNext w:val="0"/>
                    <w:keepLines w:val="0"/>
                    <w:pageBreakBefore w:val="0"/>
                    <w:kinsoku/>
                    <w:overflowPunct/>
                    <w:autoSpaceDE/>
                    <w:autoSpaceDN/>
                    <w:bidi w:val="0"/>
                    <w:textAlignment w:val="auto"/>
                    <w:rPr>
                      <w:rFonts w:hint="default"/>
                      <w:color w:val="auto"/>
                      <w:kern w:val="2"/>
                      <w:lang w:val="en-US" w:eastAsia="zh-CN"/>
                    </w:rPr>
                  </w:pPr>
                  <w:r>
                    <w:rPr>
                      <w:rFonts w:hint="eastAsia"/>
                      <w:color w:val="auto"/>
                      <w:kern w:val="2"/>
                      <w:lang w:val="en-US" w:eastAsia="zh-CN"/>
                    </w:rPr>
                    <w:t>0.068</w:t>
                  </w:r>
                </w:p>
              </w:tc>
            </w:tr>
            <w:tr w14:paraId="1945F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 w:type="pct"/>
                  <w:vMerge w:val="continue"/>
                  <w:tcBorders>
                    <w:tl2br w:val="nil"/>
                    <w:tr2bl w:val="nil"/>
                  </w:tcBorders>
                  <w:noWrap w:val="0"/>
                  <w:vAlign w:val="center"/>
                </w:tcPr>
                <w:p w14:paraId="29804D9D">
                  <w:pPr>
                    <w:keepNext w:val="0"/>
                    <w:keepLines w:val="0"/>
                    <w:pageBreakBefore w:val="0"/>
                    <w:kinsoku/>
                    <w:overflowPunct/>
                    <w:autoSpaceDE/>
                    <w:autoSpaceDN/>
                    <w:bidi w:val="0"/>
                    <w:adjustRightInd w:val="0"/>
                    <w:snapToGrid w:val="0"/>
                    <w:jc w:val="center"/>
                    <w:textAlignment w:val="auto"/>
                    <w:rPr>
                      <w:color w:val="auto"/>
                      <w:szCs w:val="21"/>
                    </w:rPr>
                  </w:pPr>
                </w:p>
              </w:tc>
              <w:tc>
                <w:tcPr>
                  <w:tcW w:w="2330" w:type="pct"/>
                  <w:gridSpan w:val="2"/>
                  <w:tcBorders>
                    <w:tl2br w:val="nil"/>
                    <w:tr2bl w:val="nil"/>
                  </w:tcBorders>
                  <w:noWrap w:val="0"/>
                  <w:vAlign w:val="center"/>
                </w:tcPr>
                <w:p w14:paraId="1D18BD7E">
                  <w:pPr>
                    <w:keepNext w:val="0"/>
                    <w:keepLines w:val="0"/>
                    <w:pageBreakBefore w:val="0"/>
                    <w:kinsoku/>
                    <w:overflowPunct/>
                    <w:autoSpaceDE/>
                    <w:autoSpaceDN/>
                    <w:bidi w:val="0"/>
                    <w:adjustRightInd w:val="0"/>
                    <w:snapToGrid w:val="0"/>
                    <w:jc w:val="center"/>
                    <w:textAlignment w:val="auto"/>
                    <w:rPr>
                      <w:color w:val="auto"/>
                      <w:kern w:val="0"/>
                      <w:sz w:val="21"/>
                      <w:szCs w:val="21"/>
                    </w:rPr>
                  </w:pPr>
                  <w:r>
                    <w:rPr>
                      <w:rFonts w:hint="eastAsia"/>
                      <w:color w:val="auto"/>
                      <w:kern w:val="0"/>
                      <w:sz w:val="21"/>
                      <w:szCs w:val="21"/>
                      <w:lang w:eastAsia="zh-CN"/>
                    </w:rPr>
                    <w:t>非甲烷总烃（无组织）</w:t>
                  </w:r>
                </w:p>
              </w:tc>
              <w:tc>
                <w:tcPr>
                  <w:tcW w:w="1806" w:type="pct"/>
                  <w:tcBorders>
                    <w:tl2br w:val="nil"/>
                    <w:tr2bl w:val="nil"/>
                  </w:tcBorders>
                  <w:noWrap w:val="0"/>
                  <w:vAlign w:val="center"/>
                </w:tcPr>
                <w:p w14:paraId="2EBEB25B">
                  <w:pPr>
                    <w:pStyle w:val="1111"/>
                    <w:keepNext w:val="0"/>
                    <w:keepLines w:val="0"/>
                    <w:pageBreakBefore w:val="0"/>
                    <w:kinsoku/>
                    <w:overflowPunct/>
                    <w:autoSpaceDE/>
                    <w:autoSpaceDN/>
                    <w:bidi w:val="0"/>
                    <w:textAlignment w:val="auto"/>
                    <w:rPr>
                      <w:rFonts w:hint="default"/>
                      <w:color w:val="auto"/>
                      <w:kern w:val="2"/>
                      <w:lang w:val="en-US" w:eastAsia="zh-CN"/>
                    </w:rPr>
                  </w:pPr>
                  <w:r>
                    <w:rPr>
                      <w:rFonts w:hint="eastAsia"/>
                      <w:color w:val="auto"/>
                      <w:kern w:val="2"/>
                      <w:lang w:val="en-US" w:eastAsia="zh-CN"/>
                    </w:rPr>
                    <w:t>0.076012</w:t>
                  </w:r>
                </w:p>
              </w:tc>
            </w:tr>
            <w:tr w14:paraId="3BFD4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 w:type="pct"/>
                  <w:vMerge w:val="continue"/>
                  <w:tcBorders>
                    <w:tl2br w:val="nil"/>
                    <w:tr2bl w:val="nil"/>
                  </w:tcBorders>
                  <w:noWrap w:val="0"/>
                  <w:vAlign w:val="center"/>
                </w:tcPr>
                <w:p w14:paraId="2FF44B24">
                  <w:pPr>
                    <w:keepNext w:val="0"/>
                    <w:keepLines w:val="0"/>
                    <w:pageBreakBefore w:val="0"/>
                    <w:kinsoku/>
                    <w:overflowPunct/>
                    <w:autoSpaceDE/>
                    <w:autoSpaceDN/>
                    <w:bidi w:val="0"/>
                    <w:adjustRightInd w:val="0"/>
                    <w:snapToGrid w:val="0"/>
                    <w:jc w:val="center"/>
                    <w:textAlignment w:val="auto"/>
                    <w:rPr>
                      <w:color w:val="auto"/>
                      <w:szCs w:val="21"/>
                    </w:rPr>
                  </w:pPr>
                </w:p>
              </w:tc>
              <w:tc>
                <w:tcPr>
                  <w:tcW w:w="2330" w:type="pct"/>
                  <w:gridSpan w:val="2"/>
                  <w:tcBorders>
                    <w:tl2br w:val="nil"/>
                    <w:tr2bl w:val="nil"/>
                  </w:tcBorders>
                  <w:noWrap w:val="0"/>
                  <w:vAlign w:val="center"/>
                </w:tcPr>
                <w:p w14:paraId="337A770D">
                  <w:pPr>
                    <w:keepNext w:val="0"/>
                    <w:keepLines w:val="0"/>
                    <w:pageBreakBefore w:val="0"/>
                    <w:kinsoku/>
                    <w:overflowPunct/>
                    <w:autoSpaceDE/>
                    <w:autoSpaceDN/>
                    <w:bidi w:val="0"/>
                    <w:adjustRightInd w:val="0"/>
                    <w:snapToGrid w:val="0"/>
                    <w:jc w:val="center"/>
                    <w:textAlignment w:val="auto"/>
                    <w:rPr>
                      <w:color w:val="auto"/>
                      <w:kern w:val="0"/>
                      <w:sz w:val="21"/>
                      <w:szCs w:val="21"/>
                    </w:rPr>
                  </w:pPr>
                  <w:r>
                    <w:rPr>
                      <w:rFonts w:hint="eastAsia"/>
                      <w:color w:val="auto"/>
                      <w:kern w:val="0"/>
                      <w:sz w:val="21"/>
                      <w:szCs w:val="21"/>
                      <w:lang w:eastAsia="zh-CN"/>
                    </w:rPr>
                    <w:t>非甲烷总烃（合计）</w:t>
                  </w:r>
                </w:p>
              </w:tc>
              <w:tc>
                <w:tcPr>
                  <w:tcW w:w="1806" w:type="pct"/>
                  <w:tcBorders>
                    <w:tl2br w:val="nil"/>
                    <w:tr2bl w:val="nil"/>
                  </w:tcBorders>
                  <w:noWrap w:val="0"/>
                  <w:vAlign w:val="center"/>
                </w:tcPr>
                <w:p w14:paraId="706D1D5A">
                  <w:pPr>
                    <w:pStyle w:val="1111"/>
                    <w:keepNext w:val="0"/>
                    <w:keepLines w:val="0"/>
                    <w:pageBreakBefore w:val="0"/>
                    <w:kinsoku/>
                    <w:overflowPunct/>
                    <w:autoSpaceDE/>
                    <w:autoSpaceDN/>
                    <w:bidi w:val="0"/>
                    <w:textAlignment w:val="auto"/>
                    <w:rPr>
                      <w:rFonts w:hint="default"/>
                      <w:color w:val="auto"/>
                      <w:kern w:val="2"/>
                      <w:lang w:val="en-US" w:eastAsia="zh-CN"/>
                    </w:rPr>
                  </w:pPr>
                  <w:r>
                    <w:rPr>
                      <w:rFonts w:hint="eastAsia"/>
                      <w:color w:val="auto"/>
                      <w:kern w:val="2"/>
                      <w:lang w:val="en-US" w:eastAsia="zh-CN"/>
                    </w:rPr>
                    <w:t>0.144012</w:t>
                  </w:r>
                </w:p>
              </w:tc>
            </w:tr>
          </w:tbl>
          <w:p w14:paraId="23DDE5B5">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color w:val="auto"/>
                <w:sz w:val="24"/>
              </w:rPr>
            </w:pPr>
            <w:r>
              <w:rPr>
                <w:rFonts w:hint="default" w:ascii="Times New Roman" w:hAnsi="Times New Roman" w:cs="Times New Roman"/>
                <w:b/>
                <w:bCs/>
                <w:color w:val="auto"/>
                <w:sz w:val="24"/>
              </w:rPr>
              <w:t>1、总量控制指标</w:t>
            </w:r>
          </w:p>
          <w:p w14:paraId="156C20CC">
            <w:pPr>
              <w:keepNext w:val="0"/>
              <w:keepLines w:val="0"/>
              <w:widowControl/>
              <w:suppressLineNumbers w:val="0"/>
              <w:spacing w:line="360" w:lineRule="auto"/>
              <w:ind w:firstLine="480" w:firstLineChars="200"/>
              <w:jc w:val="left"/>
              <w:rPr>
                <w:rFonts w:hint="default" w:ascii="Times New Roman" w:hAnsi="Times New Roman" w:eastAsia="宋体" w:cs="Times New Roman"/>
                <w:color w:val="auto"/>
                <w:kern w:val="0"/>
                <w:sz w:val="24"/>
                <w:szCs w:val="24"/>
                <w:lang w:val="en-US" w:eastAsia="zh-CN" w:bidi="ar"/>
              </w:rPr>
            </w:pPr>
            <w:r>
              <w:rPr>
                <w:rFonts w:hint="eastAsia" w:ascii="宋体" w:hAnsi="宋体" w:cs="宋体"/>
                <w:color w:val="auto"/>
                <w:kern w:val="0"/>
                <w:sz w:val="24"/>
                <w:szCs w:val="24"/>
                <w:lang w:val="en-US" w:eastAsia="zh-CN" w:bidi="ar"/>
              </w:rPr>
              <w:t>项目废气总量控制指标：</w:t>
            </w:r>
            <w:r>
              <w:rPr>
                <w:rFonts w:hint="default" w:ascii="Times New Roman" w:hAnsi="Times New Roman" w:eastAsia="宋体" w:cs="Times New Roman"/>
                <w:color w:val="auto"/>
                <w:kern w:val="0"/>
                <w:sz w:val="24"/>
                <w:szCs w:val="24"/>
                <w:lang w:val="en-US" w:eastAsia="zh-CN" w:bidi="ar"/>
              </w:rPr>
              <w:t>VOCs</w:t>
            </w:r>
            <w:r>
              <w:rPr>
                <w:rFonts w:hint="eastAsia" w:ascii="宋体" w:hAnsi="宋体" w:eastAsia="宋体" w:cs="宋体"/>
                <w:color w:val="auto"/>
                <w:kern w:val="0"/>
                <w:sz w:val="24"/>
                <w:szCs w:val="24"/>
                <w:lang w:val="en-US" w:eastAsia="zh-CN" w:bidi="ar"/>
              </w:rPr>
              <w:t>（以非甲烷总烃计）有组</w:t>
            </w:r>
            <w:r>
              <w:rPr>
                <w:rFonts w:hint="default" w:ascii="Times New Roman" w:hAnsi="Times New Roman" w:eastAsia="宋体" w:cs="Times New Roman"/>
                <w:color w:val="auto"/>
                <w:kern w:val="0"/>
                <w:sz w:val="24"/>
                <w:szCs w:val="24"/>
                <w:lang w:val="en-US" w:eastAsia="zh-CN" w:bidi="ar"/>
              </w:rPr>
              <w:t>织：0.0</w:t>
            </w:r>
            <w:r>
              <w:rPr>
                <w:rFonts w:hint="eastAsia" w:cs="Times New Roman"/>
                <w:color w:val="auto"/>
                <w:kern w:val="0"/>
                <w:sz w:val="24"/>
                <w:szCs w:val="24"/>
                <w:lang w:val="en-US" w:eastAsia="zh-CN" w:bidi="ar"/>
              </w:rPr>
              <w:t>68</w:t>
            </w:r>
            <w:r>
              <w:rPr>
                <w:rFonts w:hint="default" w:ascii="Times New Roman" w:hAnsi="Times New Roman" w:eastAsia="宋体" w:cs="Times New Roman"/>
                <w:color w:val="auto"/>
                <w:kern w:val="0"/>
                <w:sz w:val="24"/>
                <w:szCs w:val="24"/>
                <w:lang w:val="en-US" w:eastAsia="zh-CN" w:bidi="ar"/>
              </w:rPr>
              <w:t xml:space="preserve">t/a。 </w:t>
            </w:r>
          </w:p>
          <w:p w14:paraId="05D951A0">
            <w:pPr>
              <w:keepNext w:val="0"/>
              <w:keepLines w:val="0"/>
              <w:widowControl/>
              <w:suppressLineNumbers w:val="0"/>
              <w:spacing w:line="360" w:lineRule="auto"/>
              <w:ind w:firstLine="480" w:firstLineChars="200"/>
              <w:jc w:val="left"/>
              <w:rPr>
                <w:color w:val="auto"/>
              </w:rPr>
            </w:pPr>
            <w:r>
              <w:rPr>
                <w:rFonts w:hint="eastAsia" w:ascii="宋体" w:hAnsi="宋体" w:eastAsia="宋体" w:cs="宋体"/>
                <w:color w:val="auto"/>
                <w:kern w:val="0"/>
                <w:sz w:val="24"/>
                <w:szCs w:val="24"/>
                <w:lang w:val="en-US" w:eastAsia="zh-CN" w:bidi="ar"/>
              </w:rPr>
              <w:t>项目废水总量控制指标：项目废水总量控制指标：废水接管量</w:t>
            </w:r>
            <w:r>
              <w:rPr>
                <w:rFonts w:hint="eastAsia" w:cs="Times New Roman"/>
                <w:color w:val="auto"/>
                <w:kern w:val="0"/>
                <w:sz w:val="24"/>
                <w:szCs w:val="24"/>
                <w:lang w:val="en-US" w:eastAsia="zh-CN" w:bidi="ar"/>
              </w:rPr>
              <w:t>1536</w:t>
            </w:r>
            <w:r>
              <w:rPr>
                <w:rFonts w:hint="default" w:ascii="Times New Roman" w:hAnsi="Times New Roman" w:eastAsia="宋体" w:cs="Times New Roman"/>
                <w:color w:val="auto"/>
                <w:kern w:val="0"/>
                <w:sz w:val="24"/>
                <w:szCs w:val="24"/>
                <w:lang w:val="en-US" w:eastAsia="zh-CN" w:bidi="ar"/>
              </w:rPr>
              <w:t>t/a</w:t>
            </w:r>
            <w:r>
              <w:rPr>
                <w:rFonts w:hint="eastAsia" w:ascii="宋体" w:hAnsi="宋体" w:eastAsia="宋体" w:cs="宋体"/>
                <w:color w:val="auto"/>
                <w:kern w:val="0"/>
                <w:sz w:val="24"/>
                <w:szCs w:val="24"/>
                <w:lang w:val="en-US" w:eastAsia="zh-CN" w:bidi="ar"/>
              </w:rPr>
              <w:t>，接管量</w:t>
            </w:r>
            <w:r>
              <w:rPr>
                <w:rFonts w:hint="default" w:ascii="Times New Roman" w:hAnsi="Times New Roman" w:eastAsia="宋体" w:cs="Times New Roman"/>
                <w:color w:val="auto"/>
                <w:kern w:val="0"/>
                <w:sz w:val="24"/>
                <w:szCs w:val="24"/>
                <w:lang w:val="en-US" w:eastAsia="zh-CN" w:bidi="ar"/>
              </w:rPr>
              <w:t>COD</w:t>
            </w:r>
            <w:r>
              <w:rPr>
                <w:rFonts w:hint="eastAsia" w:cs="Times New Roman"/>
                <w:color w:val="auto"/>
                <w:kern w:val="0"/>
                <w:sz w:val="24"/>
                <w:szCs w:val="24"/>
                <w:lang w:val="en-US" w:eastAsia="zh-CN" w:bidi="ar"/>
              </w:rPr>
              <w:t>0.522</w:t>
            </w:r>
            <w:r>
              <w:rPr>
                <w:rFonts w:hint="default" w:ascii="Times New Roman" w:hAnsi="Times New Roman" w:eastAsia="宋体" w:cs="Times New Roman"/>
                <w:color w:val="auto"/>
                <w:kern w:val="0"/>
                <w:sz w:val="24"/>
                <w:szCs w:val="24"/>
                <w:lang w:val="en-US" w:eastAsia="zh-CN" w:bidi="ar"/>
              </w:rPr>
              <w:t>t/a</w:t>
            </w:r>
            <w:r>
              <w:rPr>
                <w:rFonts w:hint="eastAsia" w:ascii="宋体" w:hAnsi="宋体" w:eastAsia="宋体" w:cs="宋体"/>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NH</w:t>
            </w:r>
            <w:r>
              <w:rPr>
                <w:rFonts w:hint="default" w:ascii="Times New Roman" w:hAnsi="Times New Roman" w:eastAsia="宋体" w:cs="Times New Roman"/>
                <w:color w:val="auto"/>
                <w:kern w:val="0"/>
                <w:sz w:val="15"/>
                <w:szCs w:val="15"/>
                <w:lang w:val="en-US" w:eastAsia="zh-CN" w:bidi="ar"/>
              </w:rPr>
              <w:t>3</w:t>
            </w:r>
            <w:r>
              <w:rPr>
                <w:rFonts w:hint="default" w:ascii="Times New Roman" w:hAnsi="Times New Roman" w:eastAsia="宋体" w:cs="Times New Roman"/>
                <w:color w:val="auto"/>
                <w:kern w:val="0"/>
                <w:sz w:val="24"/>
                <w:szCs w:val="24"/>
                <w:lang w:val="en-US" w:eastAsia="zh-CN" w:bidi="ar"/>
              </w:rPr>
              <w:t>-N0.0</w:t>
            </w:r>
            <w:r>
              <w:rPr>
                <w:rFonts w:hint="eastAsia" w:cs="Times New Roman"/>
                <w:color w:val="auto"/>
                <w:kern w:val="0"/>
                <w:sz w:val="24"/>
                <w:szCs w:val="24"/>
                <w:lang w:val="en-US" w:eastAsia="zh-CN" w:bidi="ar"/>
              </w:rPr>
              <w:t>46</w:t>
            </w:r>
            <w:r>
              <w:rPr>
                <w:rFonts w:hint="default" w:ascii="Times New Roman" w:hAnsi="Times New Roman" w:eastAsia="宋体" w:cs="Times New Roman"/>
                <w:color w:val="auto"/>
                <w:kern w:val="0"/>
                <w:sz w:val="24"/>
                <w:szCs w:val="24"/>
                <w:lang w:val="en-US" w:eastAsia="zh-CN" w:bidi="ar"/>
              </w:rPr>
              <w:t>t/a</w:t>
            </w:r>
            <w:r>
              <w:rPr>
                <w:rFonts w:hint="eastAsia" w:ascii="宋体" w:hAnsi="宋体" w:eastAsia="宋体" w:cs="宋体"/>
                <w:color w:val="auto"/>
                <w:kern w:val="0"/>
                <w:sz w:val="24"/>
                <w:szCs w:val="24"/>
                <w:lang w:val="en-US" w:eastAsia="zh-CN" w:bidi="ar"/>
              </w:rPr>
              <w:t>；最终排放量</w:t>
            </w:r>
            <w:r>
              <w:rPr>
                <w:rFonts w:hint="default" w:ascii="Times New Roman" w:hAnsi="Times New Roman" w:eastAsia="宋体" w:cs="Times New Roman"/>
                <w:color w:val="auto"/>
                <w:kern w:val="0"/>
                <w:sz w:val="24"/>
                <w:szCs w:val="24"/>
                <w:lang w:val="en-US" w:eastAsia="zh-CN" w:bidi="ar"/>
              </w:rPr>
              <w:t>COD</w:t>
            </w:r>
            <w:r>
              <w:rPr>
                <w:rFonts w:hint="eastAsia" w:cs="Times New Roman"/>
                <w:color w:val="auto"/>
                <w:kern w:val="0"/>
                <w:sz w:val="24"/>
                <w:szCs w:val="24"/>
                <w:lang w:val="en-US" w:eastAsia="zh-CN" w:bidi="ar"/>
              </w:rPr>
              <w:t>0.444</w:t>
            </w:r>
            <w:r>
              <w:rPr>
                <w:rFonts w:hint="default" w:ascii="Times New Roman" w:hAnsi="Times New Roman" w:eastAsia="宋体" w:cs="Times New Roman"/>
                <w:color w:val="auto"/>
                <w:kern w:val="0"/>
                <w:sz w:val="24"/>
                <w:szCs w:val="24"/>
                <w:lang w:val="en-US" w:eastAsia="zh-CN" w:bidi="ar"/>
              </w:rPr>
              <w:t>t/a</w:t>
            </w:r>
            <w:r>
              <w:rPr>
                <w:rFonts w:hint="eastAsia" w:ascii="宋体" w:hAnsi="宋体" w:eastAsia="宋体" w:cs="宋体"/>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NH</w:t>
            </w:r>
            <w:r>
              <w:rPr>
                <w:rFonts w:hint="default" w:ascii="Times New Roman" w:hAnsi="Times New Roman" w:eastAsia="宋体" w:cs="Times New Roman"/>
                <w:color w:val="auto"/>
                <w:kern w:val="0"/>
                <w:sz w:val="15"/>
                <w:szCs w:val="15"/>
                <w:lang w:val="en-US" w:eastAsia="zh-CN" w:bidi="ar"/>
              </w:rPr>
              <w:t>3</w:t>
            </w:r>
            <w:r>
              <w:rPr>
                <w:rFonts w:hint="default" w:ascii="Times New Roman" w:hAnsi="Times New Roman" w:eastAsia="宋体" w:cs="Times New Roman"/>
                <w:color w:val="auto"/>
                <w:kern w:val="0"/>
                <w:sz w:val="24"/>
                <w:szCs w:val="24"/>
                <w:lang w:val="en-US" w:eastAsia="zh-CN" w:bidi="ar"/>
              </w:rPr>
              <w:t>-N0.0</w:t>
            </w:r>
            <w:r>
              <w:rPr>
                <w:rFonts w:hint="eastAsia" w:cs="Times New Roman"/>
                <w:color w:val="auto"/>
                <w:kern w:val="0"/>
                <w:sz w:val="24"/>
                <w:szCs w:val="24"/>
                <w:lang w:val="en-US" w:eastAsia="zh-CN" w:bidi="ar"/>
              </w:rPr>
              <w:t>45</w:t>
            </w:r>
            <w:r>
              <w:rPr>
                <w:rFonts w:hint="default" w:ascii="Times New Roman" w:hAnsi="Times New Roman" w:eastAsia="宋体" w:cs="Times New Roman"/>
                <w:color w:val="auto"/>
                <w:kern w:val="0"/>
                <w:sz w:val="24"/>
                <w:szCs w:val="24"/>
                <w:lang w:val="en-US" w:eastAsia="zh-CN" w:bidi="ar"/>
              </w:rPr>
              <w:t>t/a</w:t>
            </w:r>
            <w:r>
              <w:rPr>
                <w:rFonts w:hint="eastAsia" w:ascii="宋体" w:hAnsi="宋体" w:eastAsia="宋体" w:cs="宋体"/>
                <w:color w:val="auto"/>
                <w:kern w:val="0"/>
                <w:sz w:val="24"/>
                <w:szCs w:val="24"/>
                <w:lang w:val="en-US" w:eastAsia="zh-CN" w:bidi="ar"/>
              </w:rPr>
              <w:t xml:space="preserve">。 </w:t>
            </w:r>
          </w:p>
          <w:p w14:paraId="25073063">
            <w:pPr>
              <w:keepNext w:val="0"/>
              <w:keepLines w:val="0"/>
              <w:widowControl/>
              <w:suppressLineNumbers w:val="0"/>
              <w:spacing w:line="360" w:lineRule="auto"/>
              <w:ind w:firstLine="482" w:firstLineChars="200"/>
              <w:jc w:val="left"/>
              <w:rPr>
                <w:color w:val="auto"/>
              </w:rPr>
            </w:pPr>
            <w:r>
              <w:rPr>
                <w:rFonts w:hint="default" w:ascii="Times New Roman" w:hAnsi="Times New Roman" w:eastAsia="宋体" w:cs="Times New Roman"/>
                <w:b/>
                <w:bCs/>
                <w:color w:val="auto"/>
                <w:kern w:val="0"/>
                <w:sz w:val="24"/>
                <w:szCs w:val="24"/>
                <w:lang w:val="en-US" w:eastAsia="zh-CN" w:bidi="ar"/>
              </w:rPr>
              <w:t>2</w:t>
            </w:r>
            <w:r>
              <w:rPr>
                <w:rFonts w:hint="eastAsia" w:ascii="宋体" w:hAnsi="宋体" w:eastAsia="宋体" w:cs="宋体"/>
                <w:b/>
                <w:bCs/>
                <w:color w:val="auto"/>
                <w:kern w:val="0"/>
                <w:sz w:val="24"/>
                <w:szCs w:val="24"/>
                <w:lang w:val="en-US" w:eastAsia="zh-CN" w:bidi="ar"/>
              </w:rPr>
              <w:t xml:space="preserve">、总量控制指标申请量 </w:t>
            </w:r>
          </w:p>
          <w:p w14:paraId="5E75DB41">
            <w:pPr>
              <w:keepNext w:val="0"/>
              <w:keepLines w:val="0"/>
              <w:widowControl/>
              <w:suppressLineNumbers w:val="0"/>
              <w:spacing w:line="360" w:lineRule="auto"/>
              <w:ind w:firstLine="480" w:firstLineChars="200"/>
              <w:jc w:val="left"/>
              <w:rPr>
                <w:color w:val="auto"/>
              </w:rPr>
            </w:pPr>
            <w:r>
              <w:rPr>
                <w:rFonts w:hint="eastAsia" w:ascii="宋体" w:hAnsi="宋体" w:eastAsia="宋体" w:cs="宋体"/>
                <w:color w:val="auto"/>
                <w:kern w:val="0"/>
                <w:sz w:val="24"/>
                <w:szCs w:val="24"/>
                <w:lang w:val="en-US" w:eastAsia="zh-CN" w:bidi="ar"/>
              </w:rPr>
              <w:t>本项目排放生活污水，接入安徽新芜经济开发区城东污水处理厂，</w:t>
            </w:r>
            <w:r>
              <w:rPr>
                <w:rFonts w:hint="default" w:ascii="Times New Roman" w:hAnsi="Times New Roman" w:eastAsia="宋体" w:cs="Times New Roman"/>
                <w:color w:val="auto"/>
                <w:kern w:val="0"/>
                <w:sz w:val="24"/>
                <w:szCs w:val="24"/>
                <w:lang w:val="en-US" w:eastAsia="zh-CN" w:bidi="ar"/>
              </w:rPr>
              <w:t>COD</w:t>
            </w:r>
            <w:r>
              <w:rPr>
                <w:rFonts w:hint="eastAsia" w:ascii="宋体" w:hAnsi="宋体" w:eastAsia="宋体" w:cs="宋体"/>
                <w:color w:val="auto"/>
                <w:kern w:val="0"/>
                <w:sz w:val="24"/>
                <w:szCs w:val="24"/>
                <w:lang w:val="en-US" w:eastAsia="zh-CN" w:bidi="ar"/>
              </w:rPr>
              <w:t xml:space="preserve">、氨氮的总量纳入安徽新芜经济开发区城东污水处理厂，不需要单独再申请总量。 </w:t>
            </w:r>
          </w:p>
          <w:p w14:paraId="4D87B884">
            <w:pPr>
              <w:keepNext w:val="0"/>
              <w:keepLines w:val="0"/>
              <w:widowControl/>
              <w:suppressLineNumbers w:val="0"/>
              <w:spacing w:line="360" w:lineRule="auto"/>
              <w:ind w:firstLine="480" w:firstLineChars="200"/>
              <w:jc w:val="left"/>
              <w:rPr>
                <w:color w:val="auto"/>
              </w:rPr>
            </w:pPr>
            <w:r>
              <w:rPr>
                <w:rFonts w:hint="eastAsia" w:ascii="宋体" w:hAnsi="宋体" w:eastAsia="宋体" w:cs="宋体"/>
                <w:color w:val="auto"/>
                <w:kern w:val="0"/>
                <w:sz w:val="24"/>
                <w:szCs w:val="24"/>
                <w:lang w:val="en-US" w:eastAsia="zh-CN" w:bidi="ar"/>
              </w:rPr>
              <w:t>项目新增废气总量由环保有关部门批准审核后实施。</w:t>
            </w:r>
          </w:p>
          <w:p w14:paraId="6BF27F6B">
            <w:pPr>
              <w:widowControl/>
              <w:spacing w:line="360" w:lineRule="auto"/>
              <w:ind w:firstLine="482"/>
              <w:jc w:val="left"/>
              <w:rPr>
                <w:rFonts w:hint="default" w:ascii="Times New Roman" w:hAnsi="Times New Roman" w:cs="Times New Roman"/>
                <w:b/>
                <w:bCs/>
                <w:color w:val="auto"/>
                <w:sz w:val="24"/>
              </w:rPr>
            </w:pPr>
            <w:r>
              <w:rPr>
                <w:rFonts w:hint="eastAsia" w:cs="Times New Roman"/>
                <w:b/>
                <w:bCs/>
                <w:color w:val="auto"/>
                <w:sz w:val="24"/>
                <w:lang w:val="en-US" w:eastAsia="zh-CN"/>
              </w:rPr>
              <w:t>3</w:t>
            </w:r>
            <w:r>
              <w:rPr>
                <w:rFonts w:hint="default" w:ascii="Times New Roman" w:hAnsi="Times New Roman" w:cs="Times New Roman"/>
                <w:b/>
                <w:bCs/>
                <w:color w:val="auto"/>
                <w:sz w:val="24"/>
              </w:rPr>
              <w:t>、排污权核算</w:t>
            </w:r>
          </w:p>
          <w:p w14:paraId="2A1D4063">
            <w:pPr>
              <w:numPr>
                <w:ilvl w:val="255"/>
                <w:numId w:val="0"/>
              </w:num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2023年12月29日，安徽省生态环境厅、发改委员会、财政厅、金融监督 管理局联合发布了关于印发《安徽省排污权有偿使用和交易管理办法</w:t>
            </w:r>
            <w:r>
              <w:rPr>
                <w:rFonts w:hint="eastAsia" w:cs="Times New Roman"/>
                <w:color w:val="auto"/>
                <w:sz w:val="24"/>
                <w:lang w:eastAsia="zh-CN"/>
              </w:rPr>
              <w:t>（</w:t>
            </w:r>
            <w:r>
              <w:rPr>
                <w:rFonts w:hint="default" w:ascii="Times New Roman" w:hAnsi="Times New Roman" w:cs="Times New Roman"/>
                <w:color w:val="auto"/>
                <w:sz w:val="24"/>
              </w:rPr>
              <w:t>试行</w:t>
            </w:r>
            <w:r>
              <w:rPr>
                <w:rFonts w:hint="eastAsia" w:cs="Times New Roman"/>
                <w:color w:val="auto"/>
                <w:sz w:val="24"/>
                <w:lang w:eastAsia="zh-CN"/>
              </w:rPr>
              <w:t>）</w:t>
            </w:r>
            <w:r>
              <w:rPr>
                <w:rFonts w:hint="default" w:ascii="Times New Roman" w:hAnsi="Times New Roman" w:cs="Times New Roman"/>
                <w:color w:val="auto"/>
                <w:sz w:val="24"/>
              </w:rPr>
              <w:t>》《安徽省排污权交易规则</w:t>
            </w:r>
            <w:r>
              <w:rPr>
                <w:rFonts w:hint="eastAsia" w:cs="Times New Roman"/>
                <w:color w:val="auto"/>
                <w:sz w:val="24"/>
                <w:lang w:eastAsia="zh-CN"/>
              </w:rPr>
              <w:t>（</w:t>
            </w:r>
            <w:r>
              <w:rPr>
                <w:rFonts w:hint="default" w:ascii="Times New Roman" w:hAnsi="Times New Roman" w:cs="Times New Roman"/>
                <w:color w:val="auto"/>
                <w:sz w:val="24"/>
              </w:rPr>
              <w:t>试行</w:t>
            </w:r>
            <w:r>
              <w:rPr>
                <w:rFonts w:hint="eastAsia" w:cs="Times New Roman"/>
                <w:color w:val="auto"/>
                <w:sz w:val="24"/>
                <w:lang w:eastAsia="zh-CN"/>
              </w:rPr>
              <w:t>）</w:t>
            </w:r>
            <w:r>
              <w:rPr>
                <w:rFonts w:hint="default" w:ascii="Times New Roman" w:hAnsi="Times New Roman" w:cs="Times New Roman"/>
                <w:color w:val="auto"/>
                <w:sz w:val="24"/>
              </w:rPr>
              <w:t>》《安徽省排污权储备和出让管理办法</w:t>
            </w:r>
            <w:r>
              <w:rPr>
                <w:rFonts w:hint="eastAsia" w:cs="Times New Roman"/>
                <w:color w:val="auto"/>
                <w:sz w:val="24"/>
                <w:lang w:eastAsia="zh-CN"/>
              </w:rPr>
              <w:t>（</w:t>
            </w:r>
            <w:r>
              <w:rPr>
                <w:rFonts w:hint="default" w:ascii="Times New Roman" w:hAnsi="Times New Roman" w:cs="Times New Roman"/>
                <w:color w:val="auto"/>
                <w:sz w:val="24"/>
              </w:rPr>
              <w:t>试行</w:t>
            </w:r>
            <w:r>
              <w:rPr>
                <w:rFonts w:hint="eastAsia" w:cs="Times New Roman"/>
                <w:color w:val="auto"/>
                <w:sz w:val="24"/>
                <w:lang w:eastAsia="zh-CN"/>
              </w:rPr>
              <w:t>）</w:t>
            </w:r>
            <w:r>
              <w:rPr>
                <w:rFonts w:hint="default" w:ascii="Times New Roman" w:hAnsi="Times New Roman" w:cs="Times New Roman"/>
                <w:color w:val="auto"/>
                <w:sz w:val="24"/>
              </w:rPr>
              <w:t>》《安徽省排污权租赁管理办法</w:t>
            </w:r>
            <w:r>
              <w:rPr>
                <w:rFonts w:hint="eastAsia" w:cs="Times New Roman"/>
                <w:color w:val="auto"/>
                <w:sz w:val="24"/>
                <w:lang w:eastAsia="zh-CN"/>
              </w:rPr>
              <w:t>（</w:t>
            </w:r>
            <w:r>
              <w:rPr>
                <w:rFonts w:hint="default" w:ascii="Times New Roman" w:hAnsi="Times New Roman" w:cs="Times New Roman"/>
                <w:color w:val="auto"/>
                <w:sz w:val="24"/>
              </w:rPr>
              <w:t>试行</w:t>
            </w:r>
            <w:r>
              <w:rPr>
                <w:rFonts w:hint="eastAsia" w:cs="Times New Roman"/>
                <w:color w:val="auto"/>
                <w:sz w:val="24"/>
                <w:lang w:eastAsia="zh-CN"/>
              </w:rPr>
              <w:t>）</w:t>
            </w:r>
            <w:r>
              <w:rPr>
                <w:rFonts w:hint="default" w:ascii="Times New Roman" w:hAnsi="Times New Roman" w:cs="Times New Roman"/>
                <w:color w:val="auto"/>
                <w:sz w:val="24"/>
              </w:rPr>
              <w:t>》的通知（皖环发(2023)72号），自2024 年1月1日起施行其中明确：现阶段实施排污权交易的污染物种类为化学需氧量（COD）、氨氮（NH</w:t>
            </w:r>
            <w:r>
              <w:rPr>
                <w:rFonts w:hint="default" w:ascii="Times New Roman" w:hAnsi="Times New Roman" w:cs="Times New Roman"/>
                <w:color w:val="auto"/>
                <w:sz w:val="24"/>
                <w:vertAlign w:val="subscript"/>
              </w:rPr>
              <w:t>3</w:t>
            </w:r>
            <w:r>
              <w:rPr>
                <w:rFonts w:hint="default" w:ascii="Times New Roman" w:hAnsi="Times New Roman" w:cs="Times New Roman"/>
                <w:color w:val="auto"/>
                <w:sz w:val="24"/>
              </w:rPr>
              <w:t>-N）、二氧化硫（SO</w:t>
            </w:r>
            <w:r>
              <w:rPr>
                <w:rFonts w:hint="default" w:ascii="Times New Roman" w:hAnsi="Times New Roman" w:cs="Times New Roman"/>
                <w:color w:val="auto"/>
                <w:sz w:val="24"/>
                <w:vertAlign w:val="subscript"/>
              </w:rPr>
              <w:t>2</w:t>
            </w:r>
            <w:r>
              <w:rPr>
                <w:rFonts w:hint="default" w:ascii="Times New Roman" w:hAnsi="Times New Roman" w:cs="Times New Roman"/>
                <w:color w:val="auto"/>
                <w:sz w:val="24"/>
              </w:rPr>
              <w:t>）、氮氧化物（NOx）4类。实施排污权交易的排污单位为全省列入排污许可证重点和简化管理范围内有污染物许可排放量要求的排污单位。</w:t>
            </w:r>
          </w:p>
          <w:p w14:paraId="64D246AB">
            <w:pPr>
              <w:numPr>
                <w:ilvl w:val="255"/>
                <w:numId w:val="0"/>
              </w:numPr>
              <w:adjustRightInd w:val="0"/>
              <w:snapToGrid w:val="0"/>
              <w:spacing w:line="360" w:lineRule="auto"/>
              <w:ind w:firstLine="480" w:firstLineChars="200"/>
              <w:rPr>
                <w:rFonts w:hint="default" w:ascii="Times New Roman" w:hAnsi="Times New Roman" w:cs="Times New Roman"/>
                <w:color w:val="auto"/>
              </w:rPr>
            </w:pPr>
            <w:r>
              <w:rPr>
                <w:rFonts w:hint="default" w:ascii="Times New Roman" w:hAnsi="Times New Roman" w:eastAsia="宋体" w:cs="Times New Roman"/>
                <w:color w:val="auto"/>
                <w:sz w:val="24"/>
                <w:lang w:val="en-US" w:eastAsia="zh-CN"/>
              </w:rPr>
              <w:t>根据《固定污染源排污许可分类管理名录》（2019 年版），</w:t>
            </w:r>
            <w:r>
              <w:rPr>
                <w:rFonts w:hint="default" w:ascii="Times New Roman" w:hAnsi="Times New Roman" w:eastAsia="宋体" w:cs="Times New Roman"/>
                <w:color w:val="auto"/>
                <w:sz w:val="24"/>
                <w:szCs w:val="24"/>
              </w:rPr>
              <w:t>由于本项</w:t>
            </w:r>
            <w:r>
              <w:rPr>
                <w:rFonts w:hint="default" w:ascii="Times New Roman" w:hAnsi="Times New Roman" w:eastAsia="宋体" w:cs="Times New Roman"/>
                <w:color w:val="auto"/>
                <w:sz w:val="24"/>
                <w:szCs w:val="24"/>
                <w:lang w:eastAsia="zh-CN"/>
              </w:rPr>
              <w:t>目</w:t>
            </w:r>
            <w:r>
              <w:rPr>
                <w:rFonts w:hint="default" w:ascii="Times New Roman" w:hAnsi="Times New Roman" w:eastAsia="宋体" w:cs="Times New Roman"/>
                <w:color w:val="auto"/>
                <w:sz w:val="24"/>
                <w:szCs w:val="24"/>
              </w:rPr>
              <w:t>属于现行《固定污染源排污许可分类管理名录》</w:t>
            </w:r>
            <w:r>
              <w:rPr>
                <w:rFonts w:hint="default" w:ascii="Times New Roman" w:hAnsi="Times New Roman" w:eastAsia="宋体" w:cs="Times New Roman"/>
                <w:color w:val="auto"/>
                <w:sz w:val="24"/>
                <w:szCs w:val="24"/>
                <w:lang w:eastAsia="zh-CN"/>
              </w:rPr>
              <w:t>中</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登记</w:t>
            </w:r>
            <w:r>
              <w:rPr>
                <w:rFonts w:hint="default" w:ascii="Times New Roman" w:hAnsi="Times New Roman" w:eastAsia="宋体" w:cs="Times New Roman"/>
                <w:color w:val="auto"/>
                <w:sz w:val="24"/>
                <w:szCs w:val="24"/>
              </w:rPr>
              <w:t>管理”，</w:t>
            </w:r>
            <w:r>
              <w:rPr>
                <w:rFonts w:hint="default" w:ascii="Times New Roman" w:hAnsi="Times New Roman" w:eastAsia="宋体" w:cs="Times New Roman"/>
                <w:color w:val="auto"/>
                <w:sz w:val="24"/>
                <w:szCs w:val="24"/>
                <w:lang w:eastAsia="zh-CN"/>
              </w:rPr>
              <w:t>因此，本项目</w:t>
            </w:r>
            <w:r>
              <w:rPr>
                <w:rFonts w:hint="default" w:ascii="Times New Roman" w:hAnsi="Times New Roman" w:eastAsia="宋体" w:cs="Times New Roman"/>
                <w:color w:val="auto"/>
                <w:kern w:val="0"/>
                <w:sz w:val="24"/>
                <w:szCs w:val="24"/>
                <w:lang w:val="en-US" w:eastAsia="zh-CN" w:bidi="ar"/>
              </w:rPr>
              <w:t>不涉及排污权交易。</w:t>
            </w:r>
          </w:p>
          <w:p w14:paraId="22106715">
            <w:pPr>
              <w:pStyle w:val="28"/>
              <w:rPr>
                <w:rFonts w:hint="default" w:ascii="Times New Roman" w:hAnsi="Times New Roman" w:cs="Times New Roman"/>
                <w:color w:val="auto"/>
              </w:rPr>
            </w:pPr>
          </w:p>
          <w:p w14:paraId="13606525">
            <w:pPr>
              <w:rPr>
                <w:rFonts w:hint="default" w:ascii="Times New Roman" w:hAnsi="Times New Roman" w:cs="Times New Roman"/>
                <w:color w:val="auto"/>
              </w:rPr>
            </w:pPr>
          </w:p>
          <w:p w14:paraId="5BC8A911">
            <w:pPr>
              <w:pStyle w:val="28"/>
              <w:rPr>
                <w:rFonts w:hint="default" w:ascii="Times New Roman" w:hAnsi="Times New Roman" w:cs="Times New Roman"/>
                <w:color w:val="auto"/>
              </w:rPr>
            </w:pPr>
          </w:p>
          <w:p w14:paraId="0DC95E7F">
            <w:pPr>
              <w:rPr>
                <w:rFonts w:hint="default" w:ascii="Times New Roman" w:hAnsi="Times New Roman" w:cs="Times New Roman"/>
                <w:color w:val="auto"/>
              </w:rPr>
            </w:pPr>
          </w:p>
          <w:p w14:paraId="68104371">
            <w:pPr>
              <w:pStyle w:val="28"/>
              <w:rPr>
                <w:rFonts w:hint="default" w:ascii="Times New Roman" w:hAnsi="Times New Roman" w:cs="Times New Roman"/>
                <w:color w:val="auto"/>
              </w:rPr>
            </w:pPr>
          </w:p>
          <w:p w14:paraId="672670BB">
            <w:pPr>
              <w:rPr>
                <w:rFonts w:hint="default" w:ascii="Times New Roman" w:hAnsi="Times New Roman" w:cs="Times New Roman"/>
                <w:color w:val="auto"/>
              </w:rPr>
            </w:pPr>
          </w:p>
          <w:p w14:paraId="1D977D69">
            <w:pPr>
              <w:pStyle w:val="28"/>
              <w:rPr>
                <w:rFonts w:hint="default" w:ascii="Times New Roman" w:hAnsi="Times New Roman" w:cs="Times New Roman"/>
                <w:color w:val="auto"/>
              </w:rPr>
            </w:pPr>
          </w:p>
          <w:p w14:paraId="36E95396">
            <w:pPr>
              <w:rPr>
                <w:rFonts w:hint="default" w:ascii="Times New Roman" w:hAnsi="Times New Roman" w:cs="Times New Roman"/>
                <w:color w:val="auto"/>
              </w:rPr>
            </w:pPr>
          </w:p>
          <w:p w14:paraId="7AD76DF4">
            <w:pPr>
              <w:pStyle w:val="28"/>
              <w:rPr>
                <w:rFonts w:hint="default" w:ascii="Times New Roman" w:hAnsi="Times New Roman" w:cs="Times New Roman"/>
                <w:color w:val="auto"/>
              </w:rPr>
            </w:pPr>
          </w:p>
          <w:p w14:paraId="72EF0B75">
            <w:pPr>
              <w:rPr>
                <w:rFonts w:hint="default" w:ascii="Times New Roman" w:hAnsi="Times New Roman" w:cs="Times New Roman"/>
                <w:color w:val="auto"/>
              </w:rPr>
            </w:pPr>
          </w:p>
          <w:p w14:paraId="2E1958E1">
            <w:pPr>
              <w:pStyle w:val="28"/>
              <w:rPr>
                <w:rFonts w:hint="default" w:ascii="Times New Roman" w:hAnsi="Times New Roman" w:cs="Times New Roman"/>
                <w:color w:val="auto"/>
              </w:rPr>
            </w:pPr>
          </w:p>
          <w:p w14:paraId="074351DF">
            <w:pPr>
              <w:rPr>
                <w:rFonts w:hint="default" w:ascii="Times New Roman" w:hAnsi="Times New Roman" w:cs="Times New Roman"/>
                <w:color w:val="auto"/>
              </w:rPr>
            </w:pPr>
          </w:p>
          <w:p w14:paraId="709E600B">
            <w:pPr>
              <w:pStyle w:val="28"/>
              <w:rPr>
                <w:rFonts w:hint="default" w:ascii="Times New Roman" w:hAnsi="Times New Roman" w:cs="Times New Roman"/>
                <w:color w:val="auto"/>
              </w:rPr>
            </w:pPr>
          </w:p>
          <w:p w14:paraId="61FBF68E">
            <w:pPr>
              <w:rPr>
                <w:rFonts w:hint="default" w:ascii="Times New Roman" w:hAnsi="Times New Roman" w:cs="Times New Roman"/>
                <w:color w:val="auto"/>
              </w:rPr>
            </w:pPr>
          </w:p>
          <w:p w14:paraId="0D553C66">
            <w:pPr>
              <w:pStyle w:val="28"/>
              <w:rPr>
                <w:rFonts w:hint="default" w:ascii="Times New Roman" w:hAnsi="Times New Roman" w:cs="Times New Roman"/>
                <w:color w:val="auto"/>
              </w:rPr>
            </w:pPr>
          </w:p>
          <w:p w14:paraId="0111E089">
            <w:pPr>
              <w:rPr>
                <w:rFonts w:hint="default" w:ascii="Times New Roman" w:hAnsi="Times New Roman" w:cs="Times New Roman"/>
                <w:color w:val="auto"/>
              </w:rPr>
            </w:pPr>
          </w:p>
          <w:p w14:paraId="0D3DB9E8">
            <w:pPr>
              <w:pStyle w:val="28"/>
              <w:rPr>
                <w:rFonts w:hint="default" w:ascii="Times New Roman" w:hAnsi="Times New Roman" w:cs="Times New Roman"/>
                <w:color w:val="auto"/>
              </w:rPr>
            </w:pPr>
          </w:p>
          <w:p w14:paraId="460939DB">
            <w:pPr>
              <w:rPr>
                <w:rFonts w:hint="default" w:ascii="Times New Roman" w:hAnsi="Times New Roman" w:cs="Times New Roman"/>
                <w:color w:val="auto"/>
              </w:rPr>
            </w:pPr>
          </w:p>
          <w:p w14:paraId="18A7E54A">
            <w:pPr>
              <w:pStyle w:val="28"/>
              <w:rPr>
                <w:rFonts w:hint="default" w:ascii="Times New Roman" w:hAnsi="Times New Roman" w:cs="Times New Roman"/>
                <w:color w:val="auto"/>
              </w:rPr>
            </w:pPr>
          </w:p>
          <w:p w14:paraId="6491489D">
            <w:pPr>
              <w:rPr>
                <w:rFonts w:hint="default" w:ascii="Times New Roman" w:hAnsi="Times New Roman" w:cs="Times New Roman"/>
                <w:color w:val="auto"/>
              </w:rPr>
            </w:pPr>
          </w:p>
          <w:p w14:paraId="3DF1E7B8">
            <w:pPr>
              <w:pStyle w:val="28"/>
              <w:rPr>
                <w:rFonts w:hint="default" w:ascii="Times New Roman" w:hAnsi="Times New Roman" w:cs="Times New Roman"/>
                <w:color w:val="auto"/>
              </w:rPr>
            </w:pPr>
          </w:p>
          <w:p w14:paraId="79230D12">
            <w:pPr>
              <w:pStyle w:val="29"/>
              <w:rPr>
                <w:rFonts w:hint="default" w:ascii="Times New Roman" w:hAnsi="Times New Roman" w:cs="Times New Roman"/>
                <w:color w:val="auto"/>
              </w:rPr>
            </w:pPr>
          </w:p>
          <w:p w14:paraId="1D226E07">
            <w:pPr>
              <w:rPr>
                <w:rFonts w:hint="default" w:ascii="Times New Roman" w:hAnsi="Times New Roman" w:cs="Times New Roman"/>
                <w:color w:val="auto"/>
              </w:rPr>
            </w:pPr>
          </w:p>
          <w:p w14:paraId="5779F592">
            <w:pPr>
              <w:pStyle w:val="6"/>
              <w:rPr>
                <w:rFonts w:hint="default" w:ascii="Times New Roman" w:hAnsi="Times New Roman" w:cs="Times New Roman"/>
                <w:color w:val="auto"/>
              </w:rPr>
            </w:pPr>
          </w:p>
          <w:p w14:paraId="62201BA6">
            <w:pPr>
              <w:rPr>
                <w:rFonts w:hint="default" w:ascii="Times New Roman" w:hAnsi="Times New Roman" w:cs="Times New Roman"/>
                <w:color w:val="auto"/>
              </w:rPr>
            </w:pPr>
          </w:p>
          <w:p w14:paraId="6C230555">
            <w:pPr>
              <w:pStyle w:val="6"/>
              <w:rPr>
                <w:rFonts w:hint="default" w:ascii="Times New Roman" w:hAnsi="Times New Roman" w:cs="Times New Roman"/>
                <w:color w:val="auto"/>
              </w:rPr>
            </w:pPr>
          </w:p>
          <w:p w14:paraId="3276708E">
            <w:pPr>
              <w:rPr>
                <w:rFonts w:hint="default"/>
                <w:color w:val="auto"/>
              </w:rPr>
            </w:pPr>
          </w:p>
        </w:tc>
      </w:tr>
    </w:tbl>
    <w:p w14:paraId="1FF0FFD4">
      <w:pPr>
        <w:pStyle w:val="59"/>
        <w:spacing w:before="0" w:beforeAutospacing="0" w:after="0" w:afterAutospacing="0"/>
        <w:jc w:val="center"/>
        <w:outlineLvl w:val="0"/>
        <w:rPr>
          <w:rFonts w:hint="default" w:ascii="Times New Roman" w:hAnsi="Times New Roman" w:cs="Times New Roman"/>
          <w:b/>
          <w:snapToGrid w:val="0"/>
          <w:color w:val="auto"/>
          <w:sz w:val="30"/>
          <w:szCs w:val="30"/>
        </w:rPr>
      </w:pPr>
      <w:r>
        <w:rPr>
          <w:rFonts w:hint="default" w:ascii="Times New Roman" w:hAnsi="Times New Roman" w:cs="Times New Roman"/>
          <w:snapToGrid w:val="0"/>
          <w:color w:val="auto"/>
          <w:sz w:val="36"/>
          <w:szCs w:val="36"/>
        </w:rPr>
        <w:br w:type="page"/>
      </w:r>
      <w:r>
        <w:rPr>
          <w:rFonts w:hint="default" w:ascii="Times New Roman" w:hAnsi="Times New Roman" w:cs="Times New Roman"/>
          <w:b/>
          <w:snapToGrid w:val="0"/>
          <w:color w:val="auto"/>
          <w:sz w:val="30"/>
          <w:szCs w:val="30"/>
        </w:rPr>
        <w:t>四、主要环境影响和保护措施</w:t>
      </w:r>
    </w:p>
    <w:tbl>
      <w:tblPr>
        <w:tblStyle w:val="63"/>
        <w:tblW w:w="897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78"/>
        <w:gridCol w:w="8501"/>
      </w:tblGrid>
      <w:tr w14:paraId="2FF971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66" w:hRule="atLeast"/>
          <w:jc w:val="center"/>
        </w:trPr>
        <w:tc>
          <w:tcPr>
            <w:tcW w:w="478" w:type="dxa"/>
            <w:tcMar>
              <w:left w:w="28" w:type="dxa"/>
              <w:right w:w="28" w:type="dxa"/>
            </w:tcMar>
            <w:vAlign w:val="center"/>
          </w:tcPr>
          <w:p w14:paraId="3A34356D">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施工</w:t>
            </w:r>
          </w:p>
          <w:p w14:paraId="366FB631">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期环</w:t>
            </w:r>
          </w:p>
          <w:p w14:paraId="34900C59">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境保</w:t>
            </w:r>
          </w:p>
          <w:p w14:paraId="17A842B3">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护措</w:t>
            </w:r>
          </w:p>
          <w:p w14:paraId="39405803">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施</w:t>
            </w:r>
          </w:p>
        </w:tc>
        <w:tc>
          <w:tcPr>
            <w:tcW w:w="8501" w:type="dxa"/>
            <w:vAlign w:val="center"/>
          </w:tcPr>
          <w:p w14:paraId="55B185FF">
            <w:pPr>
              <w:pStyle w:val="24"/>
              <w:spacing w:line="360" w:lineRule="auto"/>
              <w:ind w:firstLine="480" w:firstLineChars="200"/>
              <w:jc w:val="both"/>
              <w:rPr>
                <w:rFonts w:hint="default"/>
                <w:color w:val="auto"/>
                <w:kern w:val="0"/>
                <w:sz w:val="24"/>
              </w:rPr>
            </w:pPr>
            <w:r>
              <w:rPr>
                <w:color w:val="auto"/>
                <w:sz w:val="24"/>
              </w:rPr>
              <w:t>本项目租赁</w:t>
            </w:r>
            <w:r>
              <w:rPr>
                <w:rFonts w:hint="eastAsia" w:cs="Times New Roman"/>
                <w:color w:val="auto"/>
                <w:sz w:val="24"/>
                <w:lang w:eastAsia="zh-CN"/>
              </w:rPr>
              <w:t>芜湖市湾沚区安徽新芜经济开发区西支六路222号安徽</w:t>
            </w:r>
            <w:r>
              <w:rPr>
                <w:rFonts w:hint="eastAsia" w:cs="Times New Roman"/>
                <w:color w:val="auto"/>
                <w:sz w:val="24"/>
                <w:lang w:val="en-US" w:eastAsia="zh-CN"/>
              </w:rPr>
              <w:t>顾德机械</w:t>
            </w:r>
            <w:r>
              <w:rPr>
                <w:rFonts w:hint="eastAsia" w:cs="Times New Roman"/>
                <w:color w:val="auto"/>
                <w:sz w:val="24"/>
                <w:lang w:eastAsia="zh-CN"/>
              </w:rPr>
              <w:t>科技有限公司</w:t>
            </w:r>
            <w:r>
              <w:rPr>
                <w:color w:val="auto"/>
                <w:sz w:val="24"/>
              </w:rPr>
              <w:t>现有厂房进行生产，不新建厂房，项目施工期主要进行设备的安装，产生的污染主要为噪声，由于拟建项目设备数量较少，安装时间较短，且随着施工期的结束，噪声也随之消失，对周边环境影响很小，故本评价不针对项目施工期产生的污染进行具体的分析评价。</w:t>
            </w:r>
          </w:p>
        </w:tc>
      </w:tr>
      <w:tr w14:paraId="1E7534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31" w:hRule="atLeast"/>
          <w:jc w:val="center"/>
        </w:trPr>
        <w:tc>
          <w:tcPr>
            <w:tcW w:w="478" w:type="dxa"/>
            <w:tcMar>
              <w:left w:w="28" w:type="dxa"/>
              <w:right w:w="28" w:type="dxa"/>
            </w:tcMar>
            <w:vAlign w:val="center"/>
          </w:tcPr>
          <w:p w14:paraId="5E53E878">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运营</w:t>
            </w:r>
          </w:p>
          <w:p w14:paraId="26C3FC4C">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期环</w:t>
            </w:r>
          </w:p>
          <w:p w14:paraId="2E6F44E7">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境影</w:t>
            </w:r>
          </w:p>
          <w:p w14:paraId="13483D0C">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响和</w:t>
            </w:r>
          </w:p>
          <w:p w14:paraId="7D776893">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保护</w:t>
            </w:r>
          </w:p>
          <w:p w14:paraId="798DE6CE">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措施</w:t>
            </w:r>
          </w:p>
        </w:tc>
        <w:tc>
          <w:tcPr>
            <w:tcW w:w="8501" w:type="dxa"/>
            <w:vAlign w:val="center"/>
          </w:tcPr>
          <w:p w14:paraId="18002EC7">
            <w:pPr>
              <w:keepNext/>
              <w:keepLines/>
              <w:spacing w:line="360" w:lineRule="auto"/>
              <w:ind w:firstLine="354" w:firstLineChars="147"/>
              <w:outlineLvl w:val="2"/>
              <w:rPr>
                <w:rFonts w:hint="default" w:ascii="Times New Roman" w:hAnsi="Times New Roman" w:cs="Times New Roman"/>
                <w:b/>
                <w:bCs/>
                <w:color w:val="auto"/>
                <w:sz w:val="24"/>
              </w:rPr>
            </w:pPr>
            <w:r>
              <w:rPr>
                <w:rFonts w:hint="default" w:ascii="Times New Roman" w:hAnsi="Times New Roman" w:cs="Times New Roman"/>
                <w:b/>
                <w:bCs/>
                <w:color w:val="auto"/>
                <w:sz w:val="24"/>
              </w:rPr>
              <w:t>一、废气环境影响和保护措施</w:t>
            </w:r>
          </w:p>
          <w:p w14:paraId="778E3025">
            <w:pPr>
              <w:keepNext/>
              <w:keepLines/>
              <w:spacing w:line="360" w:lineRule="auto"/>
              <w:ind w:firstLine="472" w:firstLineChars="196"/>
              <w:outlineLvl w:val="2"/>
              <w:rPr>
                <w:rFonts w:hint="default" w:ascii="Times New Roman" w:hAnsi="Times New Roman" w:cs="Times New Roman"/>
                <w:b/>
                <w:bCs/>
                <w:color w:val="auto"/>
                <w:sz w:val="24"/>
              </w:rPr>
            </w:pPr>
            <w:r>
              <w:rPr>
                <w:rFonts w:hint="default" w:ascii="Times New Roman" w:hAnsi="Times New Roman" w:cs="Times New Roman"/>
                <w:b/>
                <w:bCs/>
                <w:color w:val="auto"/>
                <w:sz w:val="24"/>
              </w:rPr>
              <w:t>1、废气污染源分析</w:t>
            </w:r>
          </w:p>
          <w:p w14:paraId="5996947D">
            <w:pPr>
              <w:numPr>
                <w:ilvl w:val="0"/>
                <w:numId w:val="0"/>
              </w:numPr>
              <w:adjustRightInd w:val="0"/>
              <w:spacing w:line="360" w:lineRule="auto"/>
              <w:ind w:firstLine="480" w:firstLineChars="200"/>
              <w:rPr>
                <w:rFonts w:hint="eastAsia" w:cs="Times New Roman" w:eastAsiaTheme="minorEastAsia"/>
                <w:color w:val="auto"/>
                <w:kern w:val="0"/>
                <w:sz w:val="24"/>
                <w:lang w:val="en-US" w:eastAsia="zh-CN"/>
              </w:rPr>
            </w:pPr>
            <w:r>
              <w:rPr>
                <w:rFonts w:hint="default" w:ascii="Times New Roman" w:hAnsi="Times New Roman" w:cs="Times New Roman" w:eastAsiaTheme="minorEastAsia"/>
                <w:color w:val="auto"/>
                <w:kern w:val="0"/>
                <w:sz w:val="24"/>
              </w:rPr>
              <w:t>项目营运期废气污染源主要</w:t>
            </w:r>
            <w:r>
              <w:rPr>
                <w:rFonts w:hint="eastAsia" w:cs="Times New Roman" w:eastAsiaTheme="minorEastAsia"/>
                <w:color w:val="auto"/>
                <w:kern w:val="0"/>
                <w:sz w:val="24"/>
                <w:lang w:val="en-US" w:eastAsia="zh-CN"/>
              </w:rPr>
              <w:t>为锻造脱模废气、抛丸粉尘、淬火废气和危废库废气。</w:t>
            </w:r>
          </w:p>
          <w:p w14:paraId="2840D06D">
            <w:pPr>
              <w:widowControl/>
              <w:spacing w:line="360" w:lineRule="auto"/>
              <w:ind w:firstLine="480" w:firstLineChars="200"/>
              <w:jc w:val="left"/>
              <w:rPr>
                <w:rFonts w:hint="default" w:ascii="Times New Roman" w:hAnsi="Times New Roman" w:eastAsia="宋体" w:cs="Times New Roman"/>
                <w:color w:val="auto"/>
                <w:kern w:val="2"/>
                <w:sz w:val="24"/>
                <w:szCs w:val="24"/>
                <w:lang w:val="en-US" w:eastAsia="zh-CN" w:bidi="ar-SA"/>
              </w:rPr>
            </w:pPr>
            <w:r>
              <w:rPr>
                <w:rFonts w:hint="eastAsia" w:cs="Times New Roman"/>
                <w:color w:val="auto"/>
                <w:kern w:val="2"/>
                <w:sz w:val="24"/>
                <w:szCs w:val="24"/>
                <w:lang w:val="en-US" w:eastAsia="zh-CN" w:bidi="ar-SA"/>
              </w:rPr>
              <w:t>（1）抛丸粉尘</w:t>
            </w:r>
          </w:p>
          <w:p w14:paraId="05D3FD93">
            <w:pPr>
              <w:widowControl/>
              <w:spacing w:line="360" w:lineRule="auto"/>
              <w:ind w:firstLine="480" w:firstLineChars="200"/>
              <w:jc w:val="left"/>
              <w:rPr>
                <w:rFonts w:hint="default" w:ascii="Times New Roman" w:hAnsi="Times New Roman" w:cs="Times New Roman" w:eastAsiaTheme="minorEastAsia"/>
                <w:bCs/>
                <w:color w:val="auto"/>
                <w:kern w:val="0"/>
                <w:sz w:val="24"/>
                <w:lang w:val="en-US" w:eastAsia="zh-CN"/>
              </w:rPr>
            </w:pPr>
            <w:r>
              <w:rPr>
                <w:rFonts w:hint="default" w:ascii="Times New Roman" w:hAnsi="Times New Roman" w:eastAsia="宋体" w:cs="Times New Roman"/>
                <w:color w:val="auto"/>
                <w:kern w:val="2"/>
                <w:sz w:val="24"/>
                <w:szCs w:val="24"/>
                <w:lang w:val="en-US" w:eastAsia="zh-CN" w:bidi="ar-SA"/>
              </w:rPr>
              <w:t>根据产品、客户需求对工件进行</w:t>
            </w:r>
            <w:r>
              <w:rPr>
                <w:rFonts w:hint="default" w:ascii="Times New Roman" w:hAnsi="Times New Roman" w:cs="Times New Roman"/>
                <w:color w:val="auto"/>
                <w:kern w:val="2"/>
                <w:sz w:val="24"/>
                <w:szCs w:val="24"/>
                <w:lang w:val="en-US" w:eastAsia="zh-CN" w:bidi="ar-SA"/>
              </w:rPr>
              <w:t>抛丸</w:t>
            </w:r>
            <w:r>
              <w:rPr>
                <w:rFonts w:hint="default" w:ascii="Times New Roman" w:hAnsi="Times New Roman" w:eastAsia="宋体" w:cs="Times New Roman"/>
                <w:color w:val="auto"/>
                <w:kern w:val="2"/>
                <w:sz w:val="24"/>
                <w:szCs w:val="24"/>
                <w:lang w:val="en-US" w:eastAsia="zh-CN" w:bidi="ar-SA"/>
              </w:rPr>
              <w:t>处理，</w:t>
            </w:r>
            <w:r>
              <w:rPr>
                <w:rFonts w:hint="default" w:ascii="Times New Roman" w:hAnsi="Times New Roman" w:cs="Times New Roman"/>
                <w:color w:val="auto"/>
                <w:kern w:val="2"/>
                <w:sz w:val="24"/>
                <w:szCs w:val="24"/>
                <w:lang w:val="en-US" w:eastAsia="zh-CN" w:bidi="ar-SA"/>
              </w:rPr>
              <w:t>抛丸工序会产生粉尘。</w:t>
            </w:r>
            <w:r>
              <w:rPr>
                <w:rFonts w:hint="default" w:ascii="Times New Roman" w:hAnsi="Times New Roman" w:cs="Times New Roman" w:eastAsiaTheme="minorEastAsia"/>
                <w:bCs/>
                <w:color w:val="auto"/>
                <w:sz w:val="24"/>
                <w:szCs w:val="21"/>
              </w:rPr>
              <w:t>参照</w:t>
            </w:r>
            <w:r>
              <w:rPr>
                <w:rFonts w:hint="default" w:ascii="Times New Roman" w:hAnsi="Times New Roman" w:cs="Times New Roman" w:eastAsiaTheme="minorEastAsia"/>
                <w:bCs/>
                <w:color w:val="auto"/>
                <w:sz w:val="24"/>
                <w:szCs w:val="21"/>
                <w:lang w:val="en-GB"/>
              </w:rPr>
              <w:t>《排放源统计调查产排污核算方法和系数手册》机械行业中系数手册</w:t>
            </w:r>
            <w:r>
              <w:rPr>
                <w:rFonts w:hint="default" w:ascii="Times New Roman" w:hAnsi="Times New Roman" w:cs="Times New Roman" w:eastAsiaTheme="minorEastAsia"/>
                <w:bCs/>
                <w:color w:val="auto"/>
                <w:sz w:val="24"/>
                <w:szCs w:val="21"/>
                <w:lang w:val="en-GB" w:eastAsia="zh-CN"/>
              </w:rPr>
              <w:t>“</w:t>
            </w:r>
            <w:r>
              <w:rPr>
                <w:rFonts w:hint="default" w:ascii="Times New Roman" w:hAnsi="Times New Roman" w:cs="Times New Roman" w:eastAsiaTheme="minorEastAsia"/>
                <w:bCs/>
                <w:color w:val="auto"/>
                <w:sz w:val="24"/>
                <w:szCs w:val="21"/>
                <w:lang w:val="en-US" w:eastAsia="zh-CN"/>
              </w:rPr>
              <w:t>06预处理环节”-</w:t>
            </w:r>
            <w:r>
              <w:rPr>
                <w:rFonts w:hint="default" w:ascii="Times New Roman" w:hAnsi="Times New Roman" w:cs="Times New Roman" w:eastAsiaTheme="minorEastAsia"/>
                <w:bCs/>
                <w:color w:val="auto"/>
                <w:sz w:val="24"/>
                <w:szCs w:val="21"/>
                <w:lang w:val="en-GB" w:eastAsia="zh-CN"/>
              </w:rPr>
              <w:t>钢材（含板材、构件等）、铝材（含板材、构件等）、铝合金（含板材、构件等）、铁材、其他金属材料</w:t>
            </w:r>
            <w:r>
              <w:rPr>
                <w:rFonts w:hint="default" w:ascii="Times New Roman" w:hAnsi="Times New Roman" w:cs="Times New Roman" w:eastAsiaTheme="minorEastAsia"/>
                <w:bCs/>
                <w:color w:val="auto"/>
                <w:sz w:val="24"/>
                <w:szCs w:val="21"/>
                <w:lang w:val="en-US" w:eastAsia="zh-CN"/>
              </w:rPr>
              <w:t>-抛丸/喷砂、打磨、滚筒工艺颗粒物</w:t>
            </w:r>
            <w:r>
              <w:rPr>
                <w:rFonts w:hint="default" w:ascii="Times New Roman" w:hAnsi="Times New Roman" w:cs="Times New Roman" w:eastAsiaTheme="minorEastAsia"/>
                <w:bCs/>
                <w:color w:val="auto"/>
                <w:sz w:val="24"/>
                <w:szCs w:val="21"/>
                <w:lang w:val="en-GB"/>
              </w:rPr>
              <w:t>产污系数：</w:t>
            </w:r>
            <w:r>
              <w:rPr>
                <w:rFonts w:hint="default" w:ascii="Times New Roman" w:hAnsi="Times New Roman" w:cs="Times New Roman" w:eastAsiaTheme="minorEastAsia"/>
                <w:bCs/>
                <w:color w:val="auto"/>
                <w:sz w:val="24"/>
                <w:szCs w:val="21"/>
                <w:lang w:val="en-US" w:eastAsia="zh-CN"/>
              </w:rPr>
              <w:t>2</w:t>
            </w:r>
            <w:r>
              <w:rPr>
                <w:rFonts w:hint="default" w:ascii="Times New Roman" w:hAnsi="Times New Roman" w:cs="Times New Roman" w:eastAsiaTheme="minorEastAsia"/>
                <w:bCs/>
                <w:color w:val="auto"/>
                <w:sz w:val="24"/>
                <w:szCs w:val="21"/>
                <w:lang w:val="en-GB"/>
              </w:rPr>
              <w:t>.19kg/t-原料。</w:t>
            </w:r>
            <w:r>
              <w:rPr>
                <w:rFonts w:hint="default" w:ascii="Times New Roman" w:hAnsi="Times New Roman" w:cs="Times New Roman" w:eastAsiaTheme="minorEastAsia"/>
                <w:bCs/>
                <w:color w:val="auto"/>
                <w:sz w:val="24"/>
                <w:szCs w:val="21"/>
                <w:lang w:val="en-GB" w:eastAsia="zh-CN"/>
              </w:rPr>
              <w:t>根据企业提供资料，</w:t>
            </w:r>
            <w:r>
              <w:rPr>
                <w:rFonts w:hint="default" w:ascii="Times New Roman" w:hAnsi="Times New Roman" w:cs="Times New Roman"/>
                <w:color w:val="auto"/>
                <w:kern w:val="2"/>
                <w:sz w:val="24"/>
                <w:szCs w:val="24"/>
                <w:lang w:val="en-US" w:eastAsia="zh-CN" w:bidi="ar-SA"/>
              </w:rPr>
              <w:t>抛丸</w:t>
            </w:r>
            <w:r>
              <w:rPr>
                <w:rFonts w:hint="default" w:ascii="Times New Roman" w:hAnsi="Times New Roman" w:cs="Times New Roman" w:eastAsiaTheme="minorEastAsia"/>
                <w:bCs/>
                <w:color w:val="auto"/>
                <w:sz w:val="24"/>
                <w:szCs w:val="21"/>
                <w:lang w:val="en-GB" w:eastAsia="zh-CN"/>
              </w:rPr>
              <w:t>工序钢材年用量为占总</w:t>
            </w:r>
            <w:r>
              <w:rPr>
                <w:rFonts w:hint="eastAsia" w:ascii="Times New Roman" w:hAnsi="Times New Roman" w:cs="Times New Roman" w:eastAsiaTheme="minorEastAsia"/>
                <w:bCs/>
                <w:color w:val="auto"/>
                <w:sz w:val="24"/>
                <w:szCs w:val="21"/>
                <w:lang w:val="en-US" w:eastAsia="zh-CN"/>
              </w:rPr>
              <w:t>钢件</w:t>
            </w:r>
            <w:r>
              <w:rPr>
                <w:rFonts w:hint="default" w:ascii="Times New Roman" w:hAnsi="Times New Roman" w:cs="Times New Roman" w:eastAsiaTheme="minorEastAsia"/>
                <w:bCs/>
                <w:color w:val="auto"/>
                <w:sz w:val="24"/>
                <w:szCs w:val="21"/>
                <w:lang w:val="en-GB" w:eastAsia="zh-CN"/>
              </w:rPr>
              <w:t>用量的</w:t>
            </w:r>
            <w:r>
              <w:rPr>
                <w:rFonts w:hint="eastAsia" w:ascii="Times New Roman" w:hAnsi="Times New Roman" w:cs="Times New Roman" w:eastAsiaTheme="minorEastAsia"/>
                <w:bCs/>
                <w:color w:val="auto"/>
                <w:sz w:val="24"/>
                <w:szCs w:val="21"/>
                <w:lang w:val="en-US" w:eastAsia="zh-CN"/>
              </w:rPr>
              <w:t>5</w:t>
            </w:r>
            <w:r>
              <w:rPr>
                <w:rFonts w:hint="default" w:ascii="Times New Roman" w:hAnsi="Times New Roman" w:cs="Times New Roman" w:eastAsiaTheme="minorEastAsia"/>
                <w:bCs/>
                <w:color w:val="auto"/>
                <w:sz w:val="24"/>
                <w:szCs w:val="21"/>
                <w:lang w:val="en-US" w:eastAsia="zh-CN"/>
              </w:rPr>
              <w:t>%，项目</w:t>
            </w:r>
            <w:r>
              <w:rPr>
                <w:rFonts w:hint="eastAsia" w:ascii="Times New Roman" w:hAnsi="Times New Roman" w:cs="Times New Roman" w:eastAsiaTheme="minorEastAsia"/>
                <w:bCs/>
                <w:color w:val="auto"/>
                <w:sz w:val="24"/>
                <w:szCs w:val="21"/>
                <w:lang w:val="en-US" w:eastAsia="zh-CN"/>
              </w:rPr>
              <w:t>钢件</w:t>
            </w:r>
            <w:r>
              <w:rPr>
                <w:rFonts w:hint="default" w:ascii="Times New Roman" w:hAnsi="Times New Roman" w:cs="Times New Roman" w:eastAsiaTheme="minorEastAsia"/>
                <w:bCs/>
                <w:color w:val="auto"/>
                <w:sz w:val="24"/>
                <w:szCs w:val="21"/>
                <w:lang w:val="en-US" w:eastAsia="zh-CN"/>
              </w:rPr>
              <w:t>年用量为</w:t>
            </w:r>
            <w:r>
              <w:rPr>
                <w:rFonts w:hint="eastAsia" w:ascii="Times New Roman" w:hAnsi="Times New Roman" w:cs="Times New Roman" w:eastAsiaTheme="minorEastAsia"/>
                <w:bCs/>
                <w:color w:val="auto"/>
                <w:sz w:val="24"/>
                <w:szCs w:val="21"/>
                <w:lang w:val="en-US" w:eastAsia="zh-CN"/>
              </w:rPr>
              <w:t>900万套/年</w:t>
            </w:r>
            <w:r>
              <w:rPr>
                <w:rFonts w:hint="default" w:ascii="Times New Roman" w:hAnsi="Times New Roman" w:cs="Times New Roman" w:eastAsiaTheme="minorEastAsia"/>
                <w:bCs/>
                <w:color w:val="auto"/>
                <w:sz w:val="24"/>
                <w:szCs w:val="21"/>
                <w:lang w:val="en-US" w:eastAsia="zh-CN"/>
              </w:rPr>
              <w:t>，</w:t>
            </w:r>
            <w:r>
              <w:rPr>
                <w:rFonts w:hint="eastAsia" w:ascii="Times New Roman" w:hAnsi="Times New Roman" w:cs="Times New Roman" w:eastAsiaTheme="minorEastAsia"/>
                <w:bCs/>
                <w:color w:val="auto"/>
                <w:sz w:val="24"/>
                <w:szCs w:val="21"/>
                <w:lang w:val="en-US" w:eastAsia="zh-CN"/>
              </w:rPr>
              <w:t>每套约2kg，则钢件毛坯年用量为18000t/a，</w:t>
            </w:r>
            <w:r>
              <w:rPr>
                <w:rFonts w:hint="default" w:ascii="Times New Roman" w:hAnsi="Times New Roman" w:cs="Times New Roman" w:eastAsiaTheme="minorEastAsia"/>
                <w:bCs/>
                <w:color w:val="auto"/>
                <w:sz w:val="24"/>
                <w:szCs w:val="21"/>
                <w:lang w:val="en-US" w:eastAsia="zh-CN"/>
              </w:rPr>
              <w:t>因此抛丸粉尘产生量为</w:t>
            </w:r>
            <w:r>
              <w:rPr>
                <w:rFonts w:hint="eastAsia" w:ascii="Times New Roman" w:hAnsi="Times New Roman" w:cs="Times New Roman" w:eastAsiaTheme="minorEastAsia"/>
                <w:bCs/>
                <w:color w:val="auto"/>
                <w:sz w:val="24"/>
                <w:szCs w:val="21"/>
                <w:lang w:val="en-US" w:eastAsia="zh-CN"/>
              </w:rPr>
              <w:t>18</w:t>
            </w:r>
            <w:r>
              <w:rPr>
                <w:rFonts w:hint="default" w:ascii="Times New Roman" w:hAnsi="Times New Roman" w:cs="Times New Roman" w:eastAsiaTheme="minorEastAsia"/>
                <w:bCs/>
                <w:color w:val="auto"/>
                <w:sz w:val="24"/>
                <w:szCs w:val="21"/>
                <w:lang w:val="en-US" w:eastAsia="zh-CN"/>
              </w:rPr>
              <w:t>000t/a</w:t>
            </w:r>
            <w:r>
              <w:rPr>
                <w:rFonts w:hint="default" w:ascii="Times New Roman" w:hAnsi="Times New Roman" w:eastAsia="宋体" w:cs="Times New Roman"/>
                <w:color w:val="auto"/>
                <w:kern w:val="2"/>
                <w:sz w:val="24"/>
                <w:szCs w:val="24"/>
                <w:lang w:val="en-US" w:eastAsia="zh-CN" w:bidi="ar-SA"/>
              </w:rPr>
              <w:t>×</w:t>
            </w:r>
            <w:r>
              <w:rPr>
                <w:rFonts w:hint="eastAsia" w:ascii="Times New Roman" w:hAnsi="Times New Roman" w:cs="Times New Roman"/>
                <w:color w:val="auto"/>
                <w:kern w:val="2"/>
                <w:sz w:val="24"/>
                <w:szCs w:val="24"/>
                <w:lang w:val="en-US" w:eastAsia="zh-CN" w:bidi="ar-SA"/>
              </w:rPr>
              <w:t>5</w:t>
            </w:r>
            <w:r>
              <w:rPr>
                <w:rFonts w:hint="default" w:ascii="Times New Roman" w:hAnsi="Times New Roman" w:cs="Times New Roman"/>
                <w:color w:val="auto"/>
                <w:kern w:val="2"/>
                <w:sz w:val="24"/>
                <w:szCs w:val="24"/>
                <w:lang w:val="en-US" w:eastAsia="zh-CN" w:bidi="ar-SA"/>
              </w:rPr>
              <w:t>%</w:t>
            </w:r>
            <w:r>
              <w:rPr>
                <w:rFonts w:hint="default" w:ascii="Times New Roman" w:hAnsi="Times New Roman" w:eastAsia="宋体" w:cs="Times New Roman"/>
                <w:color w:val="auto"/>
                <w:kern w:val="2"/>
                <w:sz w:val="24"/>
                <w:szCs w:val="24"/>
                <w:lang w:val="en-US" w:eastAsia="zh-CN" w:bidi="ar-SA"/>
              </w:rPr>
              <w:t>×</w:t>
            </w:r>
            <w:r>
              <w:rPr>
                <w:rFonts w:hint="default" w:ascii="Times New Roman" w:hAnsi="Times New Roman" w:cs="Times New Roman" w:eastAsiaTheme="minorEastAsia"/>
                <w:bCs/>
                <w:color w:val="auto"/>
                <w:sz w:val="24"/>
                <w:szCs w:val="21"/>
                <w:lang w:val="en-US" w:eastAsia="zh-CN"/>
              </w:rPr>
              <w:t>2.19</w:t>
            </w:r>
            <w:r>
              <w:rPr>
                <w:rFonts w:hint="default" w:ascii="Times New Roman" w:hAnsi="Times New Roman" w:cs="Times New Roman" w:eastAsiaTheme="minorEastAsia"/>
                <w:bCs/>
                <w:color w:val="auto"/>
                <w:sz w:val="24"/>
                <w:szCs w:val="21"/>
                <w:lang w:val="en-GB"/>
              </w:rPr>
              <w:t>kg/t</w:t>
            </w:r>
            <w:r>
              <w:rPr>
                <w:rFonts w:hint="default" w:ascii="Times New Roman" w:hAnsi="Times New Roman" w:cs="Times New Roman" w:eastAsiaTheme="minorEastAsia"/>
                <w:bCs/>
                <w:color w:val="auto"/>
                <w:sz w:val="24"/>
                <w:szCs w:val="21"/>
                <w:lang w:val="en-US" w:eastAsia="zh-CN"/>
              </w:rPr>
              <w:t>=1.</w:t>
            </w:r>
            <w:r>
              <w:rPr>
                <w:rFonts w:hint="eastAsia" w:ascii="Times New Roman" w:hAnsi="Times New Roman" w:cs="Times New Roman" w:eastAsiaTheme="minorEastAsia"/>
                <w:bCs/>
                <w:color w:val="auto"/>
                <w:sz w:val="24"/>
                <w:szCs w:val="21"/>
                <w:lang w:val="en-US" w:eastAsia="zh-CN"/>
              </w:rPr>
              <w:t>971</w:t>
            </w:r>
            <w:r>
              <w:rPr>
                <w:rFonts w:hint="default" w:ascii="Times New Roman" w:hAnsi="Times New Roman" w:cs="Times New Roman" w:eastAsiaTheme="minorEastAsia"/>
                <w:bCs/>
                <w:color w:val="auto"/>
                <w:sz w:val="24"/>
                <w:szCs w:val="21"/>
                <w:lang w:val="en-US" w:eastAsia="zh-CN"/>
              </w:rPr>
              <w:t>t/a。</w:t>
            </w:r>
            <w:r>
              <w:rPr>
                <w:rFonts w:hint="default" w:ascii="Times New Roman" w:hAnsi="Times New Roman" w:cs="Times New Roman"/>
                <w:color w:val="auto"/>
                <w:kern w:val="2"/>
                <w:sz w:val="24"/>
                <w:szCs w:val="24"/>
                <w:lang w:val="en-US" w:eastAsia="zh-CN" w:bidi="ar-SA"/>
              </w:rPr>
              <w:t>抛丸</w:t>
            </w:r>
            <w:r>
              <w:rPr>
                <w:rFonts w:hint="default" w:ascii="Times New Roman" w:hAnsi="Times New Roman" w:eastAsia="宋体" w:cs="Times New Roman"/>
                <w:color w:val="auto"/>
                <w:kern w:val="2"/>
                <w:sz w:val="24"/>
                <w:szCs w:val="24"/>
                <w:lang w:val="en-US" w:eastAsia="zh-CN" w:bidi="ar-SA"/>
              </w:rPr>
              <w:t>工序生产工况为每天工作约4小时，年工作3</w:t>
            </w:r>
            <w:r>
              <w:rPr>
                <w:rFonts w:hint="eastAsia" w:ascii="Times New Roman" w:hAnsi="Times New Roman" w:cs="Times New Roman"/>
                <w:color w:val="auto"/>
                <w:kern w:val="2"/>
                <w:sz w:val="24"/>
                <w:szCs w:val="24"/>
                <w:lang w:val="en-US" w:eastAsia="zh-CN" w:bidi="ar-SA"/>
              </w:rPr>
              <w:t>2</w:t>
            </w:r>
            <w:r>
              <w:rPr>
                <w:rFonts w:hint="default" w:ascii="Times New Roman" w:hAnsi="Times New Roman" w:eastAsia="宋体" w:cs="Times New Roman"/>
                <w:color w:val="auto"/>
                <w:kern w:val="2"/>
                <w:sz w:val="24"/>
                <w:szCs w:val="24"/>
                <w:lang w:val="en-US" w:eastAsia="zh-CN" w:bidi="ar-SA"/>
              </w:rPr>
              <w:t>0天。</w:t>
            </w:r>
          </w:p>
          <w:p w14:paraId="144523CB">
            <w:pPr>
              <w:keepNext w:val="0"/>
              <w:keepLines w:val="0"/>
              <w:pageBreakBefore w:val="0"/>
              <w:widowControl w:val="0"/>
              <w:kinsoku/>
              <w:wordWrap/>
              <w:overflowPunct/>
              <w:topLinePunct w:val="0"/>
              <w:autoSpaceDE/>
              <w:autoSpaceDN/>
              <w:bidi w:val="0"/>
              <w:adjustRightInd/>
              <w:snapToGrid/>
              <w:spacing w:beforeAutospacing="0"/>
              <w:jc w:val="center"/>
              <w:textAlignment w:val="auto"/>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表4-</w:t>
            </w:r>
            <w:r>
              <w:rPr>
                <w:rFonts w:hint="eastAsia" w:ascii="Times New Roman" w:hAnsi="Times New Roman" w:eastAsia="宋体" w:cs="Times New Roman"/>
                <w:b/>
                <w:color w:val="auto"/>
                <w:kern w:val="0"/>
                <w:sz w:val="24"/>
                <w:szCs w:val="24"/>
                <w:lang w:val="en-US" w:eastAsia="zh-CN" w:bidi="ar-SA"/>
              </w:rPr>
              <w:t>1</w:t>
            </w:r>
            <w:r>
              <w:rPr>
                <w:rFonts w:hint="default" w:ascii="Times New Roman" w:hAnsi="Times New Roman" w:eastAsia="宋体" w:cs="Times New Roman"/>
                <w:b/>
                <w:color w:val="auto"/>
                <w:kern w:val="0"/>
                <w:sz w:val="24"/>
                <w:szCs w:val="24"/>
                <w:lang w:val="en-US" w:eastAsia="zh-CN" w:bidi="ar-SA"/>
              </w:rPr>
              <w:t xml:space="preserve"> 项目抛丸工序粉尘产生情况一览表</w:t>
            </w:r>
          </w:p>
          <w:tbl>
            <w:tblPr>
              <w:tblStyle w:val="6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6" w:type="dxa"/>
                <w:bottom w:w="0" w:type="dxa"/>
                <w:right w:w="6" w:type="dxa"/>
              </w:tblCellMar>
            </w:tblPr>
            <w:tblGrid>
              <w:gridCol w:w="1031"/>
              <w:gridCol w:w="978"/>
              <w:gridCol w:w="1051"/>
              <w:gridCol w:w="1532"/>
              <w:gridCol w:w="1236"/>
              <w:gridCol w:w="1544"/>
              <w:gridCol w:w="900"/>
            </w:tblGrid>
            <w:tr w14:paraId="021E7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40" w:hRule="atLeast"/>
                <w:jc w:val="center"/>
              </w:trPr>
              <w:tc>
                <w:tcPr>
                  <w:tcW w:w="623" w:type="pct"/>
                  <w:vMerge w:val="restart"/>
                  <w:noWrap w:val="0"/>
                  <w:vAlign w:val="center"/>
                </w:tcPr>
                <w:p w14:paraId="0AE0DF36">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工段</w:t>
                  </w:r>
                </w:p>
              </w:tc>
              <w:tc>
                <w:tcPr>
                  <w:tcW w:w="591" w:type="pct"/>
                  <w:vMerge w:val="restart"/>
                  <w:noWrap w:val="0"/>
                  <w:vAlign w:val="center"/>
                </w:tcPr>
                <w:p w14:paraId="70F9359F">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原料名称</w:t>
                  </w:r>
                </w:p>
              </w:tc>
              <w:tc>
                <w:tcPr>
                  <w:tcW w:w="635" w:type="pct"/>
                  <w:vMerge w:val="restart"/>
                  <w:noWrap w:val="0"/>
                  <w:vAlign w:val="center"/>
                </w:tcPr>
                <w:p w14:paraId="164A005E">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用量t/a</w:t>
                  </w:r>
                </w:p>
              </w:tc>
              <w:tc>
                <w:tcPr>
                  <w:tcW w:w="926" w:type="pct"/>
                  <w:vMerge w:val="restart"/>
                  <w:noWrap w:val="0"/>
                  <w:vAlign w:val="center"/>
                </w:tcPr>
                <w:p w14:paraId="6C698877">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产污</w:t>
                  </w:r>
                  <w:r>
                    <w:rPr>
                      <w:rFonts w:hint="default" w:ascii="Times New Roman" w:hAnsi="Times New Roman" w:eastAsia="宋体" w:cs="Times New Roman"/>
                      <w:b/>
                      <w:bCs/>
                      <w:color w:val="auto"/>
                      <w:sz w:val="21"/>
                      <w:szCs w:val="21"/>
                      <w:vertAlign w:val="baseline"/>
                      <w:lang w:val="en-US" w:eastAsia="zh-CN"/>
                    </w:rPr>
                    <w:t>系数</w:t>
                  </w:r>
                </w:p>
              </w:tc>
              <w:tc>
                <w:tcPr>
                  <w:tcW w:w="1680" w:type="pct"/>
                  <w:gridSpan w:val="2"/>
                  <w:noWrap w:val="0"/>
                  <w:vAlign w:val="center"/>
                </w:tcPr>
                <w:p w14:paraId="53754D46">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颗粒物</w:t>
                  </w:r>
                </w:p>
              </w:tc>
              <w:tc>
                <w:tcPr>
                  <w:tcW w:w="544" w:type="pct"/>
                  <w:vMerge w:val="restart"/>
                  <w:noWrap w:val="0"/>
                  <w:vAlign w:val="center"/>
                </w:tcPr>
                <w:p w14:paraId="363F00B0">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工况</w:t>
                  </w:r>
                </w:p>
              </w:tc>
            </w:tr>
            <w:tr w14:paraId="026A5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40" w:hRule="atLeast"/>
                <w:jc w:val="center"/>
              </w:trPr>
              <w:tc>
                <w:tcPr>
                  <w:tcW w:w="623" w:type="pct"/>
                  <w:vMerge w:val="continue"/>
                  <w:noWrap w:val="0"/>
                  <w:vAlign w:val="center"/>
                </w:tcPr>
                <w:p w14:paraId="653C00FD">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rPr>
                  </w:pPr>
                </w:p>
              </w:tc>
              <w:tc>
                <w:tcPr>
                  <w:tcW w:w="591" w:type="pct"/>
                  <w:vMerge w:val="continue"/>
                  <w:noWrap w:val="0"/>
                  <w:vAlign w:val="center"/>
                </w:tcPr>
                <w:p w14:paraId="5B000098">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rPr>
                  </w:pPr>
                </w:p>
              </w:tc>
              <w:tc>
                <w:tcPr>
                  <w:tcW w:w="635" w:type="pct"/>
                  <w:vMerge w:val="continue"/>
                  <w:noWrap w:val="0"/>
                  <w:vAlign w:val="center"/>
                </w:tcPr>
                <w:p w14:paraId="1822E273">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rPr>
                  </w:pPr>
                </w:p>
              </w:tc>
              <w:tc>
                <w:tcPr>
                  <w:tcW w:w="926" w:type="pct"/>
                  <w:vMerge w:val="continue"/>
                  <w:noWrap w:val="0"/>
                  <w:vAlign w:val="center"/>
                </w:tcPr>
                <w:p w14:paraId="48720E80">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rPr>
                  </w:pPr>
                </w:p>
              </w:tc>
              <w:tc>
                <w:tcPr>
                  <w:tcW w:w="747" w:type="pct"/>
                  <w:noWrap w:val="0"/>
                  <w:vAlign w:val="center"/>
                </w:tcPr>
                <w:p w14:paraId="5358D918">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产生量t/a</w:t>
                  </w:r>
                </w:p>
              </w:tc>
              <w:tc>
                <w:tcPr>
                  <w:tcW w:w="933" w:type="pct"/>
                  <w:noWrap w:val="0"/>
                  <w:vAlign w:val="center"/>
                </w:tcPr>
                <w:p w14:paraId="13968DC0">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产生速率kg/h</w:t>
                  </w:r>
                </w:p>
              </w:tc>
              <w:tc>
                <w:tcPr>
                  <w:tcW w:w="544" w:type="pct"/>
                  <w:vMerge w:val="continue"/>
                  <w:noWrap w:val="0"/>
                  <w:vAlign w:val="center"/>
                </w:tcPr>
                <w:p w14:paraId="1A3FC9D9">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p>
              </w:tc>
            </w:tr>
            <w:tr w14:paraId="20B90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05" w:hRule="atLeast"/>
                <w:jc w:val="center"/>
              </w:trPr>
              <w:tc>
                <w:tcPr>
                  <w:tcW w:w="623" w:type="pct"/>
                  <w:noWrap w:val="0"/>
                  <w:vAlign w:val="center"/>
                </w:tcPr>
                <w:p w14:paraId="23290F76">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抛丸</w:t>
                  </w:r>
                </w:p>
              </w:tc>
              <w:tc>
                <w:tcPr>
                  <w:tcW w:w="591" w:type="pct"/>
                  <w:noWrap w:val="0"/>
                  <w:vAlign w:val="center"/>
                </w:tcPr>
                <w:p w14:paraId="09387EC9">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钢材</w:t>
                  </w:r>
                </w:p>
              </w:tc>
              <w:tc>
                <w:tcPr>
                  <w:tcW w:w="635" w:type="pct"/>
                  <w:noWrap w:val="0"/>
                  <w:vAlign w:val="center"/>
                </w:tcPr>
                <w:p w14:paraId="5F30F46F">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18000</w:t>
                  </w:r>
                  <w:r>
                    <w:rPr>
                      <w:rFonts w:hint="default" w:ascii="Times New Roman" w:hAnsi="Times New Roman" w:eastAsia="宋体" w:cs="Times New Roman"/>
                      <w:color w:val="auto"/>
                      <w:kern w:val="2"/>
                      <w:sz w:val="21"/>
                      <w:szCs w:val="21"/>
                      <w:lang w:val="en-US" w:eastAsia="zh-CN" w:bidi="ar-SA"/>
                    </w:rPr>
                    <w:t>×40%</w:t>
                  </w:r>
                </w:p>
              </w:tc>
              <w:tc>
                <w:tcPr>
                  <w:tcW w:w="926" w:type="pct"/>
                  <w:noWrap w:val="0"/>
                  <w:vAlign w:val="center"/>
                </w:tcPr>
                <w:p w14:paraId="12BAC5E3">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2.19</w:t>
                  </w:r>
                  <w:r>
                    <w:rPr>
                      <w:rFonts w:hint="default" w:ascii="Times New Roman" w:hAnsi="Times New Roman" w:eastAsia="宋体" w:cs="Times New Roman"/>
                      <w:color w:val="auto"/>
                      <w:sz w:val="21"/>
                      <w:szCs w:val="21"/>
                    </w:rPr>
                    <w:t>kg/t-</w:t>
                  </w:r>
                  <w:r>
                    <w:rPr>
                      <w:rFonts w:hint="default" w:ascii="Times New Roman" w:hAnsi="Times New Roman" w:cs="Times New Roman"/>
                      <w:color w:val="auto"/>
                      <w:sz w:val="21"/>
                      <w:szCs w:val="21"/>
                      <w:lang w:eastAsia="zh-CN"/>
                    </w:rPr>
                    <w:t>原料</w:t>
                  </w:r>
                </w:p>
              </w:tc>
              <w:tc>
                <w:tcPr>
                  <w:tcW w:w="747" w:type="pct"/>
                  <w:noWrap w:val="0"/>
                  <w:vAlign w:val="center"/>
                </w:tcPr>
                <w:p w14:paraId="54208D7E">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1.971</w:t>
                  </w:r>
                </w:p>
              </w:tc>
              <w:tc>
                <w:tcPr>
                  <w:tcW w:w="933" w:type="pct"/>
                  <w:noWrap w:val="0"/>
                  <w:vAlign w:val="center"/>
                </w:tcPr>
                <w:p w14:paraId="20E285B3">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1.54</w:t>
                  </w:r>
                </w:p>
              </w:tc>
              <w:tc>
                <w:tcPr>
                  <w:tcW w:w="544" w:type="pct"/>
                  <w:noWrap w:val="0"/>
                  <w:vAlign w:val="center"/>
                </w:tcPr>
                <w:p w14:paraId="68AC36AE">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spacing w:val="0"/>
                      <w:sz w:val="21"/>
                      <w:szCs w:val="24"/>
                      <w:highlight w:val="none"/>
                      <w:lang w:val="en-US" w:eastAsia="zh-CN"/>
                    </w:rPr>
                    <w:t>12</w:t>
                  </w:r>
                  <w:r>
                    <w:rPr>
                      <w:rFonts w:hint="eastAsia" w:ascii="Times New Roman" w:hAnsi="Times New Roman" w:cs="Times New Roman"/>
                      <w:color w:val="auto"/>
                      <w:spacing w:val="0"/>
                      <w:sz w:val="21"/>
                      <w:szCs w:val="24"/>
                      <w:highlight w:val="none"/>
                      <w:lang w:val="en-US" w:eastAsia="zh-CN"/>
                    </w:rPr>
                    <w:t>80</w:t>
                  </w:r>
                  <w:r>
                    <w:rPr>
                      <w:rFonts w:hint="default" w:ascii="Times New Roman" w:hAnsi="Times New Roman" w:eastAsia="宋体" w:cs="Times New Roman"/>
                      <w:color w:val="auto"/>
                      <w:spacing w:val="0"/>
                      <w:sz w:val="21"/>
                      <w:szCs w:val="24"/>
                      <w:highlight w:val="none"/>
                      <w:lang w:val="en-US" w:eastAsia="zh-CN"/>
                    </w:rPr>
                    <w:t>h/a</w:t>
                  </w:r>
                </w:p>
              </w:tc>
            </w:tr>
          </w:tbl>
          <w:p w14:paraId="787FA849">
            <w:pPr>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bCs/>
                <w:color w:val="auto"/>
                <w:sz w:val="24"/>
              </w:rPr>
              <w:t>风量核算：</w:t>
            </w:r>
          </w:p>
          <w:p w14:paraId="6825B4C2">
            <w:pPr>
              <w:widowControl/>
              <w:spacing w:line="360" w:lineRule="auto"/>
              <w:ind w:firstLine="480" w:firstLineChars="200"/>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b w:val="0"/>
                <w:bCs w:val="0"/>
                <w:i w:val="0"/>
                <w:iCs w:val="0"/>
                <w:color w:val="auto"/>
                <w:kern w:val="2"/>
                <w:sz w:val="24"/>
                <w:szCs w:val="24"/>
                <w:lang w:val="en-US" w:eastAsia="zh-CN" w:bidi="ar-SA"/>
              </w:rPr>
              <w:t>根据工程分析，项目</w:t>
            </w:r>
            <w:r>
              <w:rPr>
                <w:rFonts w:hint="default" w:ascii="Times New Roman" w:hAnsi="Times New Roman" w:cs="Times New Roman"/>
                <w:b w:val="0"/>
                <w:bCs w:val="0"/>
                <w:i w:val="0"/>
                <w:iCs w:val="0"/>
                <w:color w:val="auto"/>
                <w:kern w:val="2"/>
                <w:sz w:val="24"/>
                <w:szCs w:val="24"/>
                <w:lang w:val="en-US" w:eastAsia="zh-CN" w:bidi="ar-SA"/>
              </w:rPr>
              <w:t>抛丸工序产污设备为抛</w:t>
            </w:r>
            <w:r>
              <w:rPr>
                <w:rFonts w:hint="default" w:ascii="Times New Roman" w:hAnsi="Times New Roman" w:eastAsia="宋体" w:cs="Times New Roman"/>
                <w:b w:val="0"/>
                <w:bCs w:val="0"/>
                <w:i w:val="0"/>
                <w:iCs w:val="0"/>
                <w:color w:val="auto"/>
                <w:kern w:val="2"/>
                <w:sz w:val="24"/>
                <w:szCs w:val="24"/>
                <w:lang w:val="en-US" w:eastAsia="zh-CN" w:bidi="ar-SA"/>
              </w:rPr>
              <w:t>丸机</w:t>
            </w:r>
            <w:r>
              <w:rPr>
                <w:rFonts w:hint="default" w:ascii="Times New Roman" w:hAnsi="Times New Roman" w:cs="Times New Roman"/>
                <w:b w:val="0"/>
                <w:bCs w:val="0"/>
                <w:i w:val="0"/>
                <w:iCs w:val="0"/>
                <w:color w:val="auto"/>
                <w:kern w:val="2"/>
                <w:sz w:val="24"/>
                <w:szCs w:val="24"/>
                <w:lang w:val="en-US" w:eastAsia="zh-CN" w:bidi="ar-SA"/>
              </w:rPr>
              <w:t>，</w:t>
            </w:r>
            <w:r>
              <w:rPr>
                <w:rFonts w:hint="eastAsia" w:ascii="Times New Roman" w:hAnsi="Times New Roman" w:cs="Times New Roman"/>
                <w:b w:val="0"/>
                <w:bCs w:val="0"/>
                <w:i w:val="0"/>
                <w:iCs w:val="0"/>
                <w:color w:val="auto"/>
                <w:kern w:val="2"/>
                <w:sz w:val="24"/>
                <w:szCs w:val="24"/>
                <w:lang w:val="en-US" w:eastAsia="zh-CN" w:bidi="ar-SA"/>
              </w:rPr>
              <w:t>设置2</w:t>
            </w:r>
            <w:r>
              <w:rPr>
                <w:rFonts w:hint="default" w:ascii="Times New Roman" w:hAnsi="Times New Roman" w:cs="Times New Roman"/>
                <w:b w:val="0"/>
                <w:bCs w:val="0"/>
                <w:i w:val="0"/>
                <w:iCs w:val="0"/>
                <w:color w:val="auto"/>
                <w:kern w:val="2"/>
                <w:sz w:val="24"/>
                <w:szCs w:val="24"/>
                <w:lang w:val="en-US" w:eastAsia="zh-CN" w:bidi="ar-SA"/>
              </w:rPr>
              <w:t>台抛丸机。</w:t>
            </w:r>
            <w:r>
              <w:rPr>
                <w:rFonts w:hint="default" w:ascii="Times New Roman" w:hAnsi="Times New Roman" w:eastAsia="宋体" w:cs="Times New Roman"/>
                <w:b w:val="0"/>
                <w:bCs w:val="0"/>
                <w:i w:val="0"/>
                <w:iCs w:val="0"/>
                <w:color w:val="auto"/>
                <w:kern w:val="2"/>
                <w:sz w:val="24"/>
                <w:szCs w:val="24"/>
                <w:lang w:val="en-US" w:eastAsia="zh-CN" w:bidi="ar-SA"/>
              </w:rPr>
              <w:t>抛</w:t>
            </w:r>
            <w:r>
              <w:rPr>
                <w:rFonts w:hint="default" w:ascii="Times New Roman" w:hAnsi="Times New Roman" w:cs="Times New Roman"/>
                <w:b w:val="0"/>
                <w:bCs w:val="0"/>
                <w:i w:val="0"/>
                <w:iCs w:val="0"/>
                <w:color w:val="auto"/>
                <w:kern w:val="2"/>
                <w:sz w:val="24"/>
                <w:szCs w:val="24"/>
                <w:lang w:val="en-US" w:eastAsia="zh-CN" w:bidi="ar-SA"/>
              </w:rPr>
              <w:t>丸</w:t>
            </w:r>
            <w:r>
              <w:rPr>
                <w:rFonts w:hint="default" w:ascii="Times New Roman" w:hAnsi="Times New Roman" w:eastAsia="宋体" w:cs="Times New Roman"/>
                <w:b w:val="0"/>
                <w:bCs w:val="0"/>
                <w:i w:val="0"/>
                <w:iCs w:val="0"/>
                <w:color w:val="auto"/>
                <w:kern w:val="2"/>
                <w:sz w:val="24"/>
                <w:szCs w:val="24"/>
                <w:lang w:val="en-US" w:eastAsia="zh-CN" w:bidi="ar-SA"/>
              </w:rPr>
              <w:t>机设备密闭，</w:t>
            </w:r>
            <w:r>
              <w:rPr>
                <w:rFonts w:hint="default" w:ascii="Times New Roman" w:hAnsi="Times New Roman" w:cs="Times New Roman"/>
                <w:b w:val="0"/>
                <w:bCs w:val="0"/>
                <w:i w:val="0"/>
                <w:iCs w:val="0"/>
                <w:color w:val="auto"/>
                <w:kern w:val="2"/>
                <w:sz w:val="24"/>
                <w:szCs w:val="24"/>
                <w:lang w:val="en-US" w:eastAsia="zh-CN" w:bidi="ar-SA"/>
              </w:rPr>
              <w:t>拟</w:t>
            </w:r>
            <w:r>
              <w:rPr>
                <w:rFonts w:hint="default" w:ascii="Times New Roman" w:hAnsi="Times New Roman" w:cs="Times New Roman"/>
                <w:color w:val="auto"/>
                <w:sz w:val="24"/>
                <w:lang w:eastAsia="zh-CN"/>
              </w:rPr>
              <w:t>在设备上方接通废气管道</w:t>
            </w:r>
            <w:r>
              <w:rPr>
                <w:rFonts w:hint="default" w:ascii="Times New Roman" w:hAnsi="Times New Roman" w:cs="Times New Roman"/>
                <w:color w:val="auto"/>
                <w:sz w:val="24"/>
              </w:rPr>
              <w:t>收集</w:t>
            </w:r>
            <w:r>
              <w:rPr>
                <w:rFonts w:hint="default" w:ascii="Times New Roman" w:hAnsi="Times New Roman" w:cs="Times New Roman"/>
                <w:color w:val="auto"/>
                <w:sz w:val="24"/>
                <w:lang w:eastAsia="zh-CN"/>
              </w:rPr>
              <w:t>废气</w:t>
            </w:r>
            <w:r>
              <w:rPr>
                <w:rFonts w:hint="default" w:ascii="Times New Roman" w:hAnsi="Times New Roman" w:eastAsia="宋体" w:cs="Times New Roman"/>
                <w:b w:val="0"/>
                <w:bCs w:val="0"/>
                <w:i w:val="0"/>
                <w:iCs w:val="0"/>
                <w:color w:val="auto"/>
                <w:kern w:val="2"/>
                <w:sz w:val="24"/>
                <w:szCs w:val="24"/>
                <w:lang w:val="en-US" w:eastAsia="zh-CN" w:bidi="ar-SA"/>
              </w:rPr>
              <w:t>，自带引风机，</w:t>
            </w:r>
            <w:r>
              <w:rPr>
                <w:rFonts w:hint="eastAsia" w:ascii="Times New Roman" w:hAnsi="Times New Roman" w:cs="Times New Roman"/>
                <w:b w:val="0"/>
                <w:bCs w:val="0"/>
                <w:i w:val="0"/>
                <w:iCs w:val="0"/>
                <w:color w:val="auto"/>
                <w:kern w:val="2"/>
                <w:sz w:val="24"/>
                <w:szCs w:val="24"/>
                <w:lang w:val="en-US" w:eastAsia="zh-CN" w:bidi="ar-SA"/>
              </w:rPr>
              <w:t>单台</w:t>
            </w:r>
            <w:r>
              <w:rPr>
                <w:rFonts w:hint="default" w:ascii="Times New Roman" w:hAnsi="Times New Roman" w:cs="Times New Roman"/>
                <w:color w:val="auto"/>
                <w:sz w:val="24"/>
                <w:szCs w:val="24"/>
              </w:rPr>
              <w:t>风量为2000m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rPr>
              <w:t>/h</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则2台抛丸机风量为4000</w:t>
            </w:r>
            <w:r>
              <w:rPr>
                <w:rFonts w:hint="default" w:ascii="Times New Roman" w:hAnsi="Times New Roman" w:cs="Times New Roman"/>
                <w:color w:val="auto"/>
                <w:sz w:val="24"/>
                <w:szCs w:val="24"/>
              </w:rPr>
              <w:t>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rPr>
              <w:t>/h</w:t>
            </w:r>
            <w:r>
              <w:rPr>
                <w:rFonts w:hint="default" w:ascii="Times New Roman" w:hAnsi="Times New Roman" w:cs="Times New Roman"/>
                <w:color w:val="auto"/>
                <w:sz w:val="24"/>
                <w:lang w:eastAsia="zh-CN"/>
              </w:rPr>
              <w:t>。</w:t>
            </w:r>
          </w:p>
          <w:p w14:paraId="68801AE6">
            <w:pPr>
              <w:spacing w:line="360" w:lineRule="auto"/>
              <w:ind w:firstLine="480" w:firstLineChars="200"/>
              <w:rPr>
                <w:rFonts w:hint="default" w:ascii="Times New Roman" w:hAnsi="Times New Roman" w:cs="Times New Roman" w:eastAsiaTheme="minorEastAsia"/>
                <w:color w:val="auto"/>
                <w:kern w:val="0"/>
                <w:sz w:val="24"/>
                <w:lang w:eastAsia="zh-CN"/>
              </w:rPr>
            </w:pPr>
            <w:r>
              <w:rPr>
                <w:rFonts w:hint="default" w:ascii="Times New Roman" w:hAnsi="Times New Roman" w:cs="Times New Roman" w:eastAsiaTheme="minorEastAsia"/>
                <w:color w:val="auto"/>
                <w:kern w:val="0"/>
                <w:sz w:val="24"/>
                <w:lang w:eastAsia="zh-CN"/>
              </w:rPr>
              <w:t>综上所述，</w:t>
            </w:r>
            <w:r>
              <w:rPr>
                <w:rFonts w:hint="default" w:ascii="Times New Roman" w:hAnsi="Times New Roman" w:cs="Times New Roman"/>
                <w:color w:val="auto"/>
                <w:sz w:val="24"/>
                <w:lang w:val="en-GB" w:eastAsia="zh-CN"/>
              </w:rPr>
              <w:t>抛丸</w:t>
            </w:r>
            <w:r>
              <w:rPr>
                <w:rFonts w:hint="default" w:ascii="Times New Roman" w:hAnsi="Times New Roman" w:cs="Times New Roman" w:eastAsiaTheme="minorEastAsia"/>
                <w:color w:val="auto"/>
                <w:kern w:val="0"/>
                <w:sz w:val="24"/>
                <w:lang w:val="en-US" w:eastAsia="zh-CN"/>
              </w:rPr>
              <w:t>工序年运行</w:t>
            </w:r>
            <w:r>
              <w:rPr>
                <w:rFonts w:hint="eastAsia" w:ascii="Times New Roman" w:hAnsi="Times New Roman" w:cs="Times New Roman" w:eastAsiaTheme="minorEastAsia"/>
                <w:color w:val="auto"/>
                <w:kern w:val="0"/>
                <w:sz w:val="24"/>
                <w:lang w:val="en-US" w:eastAsia="zh-CN"/>
              </w:rPr>
              <w:t>128</w:t>
            </w:r>
            <w:r>
              <w:rPr>
                <w:rFonts w:hint="default" w:ascii="Times New Roman" w:hAnsi="Times New Roman" w:cs="Times New Roman" w:eastAsiaTheme="minorEastAsia"/>
                <w:color w:val="auto"/>
                <w:kern w:val="0"/>
                <w:sz w:val="24"/>
                <w:lang w:val="en-US" w:eastAsia="zh-CN"/>
              </w:rPr>
              <w:t>0h，</w:t>
            </w:r>
            <w:r>
              <w:rPr>
                <w:rFonts w:hint="default" w:ascii="Times New Roman" w:hAnsi="Times New Roman" w:cs="Times New Roman"/>
                <w:b w:val="0"/>
                <w:bCs w:val="0"/>
                <w:color w:val="auto"/>
                <w:kern w:val="2"/>
                <w:sz w:val="24"/>
                <w:szCs w:val="24"/>
                <w:lang w:val="en-US" w:eastAsia="zh-CN" w:bidi="ar-SA"/>
              </w:rPr>
              <w:t>风机风量为</w:t>
            </w:r>
            <w:r>
              <w:rPr>
                <w:rFonts w:hint="eastAsia" w:cs="Times New Roman"/>
                <w:color w:val="auto"/>
                <w:kern w:val="2"/>
                <w:sz w:val="24"/>
                <w:szCs w:val="24"/>
                <w:lang w:val="en-US" w:eastAsia="zh-CN" w:bidi="ar-SA"/>
              </w:rPr>
              <w:t>4000</w:t>
            </w:r>
            <w:r>
              <w:rPr>
                <w:rFonts w:hint="default" w:ascii="Times New Roman" w:hAnsi="Times New Roman" w:eastAsia="宋体" w:cs="Times New Roman"/>
                <w:color w:val="auto"/>
                <w:kern w:val="2"/>
                <w:sz w:val="24"/>
                <w:szCs w:val="24"/>
                <w:lang w:val="en-US" w:eastAsia="zh-CN" w:bidi="ar-SA"/>
              </w:rPr>
              <w:t>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/h。</w:t>
            </w:r>
            <w:r>
              <w:rPr>
                <w:rFonts w:hint="default" w:ascii="Times New Roman" w:hAnsi="Times New Roman" w:cs="Times New Roman" w:eastAsiaTheme="minorEastAsia"/>
                <w:color w:val="auto"/>
                <w:kern w:val="0"/>
                <w:sz w:val="24"/>
                <w:lang w:eastAsia="zh-CN"/>
              </w:rPr>
              <w:t>项目</w:t>
            </w:r>
            <w:r>
              <w:rPr>
                <w:rFonts w:hint="default" w:ascii="Times New Roman" w:hAnsi="Times New Roman" w:cs="Times New Roman"/>
                <w:color w:val="auto"/>
                <w:sz w:val="24"/>
                <w:lang w:val="en-GB" w:eastAsia="zh-CN"/>
              </w:rPr>
              <w:t>抛丸</w:t>
            </w:r>
            <w:r>
              <w:rPr>
                <w:rFonts w:hint="default" w:ascii="Times New Roman" w:hAnsi="Times New Roman" w:cs="Times New Roman"/>
                <w:b w:val="0"/>
                <w:bCs w:val="0"/>
                <w:color w:val="auto"/>
                <w:kern w:val="2"/>
                <w:sz w:val="24"/>
                <w:szCs w:val="24"/>
                <w:lang w:val="en-US" w:eastAsia="zh-CN" w:bidi="ar-SA"/>
              </w:rPr>
              <w:t>工序</w:t>
            </w:r>
            <w:r>
              <w:rPr>
                <w:rFonts w:hint="default" w:ascii="Times New Roman" w:hAnsi="Times New Roman" w:cs="Times New Roman" w:eastAsiaTheme="minorEastAsia"/>
                <w:color w:val="auto"/>
                <w:kern w:val="0"/>
                <w:sz w:val="24"/>
                <w:lang w:val="en-US" w:eastAsia="zh-CN"/>
              </w:rPr>
              <w:t>颗粒物产生总量</w:t>
            </w:r>
            <w:r>
              <w:rPr>
                <w:rFonts w:hint="default" w:ascii="Times New Roman" w:hAnsi="Times New Roman" w:cs="Times New Roman" w:eastAsiaTheme="minorEastAsia"/>
                <w:color w:val="auto"/>
                <w:kern w:val="0"/>
                <w:sz w:val="24"/>
                <w:lang w:eastAsia="zh-CN"/>
              </w:rPr>
              <w:t>为</w:t>
            </w:r>
            <w:r>
              <w:rPr>
                <w:rFonts w:hint="eastAsia" w:cs="Times New Roman" w:eastAsiaTheme="minorEastAsia"/>
                <w:color w:val="auto"/>
                <w:kern w:val="0"/>
                <w:sz w:val="24"/>
                <w:lang w:val="en-US" w:eastAsia="zh-CN"/>
              </w:rPr>
              <w:t>1.971</w:t>
            </w:r>
            <w:r>
              <w:rPr>
                <w:rFonts w:hint="default" w:ascii="Times New Roman" w:hAnsi="Times New Roman" w:cs="Times New Roman" w:eastAsiaTheme="minorEastAsia"/>
                <w:color w:val="auto"/>
                <w:kern w:val="0"/>
                <w:sz w:val="24"/>
                <w:lang w:val="en-US" w:eastAsia="zh-CN"/>
              </w:rPr>
              <w:t>t/a。</w:t>
            </w:r>
            <w:r>
              <w:rPr>
                <w:rFonts w:hint="eastAsia" w:cs="Times New Roman" w:eastAsiaTheme="minorEastAsia"/>
                <w:color w:val="auto"/>
                <w:kern w:val="0"/>
                <w:sz w:val="24"/>
                <w:lang w:val="en-US" w:eastAsia="zh-CN"/>
              </w:rPr>
              <w:t>抛丸粉尘经</w:t>
            </w:r>
            <w:r>
              <w:rPr>
                <w:rFonts w:hint="default" w:ascii="Times New Roman" w:hAnsi="Times New Roman" w:cs="Times New Roman" w:eastAsiaTheme="minorEastAsia"/>
                <w:color w:val="auto"/>
                <w:kern w:val="0"/>
                <w:sz w:val="24"/>
                <w:lang w:val="en-US" w:eastAsia="zh-CN"/>
              </w:rPr>
              <w:t>设备密闭+集气管道收集</w:t>
            </w:r>
            <w:r>
              <w:rPr>
                <w:rFonts w:hint="eastAsia" w:cs="Times New Roman" w:eastAsiaTheme="minorEastAsia"/>
                <w:color w:val="auto"/>
                <w:kern w:val="0"/>
                <w:sz w:val="24"/>
                <w:lang w:val="en-US" w:eastAsia="zh-CN"/>
              </w:rPr>
              <w:t>+设备自带布袋除尘器处理后由一根18m</w:t>
            </w:r>
            <w:r>
              <w:rPr>
                <w:rFonts w:hint="default" w:ascii="Times New Roman" w:hAnsi="Times New Roman" w:cs="Times New Roman" w:eastAsiaTheme="minorEastAsia"/>
                <w:color w:val="auto"/>
                <w:kern w:val="0"/>
                <w:sz w:val="24"/>
                <w:lang w:val="en-US" w:eastAsia="zh-CN"/>
              </w:rPr>
              <w:t>高的排气筒（DA00</w:t>
            </w:r>
            <w:r>
              <w:rPr>
                <w:rFonts w:hint="eastAsia" w:ascii="Times New Roman" w:hAnsi="Times New Roman" w:cs="Times New Roman" w:eastAsiaTheme="minorEastAsia"/>
                <w:color w:val="auto"/>
                <w:kern w:val="0"/>
                <w:sz w:val="24"/>
                <w:lang w:val="en-US" w:eastAsia="zh-CN"/>
              </w:rPr>
              <w:t>1</w:t>
            </w:r>
            <w:r>
              <w:rPr>
                <w:rFonts w:hint="default" w:ascii="Times New Roman" w:hAnsi="Times New Roman" w:cs="Times New Roman" w:eastAsiaTheme="minorEastAsia"/>
                <w:color w:val="auto"/>
                <w:kern w:val="0"/>
                <w:sz w:val="24"/>
                <w:lang w:val="en-US" w:eastAsia="zh-CN"/>
              </w:rPr>
              <w:t>）排放。</w:t>
            </w:r>
            <w:r>
              <w:rPr>
                <w:rFonts w:hint="default" w:ascii="Times New Roman" w:hAnsi="Times New Roman" w:cs="Times New Roman"/>
                <w:color w:val="auto"/>
                <w:sz w:val="24"/>
                <w:lang w:val="en-GB" w:eastAsia="zh-CN"/>
              </w:rPr>
              <w:t>抛丸</w:t>
            </w:r>
            <w:r>
              <w:rPr>
                <w:rFonts w:hint="default" w:ascii="Times New Roman" w:hAnsi="Times New Roman" w:cs="Times New Roman"/>
                <w:b w:val="0"/>
                <w:bCs w:val="0"/>
                <w:color w:val="auto"/>
                <w:kern w:val="2"/>
                <w:sz w:val="24"/>
                <w:szCs w:val="24"/>
                <w:lang w:val="en-US" w:eastAsia="zh-CN" w:bidi="ar-SA"/>
              </w:rPr>
              <w:t>工序</w:t>
            </w:r>
            <w:r>
              <w:rPr>
                <w:rFonts w:hint="eastAsia" w:cs="Times New Roman"/>
                <w:b w:val="0"/>
                <w:bCs w:val="0"/>
                <w:color w:val="auto"/>
                <w:kern w:val="2"/>
                <w:sz w:val="24"/>
                <w:szCs w:val="24"/>
                <w:lang w:val="en-US" w:eastAsia="zh-CN" w:bidi="ar-SA"/>
              </w:rPr>
              <w:t>粉尘</w:t>
            </w:r>
            <w:r>
              <w:rPr>
                <w:rFonts w:hint="default" w:ascii="Times New Roman" w:hAnsi="Times New Roman" w:cs="Times New Roman" w:eastAsiaTheme="minorEastAsia"/>
                <w:color w:val="auto"/>
                <w:kern w:val="0"/>
                <w:sz w:val="24"/>
              </w:rPr>
              <w:t>收集效率</w:t>
            </w:r>
            <w:r>
              <w:rPr>
                <w:rFonts w:hint="eastAsia" w:cs="Times New Roman" w:eastAsiaTheme="minorEastAsia"/>
                <w:color w:val="auto"/>
                <w:kern w:val="0"/>
                <w:sz w:val="24"/>
                <w:lang w:val="en-US" w:eastAsia="zh-CN"/>
              </w:rPr>
              <w:t>按</w:t>
            </w:r>
            <w:r>
              <w:rPr>
                <w:rFonts w:hint="default" w:ascii="Times New Roman" w:hAnsi="Times New Roman" w:cs="Times New Roman" w:eastAsiaTheme="minorEastAsia"/>
                <w:color w:val="auto"/>
                <w:kern w:val="0"/>
                <w:sz w:val="24"/>
                <w:lang w:val="en-US" w:eastAsia="zh-CN"/>
              </w:rPr>
              <w:t>99</w:t>
            </w:r>
            <w:r>
              <w:rPr>
                <w:rFonts w:hint="default" w:ascii="Times New Roman" w:hAnsi="Times New Roman" w:cs="Times New Roman" w:eastAsiaTheme="minorEastAsia"/>
                <w:color w:val="auto"/>
                <w:kern w:val="0"/>
                <w:sz w:val="24"/>
              </w:rPr>
              <w:t>%</w:t>
            </w:r>
            <w:r>
              <w:rPr>
                <w:rFonts w:hint="eastAsia" w:cs="Times New Roman" w:eastAsiaTheme="minorEastAsia"/>
                <w:color w:val="auto"/>
                <w:kern w:val="0"/>
                <w:sz w:val="24"/>
                <w:lang w:val="en-US" w:eastAsia="zh-CN"/>
              </w:rPr>
              <w:t>计</w:t>
            </w:r>
            <w:r>
              <w:rPr>
                <w:rFonts w:hint="default" w:ascii="Times New Roman" w:hAnsi="Times New Roman" w:cs="Times New Roman" w:eastAsiaTheme="minorEastAsia"/>
                <w:color w:val="auto"/>
                <w:kern w:val="0"/>
                <w:sz w:val="24"/>
              </w:rPr>
              <w:t>，处理效率</w:t>
            </w:r>
            <w:r>
              <w:rPr>
                <w:rFonts w:hint="eastAsia" w:cs="Times New Roman" w:eastAsiaTheme="minorEastAsia"/>
                <w:color w:val="auto"/>
                <w:kern w:val="0"/>
                <w:sz w:val="24"/>
                <w:lang w:val="en-US" w:eastAsia="zh-CN"/>
              </w:rPr>
              <w:t>按</w:t>
            </w:r>
            <w:r>
              <w:rPr>
                <w:rFonts w:hint="default" w:ascii="Times New Roman" w:hAnsi="Times New Roman" w:cs="Times New Roman" w:eastAsiaTheme="minorEastAsia"/>
                <w:color w:val="auto"/>
                <w:kern w:val="0"/>
                <w:sz w:val="24"/>
              </w:rPr>
              <w:t>9</w:t>
            </w:r>
            <w:r>
              <w:rPr>
                <w:rFonts w:hint="default" w:ascii="Times New Roman" w:hAnsi="Times New Roman" w:cs="Times New Roman" w:eastAsiaTheme="minorEastAsia"/>
                <w:color w:val="auto"/>
                <w:kern w:val="0"/>
                <w:sz w:val="24"/>
                <w:lang w:val="en-US" w:eastAsia="zh-CN"/>
              </w:rPr>
              <w:t>9</w:t>
            </w:r>
            <w:r>
              <w:rPr>
                <w:rFonts w:hint="default" w:ascii="Times New Roman" w:hAnsi="Times New Roman" w:cs="Times New Roman" w:eastAsiaTheme="minorEastAsia"/>
                <w:color w:val="auto"/>
                <w:kern w:val="0"/>
                <w:sz w:val="24"/>
              </w:rPr>
              <w:t>%</w:t>
            </w:r>
            <w:r>
              <w:rPr>
                <w:rFonts w:hint="eastAsia" w:cs="Times New Roman" w:eastAsiaTheme="minorEastAsia"/>
                <w:color w:val="auto"/>
                <w:kern w:val="0"/>
                <w:sz w:val="24"/>
                <w:lang w:val="en-US" w:eastAsia="zh-CN"/>
              </w:rPr>
              <w:t>计</w:t>
            </w:r>
            <w:r>
              <w:rPr>
                <w:rFonts w:hint="default" w:ascii="Times New Roman" w:hAnsi="Times New Roman" w:cs="Times New Roman" w:eastAsiaTheme="minorEastAsia"/>
                <w:color w:val="auto"/>
                <w:kern w:val="0"/>
                <w:sz w:val="24"/>
                <w:lang w:eastAsia="zh-CN"/>
              </w:rPr>
              <w:t>。</w:t>
            </w:r>
          </w:p>
          <w:p w14:paraId="7D2B31BA">
            <w:pPr>
              <w:keepNext w:val="0"/>
              <w:keepLines w:val="0"/>
              <w:pageBreakBefore w:val="0"/>
              <w:widowControl w:val="0"/>
              <w:kinsoku/>
              <w:wordWrap/>
              <w:overflowPunct/>
              <w:topLinePunct w:val="0"/>
              <w:autoSpaceDE/>
              <w:autoSpaceDN/>
              <w:bidi w:val="0"/>
              <w:adjustRightInd/>
              <w:snapToGrid/>
              <w:spacing w:beforeAutospacing="0"/>
              <w:jc w:val="center"/>
              <w:textAlignment w:val="auto"/>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表4-</w:t>
            </w:r>
            <w:r>
              <w:rPr>
                <w:rFonts w:hint="eastAsia" w:ascii="Times New Roman" w:hAnsi="Times New Roman" w:eastAsia="宋体" w:cs="Times New Roman"/>
                <w:b/>
                <w:color w:val="auto"/>
                <w:kern w:val="0"/>
                <w:sz w:val="24"/>
                <w:szCs w:val="24"/>
                <w:lang w:val="en-US" w:eastAsia="zh-CN" w:bidi="ar-SA"/>
              </w:rPr>
              <w:t>2</w:t>
            </w:r>
            <w:r>
              <w:rPr>
                <w:rFonts w:hint="default" w:ascii="Times New Roman" w:hAnsi="Times New Roman" w:eastAsia="宋体" w:cs="Times New Roman"/>
                <w:b/>
                <w:color w:val="auto"/>
                <w:kern w:val="0"/>
                <w:sz w:val="24"/>
                <w:szCs w:val="24"/>
                <w:lang w:val="en-US" w:eastAsia="zh-CN" w:bidi="ar-SA"/>
              </w:rPr>
              <w:t xml:space="preserve">  项目抛丸工序有组织排放</w:t>
            </w:r>
            <w:r>
              <w:rPr>
                <w:rFonts w:hint="default" w:ascii="Times New Roman" w:hAnsi="Times New Roman" w:eastAsia="宋体" w:cs="Times New Roman"/>
                <w:b/>
                <w:color w:val="auto"/>
                <w:kern w:val="0"/>
                <w:sz w:val="24"/>
                <w:szCs w:val="24"/>
                <w:lang w:val="en-GB" w:eastAsia="zh-CN" w:bidi="ar-SA"/>
              </w:rPr>
              <w:t>产生及排放情况</w:t>
            </w:r>
          </w:p>
          <w:tbl>
            <w:tblPr>
              <w:tblStyle w:val="6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6" w:type="dxa"/>
                <w:bottom w:w="0" w:type="dxa"/>
                <w:right w:w="6" w:type="dxa"/>
              </w:tblCellMar>
            </w:tblPr>
            <w:tblGrid>
              <w:gridCol w:w="584"/>
              <w:gridCol w:w="524"/>
              <w:gridCol w:w="794"/>
              <w:gridCol w:w="613"/>
              <w:gridCol w:w="689"/>
              <w:gridCol w:w="800"/>
              <w:gridCol w:w="1158"/>
              <w:gridCol w:w="689"/>
              <w:gridCol w:w="689"/>
              <w:gridCol w:w="798"/>
              <w:gridCol w:w="937"/>
            </w:tblGrid>
            <w:tr w14:paraId="0077C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jc w:val="center"/>
              </w:trPr>
              <w:tc>
                <w:tcPr>
                  <w:tcW w:w="584" w:type="dxa"/>
                  <w:vMerge w:val="restart"/>
                  <w:vAlign w:val="center"/>
                </w:tcPr>
                <w:p w14:paraId="4A4FFB1B">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污染源</w:t>
                  </w:r>
                </w:p>
              </w:tc>
              <w:tc>
                <w:tcPr>
                  <w:tcW w:w="524" w:type="dxa"/>
                  <w:vMerge w:val="restart"/>
                  <w:vAlign w:val="center"/>
                </w:tcPr>
                <w:p w14:paraId="651D4E4E">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污染物</w:t>
                  </w:r>
                </w:p>
              </w:tc>
              <w:tc>
                <w:tcPr>
                  <w:tcW w:w="794" w:type="dxa"/>
                  <w:vMerge w:val="restart"/>
                  <w:vAlign w:val="center"/>
                </w:tcPr>
                <w:p w14:paraId="3BA8A9BA">
                  <w:pPr>
                    <w:tabs>
                      <w:tab w:val="left" w:pos="2200"/>
                      <w:tab w:val="left" w:pos="3960"/>
                      <w:tab w:val="left" w:pos="5280"/>
                    </w:tabs>
                    <w:jc w:val="center"/>
                    <w:rPr>
                      <w:rFonts w:hint="default" w:ascii="Times New Roman" w:hAnsi="Times New Roman" w:cs="Times New Roman"/>
                      <w:b/>
                      <w:color w:val="auto"/>
                      <w:szCs w:val="18"/>
                    </w:rPr>
                  </w:pPr>
                  <w:r>
                    <w:rPr>
                      <w:rFonts w:hint="default" w:ascii="Times New Roman" w:hAnsi="Times New Roman" w:cs="Times New Roman"/>
                      <w:b/>
                      <w:color w:val="auto"/>
                      <w:szCs w:val="18"/>
                    </w:rPr>
                    <w:t>排气量m</w:t>
                  </w:r>
                  <w:r>
                    <w:rPr>
                      <w:rFonts w:hint="default" w:ascii="Times New Roman" w:hAnsi="Times New Roman" w:cs="Times New Roman"/>
                      <w:b/>
                      <w:color w:val="auto"/>
                      <w:szCs w:val="18"/>
                      <w:vertAlign w:val="superscript"/>
                    </w:rPr>
                    <w:t>3</w:t>
                  </w:r>
                  <w:r>
                    <w:rPr>
                      <w:rFonts w:hint="default" w:ascii="Times New Roman" w:hAnsi="Times New Roman" w:cs="Times New Roman"/>
                      <w:b/>
                      <w:color w:val="auto"/>
                      <w:szCs w:val="18"/>
                    </w:rPr>
                    <w:t>/h</w:t>
                  </w:r>
                </w:p>
              </w:tc>
              <w:tc>
                <w:tcPr>
                  <w:tcW w:w="2102" w:type="dxa"/>
                  <w:gridSpan w:val="3"/>
                  <w:vAlign w:val="center"/>
                </w:tcPr>
                <w:p w14:paraId="56B97B51">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产生情况</w:t>
                  </w:r>
                </w:p>
              </w:tc>
              <w:tc>
                <w:tcPr>
                  <w:tcW w:w="1158" w:type="dxa"/>
                  <w:vMerge w:val="restart"/>
                  <w:vAlign w:val="center"/>
                </w:tcPr>
                <w:p w14:paraId="79D22A5B">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拟采取的污染治理措施</w:t>
                  </w:r>
                </w:p>
              </w:tc>
              <w:tc>
                <w:tcPr>
                  <w:tcW w:w="2176" w:type="dxa"/>
                  <w:gridSpan w:val="3"/>
                  <w:vAlign w:val="center"/>
                </w:tcPr>
                <w:p w14:paraId="6BDF3734">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排放情况</w:t>
                  </w:r>
                </w:p>
              </w:tc>
              <w:tc>
                <w:tcPr>
                  <w:tcW w:w="937" w:type="dxa"/>
                  <w:vMerge w:val="restart"/>
                  <w:vAlign w:val="center"/>
                </w:tcPr>
                <w:p w14:paraId="3A78B98F">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排气筒参数</w:t>
                  </w:r>
                </w:p>
              </w:tc>
            </w:tr>
            <w:tr w14:paraId="7BE75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jc w:val="center"/>
              </w:trPr>
              <w:tc>
                <w:tcPr>
                  <w:tcW w:w="584" w:type="dxa"/>
                  <w:vMerge w:val="continue"/>
                  <w:vAlign w:val="center"/>
                </w:tcPr>
                <w:p w14:paraId="5F39E55E">
                  <w:pPr>
                    <w:jc w:val="center"/>
                    <w:rPr>
                      <w:rFonts w:hint="default" w:ascii="Times New Roman" w:hAnsi="Times New Roman" w:cs="Times New Roman"/>
                      <w:b/>
                      <w:color w:val="auto"/>
                      <w:szCs w:val="18"/>
                    </w:rPr>
                  </w:pPr>
                </w:p>
              </w:tc>
              <w:tc>
                <w:tcPr>
                  <w:tcW w:w="524" w:type="dxa"/>
                  <w:vMerge w:val="continue"/>
                  <w:vAlign w:val="center"/>
                </w:tcPr>
                <w:p w14:paraId="22208B9B">
                  <w:pPr>
                    <w:jc w:val="center"/>
                    <w:rPr>
                      <w:rFonts w:hint="default" w:ascii="Times New Roman" w:hAnsi="Times New Roman" w:cs="Times New Roman"/>
                      <w:b/>
                      <w:color w:val="auto"/>
                      <w:szCs w:val="18"/>
                    </w:rPr>
                  </w:pPr>
                </w:p>
              </w:tc>
              <w:tc>
                <w:tcPr>
                  <w:tcW w:w="794" w:type="dxa"/>
                  <w:vMerge w:val="continue"/>
                  <w:vAlign w:val="center"/>
                </w:tcPr>
                <w:p w14:paraId="5A30C056">
                  <w:pPr>
                    <w:jc w:val="center"/>
                    <w:rPr>
                      <w:rFonts w:hint="default" w:ascii="Times New Roman" w:hAnsi="Times New Roman" w:cs="Times New Roman"/>
                      <w:b/>
                      <w:color w:val="auto"/>
                      <w:szCs w:val="18"/>
                    </w:rPr>
                  </w:pPr>
                </w:p>
              </w:tc>
              <w:tc>
                <w:tcPr>
                  <w:tcW w:w="613" w:type="dxa"/>
                  <w:vAlign w:val="center"/>
                </w:tcPr>
                <w:p w14:paraId="1A808F04">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kg/h</w:t>
                  </w:r>
                </w:p>
              </w:tc>
              <w:tc>
                <w:tcPr>
                  <w:tcW w:w="689" w:type="dxa"/>
                  <w:vAlign w:val="center"/>
                </w:tcPr>
                <w:p w14:paraId="53AE3453">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t/a</w:t>
                  </w:r>
                </w:p>
              </w:tc>
              <w:tc>
                <w:tcPr>
                  <w:tcW w:w="800" w:type="dxa"/>
                  <w:vAlign w:val="center"/>
                </w:tcPr>
                <w:p w14:paraId="3D2369F3">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mg/m</w:t>
                  </w:r>
                  <w:r>
                    <w:rPr>
                      <w:rFonts w:hint="default" w:ascii="Times New Roman" w:hAnsi="Times New Roman" w:cs="Times New Roman"/>
                      <w:b/>
                      <w:color w:val="auto"/>
                      <w:szCs w:val="18"/>
                      <w:vertAlign w:val="superscript"/>
                    </w:rPr>
                    <w:t>3</w:t>
                  </w:r>
                </w:p>
              </w:tc>
              <w:tc>
                <w:tcPr>
                  <w:tcW w:w="1158" w:type="dxa"/>
                  <w:vMerge w:val="continue"/>
                  <w:vAlign w:val="center"/>
                </w:tcPr>
                <w:p w14:paraId="63A10CE5">
                  <w:pPr>
                    <w:jc w:val="center"/>
                    <w:rPr>
                      <w:rFonts w:hint="default" w:ascii="Times New Roman" w:hAnsi="Times New Roman" w:cs="Times New Roman"/>
                      <w:b/>
                      <w:color w:val="auto"/>
                      <w:szCs w:val="18"/>
                    </w:rPr>
                  </w:pPr>
                </w:p>
              </w:tc>
              <w:tc>
                <w:tcPr>
                  <w:tcW w:w="689" w:type="dxa"/>
                  <w:vAlign w:val="center"/>
                </w:tcPr>
                <w:p w14:paraId="0813DAF8">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kg/h</w:t>
                  </w:r>
                </w:p>
              </w:tc>
              <w:tc>
                <w:tcPr>
                  <w:tcW w:w="689" w:type="dxa"/>
                  <w:vAlign w:val="center"/>
                </w:tcPr>
                <w:p w14:paraId="4F1C282B">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t/a</w:t>
                  </w:r>
                </w:p>
              </w:tc>
              <w:tc>
                <w:tcPr>
                  <w:tcW w:w="798" w:type="dxa"/>
                  <w:vAlign w:val="center"/>
                </w:tcPr>
                <w:p w14:paraId="502DCAF1">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mg/m</w:t>
                  </w:r>
                  <w:r>
                    <w:rPr>
                      <w:rFonts w:hint="default" w:ascii="Times New Roman" w:hAnsi="Times New Roman" w:cs="Times New Roman"/>
                      <w:b/>
                      <w:color w:val="auto"/>
                      <w:szCs w:val="18"/>
                      <w:vertAlign w:val="superscript"/>
                    </w:rPr>
                    <w:t>3</w:t>
                  </w:r>
                </w:p>
              </w:tc>
              <w:tc>
                <w:tcPr>
                  <w:tcW w:w="937" w:type="dxa"/>
                  <w:vMerge w:val="continue"/>
                  <w:vAlign w:val="center"/>
                </w:tcPr>
                <w:p w14:paraId="000D9E57">
                  <w:pPr>
                    <w:jc w:val="center"/>
                    <w:rPr>
                      <w:rFonts w:hint="default" w:ascii="Times New Roman" w:hAnsi="Times New Roman" w:cs="Times New Roman"/>
                      <w:b/>
                      <w:color w:val="auto"/>
                      <w:szCs w:val="18"/>
                    </w:rPr>
                  </w:pPr>
                </w:p>
              </w:tc>
            </w:tr>
            <w:tr w14:paraId="37D93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56" w:hRule="atLeast"/>
                <w:jc w:val="center"/>
              </w:trPr>
              <w:tc>
                <w:tcPr>
                  <w:tcW w:w="584" w:type="dxa"/>
                  <w:vAlign w:val="center"/>
                </w:tcPr>
                <w:p w14:paraId="5F6222DF">
                  <w:pPr>
                    <w:widowControl/>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抛丸</w:t>
                  </w:r>
                </w:p>
              </w:tc>
              <w:tc>
                <w:tcPr>
                  <w:tcW w:w="524" w:type="dxa"/>
                  <w:vAlign w:val="center"/>
                </w:tcPr>
                <w:p w14:paraId="05236387">
                  <w:pPr>
                    <w:widowControl/>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颗粒物</w:t>
                  </w:r>
                </w:p>
              </w:tc>
              <w:tc>
                <w:tcPr>
                  <w:tcW w:w="794" w:type="dxa"/>
                  <w:vAlign w:val="center"/>
                </w:tcPr>
                <w:p w14:paraId="67749E07">
                  <w:pPr>
                    <w:widowControl/>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40</w:t>
                  </w:r>
                  <w:r>
                    <w:rPr>
                      <w:rFonts w:hint="default" w:ascii="Times New Roman" w:hAnsi="Times New Roman" w:cs="Times New Roman"/>
                      <w:i w:val="0"/>
                      <w:iCs w:val="0"/>
                      <w:color w:val="auto"/>
                      <w:kern w:val="0"/>
                      <w:sz w:val="21"/>
                      <w:szCs w:val="21"/>
                      <w:u w:val="none"/>
                      <w:lang w:val="en-US" w:eastAsia="zh-CN" w:bidi="ar"/>
                    </w:rPr>
                    <w:t>00</w:t>
                  </w:r>
                </w:p>
              </w:tc>
              <w:tc>
                <w:tcPr>
                  <w:tcW w:w="613" w:type="dxa"/>
                  <w:shd w:val="clear" w:color="auto" w:fill="auto"/>
                  <w:vAlign w:val="center"/>
                </w:tcPr>
                <w:p w14:paraId="2549E680">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1.524</w:t>
                  </w:r>
                </w:p>
              </w:tc>
              <w:tc>
                <w:tcPr>
                  <w:tcW w:w="689" w:type="dxa"/>
                  <w:shd w:val="clear" w:color="auto" w:fill="auto"/>
                  <w:vAlign w:val="center"/>
                </w:tcPr>
                <w:p w14:paraId="48BEB317">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1.951</w:t>
                  </w:r>
                </w:p>
              </w:tc>
              <w:tc>
                <w:tcPr>
                  <w:tcW w:w="800" w:type="dxa"/>
                  <w:shd w:val="clear" w:color="auto" w:fill="auto"/>
                  <w:vAlign w:val="center"/>
                </w:tcPr>
                <w:p w14:paraId="067600BB">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381.055</w:t>
                  </w:r>
                </w:p>
              </w:tc>
              <w:tc>
                <w:tcPr>
                  <w:tcW w:w="1158" w:type="dxa"/>
                  <w:vAlign w:val="center"/>
                </w:tcPr>
                <w:p w14:paraId="5852DF9C">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i w:val="0"/>
                      <w:iCs w:val="0"/>
                      <w:color w:val="auto"/>
                      <w:kern w:val="0"/>
                      <w:sz w:val="21"/>
                      <w:szCs w:val="21"/>
                      <w:u w:val="none"/>
                      <w:lang w:val="en-US" w:eastAsia="zh-CN" w:bidi="ar"/>
                    </w:rPr>
                    <w:t>设备密闭+集气管道+自带布袋除尘器</w:t>
                  </w:r>
                </w:p>
              </w:tc>
              <w:tc>
                <w:tcPr>
                  <w:tcW w:w="689" w:type="dxa"/>
                  <w:shd w:val="clear" w:color="auto" w:fill="auto"/>
                  <w:vAlign w:val="center"/>
                </w:tcPr>
                <w:p w14:paraId="68472D0A">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0.015</w:t>
                  </w:r>
                </w:p>
              </w:tc>
              <w:tc>
                <w:tcPr>
                  <w:tcW w:w="689" w:type="dxa"/>
                  <w:shd w:val="clear" w:color="auto" w:fill="auto"/>
                  <w:vAlign w:val="center"/>
                </w:tcPr>
                <w:p w14:paraId="61ABE06D">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0.0195</w:t>
                  </w:r>
                </w:p>
              </w:tc>
              <w:tc>
                <w:tcPr>
                  <w:tcW w:w="798" w:type="dxa"/>
                  <w:shd w:val="clear" w:color="auto" w:fill="auto"/>
                  <w:vAlign w:val="center"/>
                </w:tcPr>
                <w:p w14:paraId="56745504">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3.809</w:t>
                  </w:r>
                </w:p>
              </w:tc>
              <w:tc>
                <w:tcPr>
                  <w:tcW w:w="937" w:type="dxa"/>
                  <w:vAlign w:val="center"/>
                </w:tcPr>
                <w:p w14:paraId="7A7CA35A">
                  <w:pPr>
                    <w:widowControl/>
                    <w:jc w:val="center"/>
                    <w:textAlignment w:val="center"/>
                    <w:rPr>
                      <w:rFonts w:hint="default" w:ascii="Times New Roman" w:hAnsi="Times New Roman"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DA00</w:t>
                  </w:r>
                  <w:r>
                    <w:rPr>
                      <w:rFonts w:hint="eastAsia" w:ascii="Times New Roman" w:hAnsi="Times New Roman" w:cs="Times New Roman"/>
                      <w:i w:val="0"/>
                      <w:iCs w:val="0"/>
                      <w:color w:val="auto"/>
                      <w:kern w:val="0"/>
                      <w:sz w:val="21"/>
                      <w:szCs w:val="21"/>
                      <w:u w:val="none"/>
                      <w:lang w:val="en-US" w:eastAsia="zh-CN" w:bidi="ar"/>
                    </w:rPr>
                    <w:t>1</w:t>
                  </w:r>
                </w:p>
                <w:p w14:paraId="3F3F5752">
                  <w:pPr>
                    <w:widowControl/>
                    <w:jc w:val="center"/>
                    <w:textAlignment w:val="center"/>
                    <w:rPr>
                      <w:rFonts w:hint="default" w:ascii="Times New Roman" w:hAnsi="Times New Roman"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H:</w:t>
                  </w:r>
                  <w:r>
                    <w:rPr>
                      <w:rFonts w:hint="eastAsia" w:cs="Times New Roman"/>
                      <w:i w:val="0"/>
                      <w:iCs w:val="0"/>
                      <w:color w:val="auto"/>
                      <w:kern w:val="0"/>
                      <w:sz w:val="21"/>
                      <w:szCs w:val="21"/>
                      <w:u w:val="none"/>
                      <w:lang w:val="en-US" w:eastAsia="zh-CN" w:bidi="ar"/>
                    </w:rPr>
                    <w:t>18m</w:t>
                  </w:r>
                </w:p>
                <w:p w14:paraId="2AE52B7E">
                  <w:pPr>
                    <w:widowControl/>
                    <w:jc w:val="center"/>
                    <w:textAlignment w:val="center"/>
                    <w:rPr>
                      <w:rFonts w:hint="default" w:ascii="Times New Roman" w:hAnsi="Times New Roman" w:eastAsia="宋体" w:cs="Times New Roman"/>
                      <w:color w:val="auto"/>
                      <w:szCs w:val="18"/>
                      <w:lang w:val="en-US" w:eastAsia="zh-CN"/>
                    </w:rPr>
                  </w:pPr>
                  <w:r>
                    <w:rPr>
                      <w:rFonts w:hint="default" w:ascii="Times New Roman" w:hAnsi="Times New Roman" w:cs="Times New Roman"/>
                      <w:i w:val="0"/>
                      <w:iCs w:val="0"/>
                      <w:color w:val="auto"/>
                      <w:kern w:val="0"/>
                      <w:sz w:val="21"/>
                      <w:szCs w:val="21"/>
                      <w:u w:val="none"/>
                      <w:lang w:val="en-US" w:eastAsia="zh-CN" w:bidi="ar"/>
                    </w:rPr>
                    <w:t>ф:0.</w:t>
                  </w:r>
                  <w:r>
                    <w:rPr>
                      <w:rFonts w:hint="eastAsia" w:cs="Times New Roman"/>
                      <w:i w:val="0"/>
                      <w:iCs w:val="0"/>
                      <w:color w:val="auto"/>
                      <w:kern w:val="0"/>
                      <w:sz w:val="21"/>
                      <w:szCs w:val="21"/>
                      <w:u w:val="none"/>
                      <w:lang w:val="en-US" w:eastAsia="zh-CN" w:bidi="ar"/>
                    </w:rPr>
                    <w:t>4</w:t>
                  </w:r>
                  <w:r>
                    <w:rPr>
                      <w:rFonts w:hint="default" w:ascii="Times New Roman" w:hAnsi="Times New Roman" w:cs="Times New Roman"/>
                      <w:i w:val="0"/>
                      <w:iCs w:val="0"/>
                      <w:color w:val="auto"/>
                      <w:kern w:val="0"/>
                      <w:sz w:val="21"/>
                      <w:szCs w:val="21"/>
                      <w:u w:val="none"/>
                      <w:lang w:val="en-US" w:eastAsia="zh-CN" w:bidi="ar"/>
                    </w:rPr>
                    <w:t>m</w:t>
                  </w:r>
                </w:p>
              </w:tc>
            </w:tr>
          </w:tbl>
          <w:p w14:paraId="7146C149">
            <w:pPr>
              <w:keepNext w:val="0"/>
              <w:keepLines w:val="0"/>
              <w:pageBreakBefore w:val="0"/>
              <w:widowControl w:val="0"/>
              <w:kinsoku/>
              <w:wordWrap/>
              <w:overflowPunct/>
              <w:topLinePunct w:val="0"/>
              <w:autoSpaceDE/>
              <w:autoSpaceDN/>
              <w:bidi w:val="0"/>
              <w:adjustRightInd/>
              <w:snapToGrid/>
              <w:spacing w:before="157" w:beforeLines="50" w:beforeAutospacing="0"/>
              <w:jc w:val="center"/>
              <w:textAlignment w:val="auto"/>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zh-CN" w:eastAsia="zh-CN" w:bidi="ar-SA"/>
              </w:rPr>
              <w:t>表</w:t>
            </w:r>
            <w:r>
              <w:rPr>
                <w:rFonts w:hint="default" w:ascii="Times New Roman" w:hAnsi="Times New Roman" w:eastAsia="宋体" w:cs="Times New Roman"/>
                <w:b/>
                <w:color w:val="auto"/>
                <w:kern w:val="0"/>
                <w:sz w:val="24"/>
                <w:szCs w:val="24"/>
                <w:lang w:val="en-US" w:eastAsia="zh-CN" w:bidi="ar-SA"/>
              </w:rPr>
              <w:t>4-</w:t>
            </w:r>
            <w:r>
              <w:rPr>
                <w:rFonts w:hint="eastAsia" w:ascii="Times New Roman" w:hAnsi="Times New Roman" w:eastAsia="宋体" w:cs="Times New Roman"/>
                <w:b/>
                <w:color w:val="auto"/>
                <w:kern w:val="0"/>
                <w:sz w:val="24"/>
                <w:szCs w:val="24"/>
                <w:lang w:val="en-US" w:eastAsia="zh-CN" w:bidi="ar-SA"/>
              </w:rPr>
              <w:t>3</w:t>
            </w:r>
            <w:r>
              <w:rPr>
                <w:rFonts w:hint="default" w:ascii="Times New Roman" w:hAnsi="Times New Roman" w:eastAsia="宋体" w:cs="Times New Roman"/>
                <w:b/>
                <w:color w:val="auto"/>
                <w:kern w:val="0"/>
                <w:sz w:val="24"/>
                <w:szCs w:val="24"/>
                <w:lang w:val="en-US" w:eastAsia="zh-CN" w:bidi="ar-SA"/>
              </w:rPr>
              <w:t xml:space="preserve">  项目抛丸工序无组织</w:t>
            </w:r>
            <w:r>
              <w:rPr>
                <w:rFonts w:hint="default" w:ascii="Times New Roman" w:hAnsi="Times New Roman" w:eastAsia="宋体" w:cs="Times New Roman"/>
                <w:b/>
                <w:color w:val="auto"/>
                <w:kern w:val="0"/>
                <w:sz w:val="24"/>
                <w:szCs w:val="24"/>
                <w:lang w:val="zh-CN" w:eastAsia="zh-CN" w:bidi="ar-SA"/>
              </w:rPr>
              <w:t>产排情况一览表</w:t>
            </w:r>
          </w:p>
          <w:tbl>
            <w:tblPr>
              <w:tblStyle w:val="63"/>
              <w:tblW w:w="496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42"/>
              <w:gridCol w:w="1525"/>
              <w:gridCol w:w="1264"/>
              <w:gridCol w:w="1195"/>
              <w:gridCol w:w="1274"/>
              <w:gridCol w:w="1214"/>
            </w:tblGrid>
            <w:tr w14:paraId="75416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060" w:type="pct"/>
                  <w:vMerge w:val="restart"/>
                  <w:vAlign w:val="center"/>
                </w:tcPr>
                <w:p w14:paraId="0D01C303">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污染源</w:t>
                  </w:r>
                </w:p>
              </w:tc>
              <w:tc>
                <w:tcPr>
                  <w:tcW w:w="928" w:type="pct"/>
                  <w:vMerge w:val="restart"/>
                  <w:vAlign w:val="center"/>
                </w:tcPr>
                <w:p w14:paraId="6DC4E6D1">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污染物种类</w:t>
                  </w:r>
                </w:p>
              </w:tc>
              <w:tc>
                <w:tcPr>
                  <w:tcW w:w="1496" w:type="pct"/>
                  <w:gridSpan w:val="2"/>
                  <w:vAlign w:val="center"/>
                </w:tcPr>
                <w:p w14:paraId="11741A85">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无组织废气产生情况</w:t>
                  </w:r>
                </w:p>
              </w:tc>
              <w:tc>
                <w:tcPr>
                  <w:tcW w:w="1514" w:type="pct"/>
                  <w:gridSpan w:val="2"/>
                  <w:vAlign w:val="center"/>
                </w:tcPr>
                <w:p w14:paraId="2AA542E3">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无组织废气排放情况</w:t>
                  </w:r>
                </w:p>
              </w:tc>
            </w:tr>
            <w:tr w14:paraId="22C03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1060" w:type="pct"/>
                  <w:vMerge w:val="continue"/>
                  <w:vAlign w:val="center"/>
                </w:tcPr>
                <w:p w14:paraId="03B41DC8">
                  <w:pPr>
                    <w:jc w:val="center"/>
                    <w:rPr>
                      <w:rFonts w:hint="default" w:ascii="Times New Roman" w:hAnsi="Times New Roman" w:cs="Times New Roman"/>
                      <w:b/>
                      <w:color w:val="auto"/>
                      <w:szCs w:val="21"/>
                    </w:rPr>
                  </w:pPr>
                </w:p>
              </w:tc>
              <w:tc>
                <w:tcPr>
                  <w:tcW w:w="928" w:type="pct"/>
                  <w:vMerge w:val="continue"/>
                  <w:vAlign w:val="center"/>
                </w:tcPr>
                <w:p w14:paraId="38E78557">
                  <w:pPr>
                    <w:jc w:val="center"/>
                    <w:rPr>
                      <w:rFonts w:hint="default" w:ascii="Times New Roman" w:hAnsi="Times New Roman" w:cs="Times New Roman"/>
                      <w:b/>
                      <w:color w:val="auto"/>
                      <w:szCs w:val="21"/>
                    </w:rPr>
                  </w:pPr>
                </w:p>
              </w:tc>
              <w:tc>
                <w:tcPr>
                  <w:tcW w:w="769" w:type="pct"/>
                  <w:vAlign w:val="center"/>
                </w:tcPr>
                <w:p w14:paraId="011A212E">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kg/h</w:t>
                  </w:r>
                </w:p>
              </w:tc>
              <w:tc>
                <w:tcPr>
                  <w:tcW w:w="727" w:type="pct"/>
                  <w:vAlign w:val="center"/>
                </w:tcPr>
                <w:p w14:paraId="72C0D736">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t/a</w:t>
                  </w:r>
                </w:p>
              </w:tc>
              <w:tc>
                <w:tcPr>
                  <w:tcW w:w="775" w:type="pct"/>
                  <w:vAlign w:val="center"/>
                </w:tcPr>
                <w:p w14:paraId="74B447F1">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kg/h</w:t>
                  </w:r>
                </w:p>
              </w:tc>
              <w:tc>
                <w:tcPr>
                  <w:tcW w:w="738" w:type="pct"/>
                  <w:vAlign w:val="center"/>
                </w:tcPr>
                <w:p w14:paraId="77BE1014">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t/a</w:t>
                  </w:r>
                </w:p>
              </w:tc>
            </w:tr>
            <w:tr w14:paraId="6B56E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60" w:type="pct"/>
                  <w:vAlign w:val="center"/>
                </w:tcPr>
                <w:p w14:paraId="05D8FB2A">
                  <w:pPr>
                    <w:jc w:val="center"/>
                    <w:rPr>
                      <w:rFonts w:hint="default" w:ascii="Times New Roman" w:hAnsi="Times New Roman" w:cs="Times New Roman"/>
                      <w:bCs/>
                      <w:color w:val="auto"/>
                      <w:szCs w:val="18"/>
                      <w:lang w:val="en-GB"/>
                    </w:rPr>
                  </w:pPr>
                  <w:r>
                    <w:rPr>
                      <w:rFonts w:hint="default" w:ascii="Times New Roman" w:hAnsi="Times New Roman" w:cs="Times New Roman"/>
                      <w:color w:val="auto"/>
                      <w:szCs w:val="21"/>
                      <w:lang w:val="en-US" w:eastAsia="zh-CN"/>
                    </w:rPr>
                    <w:t>抛丸</w:t>
                  </w:r>
                </w:p>
              </w:tc>
              <w:tc>
                <w:tcPr>
                  <w:tcW w:w="928" w:type="pct"/>
                  <w:vAlign w:val="center"/>
                </w:tcPr>
                <w:p w14:paraId="14D02576">
                  <w:pPr>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颗粒物</w:t>
                  </w:r>
                </w:p>
              </w:tc>
              <w:tc>
                <w:tcPr>
                  <w:tcW w:w="769" w:type="pct"/>
                  <w:shd w:val="clear" w:color="auto" w:fill="auto"/>
                  <w:vAlign w:val="center"/>
                </w:tcPr>
                <w:p w14:paraId="04E85B4A">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0.016</w:t>
                  </w:r>
                </w:p>
              </w:tc>
              <w:tc>
                <w:tcPr>
                  <w:tcW w:w="727" w:type="pct"/>
                  <w:shd w:val="clear" w:color="auto" w:fill="auto"/>
                  <w:vAlign w:val="center"/>
                </w:tcPr>
                <w:p w14:paraId="64717763">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0.02</w:t>
                  </w:r>
                </w:p>
              </w:tc>
              <w:tc>
                <w:tcPr>
                  <w:tcW w:w="1274" w:type="dxa"/>
                  <w:vAlign w:val="center"/>
                </w:tcPr>
                <w:p w14:paraId="65AE9882">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0.016</w:t>
                  </w:r>
                </w:p>
              </w:tc>
              <w:tc>
                <w:tcPr>
                  <w:tcW w:w="1214" w:type="dxa"/>
                  <w:vAlign w:val="center"/>
                </w:tcPr>
                <w:p w14:paraId="015DBE4C">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0.02</w:t>
                  </w:r>
                </w:p>
              </w:tc>
            </w:tr>
          </w:tbl>
          <w:p w14:paraId="56438EAB">
            <w:pPr>
              <w:pStyle w:val="31"/>
              <w:ind w:left="0" w:leftChars="0" w:firstLine="480" w:firstLineChars="200"/>
              <w:rPr>
                <w:rFonts w:hint="eastAsia" w:cs="Times New Roman" w:eastAsiaTheme="minorEastAsia"/>
                <w:color w:val="auto"/>
                <w:kern w:val="0"/>
                <w:sz w:val="24"/>
                <w:lang w:val="en-US" w:eastAsia="zh-CN"/>
              </w:rPr>
            </w:pPr>
            <w:r>
              <w:rPr>
                <w:rFonts w:hint="eastAsia" w:cs="Times New Roman"/>
                <w:bCs/>
                <w:color w:val="auto"/>
                <w:sz w:val="24"/>
                <w:lang w:eastAsia="zh-CN"/>
              </w:rPr>
              <w:t>（</w:t>
            </w:r>
            <w:r>
              <w:rPr>
                <w:rFonts w:hint="eastAsia" w:cs="Times New Roman"/>
                <w:bCs/>
                <w:color w:val="auto"/>
                <w:sz w:val="24"/>
                <w:lang w:val="en-US" w:eastAsia="zh-CN"/>
              </w:rPr>
              <w:t>2</w:t>
            </w:r>
            <w:r>
              <w:rPr>
                <w:rFonts w:hint="eastAsia" w:cs="Times New Roman"/>
                <w:bCs/>
                <w:color w:val="auto"/>
                <w:sz w:val="24"/>
                <w:lang w:eastAsia="zh-CN"/>
              </w:rPr>
              <w:t>）</w:t>
            </w:r>
            <w:r>
              <w:rPr>
                <w:rFonts w:hint="eastAsia" w:cs="Times New Roman" w:eastAsiaTheme="minorEastAsia"/>
                <w:color w:val="auto"/>
                <w:kern w:val="0"/>
                <w:sz w:val="24"/>
                <w:lang w:val="en-US" w:eastAsia="zh-CN"/>
              </w:rPr>
              <w:t>锻造脱模废气、淬火废气</w:t>
            </w:r>
          </w:p>
          <w:p w14:paraId="0FD3D089">
            <w:pPr>
              <w:widowControl/>
              <w:spacing w:line="360" w:lineRule="auto"/>
              <w:ind w:firstLine="480" w:firstLineChars="200"/>
              <w:jc w:val="left"/>
              <w:rPr>
                <w:rFonts w:hint="eastAsia" w:ascii="Times New Roman" w:hAnsi="Times New Roman" w:cs="Times New Roman"/>
                <w:color w:val="auto"/>
                <w:sz w:val="24"/>
                <w:lang w:val="en-US" w:eastAsia="zh-CN"/>
              </w:rPr>
            </w:pPr>
            <w:r>
              <w:rPr>
                <w:rFonts w:hint="default" w:ascii="Times New Roman" w:hAnsi="Times New Roman" w:cs="Times New Roman"/>
                <w:color w:val="auto"/>
                <w:sz w:val="24"/>
              </w:rPr>
              <w:t>①</w:t>
            </w:r>
            <w:r>
              <w:rPr>
                <w:rFonts w:hint="eastAsia" w:cs="Times New Roman"/>
                <w:color w:val="auto"/>
                <w:sz w:val="24"/>
                <w:lang w:val="en-US" w:eastAsia="zh-CN"/>
              </w:rPr>
              <w:t>锻造</w:t>
            </w:r>
            <w:r>
              <w:rPr>
                <w:rFonts w:hint="eastAsia" w:ascii="Times New Roman" w:hAnsi="Times New Roman" w:cs="Times New Roman"/>
                <w:color w:val="auto"/>
                <w:sz w:val="24"/>
                <w:lang w:val="en-US" w:eastAsia="zh-CN"/>
              </w:rPr>
              <w:t>工序</w:t>
            </w:r>
          </w:p>
          <w:p w14:paraId="43B6F4DF">
            <w:pPr>
              <w:pStyle w:val="42"/>
              <w:spacing w:line="360" w:lineRule="auto"/>
              <w:ind w:firstLine="480" w:firstLineChars="200"/>
              <w:rPr>
                <w:rFonts w:hint="default" w:ascii="Times New Roman" w:hAnsi="Times New Roman" w:eastAsia="宋体" w:cs="Times New Roman"/>
                <w:color w:val="auto"/>
                <w:kern w:val="2"/>
                <w:sz w:val="24"/>
                <w:szCs w:val="24"/>
                <w:lang w:val="en-US" w:eastAsia="zh-CN" w:bidi="ar-SA"/>
              </w:rPr>
            </w:pPr>
            <w:r>
              <w:rPr>
                <w:rFonts w:hint="eastAsia" w:cs="Times New Roman"/>
                <w:color w:val="auto"/>
                <w:sz w:val="24"/>
                <w:szCs w:val="24"/>
                <w:lang w:val="en-US" w:eastAsia="zh-CN"/>
              </w:rPr>
              <w:t>项目锻造时在模具内喷上一层水性脱模剂，方便锻造后脱模，锻造时采用电加热，温度1200</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vertAlign w:val="superscript"/>
                <w:lang w:val="en-US" w:eastAsia="zh-CN"/>
              </w:rPr>
              <w:t>o</w:t>
            </w:r>
            <w:r>
              <w:rPr>
                <w:rFonts w:hint="default" w:ascii="Times New Roman" w:hAnsi="Times New Roman" w:eastAsia="宋体" w:cs="Times New Roman"/>
                <w:color w:val="auto"/>
                <w:sz w:val="24"/>
                <w:szCs w:val="24"/>
                <w:lang w:val="en-US" w:eastAsia="zh-CN"/>
              </w:rPr>
              <w:t>C</w:t>
            </w:r>
            <w:r>
              <w:rPr>
                <w:rFonts w:hint="eastAsia" w:ascii="Times New Roman" w:hAnsi="Times New Roman" w:eastAsia="宋体" w:cs="Times New Roman"/>
                <w:color w:val="auto"/>
                <w:sz w:val="24"/>
                <w:szCs w:val="24"/>
                <w:lang w:val="en-US" w:eastAsia="zh-CN"/>
              </w:rPr>
              <w:t>左右。</w:t>
            </w:r>
            <w:r>
              <w:rPr>
                <w:rFonts w:hint="eastAsia" w:cs="Times New Roman"/>
                <w:bCs/>
                <w:color w:val="auto"/>
                <w:sz w:val="24"/>
                <w:szCs w:val="21"/>
                <w:lang w:eastAsia="zh-CN"/>
              </w:rPr>
              <w:t>水性脱模剂</w:t>
            </w:r>
            <w:r>
              <w:rPr>
                <w:rFonts w:hint="default" w:ascii="Times New Roman" w:hAnsi="Times New Roman" w:cs="Times New Roman"/>
                <w:bCs/>
                <w:color w:val="auto"/>
                <w:sz w:val="24"/>
                <w:szCs w:val="21"/>
              </w:rPr>
              <w:t>用量为</w:t>
            </w:r>
            <w:r>
              <w:rPr>
                <w:rFonts w:hint="default" w:ascii="Times New Roman" w:hAnsi="Times New Roman" w:cs="Times New Roman"/>
                <w:bCs/>
                <w:color w:val="auto"/>
                <w:sz w:val="24"/>
                <w:szCs w:val="21"/>
                <w:lang w:val="en-US" w:eastAsia="zh-CN"/>
              </w:rPr>
              <w:t>1</w:t>
            </w:r>
            <w:r>
              <w:rPr>
                <w:rFonts w:hint="eastAsia" w:cs="Times New Roman"/>
                <w:bCs/>
                <w:color w:val="auto"/>
                <w:sz w:val="24"/>
                <w:szCs w:val="21"/>
                <w:lang w:val="en-US" w:eastAsia="zh-CN"/>
              </w:rPr>
              <w:t>0.8</w:t>
            </w:r>
            <w:r>
              <w:rPr>
                <w:rFonts w:hint="default" w:ascii="Times New Roman" w:hAnsi="Times New Roman" w:cs="Times New Roman"/>
                <w:bCs/>
                <w:color w:val="auto"/>
                <w:sz w:val="24"/>
                <w:szCs w:val="21"/>
              </w:rPr>
              <w:t>t/a，</w:t>
            </w:r>
            <w:r>
              <w:rPr>
                <w:rFonts w:hint="default" w:ascii="Times New Roman" w:hAnsi="Times New Roman" w:cs="Times New Roman"/>
                <w:bCs/>
                <w:color w:val="auto"/>
                <w:sz w:val="24"/>
                <w:szCs w:val="21"/>
                <w:lang w:eastAsia="zh-CN"/>
              </w:rPr>
              <w:t>根据企业提供的</w:t>
            </w:r>
            <w:r>
              <w:rPr>
                <w:rFonts w:hint="eastAsia" w:cs="Times New Roman"/>
                <w:bCs/>
                <w:color w:val="auto"/>
                <w:sz w:val="24"/>
                <w:szCs w:val="21"/>
                <w:lang w:eastAsia="zh-CN"/>
              </w:rPr>
              <w:t>水性脱模剂</w:t>
            </w:r>
            <w:r>
              <w:rPr>
                <w:rFonts w:hint="default" w:ascii="Times New Roman" w:hAnsi="Times New Roman" w:cs="Times New Roman"/>
                <w:bCs/>
                <w:color w:val="auto"/>
                <w:sz w:val="24"/>
                <w:szCs w:val="21"/>
                <w:lang w:val="en-US" w:eastAsia="zh-CN"/>
              </w:rPr>
              <w:t>MSDS可知，</w:t>
            </w:r>
            <w:r>
              <w:rPr>
                <w:rFonts w:hint="default" w:ascii="Times New Roman" w:hAnsi="Times New Roman" w:eastAsia="宋体" w:cs="Times New Roman"/>
                <w:color w:val="auto"/>
                <w:sz w:val="24"/>
                <w:szCs w:val="24"/>
                <w:lang w:val="en-US" w:eastAsia="zh-CN"/>
              </w:rPr>
              <w:t>本项目</w:t>
            </w:r>
            <w:r>
              <w:rPr>
                <w:rFonts w:hint="eastAsia" w:ascii="Times New Roman" w:hAnsi="Times New Roman" w:eastAsia="宋体" w:cs="Times New Roman"/>
                <w:color w:val="auto"/>
                <w:sz w:val="24"/>
                <w:szCs w:val="24"/>
                <w:lang w:val="en-US" w:eastAsia="zh-CN"/>
              </w:rPr>
              <w:t>水性脱模剂</w:t>
            </w:r>
            <w:r>
              <w:rPr>
                <w:rFonts w:hint="default" w:ascii="Times New Roman" w:hAnsi="Times New Roman" w:eastAsia="宋体" w:cs="Times New Roman"/>
                <w:color w:val="auto"/>
                <w:sz w:val="24"/>
                <w:szCs w:val="24"/>
                <w:lang w:val="en-US" w:eastAsia="zh-CN"/>
              </w:rPr>
              <w:t>主要成分为</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聚二甲基硅氧烷</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羧酸盐</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10</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石墨、83%</w:t>
            </w:r>
            <w:r>
              <w:rPr>
                <w:rFonts w:hint="default" w:ascii="Times New Roman" w:hAnsi="Times New Roman" w:eastAsia="宋体" w:cs="Times New Roman"/>
                <w:color w:val="auto"/>
                <w:sz w:val="24"/>
                <w:szCs w:val="24"/>
                <w:lang w:val="en-US" w:eastAsia="zh-CN"/>
              </w:rPr>
              <w:t>水。</w:t>
            </w:r>
            <w:r>
              <w:rPr>
                <w:rFonts w:hint="eastAsia" w:ascii="Times New Roman" w:hAnsi="Times New Roman" w:eastAsia="宋体" w:cs="Times New Roman"/>
                <w:color w:val="auto"/>
                <w:sz w:val="24"/>
                <w:szCs w:val="24"/>
                <w:lang w:val="en-US" w:eastAsia="zh-CN"/>
              </w:rPr>
              <w:t>聚二甲基硅氧烷</w:t>
            </w:r>
            <w:r>
              <w:rPr>
                <w:rFonts w:hint="eastAsia" w:cs="Times New Roman"/>
                <w:bCs/>
                <w:color w:val="auto"/>
                <w:sz w:val="24"/>
                <w:szCs w:val="21"/>
                <w:lang w:val="en-US" w:eastAsia="zh-CN"/>
              </w:rPr>
              <w:t>沸点范围在</w:t>
            </w:r>
            <w:r>
              <w:rPr>
                <w:rFonts w:hint="eastAsia" w:ascii="Times New Roman" w:hAnsi="Times New Roman" w:eastAsia="宋体" w:cs="Times New Roman"/>
                <w:color w:val="auto"/>
                <w:sz w:val="24"/>
                <w:szCs w:val="24"/>
                <w:lang w:val="en-US" w:eastAsia="zh-CN"/>
              </w:rPr>
              <w:t>101</w:t>
            </w:r>
            <w:r>
              <w:rPr>
                <w:rFonts w:hint="eastAsia" w:ascii="Times New Roman" w:hAnsi="Times New Roman" w:eastAsia="宋体" w:cs="Times New Roman"/>
                <w:color w:val="auto"/>
                <w:sz w:val="24"/>
                <w:szCs w:val="24"/>
                <w:vertAlign w:val="superscript"/>
                <w:lang w:val="en-US" w:eastAsia="zh-CN"/>
              </w:rPr>
              <w:t>o</w:t>
            </w:r>
            <w:r>
              <w:rPr>
                <w:rFonts w:hint="eastAsia" w:ascii="Times New Roman" w:hAnsi="Times New Roman" w:eastAsia="宋体" w:cs="Times New Roman"/>
                <w:color w:val="auto"/>
                <w:sz w:val="24"/>
                <w:szCs w:val="24"/>
                <w:lang w:val="en-US" w:eastAsia="zh-CN"/>
              </w:rPr>
              <w:t>C至230</w:t>
            </w:r>
            <w:r>
              <w:rPr>
                <w:rFonts w:hint="eastAsia" w:ascii="Times New Roman" w:hAnsi="Times New Roman" w:eastAsia="宋体" w:cs="Times New Roman"/>
                <w:color w:val="auto"/>
                <w:sz w:val="24"/>
                <w:szCs w:val="24"/>
                <w:vertAlign w:val="superscript"/>
                <w:lang w:val="en-US" w:eastAsia="zh-CN"/>
              </w:rPr>
              <w:t>o</w:t>
            </w:r>
            <w:r>
              <w:rPr>
                <w:rFonts w:hint="eastAsia" w:cs="Times New Roman"/>
                <w:bCs/>
                <w:color w:val="auto"/>
                <w:sz w:val="24"/>
                <w:szCs w:val="21"/>
                <w:lang w:val="en-US" w:eastAsia="zh-CN"/>
              </w:rPr>
              <w:t>C，考虑挥发性，锻造</w:t>
            </w:r>
            <w:r>
              <w:rPr>
                <w:rFonts w:hint="eastAsia" w:ascii="Times New Roman" w:hAnsi="Times New Roman" w:eastAsia="宋体" w:cs="Times New Roman"/>
                <w:bCs/>
                <w:color w:val="auto"/>
                <w:sz w:val="24"/>
                <w:szCs w:val="21"/>
                <w:lang w:val="en-US" w:eastAsia="zh-CN"/>
              </w:rPr>
              <w:t>脱模</w:t>
            </w:r>
            <w:r>
              <w:rPr>
                <w:rFonts w:hint="default" w:ascii="Times New Roman" w:hAnsi="Times New Roman" w:eastAsia="宋体" w:cs="Times New Roman"/>
                <w:bCs/>
                <w:color w:val="auto"/>
                <w:sz w:val="24"/>
                <w:szCs w:val="21"/>
                <w:lang w:val="en-US" w:eastAsia="zh-CN"/>
              </w:rPr>
              <w:t>过程中</w:t>
            </w:r>
            <w:r>
              <w:rPr>
                <w:rFonts w:hint="eastAsia" w:cs="Times New Roman"/>
                <w:bCs/>
                <w:color w:val="auto"/>
                <w:sz w:val="24"/>
                <w:szCs w:val="21"/>
                <w:lang w:val="en-US" w:eastAsia="zh-CN"/>
              </w:rPr>
              <w:t>‌</w:t>
            </w:r>
            <w:r>
              <w:rPr>
                <w:rFonts w:hint="eastAsia" w:ascii="Times New Roman" w:hAnsi="Times New Roman" w:eastAsia="宋体" w:cs="Times New Roman"/>
                <w:color w:val="auto"/>
                <w:sz w:val="24"/>
                <w:szCs w:val="24"/>
                <w:lang w:val="en-US" w:eastAsia="zh-CN"/>
              </w:rPr>
              <w:t>羧酸盐</w:t>
            </w:r>
            <w:r>
              <w:rPr>
                <w:rFonts w:hint="default" w:ascii="Times New Roman" w:hAnsi="Times New Roman" w:eastAsia="宋体" w:cs="Times New Roman"/>
                <w:bCs/>
                <w:color w:val="auto"/>
                <w:sz w:val="24"/>
                <w:szCs w:val="21"/>
                <w:lang w:val="en-US" w:eastAsia="zh-CN"/>
              </w:rPr>
              <w:t>受热</w:t>
            </w:r>
            <w:r>
              <w:rPr>
                <w:rFonts w:hint="default" w:ascii="Times New Roman" w:hAnsi="Times New Roman" w:cs="Times New Roman"/>
                <w:color w:val="auto"/>
                <w:sz w:val="24"/>
                <w:lang w:eastAsia="zh-CN"/>
              </w:rPr>
              <w:t>挥发，形成油雾状废气，以非甲烷总烃计。</w:t>
            </w:r>
            <w:r>
              <w:rPr>
                <w:rFonts w:hint="default" w:ascii="Times New Roman" w:hAnsi="Times New Roman" w:cs="Times New Roman"/>
                <w:color w:val="auto"/>
                <w:spacing w:val="0"/>
                <w:kern w:val="2"/>
                <w:sz w:val="24"/>
                <w:szCs w:val="24"/>
                <w:lang w:val="en-US" w:eastAsia="zh-CN" w:bidi="ar-SA"/>
              </w:rPr>
              <w:t>根据成分可知，本环评按最不利情况下考虑</w:t>
            </w:r>
            <w:r>
              <w:rPr>
                <w:rFonts w:hint="default" w:ascii="Times New Roman" w:hAnsi="Times New Roman" w:cs="Times New Roman"/>
                <w:bCs/>
                <w:color w:val="auto"/>
                <w:sz w:val="24"/>
                <w:szCs w:val="21"/>
              </w:rPr>
              <w:t>VOCs</w:t>
            </w:r>
            <w:r>
              <w:rPr>
                <w:rFonts w:hint="default" w:ascii="Times New Roman" w:hAnsi="Times New Roman" w:cs="Times New Roman"/>
                <w:bCs/>
                <w:color w:val="auto"/>
                <w:sz w:val="24"/>
                <w:szCs w:val="21"/>
                <w:lang w:eastAsia="zh-CN"/>
              </w:rPr>
              <w:t>全部</w:t>
            </w:r>
            <w:r>
              <w:rPr>
                <w:rFonts w:hint="default" w:ascii="Times New Roman" w:hAnsi="Times New Roman" w:eastAsia="宋体" w:cs="Times New Roman"/>
                <w:color w:val="auto"/>
                <w:kern w:val="2"/>
                <w:sz w:val="24"/>
                <w:szCs w:val="24"/>
                <w:lang w:val="en-US" w:eastAsia="zh-CN" w:bidi="ar-SA"/>
              </w:rPr>
              <w:t>挥发计，VOCs含量约</w:t>
            </w:r>
            <w:r>
              <w:rPr>
                <w:rFonts w:hint="eastAsia" w:cs="Times New Roman"/>
                <w:color w:val="auto"/>
                <w:kern w:val="2"/>
                <w:sz w:val="24"/>
                <w:szCs w:val="24"/>
                <w:lang w:val="en-US" w:eastAsia="zh-CN" w:bidi="ar-SA"/>
              </w:rPr>
              <w:t>7</w:t>
            </w:r>
            <w:r>
              <w:rPr>
                <w:rFonts w:hint="default" w:ascii="Times New Roman" w:hAnsi="Times New Roman" w:eastAsia="宋体" w:cs="Times New Roman"/>
                <w:color w:val="auto"/>
                <w:kern w:val="2"/>
                <w:sz w:val="24"/>
                <w:szCs w:val="24"/>
                <w:lang w:val="en-US" w:eastAsia="zh-CN" w:bidi="ar-SA"/>
              </w:rPr>
              <w:t>%，因此脱膜工序非甲烷总烃产生量为</w:t>
            </w:r>
            <w:r>
              <w:rPr>
                <w:rFonts w:hint="eastAsia" w:eastAsia="宋体" w:cs="Times New Roman"/>
                <w:color w:val="auto"/>
                <w:kern w:val="2"/>
                <w:sz w:val="24"/>
                <w:szCs w:val="24"/>
                <w:lang w:val="en-US" w:eastAsia="zh-CN" w:bidi="ar-SA"/>
              </w:rPr>
              <w:t>10.8</w:t>
            </w:r>
            <w:r>
              <w:rPr>
                <w:rFonts w:hint="default" w:ascii="Times New Roman" w:hAnsi="Times New Roman" w:cs="Times New Roman"/>
                <w:color w:val="auto"/>
                <w:sz w:val="24"/>
              </w:rPr>
              <w:t>×</w:t>
            </w:r>
            <w:r>
              <w:rPr>
                <w:rFonts w:hint="eastAsia" w:cs="Times New Roman"/>
                <w:color w:val="auto"/>
                <w:sz w:val="24"/>
                <w:lang w:val="en-US" w:eastAsia="zh-CN"/>
              </w:rPr>
              <w:t>7</w:t>
            </w:r>
            <w:r>
              <w:rPr>
                <w:rFonts w:hint="eastAsia" w:ascii="Times New Roman" w:hAnsi="Times New Roman" w:cs="Times New Roman"/>
                <w:color w:val="auto"/>
                <w:sz w:val="24"/>
                <w:lang w:val="en-US" w:eastAsia="zh-CN"/>
              </w:rPr>
              <w:t>%=</w:t>
            </w:r>
            <w:r>
              <w:rPr>
                <w:rFonts w:hint="eastAsia" w:cs="Times New Roman"/>
                <w:color w:val="auto"/>
                <w:kern w:val="2"/>
                <w:sz w:val="24"/>
                <w:szCs w:val="24"/>
                <w:lang w:val="en-US" w:eastAsia="zh-CN" w:bidi="ar-SA"/>
              </w:rPr>
              <w:t>0.756</w:t>
            </w:r>
            <w:r>
              <w:rPr>
                <w:rFonts w:hint="default" w:ascii="Times New Roman" w:hAnsi="Times New Roman" w:eastAsia="宋体" w:cs="Times New Roman"/>
                <w:color w:val="auto"/>
                <w:kern w:val="2"/>
                <w:sz w:val="24"/>
                <w:szCs w:val="24"/>
                <w:lang w:val="en-US" w:eastAsia="zh-CN" w:bidi="ar-SA"/>
              </w:rPr>
              <w:t>t/a。</w:t>
            </w:r>
            <w:r>
              <w:rPr>
                <w:rFonts w:hint="eastAsia" w:cs="Times New Roman"/>
                <w:color w:val="auto"/>
                <w:kern w:val="2"/>
                <w:sz w:val="24"/>
                <w:szCs w:val="24"/>
                <w:lang w:val="en-US" w:eastAsia="zh-CN"/>
              </w:rPr>
              <w:t>锻造</w:t>
            </w:r>
            <w:r>
              <w:rPr>
                <w:rFonts w:hint="default" w:ascii="Times New Roman" w:hAnsi="Times New Roman" w:cs="Times New Roman"/>
                <w:color w:val="auto"/>
                <w:kern w:val="2"/>
                <w:sz w:val="24"/>
                <w:szCs w:val="24"/>
                <w:lang w:eastAsia="zh-CN"/>
              </w:rPr>
              <w:t>工段</w:t>
            </w:r>
            <w:r>
              <w:rPr>
                <w:rFonts w:hint="default" w:ascii="Times New Roman" w:hAnsi="Times New Roman" w:eastAsia="宋体" w:cs="Times New Roman"/>
                <w:color w:val="auto"/>
                <w:spacing w:val="0"/>
                <w:sz w:val="24"/>
                <w:szCs w:val="24"/>
                <w:highlight w:val="none"/>
                <w:lang w:val="en-US" w:eastAsia="zh-CN"/>
              </w:rPr>
              <w:t>工况时间为</w:t>
            </w:r>
            <w:r>
              <w:rPr>
                <w:rFonts w:hint="eastAsia" w:eastAsia="宋体" w:cs="Times New Roman"/>
                <w:color w:val="auto"/>
                <w:spacing w:val="0"/>
                <w:sz w:val="24"/>
                <w:szCs w:val="24"/>
                <w:highlight w:val="none"/>
                <w:lang w:val="en-US" w:eastAsia="zh-CN"/>
              </w:rPr>
              <w:t>16</w:t>
            </w:r>
            <w:r>
              <w:rPr>
                <w:rFonts w:hint="default" w:ascii="Times New Roman" w:hAnsi="Times New Roman" w:eastAsia="宋体" w:cs="Times New Roman"/>
                <w:color w:val="auto"/>
                <w:spacing w:val="0"/>
                <w:sz w:val="24"/>
                <w:szCs w:val="24"/>
                <w:highlight w:val="none"/>
                <w:lang w:val="en-US" w:eastAsia="zh-CN"/>
              </w:rPr>
              <w:t>h/d，年工作3</w:t>
            </w:r>
            <w:r>
              <w:rPr>
                <w:rFonts w:hint="eastAsia" w:eastAsia="宋体" w:cs="Times New Roman"/>
                <w:color w:val="auto"/>
                <w:spacing w:val="0"/>
                <w:sz w:val="24"/>
                <w:szCs w:val="24"/>
                <w:highlight w:val="none"/>
                <w:lang w:val="en-US" w:eastAsia="zh-CN"/>
              </w:rPr>
              <w:t>2</w:t>
            </w:r>
            <w:r>
              <w:rPr>
                <w:rFonts w:hint="default" w:ascii="Times New Roman" w:hAnsi="Times New Roman" w:eastAsia="宋体" w:cs="Times New Roman"/>
                <w:color w:val="auto"/>
                <w:spacing w:val="0"/>
                <w:sz w:val="24"/>
                <w:szCs w:val="24"/>
                <w:highlight w:val="none"/>
                <w:lang w:val="en-US" w:eastAsia="zh-CN"/>
              </w:rPr>
              <w:t>0天。</w:t>
            </w:r>
          </w:p>
          <w:p w14:paraId="07A78527">
            <w:pPr>
              <w:widowControl/>
              <w:spacing w:line="360" w:lineRule="auto"/>
              <w:ind w:firstLine="480" w:firstLineChars="200"/>
              <w:jc w:val="left"/>
              <w:rPr>
                <w:rFonts w:hint="eastAsia" w:ascii="Times New Roman" w:hAnsi="Times New Roman" w:cs="Times New Roman"/>
                <w:color w:val="auto"/>
                <w:sz w:val="24"/>
                <w:lang w:val="en-US" w:eastAsia="zh-CN"/>
              </w:rPr>
            </w:pPr>
            <w:r>
              <w:rPr>
                <w:rFonts w:hint="default" w:ascii="Times New Roman" w:hAnsi="Times New Roman" w:eastAsia="宋体" w:cs="Times New Roman"/>
                <w:color w:val="auto"/>
                <w:sz w:val="24"/>
                <w:lang w:val="en-US" w:eastAsia="zh-CN"/>
              </w:rPr>
              <w:t>②</w:t>
            </w:r>
            <w:r>
              <w:rPr>
                <w:rFonts w:hint="eastAsia" w:ascii="Times New Roman" w:hAnsi="Times New Roman" w:cs="Times New Roman"/>
                <w:color w:val="auto"/>
                <w:sz w:val="24"/>
                <w:lang w:val="en-US" w:eastAsia="zh-CN"/>
              </w:rPr>
              <w:t>淬火工序</w:t>
            </w:r>
          </w:p>
          <w:p w14:paraId="17B8ABB3">
            <w:pPr>
              <w:widowControl/>
              <w:spacing w:line="360" w:lineRule="auto"/>
              <w:ind w:firstLine="480" w:firstLineChars="200"/>
              <w:rPr>
                <w:rFonts w:hint="default" w:cs="Times New Roman"/>
                <w:color w:val="auto"/>
                <w:spacing w:val="6"/>
                <w:sz w:val="21"/>
                <w:szCs w:val="21"/>
                <w:lang w:val="en-US" w:eastAsia="zh-CN"/>
              </w:rPr>
            </w:pPr>
            <w:r>
              <w:rPr>
                <w:rFonts w:hint="eastAsia" w:ascii="Times New Roman" w:hAnsi="Times New Roman" w:eastAsia="宋体" w:cs="Times New Roman"/>
                <w:color w:val="auto"/>
                <w:kern w:val="0"/>
                <w:sz w:val="24"/>
                <w:lang w:val="en-US" w:eastAsia="zh-CN"/>
              </w:rPr>
              <w:t>项目淬火工序需使用水性淬火液，</w:t>
            </w:r>
            <w:r>
              <w:rPr>
                <w:rFonts w:hint="default" w:ascii="Times New Roman" w:hAnsi="Times New Roman" w:eastAsia="宋体" w:cs="Times New Roman"/>
                <w:color w:val="auto"/>
                <w:kern w:val="0"/>
                <w:sz w:val="24"/>
                <w:lang w:val="en-US" w:eastAsia="zh-CN"/>
              </w:rPr>
              <w:t>根据企业提供的</w:t>
            </w:r>
            <w:r>
              <w:rPr>
                <w:rFonts w:hint="eastAsia" w:ascii="Times New Roman" w:hAnsi="Times New Roman" w:eastAsia="宋体" w:cs="Times New Roman"/>
                <w:color w:val="auto"/>
                <w:kern w:val="0"/>
                <w:sz w:val="24"/>
                <w:lang w:val="en-US" w:eastAsia="zh-CN"/>
              </w:rPr>
              <w:t>水性淬火液</w:t>
            </w:r>
            <w:r>
              <w:rPr>
                <w:rFonts w:hint="default" w:ascii="Times New Roman" w:hAnsi="Times New Roman" w:eastAsia="宋体" w:cs="Times New Roman"/>
                <w:color w:val="auto"/>
                <w:kern w:val="0"/>
                <w:sz w:val="24"/>
                <w:lang w:val="en-US" w:eastAsia="zh-CN"/>
              </w:rPr>
              <w:t>MSDS可知，本项目</w:t>
            </w:r>
            <w:r>
              <w:rPr>
                <w:rFonts w:hint="eastAsia" w:ascii="Times New Roman" w:hAnsi="Times New Roman" w:eastAsia="宋体" w:cs="Times New Roman"/>
                <w:color w:val="auto"/>
                <w:kern w:val="0"/>
                <w:sz w:val="24"/>
                <w:lang w:val="en-US" w:eastAsia="zh-CN"/>
              </w:rPr>
              <w:t>水性淬火液</w:t>
            </w:r>
            <w:r>
              <w:rPr>
                <w:rFonts w:hint="default" w:ascii="Times New Roman" w:hAnsi="Times New Roman" w:eastAsia="宋体" w:cs="Times New Roman"/>
                <w:color w:val="auto"/>
                <w:kern w:val="0"/>
                <w:sz w:val="24"/>
                <w:lang w:val="en-US" w:eastAsia="zh-CN"/>
              </w:rPr>
              <w:t>主要成分为</w:t>
            </w:r>
            <w:r>
              <w:rPr>
                <w:rFonts w:hint="eastAsia" w:ascii="Times New Roman" w:hAnsi="Times New Roman" w:eastAsia="宋体" w:cs="Times New Roman"/>
                <w:color w:val="auto"/>
                <w:kern w:val="0"/>
                <w:sz w:val="24"/>
                <w:lang w:val="en-US" w:eastAsia="zh-CN"/>
              </w:rPr>
              <w:t>60</w:t>
            </w:r>
            <w:r>
              <w:rPr>
                <w:rFonts w:hint="default" w:ascii="Times New Roman" w:hAnsi="Times New Roman" w:eastAsia="宋体" w:cs="Times New Roman"/>
                <w:color w:val="auto"/>
                <w:kern w:val="0"/>
                <w:sz w:val="24"/>
                <w:lang w:val="en-US" w:eastAsia="zh-CN"/>
              </w:rPr>
              <w:t>%</w:t>
            </w:r>
            <w:r>
              <w:rPr>
                <w:rFonts w:hint="eastAsia" w:ascii="Times New Roman" w:hAnsi="Times New Roman" w:eastAsia="宋体" w:cs="Times New Roman"/>
                <w:color w:val="auto"/>
                <w:kern w:val="0"/>
                <w:sz w:val="24"/>
                <w:lang w:val="en-US" w:eastAsia="zh-CN"/>
              </w:rPr>
              <w:t>聚烷基醇</w:t>
            </w:r>
            <w:r>
              <w:rPr>
                <w:rFonts w:hint="default" w:ascii="Times New Roman" w:hAnsi="Times New Roman" w:eastAsia="宋体" w:cs="Times New Roman"/>
                <w:color w:val="auto"/>
                <w:kern w:val="0"/>
                <w:sz w:val="24"/>
                <w:lang w:val="en-US" w:eastAsia="zh-CN"/>
              </w:rPr>
              <w:t>、</w:t>
            </w:r>
            <w:r>
              <w:rPr>
                <w:rFonts w:hint="eastAsia" w:ascii="Times New Roman" w:hAnsi="Times New Roman" w:eastAsia="宋体" w:cs="Times New Roman"/>
                <w:color w:val="auto"/>
                <w:kern w:val="0"/>
                <w:sz w:val="24"/>
                <w:lang w:val="en-US" w:eastAsia="zh-CN"/>
              </w:rPr>
              <w:t>1</w:t>
            </w:r>
            <w:r>
              <w:rPr>
                <w:rFonts w:hint="default" w:ascii="Times New Roman" w:hAnsi="Times New Roman" w:eastAsia="宋体" w:cs="Times New Roman"/>
                <w:color w:val="auto"/>
                <w:kern w:val="0"/>
                <w:sz w:val="24"/>
                <w:lang w:val="en-US" w:eastAsia="zh-CN"/>
              </w:rPr>
              <w:t>%</w:t>
            </w:r>
            <w:r>
              <w:rPr>
                <w:rFonts w:hint="eastAsia" w:ascii="Times New Roman" w:hAnsi="Times New Roman" w:eastAsia="宋体" w:cs="Times New Roman"/>
                <w:color w:val="auto"/>
                <w:kern w:val="0"/>
                <w:sz w:val="24"/>
                <w:lang w:val="en-US" w:eastAsia="zh-CN"/>
              </w:rPr>
              <w:t>杀菌剂</w:t>
            </w:r>
            <w:r>
              <w:rPr>
                <w:rFonts w:hint="default" w:ascii="Times New Roman" w:hAnsi="Times New Roman" w:eastAsia="宋体" w:cs="Times New Roman"/>
                <w:color w:val="auto"/>
                <w:kern w:val="0"/>
                <w:sz w:val="24"/>
                <w:lang w:val="en-US" w:eastAsia="zh-CN"/>
              </w:rPr>
              <w:t>、</w:t>
            </w:r>
            <w:r>
              <w:rPr>
                <w:rFonts w:hint="eastAsia" w:ascii="Times New Roman" w:hAnsi="Times New Roman" w:eastAsia="宋体" w:cs="Times New Roman"/>
                <w:color w:val="auto"/>
                <w:kern w:val="0"/>
                <w:sz w:val="24"/>
                <w:lang w:val="en-US" w:eastAsia="zh-CN"/>
              </w:rPr>
              <w:t>1</w:t>
            </w:r>
            <w:r>
              <w:rPr>
                <w:rFonts w:hint="default" w:ascii="Times New Roman" w:hAnsi="Times New Roman" w:eastAsia="宋体" w:cs="Times New Roman"/>
                <w:color w:val="auto"/>
                <w:kern w:val="0"/>
                <w:sz w:val="24"/>
                <w:lang w:val="en-US" w:eastAsia="zh-CN"/>
              </w:rPr>
              <w:t>%</w:t>
            </w:r>
            <w:r>
              <w:rPr>
                <w:rFonts w:hint="eastAsia" w:ascii="Times New Roman" w:hAnsi="Times New Roman" w:eastAsia="宋体" w:cs="Times New Roman"/>
                <w:color w:val="auto"/>
                <w:kern w:val="0"/>
                <w:sz w:val="24"/>
                <w:lang w:val="en-US" w:eastAsia="zh-CN"/>
              </w:rPr>
              <w:t>非铁重金属减活化剂、5</w:t>
            </w:r>
            <w:r>
              <w:rPr>
                <w:rFonts w:hint="default" w:ascii="Times New Roman" w:hAnsi="Times New Roman" w:eastAsia="宋体" w:cs="Times New Roman"/>
                <w:color w:val="auto"/>
                <w:kern w:val="0"/>
                <w:sz w:val="24"/>
                <w:lang w:val="en-US" w:eastAsia="zh-CN"/>
              </w:rPr>
              <w:t>%</w:t>
            </w:r>
            <w:r>
              <w:rPr>
                <w:rFonts w:hint="eastAsia" w:ascii="Times New Roman" w:hAnsi="Times New Roman" w:eastAsia="宋体" w:cs="Times New Roman"/>
                <w:color w:val="auto"/>
                <w:kern w:val="0"/>
                <w:sz w:val="24"/>
                <w:lang w:val="en-US" w:eastAsia="zh-CN"/>
              </w:rPr>
              <w:t>乙酸、10</w:t>
            </w:r>
            <w:r>
              <w:rPr>
                <w:rFonts w:hint="default" w:ascii="Times New Roman" w:hAnsi="Times New Roman" w:eastAsia="宋体" w:cs="Times New Roman"/>
                <w:color w:val="auto"/>
                <w:kern w:val="0"/>
                <w:sz w:val="24"/>
                <w:lang w:val="en-US" w:eastAsia="zh-CN"/>
              </w:rPr>
              <w:t>%</w:t>
            </w:r>
            <w:r>
              <w:rPr>
                <w:rFonts w:hint="eastAsia" w:ascii="Times New Roman" w:hAnsi="Times New Roman" w:eastAsia="宋体" w:cs="Times New Roman"/>
                <w:color w:val="auto"/>
                <w:kern w:val="0"/>
                <w:sz w:val="24"/>
                <w:lang w:val="en-US" w:eastAsia="zh-CN"/>
              </w:rPr>
              <w:t>甲胺、23%水</w:t>
            </w:r>
            <w:r>
              <w:rPr>
                <w:rFonts w:hint="eastAsia" w:cs="Times New Roman"/>
                <w:color w:val="auto"/>
                <w:kern w:val="0"/>
                <w:sz w:val="24"/>
                <w:lang w:val="en-US" w:eastAsia="zh-CN"/>
              </w:rPr>
              <w:t>。根据成分可知，本项目使用淬火介质为淬火液和自来水配比的混合溶液，不属于淬火油，因此不产生油雾，污染物为挥发性有机物（以非甲烷总烃计）。</w:t>
            </w:r>
          </w:p>
          <w:p w14:paraId="439B1D88">
            <w:pPr>
              <w:widowControl/>
              <w:spacing w:line="360" w:lineRule="auto"/>
              <w:ind w:firstLine="480" w:firstLineChars="200"/>
              <w:rPr>
                <w:rFonts w:hint="default" w:ascii="Times New Roman" w:hAnsi="Times New Roman" w:eastAsia="宋体" w:cs="Times New Roman"/>
                <w:color w:val="auto"/>
                <w:kern w:val="0"/>
                <w:sz w:val="24"/>
                <w:lang w:val="en-US" w:eastAsia="zh-CN"/>
              </w:rPr>
            </w:pPr>
            <w:r>
              <w:rPr>
                <w:rFonts w:hint="eastAsia" w:ascii="Times New Roman" w:hAnsi="Times New Roman" w:eastAsia="宋体" w:cs="Times New Roman"/>
                <w:color w:val="auto"/>
                <w:kern w:val="0"/>
                <w:sz w:val="24"/>
                <w:lang w:val="en-US" w:eastAsia="zh-CN"/>
              </w:rPr>
              <w:t>《排放源统计调查产排污核算方法和系数手册》中无</w:t>
            </w:r>
            <w:r>
              <w:rPr>
                <w:rFonts w:hint="eastAsia" w:cs="Times New Roman"/>
                <w:color w:val="auto"/>
                <w:kern w:val="0"/>
                <w:sz w:val="24"/>
                <w:lang w:val="en-US" w:eastAsia="zh-CN"/>
              </w:rPr>
              <w:t>淬火液</w:t>
            </w:r>
            <w:r>
              <w:rPr>
                <w:rFonts w:hint="eastAsia" w:ascii="Times New Roman" w:hAnsi="Times New Roman" w:eastAsia="宋体" w:cs="Times New Roman"/>
                <w:color w:val="auto"/>
                <w:kern w:val="0"/>
                <w:sz w:val="24"/>
                <w:lang w:val="en-US" w:eastAsia="zh-CN"/>
              </w:rPr>
              <w:t>产污系数，</w:t>
            </w:r>
            <w:r>
              <w:rPr>
                <w:rFonts w:hint="eastAsia" w:cs="Times New Roman"/>
                <w:color w:val="auto"/>
                <w:kern w:val="0"/>
                <w:sz w:val="24"/>
                <w:lang w:val="en-US" w:eastAsia="zh-CN"/>
              </w:rPr>
              <w:t>仅有淬火油产污系数，故</w:t>
            </w:r>
            <w:r>
              <w:rPr>
                <w:rFonts w:hint="eastAsia" w:ascii="Times New Roman" w:hAnsi="Times New Roman" w:eastAsia="宋体" w:cs="Times New Roman"/>
                <w:color w:val="auto"/>
                <w:kern w:val="0"/>
                <w:sz w:val="24"/>
                <w:lang w:val="en-US" w:eastAsia="zh-CN"/>
              </w:rPr>
              <w:t>本次淬火废气参照《排放源统计调查产排污核算方法和系数手册》中</w:t>
            </w:r>
            <w:r>
              <w:rPr>
                <w:rFonts w:hint="default" w:ascii="Times New Roman" w:hAnsi="Times New Roman" w:eastAsia="宋体" w:cs="Times New Roman"/>
                <w:color w:val="auto"/>
                <w:kern w:val="0"/>
                <w:sz w:val="24"/>
                <w:lang w:val="en-US" w:eastAsia="zh-CN"/>
              </w:rPr>
              <w:t>“33</w:t>
            </w:r>
            <w:r>
              <w:rPr>
                <w:rFonts w:hint="eastAsia" w:ascii="Times New Roman" w:hAnsi="Times New Roman" w:eastAsia="宋体" w:cs="Times New Roman"/>
                <w:color w:val="auto"/>
                <w:kern w:val="0"/>
                <w:sz w:val="24"/>
                <w:lang w:val="en-US" w:eastAsia="zh-CN"/>
              </w:rPr>
              <w:t>金属制品业、</w:t>
            </w:r>
            <w:r>
              <w:rPr>
                <w:rFonts w:hint="default" w:ascii="Times New Roman" w:hAnsi="Times New Roman" w:eastAsia="宋体" w:cs="Times New Roman"/>
                <w:color w:val="auto"/>
                <w:kern w:val="0"/>
                <w:sz w:val="24"/>
                <w:lang w:val="en-US" w:eastAsia="zh-CN"/>
              </w:rPr>
              <w:t>34</w:t>
            </w:r>
            <w:r>
              <w:rPr>
                <w:rFonts w:hint="eastAsia" w:ascii="Times New Roman" w:hAnsi="Times New Roman" w:eastAsia="宋体" w:cs="Times New Roman"/>
                <w:color w:val="auto"/>
                <w:kern w:val="0"/>
                <w:sz w:val="24"/>
                <w:lang w:val="en-US" w:eastAsia="zh-CN"/>
              </w:rPr>
              <w:t>通用设备制造业、</w:t>
            </w:r>
            <w:r>
              <w:rPr>
                <w:rFonts w:hint="default" w:ascii="Times New Roman" w:hAnsi="Times New Roman" w:eastAsia="宋体" w:cs="Times New Roman"/>
                <w:color w:val="auto"/>
                <w:kern w:val="0"/>
                <w:sz w:val="24"/>
                <w:lang w:val="en-US" w:eastAsia="zh-CN"/>
              </w:rPr>
              <w:t>35</w:t>
            </w:r>
            <w:r>
              <w:rPr>
                <w:rFonts w:hint="eastAsia" w:ascii="Times New Roman" w:hAnsi="Times New Roman" w:eastAsia="宋体" w:cs="Times New Roman"/>
                <w:color w:val="auto"/>
                <w:kern w:val="0"/>
                <w:sz w:val="24"/>
                <w:lang w:val="en-US" w:eastAsia="zh-CN"/>
              </w:rPr>
              <w:t>专用设备制造业、</w:t>
            </w:r>
            <w:r>
              <w:rPr>
                <w:rFonts w:hint="default" w:ascii="Times New Roman" w:hAnsi="Times New Roman" w:eastAsia="宋体" w:cs="Times New Roman"/>
                <w:color w:val="auto"/>
                <w:kern w:val="0"/>
                <w:sz w:val="24"/>
                <w:lang w:val="en-US" w:eastAsia="zh-CN"/>
              </w:rPr>
              <w:t>36</w:t>
            </w:r>
            <w:r>
              <w:rPr>
                <w:rFonts w:hint="eastAsia" w:ascii="Times New Roman" w:hAnsi="Times New Roman" w:eastAsia="宋体" w:cs="Times New Roman"/>
                <w:color w:val="auto"/>
                <w:kern w:val="0"/>
                <w:sz w:val="24"/>
                <w:lang w:val="en-US" w:eastAsia="zh-CN"/>
              </w:rPr>
              <w:t>汽车制造业、</w:t>
            </w:r>
            <w:r>
              <w:rPr>
                <w:rFonts w:hint="default" w:ascii="Times New Roman" w:hAnsi="Times New Roman" w:eastAsia="宋体" w:cs="Times New Roman"/>
                <w:color w:val="auto"/>
                <w:kern w:val="0"/>
                <w:sz w:val="24"/>
                <w:lang w:val="en-US" w:eastAsia="zh-CN"/>
              </w:rPr>
              <w:t>37</w:t>
            </w:r>
            <w:r>
              <w:rPr>
                <w:rFonts w:hint="eastAsia" w:ascii="Times New Roman" w:hAnsi="Times New Roman" w:eastAsia="宋体" w:cs="Times New Roman"/>
                <w:color w:val="auto"/>
                <w:kern w:val="0"/>
                <w:sz w:val="24"/>
                <w:lang w:val="en-US" w:eastAsia="zh-CN"/>
              </w:rPr>
              <w:t>铁路、船舶、航空航天和其他运输设备制造业、</w:t>
            </w:r>
            <w:r>
              <w:rPr>
                <w:rFonts w:hint="default" w:ascii="Times New Roman" w:hAnsi="Times New Roman" w:eastAsia="宋体" w:cs="Times New Roman"/>
                <w:color w:val="auto"/>
                <w:kern w:val="0"/>
                <w:sz w:val="24"/>
                <w:lang w:val="en-US" w:eastAsia="zh-CN"/>
              </w:rPr>
              <w:t>431</w:t>
            </w:r>
            <w:r>
              <w:rPr>
                <w:rFonts w:hint="eastAsia" w:ascii="Times New Roman" w:hAnsi="Times New Roman" w:eastAsia="宋体" w:cs="Times New Roman"/>
                <w:color w:val="auto"/>
                <w:kern w:val="0"/>
                <w:sz w:val="24"/>
                <w:lang w:val="en-US" w:eastAsia="zh-CN"/>
              </w:rPr>
              <w:t>金属制品修理、</w:t>
            </w:r>
            <w:r>
              <w:rPr>
                <w:rFonts w:hint="default" w:ascii="Times New Roman" w:hAnsi="Times New Roman" w:eastAsia="宋体" w:cs="Times New Roman"/>
                <w:color w:val="auto"/>
                <w:kern w:val="0"/>
                <w:sz w:val="24"/>
                <w:lang w:val="en-US" w:eastAsia="zh-CN"/>
              </w:rPr>
              <w:t>432</w:t>
            </w:r>
            <w:r>
              <w:rPr>
                <w:rFonts w:hint="eastAsia" w:ascii="Times New Roman" w:hAnsi="Times New Roman" w:eastAsia="宋体" w:cs="Times New Roman"/>
                <w:color w:val="auto"/>
                <w:kern w:val="0"/>
                <w:sz w:val="24"/>
                <w:lang w:val="en-US" w:eastAsia="zh-CN"/>
              </w:rPr>
              <w:t>通用设备修理、</w:t>
            </w:r>
            <w:r>
              <w:rPr>
                <w:rFonts w:hint="default" w:ascii="Times New Roman" w:hAnsi="Times New Roman" w:eastAsia="宋体" w:cs="Times New Roman"/>
                <w:color w:val="auto"/>
                <w:kern w:val="0"/>
                <w:sz w:val="24"/>
                <w:lang w:val="en-US" w:eastAsia="zh-CN"/>
              </w:rPr>
              <w:t xml:space="preserve">433 </w:t>
            </w:r>
            <w:r>
              <w:rPr>
                <w:rFonts w:hint="eastAsia" w:ascii="Times New Roman" w:hAnsi="Times New Roman" w:eastAsia="宋体" w:cs="Times New Roman"/>
                <w:color w:val="auto"/>
                <w:kern w:val="0"/>
                <w:sz w:val="24"/>
                <w:lang w:val="en-US" w:eastAsia="zh-CN"/>
              </w:rPr>
              <w:t>专用设备修理、</w:t>
            </w:r>
            <w:r>
              <w:rPr>
                <w:rFonts w:hint="default" w:ascii="Times New Roman" w:hAnsi="Times New Roman" w:eastAsia="宋体" w:cs="Times New Roman"/>
                <w:color w:val="auto"/>
                <w:kern w:val="0"/>
                <w:sz w:val="24"/>
                <w:lang w:val="en-US" w:eastAsia="zh-CN"/>
              </w:rPr>
              <w:t>434</w:t>
            </w:r>
            <w:r>
              <w:rPr>
                <w:rFonts w:hint="eastAsia" w:ascii="Times New Roman" w:hAnsi="Times New Roman" w:eastAsia="宋体" w:cs="Times New Roman"/>
                <w:color w:val="auto"/>
                <w:kern w:val="0"/>
                <w:sz w:val="24"/>
                <w:lang w:val="en-US" w:eastAsia="zh-CN"/>
              </w:rPr>
              <w:t>铁路、船舶、航空航天等运输设备修理（不包括电镀工艺）</w:t>
            </w:r>
            <w:r>
              <w:rPr>
                <w:rFonts w:hint="default" w:ascii="Times New Roman" w:hAnsi="Times New Roman" w:eastAsia="宋体" w:cs="Times New Roman"/>
                <w:color w:val="auto"/>
                <w:kern w:val="0"/>
                <w:sz w:val="24"/>
                <w:lang w:val="en-US" w:eastAsia="zh-CN"/>
              </w:rPr>
              <w:t>”</w:t>
            </w:r>
            <w:r>
              <w:rPr>
                <w:rFonts w:hint="eastAsia" w:ascii="Times New Roman" w:hAnsi="Times New Roman" w:eastAsia="宋体" w:cs="Times New Roman"/>
                <w:color w:val="auto"/>
                <w:kern w:val="0"/>
                <w:sz w:val="24"/>
                <w:lang w:val="en-US" w:eastAsia="zh-CN"/>
              </w:rPr>
              <w:t>中</w:t>
            </w:r>
            <w:r>
              <w:rPr>
                <w:rFonts w:hint="default" w:ascii="Times New Roman" w:hAnsi="Times New Roman" w:eastAsia="宋体" w:cs="Times New Roman"/>
                <w:color w:val="auto"/>
                <w:kern w:val="0"/>
                <w:sz w:val="24"/>
                <w:lang w:val="en-US" w:eastAsia="zh-CN"/>
              </w:rPr>
              <w:t>“12</w:t>
            </w:r>
            <w:r>
              <w:rPr>
                <w:rFonts w:hint="eastAsia" w:ascii="Times New Roman" w:hAnsi="Times New Roman" w:eastAsia="宋体" w:cs="Times New Roman"/>
                <w:color w:val="auto"/>
                <w:kern w:val="0"/>
                <w:sz w:val="24"/>
                <w:lang w:val="en-US" w:eastAsia="zh-CN"/>
              </w:rPr>
              <w:t>热处理</w:t>
            </w:r>
            <w:r>
              <w:rPr>
                <w:rFonts w:hint="default" w:ascii="Times New Roman" w:hAnsi="Times New Roman" w:eastAsia="宋体" w:cs="Times New Roman"/>
                <w:color w:val="auto"/>
                <w:kern w:val="0"/>
                <w:sz w:val="24"/>
                <w:lang w:val="en-US" w:eastAsia="zh-CN"/>
              </w:rPr>
              <w:t>”</w:t>
            </w:r>
            <w:r>
              <w:rPr>
                <w:rFonts w:hint="eastAsia" w:ascii="Times New Roman" w:hAnsi="Times New Roman" w:eastAsia="宋体" w:cs="Times New Roman"/>
                <w:color w:val="auto"/>
                <w:kern w:val="0"/>
                <w:sz w:val="24"/>
                <w:lang w:val="en-US" w:eastAsia="zh-CN"/>
              </w:rPr>
              <w:t>，使用淬火油进行淬火挥发性有机物产污系数为</w:t>
            </w:r>
            <w:r>
              <w:rPr>
                <w:rFonts w:hint="default" w:ascii="Times New Roman" w:hAnsi="Times New Roman" w:eastAsia="宋体" w:cs="Times New Roman"/>
                <w:color w:val="auto"/>
                <w:kern w:val="0"/>
                <w:sz w:val="24"/>
                <w:lang w:val="en-US" w:eastAsia="zh-CN"/>
              </w:rPr>
              <w:t>0.01kg/t</w:t>
            </w:r>
            <w:r>
              <w:rPr>
                <w:rFonts w:hint="eastAsia" w:ascii="Times New Roman" w:hAnsi="Times New Roman" w:eastAsia="宋体" w:cs="Times New Roman"/>
                <w:color w:val="auto"/>
                <w:kern w:val="0"/>
                <w:sz w:val="24"/>
                <w:lang w:val="en-US" w:eastAsia="zh-CN"/>
              </w:rPr>
              <w:t>原料，项目水性淬火液</w:t>
            </w:r>
            <w:r>
              <w:rPr>
                <w:rFonts w:hint="default" w:ascii="Times New Roman" w:hAnsi="Times New Roman" w:eastAsia="宋体" w:cs="Times New Roman"/>
                <w:color w:val="auto"/>
                <w:kern w:val="0"/>
                <w:sz w:val="24"/>
                <w:lang w:val="en-US" w:eastAsia="zh-CN"/>
              </w:rPr>
              <w:t>用量为1</w:t>
            </w:r>
            <w:r>
              <w:rPr>
                <w:rFonts w:hint="eastAsia" w:ascii="Times New Roman" w:hAnsi="Times New Roman" w:eastAsia="宋体" w:cs="Times New Roman"/>
                <w:color w:val="auto"/>
                <w:kern w:val="0"/>
                <w:sz w:val="24"/>
                <w:lang w:val="en-US" w:eastAsia="zh-CN"/>
              </w:rPr>
              <w:t>.2</w:t>
            </w:r>
            <w:r>
              <w:rPr>
                <w:rFonts w:hint="default" w:ascii="Times New Roman" w:hAnsi="Times New Roman" w:eastAsia="宋体" w:cs="Times New Roman"/>
                <w:color w:val="auto"/>
                <w:kern w:val="0"/>
                <w:sz w:val="24"/>
                <w:lang w:val="en-US" w:eastAsia="zh-CN"/>
              </w:rPr>
              <w:t>t/a，</w:t>
            </w:r>
            <w:r>
              <w:rPr>
                <w:rFonts w:hint="eastAsia" w:ascii="Times New Roman" w:hAnsi="Times New Roman" w:eastAsia="宋体" w:cs="Times New Roman"/>
                <w:color w:val="auto"/>
                <w:kern w:val="0"/>
                <w:sz w:val="24"/>
                <w:lang w:val="en-US" w:eastAsia="zh-CN"/>
              </w:rPr>
              <w:t>则淬火过程产生非甲烷总烃1.2</w:t>
            </w:r>
            <w:r>
              <w:rPr>
                <w:rFonts w:hint="default" w:ascii="Times New Roman" w:hAnsi="Times New Roman" w:eastAsia="宋体" w:cs="Times New Roman"/>
                <w:color w:val="auto"/>
                <w:kern w:val="0"/>
                <w:sz w:val="24"/>
                <w:lang w:val="en-US" w:eastAsia="zh-CN"/>
              </w:rPr>
              <w:t>t/a</w:t>
            </w:r>
            <w:r>
              <w:rPr>
                <w:rFonts w:hint="default" w:ascii="Times New Roman" w:hAnsi="Times New Roman" w:eastAsia="宋体" w:cs="Times New Roman"/>
                <w:color w:val="auto"/>
                <w:kern w:val="0"/>
                <w:sz w:val="24"/>
              </w:rPr>
              <w:t>×</w:t>
            </w:r>
            <w:r>
              <w:rPr>
                <w:rFonts w:hint="default" w:ascii="Times New Roman" w:hAnsi="Times New Roman" w:eastAsia="宋体" w:cs="Times New Roman"/>
                <w:color w:val="auto"/>
                <w:kern w:val="0"/>
                <w:sz w:val="24"/>
                <w:lang w:val="en-US" w:eastAsia="zh-CN"/>
              </w:rPr>
              <w:t>0.01kg/t</w:t>
            </w:r>
            <w:r>
              <w:rPr>
                <w:rFonts w:hint="eastAsia" w:ascii="Times New Roman" w:hAnsi="Times New Roman" w:eastAsia="宋体" w:cs="Times New Roman"/>
                <w:color w:val="auto"/>
                <w:kern w:val="0"/>
                <w:sz w:val="24"/>
                <w:lang w:val="en-US" w:eastAsia="zh-CN"/>
              </w:rPr>
              <w:t>=</w:t>
            </w:r>
            <w:r>
              <w:rPr>
                <w:rFonts w:hint="default" w:ascii="Times New Roman" w:hAnsi="Times New Roman" w:eastAsia="宋体" w:cs="Times New Roman"/>
                <w:color w:val="auto"/>
                <w:kern w:val="0"/>
                <w:sz w:val="24"/>
                <w:lang w:val="en-US" w:eastAsia="zh-CN"/>
              </w:rPr>
              <w:t>0.00</w:t>
            </w:r>
            <w:r>
              <w:rPr>
                <w:rFonts w:hint="eastAsia" w:ascii="Times New Roman" w:hAnsi="Times New Roman" w:eastAsia="宋体" w:cs="Times New Roman"/>
                <w:color w:val="auto"/>
                <w:kern w:val="0"/>
                <w:sz w:val="24"/>
                <w:lang w:val="en-US" w:eastAsia="zh-CN"/>
              </w:rPr>
              <w:t>0012</w:t>
            </w:r>
            <w:r>
              <w:rPr>
                <w:rFonts w:hint="default" w:ascii="Times New Roman" w:hAnsi="Times New Roman" w:eastAsia="宋体" w:cs="Times New Roman"/>
                <w:color w:val="auto"/>
                <w:kern w:val="0"/>
                <w:sz w:val="24"/>
                <w:lang w:val="en-US" w:eastAsia="zh-CN"/>
              </w:rPr>
              <w:t>t/a</w:t>
            </w:r>
            <w:r>
              <w:rPr>
                <w:rFonts w:hint="eastAsia" w:ascii="Times New Roman" w:hAnsi="Times New Roman" w:eastAsia="宋体" w:cs="Times New Roman"/>
                <w:color w:val="auto"/>
                <w:kern w:val="0"/>
                <w:sz w:val="24"/>
                <w:lang w:val="en-US" w:eastAsia="zh-CN"/>
              </w:rPr>
              <w:t>，产生速率为0.00000</w:t>
            </w:r>
            <w:r>
              <w:rPr>
                <w:rFonts w:hint="eastAsia" w:cs="Times New Roman"/>
                <w:color w:val="auto"/>
                <w:kern w:val="0"/>
                <w:sz w:val="24"/>
                <w:lang w:val="en-US" w:eastAsia="zh-CN"/>
              </w:rPr>
              <w:t>234</w:t>
            </w:r>
            <w:r>
              <w:rPr>
                <w:rFonts w:hint="eastAsia" w:ascii="Times New Roman" w:hAnsi="Times New Roman" w:eastAsia="宋体" w:cs="Times New Roman"/>
                <w:color w:val="auto"/>
                <w:kern w:val="0"/>
                <w:sz w:val="24"/>
                <w:lang w:val="en-US" w:eastAsia="zh-CN"/>
              </w:rPr>
              <w:t>kg/h。淬火</w:t>
            </w:r>
            <w:r>
              <w:rPr>
                <w:rFonts w:hint="default" w:ascii="Times New Roman" w:hAnsi="Times New Roman" w:eastAsia="宋体" w:cs="Times New Roman"/>
                <w:color w:val="auto"/>
                <w:kern w:val="0"/>
                <w:sz w:val="24"/>
                <w:lang w:val="en-US" w:eastAsia="zh-CN"/>
              </w:rPr>
              <w:t>工段工况时间为</w:t>
            </w:r>
            <w:r>
              <w:rPr>
                <w:rFonts w:hint="eastAsia" w:ascii="Times New Roman" w:hAnsi="Times New Roman" w:eastAsia="宋体" w:cs="Times New Roman"/>
                <w:color w:val="auto"/>
                <w:kern w:val="0"/>
                <w:sz w:val="24"/>
                <w:lang w:val="en-US" w:eastAsia="zh-CN"/>
              </w:rPr>
              <w:t>16</w:t>
            </w:r>
            <w:r>
              <w:rPr>
                <w:rFonts w:hint="default" w:ascii="Times New Roman" w:hAnsi="Times New Roman" w:eastAsia="宋体" w:cs="Times New Roman"/>
                <w:color w:val="auto"/>
                <w:kern w:val="0"/>
                <w:sz w:val="24"/>
                <w:lang w:val="en-US" w:eastAsia="zh-CN"/>
              </w:rPr>
              <w:t>h/d，年工作3</w:t>
            </w:r>
            <w:r>
              <w:rPr>
                <w:rFonts w:hint="eastAsia" w:ascii="Times New Roman" w:hAnsi="Times New Roman" w:eastAsia="宋体" w:cs="Times New Roman"/>
                <w:color w:val="auto"/>
                <w:kern w:val="0"/>
                <w:sz w:val="24"/>
                <w:lang w:val="en-US" w:eastAsia="zh-CN"/>
              </w:rPr>
              <w:t>2</w:t>
            </w:r>
            <w:r>
              <w:rPr>
                <w:rFonts w:hint="default" w:ascii="Times New Roman" w:hAnsi="Times New Roman" w:eastAsia="宋体" w:cs="Times New Roman"/>
                <w:color w:val="auto"/>
                <w:kern w:val="0"/>
                <w:sz w:val="24"/>
                <w:lang w:val="en-US" w:eastAsia="zh-CN"/>
              </w:rPr>
              <w:t>0天。</w:t>
            </w:r>
          </w:p>
          <w:p w14:paraId="3BDFE40B">
            <w:pPr>
              <w:widowControl/>
              <w:spacing w:line="360" w:lineRule="auto"/>
              <w:ind w:firstLine="480" w:firstLineChars="200"/>
              <w:rPr>
                <w:rFonts w:hint="eastAsia" w:ascii="Times New Roman" w:hAnsi="Times New Roman" w:eastAsia="宋体" w:cs="Times New Roman"/>
                <w:color w:val="auto"/>
                <w:kern w:val="0"/>
                <w:sz w:val="24"/>
                <w:lang w:val="en-US" w:eastAsia="zh-CN"/>
              </w:rPr>
            </w:pPr>
            <w:r>
              <w:rPr>
                <w:rFonts w:hint="eastAsia" w:ascii="Times New Roman" w:hAnsi="Times New Roman" w:eastAsia="宋体" w:cs="Times New Roman"/>
                <w:color w:val="auto"/>
                <w:kern w:val="0"/>
                <w:sz w:val="24"/>
                <w:lang w:val="en-US" w:eastAsia="zh-CN"/>
              </w:rPr>
              <w:t>根据《重点行业挥发性有机物综合治理方案》环大气</w:t>
            </w:r>
            <w:r>
              <w:rPr>
                <w:rFonts w:hint="default" w:ascii="Times New Roman" w:hAnsi="Times New Roman" w:eastAsia="宋体" w:cs="Times New Roman"/>
                <w:color w:val="auto"/>
                <w:kern w:val="0"/>
                <w:sz w:val="24"/>
                <w:lang w:val="en-US" w:eastAsia="zh-CN"/>
              </w:rPr>
              <w:t xml:space="preserve">[2019]53 </w:t>
            </w:r>
            <w:r>
              <w:rPr>
                <w:rFonts w:hint="eastAsia" w:ascii="Times New Roman" w:hAnsi="Times New Roman" w:eastAsia="宋体" w:cs="Times New Roman"/>
                <w:color w:val="auto"/>
                <w:kern w:val="0"/>
                <w:sz w:val="24"/>
                <w:lang w:val="en-US" w:eastAsia="zh-CN"/>
              </w:rPr>
              <w:t>号中要求：实行重点排放源排放浓度与去除效率双重控制。车间或生产设施收集排放的废气，</w:t>
            </w:r>
            <w:r>
              <w:rPr>
                <w:rFonts w:hint="default" w:ascii="Times New Roman" w:hAnsi="Times New Roman" w:eastAsia="宋体" w:cs="Times New Roman"/>
                <w:color w:val="auto"/>
                <w:kern w:val="0"/>
                <w:sz w:val="24"/>
                <w:lang w:val="en-US" w:eastAsia="zh-CN"/>
              </w:rPr>
              <w:t>VOCs</w:t>
            </w:r>
            <w:r>
              <w:rPr>
                <w:rFonts w:hint="eastAsia" w:ascii="Times New Roman" w:hAnsi="Times New Roman" w:eastAsia="宋体" w:cs="Times New Roman"/>
                <w:color w:val="auto"/>
                <w:kern w:val="0"/>
                <w:sz w:val="24"/>
                <w:lang w:val="en-US" w:eastAsia="zh-CN"/>
              </w:rPr>
              <w:t>初始排放速率大于等于</w:t>
            </w:r>
            <w:r>
              <w:rPr>
                <w:rFonts w:hint="default" w:ascii="Times New Roman" w:hAnsi="Times New Roman" w:eastAsia="宋体" w:cs="Times New Roman"/>
                <w:color w:val="auto"/>
                <w:kern w:val="0"/>
                <w:sz w:val="24"/>
                <w:lang w:val="en-US" w:eastAsia="zh-CN"/>
              </w:rPr>
              <w:t>3</w:t>
            </w:r>
            <w:r>
              <w:rPr>
                <w:rFonts w:hint="eastAsia" w:ascii="Times New Roman" w:hAnsi="Times New Roman" w:eastAsia="宋体" w:cs="Times New Roman"/>
                <w:color w:val="auto"/>
                <w:kern w:val="0"/>
                <w:sz w:val="24"/>
                <w:lang w:val="en-US" w:eastAsia="zh-CN"/>
              </w:rPr>
              <w:t>千克</w:t>
            </w:r>
            <w:r>
              <w:rPr>
                <w:rFonts w:hint="default" w:ascii="Times New Roman" w:hAnsi="Times New Roman" w:eastAsia="宋体" w:cs="Times New Roman"/>
                <w:color w:val="auto"/>
                <w:kern w:val="0"/>
                <w:sz w:val="24"/>
                <w:lang w:val="en-US" w:eastAsia="zh-CN"/>
              </w:rPr>
              <w:t>/</w:t>
            </w:r>
            <w:r>
              <w:rPr>
                <w:rFonts w:hint="eastAsia" w:ascii="Times New Roman" w:hAnsi="Times New Roman" w:eastAsia="宋体" w:cs="Times New Roman"/>
                <w:color w:val="auto"/>
                <w:kern w:val="0"/>
                <w:sz w:val="24"/>
                <w:lang w:val="en-US" w:eastAsia="zh-CN"/>
              </w:rPr>
              <w:t>小时、重点区域大于等于</w:t>
            </w:r>
            <w:r>
              <w:rPr>
                <w:rFonts w:hint="default" w:ascii="Times New Roman" w:hAnsi="Times New Roman" w:eastAsia="宋体" w:cs="Times New Roman"/>
                <w:color w:val="auto"/>
                <w:kern w:val="0"/>
                <w:sz w:val="24"/>
                <w:lang w:val="en-US" w:eastAsia="zh-CN"/>
              </w:rPr>
              <w:t>2</w:t>
            </w:r>
            <w:r>
              <w:rPr>
                <w:rFonts w:hint="eastAsia" w:ascii="Times New Roman" w:hAnsi="Times New Roman" w:eastAsia="宋体" w:cs="Times New Roman"/>
                <w:color w:val="auto"/>
                <w:kern w:val="0"/>
                <w:sz w:val="24"/>
                <w:lang w:val="en-US" w:eastAsia="zh-CN"/>
              </w:rPr>
              <w:t>千克</w:t>
            </w:r>
            <w:r>
              <w:rPr>
                <w:rFonts w:hint="default" w:ascii="Times New Roman" w:hAnsi="Times New Roman" w:eastAsia="宋体" w:cs="Times New Roman"/>
                <w:color w:val="auto"/>
                <w:kern w:val="0"/>
                <w:sz w:val="24"/>
                <w:lang w:val="en-US" w:eastAsia="zh-CN"/>
              </w:rPr>
              <w:t>/</w:t>
            </w:r>
            <w:r>
              <w:rPr>
                <w:rFonts w:hint="eastAsia" w:ascii="Times New Roman" w:hAnsi="Times New Roman" w:eastAsia="宋体" w:cs="Times New Roman"/>
                <w:color w:val="auto"/>
                <w:kern w:val="0"/>
                <w:sz w:val="24"/>
                <w:lang w:val="en-US" w:eastAsia="zh-CN"/>
              </w:rPr>
              <w:t>小时的，应加大控制力度，除确保排放浓度稳定达标外，还应实行去除效率控制，去除效率不低于</w:t>
            </w:r>
            <w:r>
              <w:rPr>
                <w:rFonts w:hint="default" w:ascii="Times New Roman" w:hAnsi="Times New Roman" w:eastAsia="宋体" w:cs="Times New Roman"/>
                <w:color w:val="auto"/>
                <w:kern w:val="0"/>
                <w:sz w:val="24"/>
                <w:lang w:val="en-US" w:eastAsia="zh-CN"/>
              </w:rPr>
              <w:t>80%</w:t>
            </w:r>
            <w:r>
              <w:rPr>
                <w:rFonts w:hint="eastAsia" w:ascii="Times New Roman" w:hAnsi="Times New Roman" w:eastAsia="宋体" w:cs="Times New Roman"/>
                <w:color w:val="auto"/>
                <w:kern w:val="0"/>
                <w:sz w:val="24"/>
                <w:lang w:val="en-US" w:eastAsia="zh-CN"/>
              </w:rPr>
              <w:t xml:space="preserve">；采用的原辅材料符合国家有关低 </w:t>
            </w:r>
            <w:r>
              <w:rPr>
                <w:rFonts w:hint="default" w:ascii="Times New Roman" w:hAnsi="Times New Roman" w:eastAsia="宋体" w:cs="Times New Roman"/>
                <w:color w:val="auto"/>
                <w:kern w:val="0"/>
                <w:sz w:val="24"/>
                <w:lang w:val="en-US" w:eastAsia="zh-CN"/>
              </w:rPr>
              <w:t xml:space="preserve">VOCs </w:t>
            </w:r>
            <w:r>
              <w:rPr>
                <w:rFonts w:hint="eastAsia" w:ascii="Times New Roman" w:hAnsi="Times New Roman" w:eastAsia="宋体" w:cs="Times New Roman"/>
                <w:color w:val="auto"/>
                <w:kern w:val="0"/>
                <w:sz w:val="24"/>
                <w:lang w:val="en-US" w:eastAsia="zh-CN"/>
              </w:rPr>
              <w:t>含量产品规定的除外，有行业排放标准的按其相关规定执行。</w:t>
            </w:r>
          </w:p>
          <w:p w14:paraId="7EFB073E">
            <w:pPr>
              <w:widowControl/>
              <w:spacing w:line="360" w:lineRule="auto"/>
              <w:ind w:firstLine="480" w:firstLineChars="200"/>
              <w:rPr>
                <w:rFonts w:hint="default" w:ascii="Times New Roman" w:hAnsi="Times New Roman" w:eastAsia="宋体" w:cs="Times New Roman"/>
                <w:color w:val="auto"/>
                <w:kern w:val="0"/>
                <w:sz w:val="24"/>
                <w:lang w:val="en-US" w:eastAsia="zh-CN"/>
              </w:rPr>
            </w:pPr>
            <w:r>
              <w:rPr>
                <w:rFonts w:hint="eastAsia" w:ascii="Times New Roman" w:hAnsi="Times New Roman" w:eastAsia="宋体" w:cs="Times New Roman"/>
                <w:color w:val="auto"/>
                <w:kern w:val="0"/>
                <w:sz w:val="24"/>
                <w:lang w:val="en-US" w:eastAsia="zh-CN"/>
              </w:rPr>
              <w:t>本项目淬火工序非甲烷总烃产生量为</w:t>
            </w:r>
            <w:r>
              <w:rPr>
                <w:rFonts w:hint="default" w:ascii="Times New Roman" w:hAnsi="Times New Roman" w:eastAsia="宋体" w:cs="Times New Roman"/>
                <w:color w:val="auto"/>
                <w:kern w:val="0"/>
                <w:sz w:val="24"/>
                <w:lang w:val="en-US" w:eastAsia="zh-CN"/>
              </w:rPr>
              <w:t>0.00</w:t>
            </w:r>
            <w:r>
              <w:rPr>
                <w:rFonts w:hint="eastAsia" w:ascii="Times New Roman" w:hAnsi="Times New Roman" w:eastAsia="宋体" w:cs="Times New Roman"/>
                <w:color w:val="auto"/>
                <w:kern w:val="0"/>
                <w:sz w:val="24"/>
                <w:lang w:val="en-US" w:eastAsia="zh-CN"/>
              </w:rPr>
              <w:t>0012</w:t>
            </w:r>
            <w:r>
              <w:rPr>
                <w:rFonts w:hint="default" w:ascii="Times New Roman" w:hAnsi="Times New Roman" w:eastAsia="宋体" w:cs="Times New Roman"/>
                <w:color w:val="auto"/>
                <w:kern w:val="0"/>
                <w:sz w:val="24"/>
                <w:lang w:val="en-US" w:eastAsia="zh-CN"/>
              </w:rPr>
              <w:t>t/a</w:t>
            </w:r>
            <w:r>
              <w:rPr>
                <w:rFonts w:hint="eastAsia" w:ascii="Times New Roman" w:hAnsi="Times New Roman" w:eastAsia="宋体" w:cs="Times New Roman"/>
                <w:color w:val="auto"/>
                <w:kern w:val="0"/>
                <w:sz w:val="24"/>
                <w:lang w:val="en-US" w:eastAsia="zh-CN"/>
              </w:rPr>
              <w:t>，产生速率为0.00000</w:t>
            </w:r>
            <w:r>
              <w:rPr>
                <w:rFonts w:hint="eastAsia" w:cs="Times New Roman"/>
                <w:color w:val="auto"/>
                <w:kern w:val="0"/>
                <w:sz w:val="24"/>
                <w:lang w:val="en-US" w:eastAsia="zh-CN"/>
              </w:rPr>
              <w:t>234</w:t>
            </w:r>
            <w:r>
              <w:rPr>
                <w:rFonts w:hint="eastAsia" w:ascii="Times New Roman" w:hAnsi="Times New Roman" w:eastAsia="宋体" w:cs="Times New Roman"/>
                <w:color w:val="auto"/>
                <w:kern w:val="0"/>
                <w:sz w:val="24"/>
                <w:lang w:val="en-US" w:eastAsia="zh-CN"/>
              </w:rPr>
              <w:t>kg/h，远小于2kg/h，因此可不设置末端治理设施。</w:t>
            </w:r>
            <w:r>
              <w:rPr>
                <w:rFonts w:hint="eastAsia" w:ascii="Times New Roman" w:hAnsi="Times New Roman" w:eastAsia="宋体" w:cs="Times New Roman"/>
                <w:color w:val="auto"/>
                <w:kern w:val="0"/>
                <w:sz w:val="24"/>
                <w:lang w:val="en-US" w:eastAsia="zh-CN"/>
              </w:rPr>
              <w:t>故本项目淬火废气经设备密闭+集气管道收集后</w:t>
            </w:r>
            <w:r>
              <w:rPr>
                <w:rFonts w:hint="eastAsia" w:cs="Times New Roman"/>
                <w:color w:val="auto"/>
                <w:kern w:val="0"/>
                <w:sz w:val="24"/>
                <w:lang w:val="en-US" w:eastAsia="zh-CN"/>
              </w:rPr>
              <w:t>无组织排放。</w:t>
            </w:r>
          </w:p>
          <w:p w14:paraId="5CED1078">
            <w:pPr>
              <w:keepNext w:val="0"/>
              <w:keepLines w:val="0"/>
              <w:pageBreakBefore w:val="0"/>
              <w:widowControl w:val="0"/>
              <w:kinsoku/>
              <w:wordWrap/>
              <w:overflowPunct/>
              <w:topLinePunct w:val="0"/>
              <w:autoSpaceDE/>
              <w:autoSpaceDN/>
              <w:bidi w:val="0"/>
              <w:adjustRightInd/>
              <w:snapToGrid/>
              <w:spacing w:beforeAutospacing="0"/>
              <w:jc w:val="center"/>
              <w:textAlignment w:val="auto"/>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表4-</w:t>
            </w:r>
            <w:r>
              <w:rPr>
                <w:rFonts w:hint="eastAsia" w:ascii="Times New Roman" w:hAnsi="Times New Roman" w:eastAsia="宋体" w:cs="Times New Roman"/>
                <w:b/>
                <w:color w:val="auto"/>
                <w:kern w:val="0"/>
                <w:sz w:val="24"/>
                <w:szCs w:val="24"/>
                <w:lang w:val="en-US" w:eastAsia="zh-CN" w:bidi="ar-SA"/>
              </w:rPr>
              <w:t>4</w:t>
            </w:r>
            <w:r>
              <w:rPr>
                <w:rFonts w:hint="default" w:ascii="Times New Roman" w:hAnsi="Times New Roman" w:eastAsia="宋体" w:cs="Times New Roman"/>
                <w:b/>
                <w:color w:val="auto"/>
                <w:kern w:val="0"/>
                <w:sz w:val="24"/>
                <w:szCs w:val="24"/>
                <w:lang w:val="en-US" w:eastAsia="zh-CN" w:bidi="ar-SA"/>
              </w:rPr>
              <w:t xml:space="preserve"> 项目</w:t>
            </w:r>
            <w:r>
              <w:rPr>
                <w:rFonts w:hint="eastAsia" w:ascii="Times New Roman" w:hAnsi="Times New Roman" w:eastAsia="宋体" w:cs="Times New Roman"/>
                <w:b/>
                <w:color w:val="auto"/>
                <w:kern w:val="0"/>
                <w:sz w:val="24"/>
                <w:szCs w:val="24"/>
                <w:lang w:val="en-US" w:eastAsia="zh-CN" w:bidi="ar-SA"/>
              </w:rPr>
              <w:t>锻造</w:t>
            </w:r>
            <w:r>
              <w:rPr>
                <w:rFonts w:hint="eastAsia" w:cs="Times New Roman"/>
                <w:b/>
                <w:color w:val="auto"/>
                <w:kern w:val="0"/>
                <w:sz w:val="24"/>
                <w:szCs w:val="24"/>
                <w:lang w:val="en-US" w:eastAsia="zh-CN" w:bidi="ar-SA"/>
              </w:rPr>
              <w:t>、</w:t>
            </w:r>
            <w:r>
              <w:rPr>
                <w:rFonts w:hint="eastAsia" w:cs="Times New Roman"/>
                <w:b/>
                <w:color w:val="auto"/>
                <w:kern w:val="0"/>
                <w:sz w:val="24"/>
                <w:szCs w:val="24"/>
                <w:lang w:val="en-US" w:eastAsia="zh-CN" w:bidi="ar-SA"/>
              </w:rPr>
              <w:t>淬火</w:t>
            </w:r>
            <w:r>
              <w:rPr>
                <w:rFonts w:hint="default" w:ascii="Times New Roman" w:hAnsi="Times New Roman" w:eastAsia="宋体" w:cs="Times New Roman"/>
                <w:b/>
                <w:color w:val="auto"/>
                <w:kern w:val="0"/>
                <w:sz w:val="24"/>
                <w:szCs w:val="24"/>
                <w:lang w:val="en-US" w:eastAsia="zh-CN" w:bidi="ar-SA"/>
              </w:rPr>
              <w:t>工序</w:t>
            </w:r>
            <w:r>
              <w:rPr>
                <w:rFonts w:hint="eastAsia" w:ascii="Times New Roman" w:hAnsi="Times New Roman" w:eastAsia="宋体" w:cs="Times New Roman"/>
                <w:b/>
                <w:color w:val="auto"/>
                <w:kern w:val="0"/>
                <w:sz w:val="24"/>
                <w:szCs w:val="24"/>
                <w:lang w:val="en-US" w:eastAsia="zh-CN" w:bidi="ar-SA"/>
              </w:rPr>
              <w:t>废气</w:t>
            </w:r>
            <w:r>
              <w:rPr>
                <w:rFonts w:hint="default" w:ascii="Times New Roman" w:hAnsi="Times New Roman" w:eastAsia="宋体" w:cs="Times New Roman"/>
                <w:b/>
                <w:color w:val="auto"/>
                <w:kern w:val="0"/>
                <w:sz w:val="24"/>
                <w:szCs w:val="24"/>
                <w:lang w:val="en-US" w:eastAsia="zh-CN" w:bidi="ar-SA"/>
              </w:rPr>
              <w:t>产生情况一览表</w:t>
            </w:r>
          </w:p>
          <w:tbl>
            <w:tblPr>
              <w:tblStyle w:val="64"/>
              <w:tblW w:w="494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6" w:type="dxa"/>
                <w:bottom w:w="0" w:type="dxa"/>
                <w:right w:w="6" w:type="dxa"/>
              </w:tblCellMar>
            </w:tblPr>
            <w:tblGrid>
              <w:gridCol w:w="1022"/>
              <w:gridCol w:w="969"/>
              <w:gridCol w:w="1041"/>
              <w:gridCol w:w="1516"/>
              <w:gridCol w:w="1224"/>
              <w:gridCol w:w="1528"/>
              <w:gridCol w:w="891"/>
            </w:tblGrid>
            <w:tr w14:paraId="6468F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40" w:hRule="atLeast"/>
                <w:jc w:val="center"/>
              </w:trPr>
              <w:tc>
                <w:tcPr>
                  <w:tcW w:w="1022" w:type="dxa"/>
                  <w:vMerge w:val="restart"/>
                  <w:noWrap w:val="0"/>
                  <w:vAlign w:val="center"/>
                </w:tcPr>
                <w:p w14:paraId="444473CC">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工段</w:t>
                  </w:r>
                </w:p>
              </w:tc>
              <w:tc>
                <w:tcPr>
                  <w:tcW w:w="969" w:type="dxa"/>
                  <w:vMerge w:val="restart"/>
                  <w:noWrap w:val="0"/>
                  <w:vAlign w:val="center"/>
                </w:tcPr>
                <w:p w14:paraId="135E2192">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原料名称</w:t>
                  </w:r>
                </w:p>
              </w:tc>
              <w:tc>
                <w:tcPr>
                  <w:tcW w:w="1041" w:type="dxa"/>
                  <w:vMerge w:val="restart"/>
                  <w:noWrap w:val="0"/>
                  <w:vAlign w:val="center"/>
                </w:tcPr>
                <w:p w14:paraId="20582AB2">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用量t/a</w:t>
                  </w:r>
                </w:p>
              </w:tc>
              <w:tc>
                <w:tcPr>
                  <w:tcW w:w="1516" w:type="dxa"/>
                  <w:vMerge w:val="restart"/>
                  <w:noWrap w:val="0"/>
                  <w:vAlign w:val="center"/>
                </w:tcPr>
                <w:p w14:paraId="362D5AF3">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产污</w:t>
                  </w:r>
                  <w:r>
                    <w:rPr>
                      <w:rFonts w:hint="default" w:ascii="Times New Roman" w:hAnsi="Times New Roman" w:eastAsia="宋体" w:cs="Times New Roman"/>
                      <w:b/>
                      <w:bCs/>
                      <w:color w:val="auto"/>
                      <w:sz w:val="21"/>
                      <w:szCs w:val="21"/>
                      <w:vertAlign w:val="baseline"/>
                      <w:lang w:val="en-US" w:eastAsia="zh-CN"/>
                    </w:rPr>
                    <w:t>系数</w:t>
                  </w:r>
                </w:p>
              </w:tc>
              <w:tc>
                <w:tcPr>
                  <w:tcW w:w="2752" w:type="dxa"/>
                  <w:gridSpan w:val="2"/>
                  <w:noWrap w:val="0"/>
                  <w:vAlign w:val="center"/>
                </w:tcPr>
                <w:p w14:paraId="207A0CFF">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非甲烷总烃</w:t>
                  </w:r>
                </w:p>
              </w:tc>
              <w:tc>
                <w:tcPr>
                  <w:tcW w:w="891" w:type="dxa"/>
                  <w:vMerge w:val="restart"/>
                  <w:noWrap w:val="0"/>
                  <w:vAlign w:val="center"/>
                </w:tcPr>
                <w:p w14:paraId="0BFBE62B">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工况</w:t>
                  </w:r>
                </w:p>
              </w:tc>
            </w:tr>
            <w:tr w14:paraId="4BA81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40" w:hRule="atLeast"/>
                <w:jc w:val="center"/>
              </w:trPr>
              <w:tc>
                <w:tcPr>
                  <w:tcW w:w="1022" w:type="dxa"/>
                  <w:vMerge w:val="continue"/>
                  <w:noWrap w:val="0"/>
                  <w:vAlign w:val="center"/>
                </w:tcPr>
                <w:p w14:paraId="144DFE9E">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rPr>
                  </w:pPr>
                </w:p>
              </w:tc>
              <w:tc>
                <w:tcPr>
                  <w:tcW w:w="969" w:type="dxa"/>
                  <w:vMerge w:val="continue"/>
                  <w:noWrap w:val="0"/>
                  <w:vAlign w:val="center"/>
                </w:tcPr>
                <w:p w14:paraId="63F2B811">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rPr>
                  </w:pPr>
                </w:p>
              </w:tc>
              <w:tc>
                <w:tcPr>
                  <w:tcW w:w="1041" w:type="dxa"/>
                  <w:vMerge w:val="continue"/>
                  <w:noWrap w:val="0"/>
                  <w:vAlign w:val="center"/>
                </w:tcPr>
                <w:p w14:paraId="6A35B07E">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rPr>
                  </w:pPr>
                </w:p>
              </w:tc>
              <w:tc>
                <w:tcPr>
                  <w:tcW w:w="1516" w:type="dxa"/>
                  <w:vMerge w:val="continue"/>
                  <w:noWrap w:val="0"/>
                  <w:vAlign w:val="center"/>
                </w:tcPr>
                <w:p w14:paraId="49A481DD">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rPr>
                  </w:pPr>
                </w:p>
              </w:tc>
              <w:tc>
                <w:tcPr>
                  <w:tcW w:w="1224" w:type="dxa"/>
                  <w:noWrap w:val="0"/>
                  <w:vAlign w:val="center"/>
                </w:tcPr>
                <w:p w14:paraId="15849E5D">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产生量t/a</w:t>
                  </w:r>
                </w:p>
              </w:tc>
              <w:tc>
                <w:tcPr>
                  <w:tcW w:w="1528" w:type="dxa"/>
                  <w:noWrap w:val="0"/>
                  <w:vAlign w:val="center"/>
                </w:tcPr>
                <w:p w14:paraId="1465B171">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产生速率kg/h</w:t>
                  </w:r>
                </w:p>
              </w:tc>
              <w:tc>
                <w:tcPr>
                  <w:tcW w:w="891" w:type="dxa"/>
                  <w:vMerge w:val="continue"/>
                  <w:noWrap w:val="0"/>
                  <w:vAlign w:val="center"/>
                </w:tcPr>
                <w:p w14:paraId="41F99025">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p>
              </w:tc>
            </w:tr>
            <w:tr w14:paraId="6B66B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05" w:hRule="atLeast"/>
                <w:jc w:val="center"/>
              </w:trPr>
              <w:tc>
                <w:tcPr>
                  <w:tcW w:w="1022" w:type="dxa"/>
                  <w:shd w:val="clear" w:color="auto" w:fill="auto"/>
                  <w:noWrap w:val="0"/>
                  <w:vAlign w:val="center"/>
                </w:tcPr>
                <w:p w14:paraId="6E069C47">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锻造</w:t>
                  </w:r>
                </w:p>
              </w:tc>
              <w:tc>
                <w:tcPr>
                  <w:tcW w:w="969" w:type="dxa"/>
                  <w:shd w:val="clear" w:color="auto" w:fill="auto"/>
                  <w:noWrap w:val="0"/>
                  <w:vAlign w:val="center"/>
                </w:tcPr>
                <w:p w14:paraId="6105CB58">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水性</w:t>
                  </w:r>
                </w:p>
                <w:p w14:paraId="53521097">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脱模剂</w:t>
                  </w:r>
                </w:p>
              </w:tc>
              <w:tc>
                <w:tcPr>
                  <w:tcW w:w="1041" w:type="dxa"/>
                  <w:shd w:val="clear" w:color="auto" w:fill="auto"/>
                  <w:noWrap w:val="0"/>
                  <w:vAlign w:val="center"/>
                </w:tcPr>
                <w:p w14:paraId="46135608">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10.8</w:t>
                  </w:r>
                </w:p>
              </w:tc>
              <w:tc>
                <w:tcPr>
                  <w:tcW w:w="1516" w:type="dxa"/>
                  <w:shd w:val="clear" w:color="auto" w:fill="auto"/>
                  <w:noWrap w:val="0"/>
                  <w:vAlign w:val="center"/>
                </w:tcPr>
                <w:p w14:paraId="455D3F33">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挥发份</w:t>
                  </w:r>
                  <w:r>
                    <w:rPr>
                      <w:rFonts w:hint="eastAsia" w:cs="Times New Roman"/>
                      <w:color w:val="auto"/>
                      <w:kern w:val="2"/>
                      <w:sz w:val="21"/>
                      <w:szCs w:val="21"/>
                      <w:lang w:val="en-US" w:eastAsia="zh-CN" w:bidi="ar-SA"/>
                    </w:rPr>
                    <w:t>7</w:t>
                  </w:r>
                  <w:r>
                    <w:rPr>
                      <w:rFonts w:hint="eastAsia" w:ascii="Times New Roman" w:hAnsi="Times New Roman" w:cs="Times New Roman"/>
                      <w:color w:val="auto"/>
                      <w:kern w:val="2"/>
                      <w:sz w:val="21"/>
                      <w:szCs w:val="21"/>
                      <w:lang w:val="en-US" w:eastAsia="zh-CN" w:bidi="ar-SA"/>
                    </w:rPr>
                    <w:t>%</w:t>
                  </w:r>
                </w:p>
              </w:tc>
              <w:tc>
                <w:tcPr>
                  <w:tcW w:w="1224" w:type="dxa"/>
                  <w:shd w:val="clear" w:color="auto" w:fill="auto"/>
                  <w:noWrap w:val="0"/>
                  <w:vAlign w:val="center"/>
                </w:tcPr>
                <w:p w14:paraId="55D05D3C">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0.756</w:t>
                  </w:r>
                </w:p>
              </w:tc>
              <w:tc>
                <w:tcPr>
                  <w:tcW w:w="1528" w:type="dxa"/>
                  <w:shd w:val="clear" w:color="auto" w:fill="auto"/>
                  <w:noWrap w:val="0"/>
                  <w:vAlign w:val="center"/>
                </w:tcPr>
                <w:p w14:paraId="07309750">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0.148</w:t>
                  </w:r>
                </w:p>
              </w:tc>
              <w:tc>
                <w:tcPr>
                  <w:tcW w:w="891" w:type="dxa"/>
                  <w:vMerge w:val="restart"/>
                  <w:shd w:val="clear" w:color="auto" w:fill="auto"/>
                  <w:noWrap w:val="0"/>
                  <w:vAlign w:val="center"/>
                </w:tcPr>
                <w:p w14:paraId="1645241C">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color w:val="auto"/>
                      <w:spacing w:val="0"/>
                      <w:sz w:val="21"/>
                      <w:szCs w:val="24"/>
                      <w:highlight w:val="none"/>
                      <w:lang w:val="en-US" w:eastAsia="zh-CN"/>
                    </w:rPr>
                    <w:t>5120</w:t>
                  </w:r>
                  <w:r>
                    <w:rPr>
                      <w:rFonts w:hint="default" w:ascii="Times New Roman" w:hAnsi="Times New Roman" w:eastAsia="宋体" w:cs="Times New Roman"/>
                      <w:color w:val="auto"/>
                      <w:spacing w:val="0"/>
                      <w:sz w:val="21"/>
                      <w:szCs w:val="24"/>
                      <w:highlight w:val="none"/>
                      <w:lang w:val="en-US" w:eastAsia="zh-CN"/>
                    </w:rPr>
                    <w:t>h/a</w:t>
                  </w:r>
                </w:p>
              </w:tc>
            </w:tr>
            <w:tr w14:paraId="6F2FA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05" w:hRule="atLeast"/>
                <w:jc w:val="center"/>
              </w:trPr>
              <w:tc>
                <w:tcPr>
                  <w:tcW w:w="1022" w:type="dxa"/>
                  <w:shd w:val="clear" w:color="auto" w:fill="auto"/>
                  <w:noWrap w:val="0"/>
                  <w:vAlign w:val="center"/>
                </w:tcPr>
                <w:p w14:paraId="744719E1">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淬火</w:t>
                  </w:r>
                </w:p>
              </w:tc>
              <w:tc>
                <w:tcPr>
                  <w:tcW w:w="969" w:type="dxa"/>
                  <w:shd w:val="clear" w:color="auto" w:fill="auto"/>
                  <w:noWrap w:val="0"/>
                  <w:vAlign w:val="center"/>
                </w:tcPr>
                <w:p w14:paraId="13089C0A">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水性</w:t>
                  </w:r>
                </w:p>
                <w:p w14:paraId="6D438BA8">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淬火液</w:t>
                  </w:r>
                </w:p>
              </w:tc>
              <w:tc>
                <w:tcPr>
                  <w:tcW w:w="1041" w:type="dxa"/>
                  <w:shd w:val="clear" w:color="auto" w:fill="auto"/>
                  <w:noWrap w:val="0"/>
                  <w:vAlign w:val="center"/>
                </w:tcPr>
                <w:p w14:paraId="16E2A36A">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1.2</w:t>
                  </w:r>
                </w:p>
              </w:tc>
              <w:tc>
                <w:tcPr>
                  <w:tcW w:w="1516" w:type="dxa"/>
                  <w:shd w:val="clear" w:color="auto" w:fill="auto"/>
                  <w:noWrap w:val="0"/>
                  <w:vAlign w:val="center"/>
                </w:tcPr>
                <w:p w14:paraId="18411E55">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0.01</w:t>
                  </w:r>
                  <w:r>
                    <w:rPr>
                      <w:rFonts w:hint="default" w:ascii="Times New Roman" w:hAnsi="Times New Roman" w:cs="Times New Roman"/>
                      <w:color w:val="auto"/>
                      <w:kern w:val="2"/>
                      <w:sz w:val="21"/>
                      <w:szCs w:val="21"/>
                      <w:lang w:val="en-US" w:eastAsia="zh-CN" w:bidi="ar-SA"/>
                    </w:rPr>
                    <w:t>kg/t-原料</w:t>
                  </w:r>
                </w:p>
              </w:tc>
              <w:tc>
                <w:tcPr>
                  <w:tcW w:w="1224" w:type="dxa"/>
                  <w:shd w:val="clear" w:color="auto" w:fill="auto"/>
                  <w:noWrap w:val="0"/>
                  <w:vAlign w:val="center"/>
                </w:tcPr>
                <w:p w14:paraId="2CA4D33D">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0.000012</w:t>
                  </w:r>
                </w:p>
              </w:tc>
              <w:tc>
                <w:tcPr>
                  <w:tcW w:w="1528" w:type="dxa"/>
                  <w:shd w:val="clear" w:color="auto" w:fill="auto"/>
                  <w:noWrap w:val="0"/>
                  <w:vAlign w:val="center"/>
                </w:tcPr>
                <w:p w14:paraId="63958D20">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0.00000234</w:t>
                  </w:r>
                </w:p>
              </w:tc>
              <w:tc>
                <w:tcPr>
                  <w:tcW w:w="891" w:type="dxa"/>
                  <w:vMerge w:val="continue"/>
                  <w:shd w:val="clear" w:color="auto" w:fill="auto"/>
                  <w:noWrap w:val="0"/>
                  <w:vAlign w:val="center"/>
                </w:tcPr>
                <w:p w14:paraId="4B60B9E1">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spacing w:val="0"/>
                      <w:sz w:val="21"/>
                      <w:szCs w:val="24"/>
                      <w:highlight w:val="none"/>
                      <w:lang w:val="en-US" w:eastAsia="zh-CN"/>
                    </w:rPr>
                  </w:pPr>
                </w:p>
              </w:tc>
            </w:tr>
          </w:tbl>
          <w:p w14:paraId="1C2CFC3D">
            <w:pPr>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bCs/>
                <w:color w:val="auto"/>
                <w:sz w:val="24"/>
              </w:rPr>
              <w:t>风量核算：</w:t>
            </w:r>
          </w:p>
          <w:p w14:paraId="4ACBD421">
            <w:pPr>
              <w:widowControl/>
              <w:spacing w:line="360" w:lineRule="auto"/>
              <w:ind w:firstLine="480" w:firstLineChars="200"/>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b w:val="0"/>
                <w:bCs w:val="0"/>
                <w:i w:val="0"/>
                <w:iCs w:val="0"/>
                <w:color w:val="auto"/>
                <w:kern w:val="2"/>
                <w:sz w:val="24"/>
                <w:szCs w:val="24"/>
                <w:lang w:val="en-US" w:eastAsia="zh-CN" w:bidi="ar-SA"/>
              </w:rPr>
              <w:t>根据工程分析，项目</w:t>
            </w:r>
            <w:r>
              <w:rPr>
                <w:rFonts w:hint="eastAsia" w:cs="Times New Roman"/>
                <w:b w:val="0"/>
                <w:bCs w:val="0"/>
                <w:i w:val="0"/>
                <w:iCs w:val="0"/>
                <w:color w:val="auto"/>
                <w:kern w:val="2"/>
                <w:sz w:val="24"/>
                <w:szCs w:val="24"/>
                <w:lang w:val="en-US" w:eastAsia="zh-CN" w:bidi="ar-SA"/>
              </w:rPr>
              <w:t>锻造</w:t>
            </w:r>
            <w:r>
              <w:rPr>
                <w:rFonts w:hint="eastAsia" w:cs="Times New Roman"/>
                <w:b w:val="0"/>
                <w:bCs w:val="0"/>
                <w:i w:val="0"/>
                <w:iCs w:val="0"/>
                <w:color w:val="auto"/>
                <w:kern w:val="2"/>
                <w:sz w:val="24"/>
                <w:szCs w:val="24"/>
                <w:lang w:val="en-US" w:eastAsia="zh-CN" w:bidi="ar-SA"/>
              </w:rPr>
              <w:t>、</w:t>
            </w:r>
            <w:r>
              <w:rPr>
                <w:rFonts w:hint="eastAsia" w:ascii="Times New Roman" w:hAnsi="Times New Roman" w:cs="Times New Roman"/>
                <w:b w:val="0"/>
                <w:bCs w:val="0"/>
                <w:i w:val="0"/>
                <w:iCs w:val="0"/>
                <w:color w:val="auto"/>
                <w:kern w:val="2"/>
                <w:sz w:val="24"/>
                <w:szCs w:val="24"/>
                <w:lang w:val="en-US" w:eastAsia="zh-CN" w:bidi="ar-SA"/>
              </w:rPr>
              <w:t>淬火</w:t>
            </w:r>
            <w:r>
              <w:rPr>
                <w:rFonts w:hint="eastAsia" w:cs="Times New Roman"/>
                <w:b w:val="0"/>
                <w:bCs w:val="0"/>
                <w:i w:val="0"/>
                <w:iCs w:val="0"/>
                <w:color w:val="auto"/>
                <w:kern w:val="2"/>
                <w:sz w:val="24"/>
                <w:szCs w:val="24"/>
                <w:lang w:val="en-US" w:eastAsia="zh-CN" w:bidi="ar-SA"/>
              </w:rPr>
              <w:t>工序</w:t>
            </w:r>
            <w:r>
              <w:rPr>
                <w:rFonts w:hint="default" w:ascii="Times New Roman" w:hAnsi="Times New Roman" w:cs="Times New Roman"/>
                <w:b w:val="0"/>
                <w:bCs w:val="0"/>
                <w:i w:val="0"/>
                <w:iCs w:val="0"/>
                <w:color w:val="auto"/>
                <w:kern w:val="2"/>
                <w:sz w:val="24"/>
                <w:szCs w:val="24"/>
                <w:lang w:val="en-US" w:eastAsia="zh-CN" w:bidi="ar-SA"/>
              </w:rPr>
              <w:t>产污设备为</w:t>
            </w:r>
            <w:r>
              <w:rPr>
                <w:rFonts w:hint="eastAsia" w:cs="Times New Roman"/>
                <w:b w:val="0"/>
                <w:bCs w:val="0"/>
                <w:i w:val="0"/>
                <w:iCs w:val="0"/>
                <w:color w:val="auto"/>
                <w:kern w:val="2"/>
                <w:sz w:val="24"/>
                <w:szCs w:val="24"/>
                <w:lang w:val="en-US" w:eastAsia="zh-CN" w:bidi="ar-SA"/>
              </w:rPr>
              <w:t>高速锻压机</w:t>
            </w:r>
            <w:r>
              <w:rPr>
                <w:rFonts w:hint="eastAsia" w:ascii="Times New Roman" w:hAnsi="Times New Roman" w:cs="Times New Roman"/>
                <w:b w:val="0"/>
                <w:bCs w:val="0"/>
                <w:i w:val="0"/>
                <w:iCs w:val="0"/>
                <w:color w:val="auto"/>
                <w:kern w:val="2"/>
                <w:sz w:val="24"/>
                <w:szCs w:val="24"/>
                <w:lang w:val="en-US" w:eastAsia="zh-CN" w:bidi="ar-SA"/>
              </w:rPr>
              <w:t>和</w:t>
            </w:r>
            <w:r>
              <w:rPr>
                <w:rFonts w:hint="eastAsia" w:cs="Times New Roman"/>
                <w:b w:val="0"/>
                <w:bCs w:val="0"/>
                <w:color w:val="auto"/>
                <w:sz w:val="24"/>
                <w:szCs w:val="20"/>
                <w:lang w:val="en-US" w:eastAsia="zh-CN"/>
              </w:rPr>
              <w:t>数控感应淬火机床</w:t>
            </w:r>
            <w:r>
              <w:rPr>
                <w:rFonts w:hint="default" w:ascii="Times New Roman" w:hAnsi="Times New Roman" w:cs="Times New Roman"/>
                <w:b w:val="0"/>
                <w:bCs w:val="0"/>
                <w:i w:val="0"/>
                <w:iCs w:val="0"/>
                <w:color w:val="auto"/>
                <w:kern w:val="2"/>
                <w:sz w:val="24"/>
                <w:szCs w:val="24"/>
                <w:lang w:val="en-US" w:eastAsia="zh-CN" w:bidi="ar-SA"/>
              </w:rPr>
              <w:t>，</w:t>
            </w:r>
            <w:r>
              <w:rPr>
                <w:rFonts w:hint="eastAsia" w:ascii="Times New Roman" w:hAnsi="Times New Roman" w:cs="Times New Roman"/>
                <w:b w:val="0"/>
                <w:bCs w:val="0"/>
                <w:i w:val="0"/>
                <w:iCs w:val="0"/>
                <w:color w:val="auto"/>
                <w:kern w:val="2"/>
                <w:sz w:val="24"/>
                <w:szCs w:val="24"/>
                <w:lang w:val="en-US" w:eastAsia="zh-CN" w:bidi="ar-SA"/>
              </w:rPr>
              <w:t>设</w:t>
            </w:r>
            <w:r>
              <w:rPr>
                <w:rFonts w:hint="eastAsia" w:ascii="Times New Roman" w:hAnsi="Times New Roman" w:eastAsia="宋体" w:cs="Times New Roman"/>
                <w:b w:val="0"/>
                <w:bCs w:val="0"/>
                <w:i w:val="0"/>
                <w:iCs w:val="0"/>
                <w:color w:val="auto"/>
                <w:kern w:val="2"/>
                <w:sz w:val="24"/>
                <w:szCs w:val="24"/>
                <w:lang w:val="en-US" w:eastAsia="zh-CN" w:bidi="ar-SA"/>
              </w:rPr>
              <w:t>置4台</w:t>
            </w:r>
            <w:r>
              <w:rPr>
                <w:rFonts w:hint="eastAsia" w:cs="Times New Roman"/>
                <w:b w:val="0"/>
                <w:bCs w:val="0"/>
                <w:i w:val="0"/>
                <w:iCs w:val="0"/>
                <w:color w:val="auto"/>
                <w:kern w:val="2"/>
                <w:sz w:val="24"/>
                <w:szCs w:val="24"/>
                <w:lang w:val="en-US" w:eastAsia="zh-CN" w:bidi="ar-SA"/>
              </w:rPr>
              <w:t>高速锻压机</w:t>
            </w:r>
            <w:r>
              <w:rPr>
                <w:rFonts w:hint="eastAsia" w:cs="Times New Roman"/>
                <w:b w:val="0"/>
                <w:bCs w:val="0"/>
                <w:i w:val="0"/>
                <w:iCs w:val="0"/>
                <w:color w:val="auto"/>
                <w:kern w:val="2"/>
                <w:sz w:val="24"/>
                <w:szCs w:val="24"/>
                <w:lang w:val="en-US" w:eastAsia="zh-CN" w:bidi="ar-SA"/>
              </w:rPr>
              <w:t>、</w:t>
            </w:r>
            <w:r>
              <w:rPr>
                <w:rFonts w:hint="eastAsia" w:ascii="Times New Roman" w:hAnsi="Times New Roman" w:cs="Times New Roman"/>
                <w:b w:val="0"/>
                <w:bCs w:val="0"/>
                <w:i w:val="0"/>
                <w:iCs w:val="0"/>
                <w:color w:val="auto"/>
                <w:kern w:val="2"/>
                <w:sz w:val="24"/>
                <w:szCs w:val="24"/>
                <w:lang w:val="en-US" w:eastAsia="zh-CN" w:bidi="ar-SA"/>
              </w:rPr>
              <w:t>4</w:t>
            </w:r>
            <w:r>
              <w:rPr>
                <w:rFonts w:hint="default" w:ascii="Times New Roman" w:hAnsi="Times New Roman" w:cs="Times New Roman"/>
                <w:b w:val="0"/>
                <w:bCs w:val="0"/>
                <w:i w:val="0"/>
                <w:iCs w:val="0"/>
                <w:color w:val="auto"/>
                <w:kern w:val="2"/>
                <w:sz w:val="24"/>
                <w:szCs w:val="24"/>
                <w:lang w:val="en-US" w:eastAsia="zh-CN" w:bidi="ar-SA"/>
              </w:rPr>
              <w:t>台</w:t>
            </w:r>
            <w:r>
              <w:rPr>
                <w:rFonts w:hint="eastAsia" w:cs="Times New Roman"/>
                <w:b w:val="0"/>
                <w:bCs w:val="0"/>
                <w:color w:val="auto"/>
                <w:sz w:val="24"/>
                <w:szCs w:val="20"/>
                <w:lang w:val="en-US" w:eastAsia="zh-CN"/>
              </w:rPr>
              <w:t>数控感应淬火机床</w:t>
            </w:r>
            <w:r>
              <w:rPr>
                <w:rFonts w:hint="default" w:ascii="Times New Roman" w:hAnsi="Times New Roman" w:cs="Times New Roman"/>
                <w:b w:val="0"/>
                <w:bCs w:val="0"/>
                <w:i w:val="0"/>
                <w:iCs w:val="0"/>
                <w:color w:val="auto"/>
                <w:kern w:val="2"/>
                <w:sz w:val="24"/>
                <w:szCs w:val="24"/>
                <w:lang w:val="en-US" w:eastAsia="zh-CN" w:bidi="ar-SA"/>
              </w:rPr>
              <w:t>。</w:t>
            </w:r>
            <w:r>
              <w:rPr>
                <w:rFonts w:hint="default" w:ascii="Times New Roman" w:hAnsi="Times New Roman" w:eastAsia="宋体" w:cs="Times New Roman"/>
                <w:b w:val="0"/>
                <w:bCs w:val="0"/>
                <w:i w:val="0"/>
                <w:iCs w:val="0"/>
                <w:color w:val="auto"/>
                <w:kern w:val="2"/>
                <w:sz w:val="24"/>
                <w:szCs w:val="24"/>
                <w:lang w:val="en-US" w:eastAsia="zh-CN" w:bidi="ar-SA"/>
              </w:rPr>
              <w:t>拟在</w:t>
            </w:r>
            <w:r>
              <w:rPr>
                <w:rFonts w:hint="eastAsia" w:cs="Times New Roman"/>
                <w:b w:val="0"/>
                <w:bCs w:val="0"/>
                <w:i w:val="0"/>
                <w:iCs w:val="0"/>
                <w:color w:val="auto"/>
                <w:kern w:val="2"/>
                <w:sz w:val="24"/>
                <w:szCs w:val="24"/>
                <w:lang w:val="en-US" w:eastAsia="zh-CN" w:bidi="ar-SA"/>
              </w:rPr>
              <w:t>高速锻压机</w:t>
            </w:r>
            <w:r>
              <w:rPr>
                <w:rFonts w:hint="default" w:ascii="Times New Roman" w:hAnsi="Times New Roman" w:eastAsia="宋体" w:cs="Times New Roman"/>
                <w:b w:val="0"/>
                <w:bCs w:val="0"/>
                <w:i w:val="0"/>
                <w:iCs w:val="0"/>
                <w:color w:val="auto"/>
                <w:kern w:val="2"/>
                <w:sz w:val="24"/>
                <w:szCs w:val="24"/>
                <w:lang w:val="en-US" w:eastAsia="zh-CN" w:bidi="ar-SA"/>
              </w:rPr>
              <w:t>上方设置集气罩进行收集，</w:t>
            </w:r>
            <w:r>
              <w:rPr>
                <w:rFonts w:hint="default" w:ascii="Times New Roman" w:hAnsi="Times New Roman" w:cs="Times New Roman"/>
                <w:color w:val="auto"/>
                <w:sz w:val="24"/>
              </w:rPr>
              <w:t>集气罩平均长</w:t>
            </w:r>
            <w:r>
              <w:rPr>
                <w:rFonts w:hint="default" w:ascii="Times New Roman" w:hAnsi="Times New Roman" w:cs="Times New Roman"/>
                <w:color w:val="auto"/>
                <w:sz w:val="24"/>
                <w:lang w:val="en-US" w:eastAsia="zh-CN"/>
              </w:rPr>
              <w:t>0.</w:t>
            </w:r>
            <w:r>
              <w:rPr>
                <w:rFonts w:hint="eastAsia" w:cs="Times New Roman"/>
                <w:color w:val="auto"/>
                <w:sz w:val="24"/>
                <w:lang w:val="en-US" w:eastAsia="zh-CN"/>
              </w:rPr>
              <w:t>9</w:t>
            </w:r>
            <w:r>
              <w:rPr>
                <w:rFonts w:hint="default" w:ascii="Times New Roman" w:hAnsi="Times New Roman" w:cs="Times New Roman"/>
                <w:color w:val="auto"/>
                <w:sz w:val="24"/>
              </w:rPr>
              <w:t>m，宽</w:t>
            </w:r>
            <w:r>
              <w:rPr>
                <w:rFonts w:hint="default" w:ascii="Times New Roman" w:hAnsi="Times New Roman" w:cs="Times New Roman"/>
                <w:color w:val="auto"/>
                <w:sz w:val="24"/>
                <w:lang w:val="en-US" w:eastAsia="zh-CN"/>
              </w:rPr>
              <w:t>0.</w:t>
            </w:r>
            <w:r>
              <w:rPr>
                <w:rFonts w:hint="eastAsia" w:cs="Times New Roman"/>
                <w:color w:val="auto"/>
                <w:sz w:val="24"/>
                <w:lang w:val="en-US" w:eastAsia="zh-CN"/>
              </w:rPr>
              <w:t>8</w:t>
            </w:r>
            <w:r>
              <w:rPr>
                <w:rFonts w:hint="default" w:ascii="Times New Roman" w:hAnsi="Times New Roman" w:cs="Times New Roman"/>
                <w:color w:val="auto"/>
                <w:sz w:val="24"/>
              </w:rPr>
              <w:t>m；</w:t>
            </w:r>
            <w:r>
              <w:rPr>
                <w:rFonts w:hint="eastAsia" w:cs="Times New Roman"/>
                <w:b w:val="0"/>
                <w:bCs w:val="0"/>
                <w:color w:val="auto"/>
                <w:sz w:val="24"/>
                <w:szCs w:val="20"/>
                <w:lang w:val="en-US" w:eastAsia="zh-CN"/>
              </w:rPr>
              <w:t>数控感应淬火机床自带移门，淬火时处于关闭状态，设备顶端设有排气口</w:t>
            </w:r>
            <w:r>
              <w:rPr>
                <w:rFonts w:hint="default" w:ascii="Times New Roman" w:hAnsi="Times New Roman" w:eastAsia="宋体" w:cs="Times New Roman"/>
                <w:b w:val="0"/>
                <w:bCs w:val="0"/>
                <w:i w:val="0"/>
                <w:iCs w:val="0"/>
                <w:color w:val="auto"/>
                <w:kern w:val="2"/>
                <w:sz w:val="24"/>
                <w:szCs w:val="24"/>
                <w:lang w:val="en-US" w:eastAsia="zh-CN" w:bidi="ar-SA"/>
              </w:rPr>
              <w:t>，</w:t>
            </w:r>
            <w:r>
              <w:rPr>
                <w:rFonts w:hint="default" w:ascii="Times New Roman" w:hAnsi="Times New Roman" w:cs="Times New Roman"/>
                <w:b w:val="0"/>
                <w:bCs w:val="0"/>
                <w:i w:val="0"/>
                <w:iCs w:val="0"/>
                <w:color w:val="auto"/>
                <w:kern w:val="2"/>
                <w:sz w:val="24"/>
                <w:szCs w:val="24"/>
                <w:lang w:val="en-US" w:eastAsia="zh-CN" w:bidi="ar-SA"/>
              </w:rPr>
              <w:t>拟</w:t>
            </w:r>
            <w:r>
              <w:rPr>
                <w:rFonts w:hint="default" w:ascii="Times New Roman" w:hAnsi="Times New Roman" w:cs="Times New Roman"/>
                <w:color w:val="auto"/>
                <w:sz w:val="24"/>
                <w:lang w:eastAsia="zh-CN"/>
              </w:rPr>
              <w:t>在设备上方接通废气管道</w:t>
            </w:r>
            <w:r>
              <w:rPr>
                <w:rFonts w:hint="default" w:ascii="Times New Roman" w:hAnsi="Times New Roman" w:cs="Times New Roman"/>
                <w:color w:val="auto"/>
                <w:sz w:val="24"/>
              </w:rPr>
              <w:t>收集</w:t>
            </w:r>
            <w:r>
              <w:rPr>
                <w:rFonts w:hint="default" w:ascii="Times New Roman" w:hAnsi="Times New Roman" w:cs="Times New Roman"/>
                <w:color w:val="auto"/>
                <w:sz w:val="24"/>
                <w:lang w:eastAsia="zh-CN"/>
              </w:rPr>
              <w:t>废气</w:t>
            </w:r>
            <w:r>
              <w:rPr>
                <w:rFonts w:hint="default" w:ascii="Times New Roman" w:hAnsi="Times New Roman" w:eastAsia="宋体" w:cs="Times New Roman"/>
                <w:b w:val="0"/>
                <w:bCs w:val="0"/>
                <w:i w:val="0"/>
                <w:iCs w:val="0"/>
                <w:color w:val="auto"/>
                <w:kern w:val="2"/>
                <w:sz w:val="24"/>
                <w:szCs w:val="24"/>
                <w:lang w:val="en-US" w:eastAsia="zh-CN" w:bidi="ar-SA"/>
              </w:rPr>
              <w:t>，</w:t>
            </w:r>
            <w:r>
              <w:rPr>
                <w:rFonts w:hint="default" w:ascii="Times New Roman" w:hAnsi="Times New Roman" w:cs="Times New Roman"/>
                <w:color w:val="auto"/>
                <w:sz w:val="24"/>
              </w:rPr>
              <w:t>拟设置的集气管道半径为0.</w:t>
            </w:r>
            <w:r>
              <w:rPr>
                <w:rFonts w:hint="eastAsia" w:cs="Times New Roman"/>
                <w:color w:val="auto"/>
                <w:sz w:val="24"/>
                <w:lang w:eastAsia="zh-CN"/>
              </w:rPr>
              <w:t>1</w:t>
            </w:r>
            <w:r>
              <w:rPr>
                <w:rFonts w:hint="eastAsia" w:cs="Times New Roman"/>
                <w:color w:val="auto"/>
                <w:sz w:val="24"/>
                <w:lang w:val="en-US" w:eastAsia="zh-CN"/>
              </w:rPr>
              <w:t>5</w:t>
            </w:r>
            <w:r>
              <w:rPr>
                <w:rFonts w:hint="eastAsia" w:cs="Times New Roman"/>
                <w:color w:val="auto"/>
                <w:sz w:val="24"/>
                <w:lang w:eastAsia="zh-CN"/>
              </w:rPr>
              <w:t>m，</w:t>
            </w:r>
            <w:r>
              <w:rPr>
                <w:rFonts w:hint="eastAsia" w:cs="Times New Roman"/>
                <w:color w:val="auto"/>
                <w:sz w:val="24"/>
                <w:lang w:val="en-US" w:eastAsia="zh-CN"/>
              </w:rPr>
              <w:t>因淬火废气收集后无组织排放，本次评价只说明收集方式，不对风量进行核算</w:t>
            </w:r>
            <w:r>
              <w:rPr>
                <w:rFonts w:hint="default" w:ascii="Times New Roman" w:hAnsi="Times New Roman" w:cs="Times New Roman"/>
                <w:color w:val="auto"/>
                <w:sz w:val="24"/>
                <w:lang w:eastAsia="zh-CN"/>
              </w:rPr>
              <w:t>。</w:t>
            </w:r>
          </w:p>
          <w:p w14:paraId="02578BFE">
            <w:pPr>
              <w:widowControl/>
              <w:numPr>
                <w:ilvl w:val="0"/>
                <w:numId w:val="0"/>
              </w:numPr>
              <w:spacing w:line="360" w:lineRule="auto"/>
              <w:ind w:firstLine="480" w:firstLineChars="200"/>
              <w:rPr>
                <w:rFonts w:hint="default" w:ascii="Times New Roman" w:hAnsi="Times New Roman" w:cs="Times New Roman"/>
                <w:color w:val="auto"/>
                <w:sz w:val="24"/>
              </w:rPr>
            </w:pPr>
            <w:r>
              <w:rPr>
                <w:rFonts w:hint="eastAsia" w:cs="Times New Roman"/>
                <w:color w:val="auto"/>
                <w:sz w:val="24"/>
                <w:lang w:val="en-US" w:eastAsia="zh-CN"/>
              </w:rPr>
              <w:t>高速锻压机：</w:t>
            </w:r>
            <w:r>
              <w:rPr>
                <w:rFonts w:hint="default" w:ascii="Times New Roman" w:hAnsi="Times New Roman" w:cs="Times New Roman"/>
                <w:color w:val="auto"/>
                <w:sz w:val="24"/>
              </w:rPr>
              <w:t>根据外部集气罩风量依据公式如下：</w:t>
            </w:r>
          </w:p>
          <w:p w14:paraId="585D39E1">
            <w:pPr>
              <w:widowControl/>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Q = K(a+b)×h×Vx×3600=1.4×</w:t>
            </w:r>
            <w:r>
              <w:rPr>
                <w:rFonts w:hint="eastAsia" w:ascii="Times New Roman" w:hAnsi="Times New Roman" w:cs="Times New Roman"/>
                <w:color w:val="auto"/>
                <w:sz w:val="24"/>
                <w:lang w:val="en-US" w:eastAsia="zh-CN"/>
              </w:rPr>
              <w:t>3</w:t>
            </w:r>
            <w:r>
              <w:rPr>
                <w:rFonts w:hint="eastAsia" w:cs="Times New Roman"/>
                <w:color w:val="auto"/>
                <w:sz w:val="24"/>
                <w:lang w:val="en-US" w:eastAsia="zh-CN"/>
              </w:rPr>
              <w:t>.4</w:t>
            </w:r>
            <w:r>
              <w:rPr>
                <w:rFonts w:hint="default" w:ascii="Times New Roman" w:hAnsi="Times New Roman" w:cs="Times New Roman"/>
                <w:color w:val="auto"/>
                <w:sz w:val="24"/>
              </w:rPr>
              <w:t>×0.1×0.5×3600×</w:t>
            </w:r>
            <w:r>
              <w:rPr>
                <w:rFonts w:hint="eastAsia" w:cs="Times New Roman"/>
                <w:color w:val="auto"/>
                <w:sz w:val="24"/>
                <w:lang w:val="en-US" w:eastAsia="zh-CN"/>
              </w:rPr>
              <w:t>4</w:t>
            </w:r>
            <w:r>
              <w:rPr>
                <w:rFonts w:hint="default" w:ascii="Times New Roman" w:hAnsi="Times New Roman" w:cs="Times New Roman"/>
                <w:color w:val="auto"/>
                <w:sz w:val="24"/>
              </w:rPr>
              <w:t>=</w:t>
            </w:r>
            <w:r>
              <w:rPr>
                <w:rFonts w:hint="eastAsia" w:ascii="Times New Roman" w:hAnsi="Times New Roman" w:cs="Times New Roman"/>
                <w:color w:val="auto"/>
                <w:sz w:val="24"/>
                <w:lang w:val="en-US" w:eastAsia="zh-CN"/>
              </w:rPr>
              <w:t>3</w:t>
            </w:r>
            <w:r>
              <w:rPr>
                <w:rFonts w:hint="eastAsia" w:cs="Times New Roman"/>
                <w:color w:val="auto"/>
                <w:sz w:val="24"/>
                <w:lang w:val="en-US" w:eastAsia="zh-CN"/>
              </w:rPr>
              <w:t>427.2</w:t>
            </w:r>
            <w:r>
              <w:rPr>
                <w:rFonts w:hint="default" w:ascii="Times New Roman" w:hAnsi="Times New Roman" w:cs="Times New Roman"/>
                <w:color w:val="auto"/>
                <w:sz w:val="24"/>
              </w:rPr>
              <w:t>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/h。</w:t>
            </w:r>
          </w:p>
          <w:p w14:paraId="2F1FECF3">
            <w:pPr>
              <w:widowControl/>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Q：集气罩排风量（m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/h）；</w:t>
            </w:r>
          </w:p>
          <w:p w14:paraId="0B55FF77">
            <w:pPr>
              <w:widowControl/>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K：安全系数（1.4）；</w:t>
            </w:r>
          </w:p>
          <w:p w14:paraId="5FA4D1B3">
            <w:pPr>
              <w:widowControl/>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h：污染物产生点至罩口的距离，m，本项目取0.1m；</w:t>
            </w:r>
          </w:p>
          <w:p w14:paraId="6A0F0D70">
            <w:pPr>
              <w:widowControl/>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a+b：集气罩周长，m，</w:t>
            </w:r>
            <w:r>
              <w:rPr>
                <w:rFonts w:hint="default" w:ascii="Times New Roman" w:hAnsi="Times New Roman" w:cs="Times New Roman"/>
                <w:color w:val="auto"/>
                <w:kern w:val="0"/>
                <w:sz w:val="24"/>
              </w:rPr>
              <w:t>本项目拟设置集气罩总周长为</w:t>
            </w:r>
            <w:r>
              <w:rPr>
                <w:rFonts w:hint="eastAsia" w:ascii="Times New Roman" w:hAnsi="Times New Roman" w:cs="Times New Roman"/>
                <w:color w:val="auto"/>
                <w:kern w:val="0"/>
                <w:sz w:val="24"/>
                <w:lang w:val="en-US" w:eastAsia="zh-CN"/>
              </w:rPr>
              <w:t>1</w:t>
            </w:r>
            <w:r>
              <w:rPr>
                <w:rFonts w:hint="eastAsia" w:cs="Times New Roman"/>
                <w:color w:val="auto"/>
                <w:kern w:val="0"/>
                <w:sz w:val="24"/>
                <w:lang w:val="en-US" w:eastAsia="zh-CN"/>
              </w:rPr>
              <w:t>3.6</w:t>
            </w:r>
            <w:r>
              <w:rPr>
                <w:rFonts w:hint="default" w:ascii="Times New Roman" w:hAnsi="Times New Roman" w:cs="Times New Roman"/>
                <w:color w:val="auto"/>
                <w:kern w:val="0"/>
                <w:sz w:val="24"/>
              </w:rPr>
              <w:t>m</w:t>
            </w:r>
            <w:r>
              <w:rPr>
                <w:rFonts w:hint="default" w:ascii="Times New Roman" w:hAnsi="Times New Roman" w:cs="Times New Roman"/>
                <w:color w:val="auto"/>
                <w:sz w:val="24"/>
              </w:rPr>
              <w:t>（</w:t>
            </w:r>
            <w:r>
              <w:rPr>
                <w:rFonts w:hint="default" w:ascii="Times New Roman" w:hAnsi="Times New Roman" w:cs="Times New Roman"/>
                <w:color w:val="auto"/>
                <w:kern w:val="0"/>
                <w:sz w:val="24"/>
              </w:rPr>
              <w:t>设有</w:t>
            </w:r>
            <w:r>
              <w:rPr>
                <w:rFonts w:hint="eastAsia" w:cs="Times New Roman"/>
                <w:color w:val="auto"/>
                <w:kern w:val="0"/>
                <w:sz w:val="24"/>
                <w:lang w:val="en-US" w:eastAsia="zh-CN"/>
              </w:rPr>
              <w:t>4</w:t>
            </w:r>
            <w:r>
              <w:rPr>
                <w:rFonts w:hint="default" w:ascii="Times New Roman" w:hAnsi="Times New Roman" w:cs="Times New Roman"/>
                <w:color w:val="auto"/>
                <w:kern w:val="0"/>
                <w:sz w:val="24"/>
              </w:rPr>
              <w:t>个集气罩，为方形</w:t>
            </w:r>
            <w:r>
              <w:rPr>
                <w:rFonts w:hint="default" w:ascii="Times New Roman" w:hAnsi="Times New Roman" w:cs="Times New Roman"/>
                <w:color w:val="auto"/>
                <w:sz w:val="24"/>
              </w:rPr>
              <w:t>）；</w:t>
            </w:r>
          </w:p>
          <w:p w14:paraId="60101C27">
            <w:pPr>
              <w:widowControl/>
              <w:numPr>
                <w:ilvl w:val="0"/>
                <w:numId w:val="0"/>
              </w:numPr>
              <w:spacing w:line="360" w:lineRule="auto"/>
              <w:ind w:firstLine="480" w:firstLineChars="200"/>
              <w:rPr>
                <w:rFonts w:hint="default" w:ascii="Times New Roman" w:hAnsi="Times New Roman" w:eastAsia="宋体" w:cs="Times New Roman"/>
                <w:b w:val="0"/>
                <w:bCs w:val="0"/>
                <w:color w:val="auto"/>
                <w:kern w:val="2"/>
                <w:sz w:val="24"/>
                <w:szCs w:val="24"/>
                <w:lang w:val="en-US" w:eastAsia="zh-CN" w:bidi="ar-SA"/>
              </w:rPr>
            </w:pPr>
            <w:r>
              <w:rPr>
                <w:rFonts w:hint="default" w:ascii="Times New Roman" w:hAnsi="Times New Roman" w:eastAsia="宋体" w:cs="Times New Roman"/>
                <w:b w:val="0"/>
                <w:bCs w:val="0"/>
                <w:color w:val="auto"/>
                <w:kern w:val="2"/>
                <w:sz w:val="24"/>
                <w:szCs w:val="24"/>
                <w:lang w:val="en-US" w:eastAsia="zh-CN" w:bidi="ar-SA"/>
              </w:rPr>
              <w:t>Vx：最小控制风速m/s，一般取0.5~1.5m/s，本次评价取值0.5m/s。</w:t>
            </w:r>
          </w:p>
          <w:p w14:paraId="0CB638C2">
            <w:pPr>
              <w:numPr>
                <w:ilvl w:val="0"/>
                <w:numId w:val="0"/>
              </w:numPr>
              <w:spacing w:line="360" w:lineRule="auto"/>
              <w:ind w:firstLine="480" w:firstLineChars="200"/>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cs="Times New Roman"/>
                <w:color w:val="auto"/>
                <w:sz w:val="24"/>
                <w:lang w:val="en-US" w:eastAsia="zh-CN"/>
              </w:rPr>
              <w:t>综上所述</w:t>
            </w:r>
            <w:r>
              <w:rPr>
                <w:rFonts w:hint="default" w:ascii="Times New Roman" w:hAnsi="Times New Roman" w:cs="Times New Roman"/>
                <w:color w:val="auto"/>
                <w:sz w:val="24"/>
              </w:rPr>
              <w:t>，</w:t>
            </w:r>
            <w:r>
              <w:rPr>
                <w:rFonts w:hint="eastAsia" w:cs="Times New Roman"/>
                <w:color w:val="auto"/>
                <w:sz w:val="24"/>
                <w:lang w:val="en-US" w:eastAsia="zh-CN"/>
              </w:rPr>
              <w:t>锻造</w:t>
            </w:r>
            <w:r>
              <w:rPr>
                <w:rFonts w:hint="default" w:ascii="Times New Roman" w:hAnsi="Times New Roman" w:eastAsia="宋体" w:cs="Times New Roman"/>
                <w:b w:val="0"/>
                <w:bCs w:val="0"/>
                <w:i w:val="0"/>
                <w:iCs w:val="0"/>
                <w:color w:val="auto"/>
                <w:kern w:val="2"/>
                <w:sz w:val="24"/>
                <w:szCs w:val="24"/>
                <w:lang w:val="en-US" w:eastAsia="zh-CN" w:bidi="ar-SA"/>
              </w:rPr>
              <w:t>工序</w:t>
            </w:r>
            <w:r>
              <w:rPr>
                <w:rFonts w:hint="default" w:ascii="Times New Roman" w:hAnsi="Times New Roman" w:cs="Times New Roman"/>
                <w:b w:val="0"/>
                <w:bCs w:val="0"/>
                <w:color w:val="auto"/>
                <w:kern w:val="2"/>
                <w:sz w:val="24"/>
                <w:szCs w:val="24"/>
                <w:lang w:val="en-US" w:eastAsia="zh-CN" w:bidi="ar-SA"/>
              </w:rPr>
              <w:t>的风机风量为</w:t>
            </w:r>
            <w:r>
              <w:rPr>
                <w:rFonts w:hint="eastAsia" w:cs="Times New Roman"/>
                <w:color w:val="auto"/>
                <w:sz w:val="24"/>
                <w:lang w:val="en-US" w:eastAsia="zh-CN"/>
              </w:rPr>
              <w:t>3427.2</w:t>
            </w:r>
            <w:r>
              <w:rPr>
                <w:rFonts w:hint="default" w:ascii="Times New Roman" w:hAnsi="Times New Roman" w:cs="Times New Roman"/>
                <w:b w:val="0"/>
                <w:bCs w:val="0"/>
                <w:color w:val="auto"/>
                <w:kern w:val="2"/>
                <w:sz w:val="24"/>
                <w:szCs w:val="24"/>
                <w:lang w:val="en-US" w:eastAsia="zh-CN" w:bidi="ar-SA"/>
              </w:rPr>
              <w:t>m</w:t>
            </w:r>
            <w:r>
              <w:rPr>
                <w:rFonts w:hint="default" w:ascii="Times New Roman" w:hAnsi="Times New Roman" w:cs="Times New Roman"/>
                <w:color w:val="auto"/>
                <w:sz w:val="24"/>
                <w:vertAlign w:val="superscript"/>
                <w:lang w:val="en-GB"/>
              </w:rPr>
              <w:t>3</w:t>
            </w:r>
            <w:r>
              <w:rPr>
                <w:rFonts w:hint="default" w:ascii="Times New Roman" w:hAnsi="Times New Roman" w:cs="Times New Roman"/>
                <w:color w:val="auto"/>
                <w:sz w:val="24"/>
                <w:lang w:val="en-GB"/>
              </w:rPr>
              <w:t>/h</w:t>
            </w:r>
            <w:r>
              <w:rPr>
                <w:rFonts w:hint="default" w:ascii="Times New Roman" w:hAnsi="Times New Roman" w:cs="Times New Roman"/>
                <w:color w:val="auto"/>
                <w:sz w:val="24"/>
                <w:lang w:val="en-GB" w:eastAsia="zh-CN"/>
              </w:rPr>
              <w:t>，</w:t>
            </w:r>
            <w:r>
              <w:rPr>
                <w:rFonts w:hint="default" w:ascii="Times New Roman" w:hAnsi="Times New Roman" w:eastAsia="宋体" w:cs="Times New Roman"/>
                <w:color w:val="auto"/>
                <w:kern w:val="2"/>
                <w:sz w:val="24"/>
                <w:szCs w:val="24"/>
                <w:lang w:val="en-US" w:eastAsia="zh-CN" w:bidi="ar-SA"/>
              </w:rPr>
              <w:t>综合考虑风阻损耗等影响，</w:t>
            </w:r>
            <w:r>
              <w:rPr>
                <w:rFonts w:hint="default" w:ascii="Times New Roman" w:hAnsi="Times New Roman" w:cs="Times New Roman"/>
                <w:color w:val="auto"/>
                <w:kern w:val="2"/>
                <w:sz w:val="24"/>
                <w:szCs w:val="24"/>
                <w:lang w:val="en-US" w:eastAsia="zh-CN" w:bidi="ar-SA"/>
              </w:rPr>
              <w:t>按计算风量的1.2倍取值，则项目</w:t>
            </w:r>
            <w:r>
              <w:rPr>
                <w:rFonts w:hint="eastAsia" w:cs="Times New Roman"/>
                <w:color w:val="auto"/>
                <w:sz w:val="24"/>
                <w:lang w:val="en-US" w:eastAsia="zh-CN"/>
              </w:rPr>
              <w:t>锻造</w:t>
            </w:r>
            <w:r>
              <w:rPr>
                <w:rFonts w:hint="default" w:ascii="Times New Roman" w:hAnsi="Times New Roman" w:cs="Times New Roman"/>
                <w:b w:val="0"/>
                <w:bCs w:val="0"/>
                <w:color w:val="auto"/>
                <w:kern w:val="2"/>
                <w:sz w:val="24"/>
                <w:szCs w:val="24"/>
                <w:lang w:val="en-US" w:eastAsia="zh-CN" w:bidi="ar-SA"/>
              </w:rPr>
              <w:t>工序的总风机风量</w:t>
            </w:r>
            <w:r>
              <w:rPr>
                <w:rFonts w:hint="default" w:ascii="Times New Roman" w:hAnsi="Times New Roman" w:cs="Times New Roman"/>
                <w:color w:val="auto"/>
                <w:kern w:val="2"/>
                <w:sz w:val="24"/>
                <w:szCs w:val="24"/>
                <w:lang w:val="en-US" w:eastAsia="zh-CN" w:bidi="ar-SA"/>
              </w:rPr>
              <w:t>为</w:t>
            </w:r>
            <w:r>
              <w:rPr>
                <w:rFonts w:hint="eastAsia" w:cs="Times New Roman"/>
                <w:color w:val="auto"/>
                <w:kern w:val="2"/>
                <w:sz w:val="24"/>
                <w:szCs w:val="24"/>
                <w:lang w:val="en-US" w:eastAsia="zh-CN" w:bidi="ar-SA"/>
              </w:rPr>
              <w:t>4112.64</w:t>
            </w:r>
            <w:r>
              <w:rPr>
                <w:rFonts w:hint="default" w:ascii="Times New Roman" w:hAnsi="Times New Roman" w:eastAsia="宋体" w:cs="Times New Roman"/>
                <w:color w:val="auto"/>
                <w:kern w:val="2"/>
                <w:sz w:val="24"/>
                <w:szCs w:val="24"/>
                <w:lang w:val="en-US" w:eastAsia="zh-CN" w:bidi="ar-SA"/>
              </w:rPr>
              <w:t>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/h</w:t>
            </w:r>
            <w:r>
              <w:rPr>
                <w:rFonts w:hint="default" w:ascii="Times New Roman" w:hAnsi="Times New Roman" w:cs="Times New Roman"/>
                <w:color w:val="auto"/>
                <w:kern w:val="2"/>
                <w:sz w:val="24"/>
                <w:szCs w:val="24"/>
                <w:lang w:val="en-US" w:eastAsia="zh-CN" w:bidi="ar-SA"/>
              </w:rPr>
              <w:t>，取整为</w:t>
            </w:r>
            <w:r>
              <w:rPr>
                <w:rFonts w:hint="eastAsia" w:cs="Times New Roman"/>
                <w:color w:val="auto"/>
                <w:kern w:val="2"/>
                <w:sz w:val="24"/>
                <w:szCs w:val="24"/>
                <w:lang w:val="en-US" w:eastAsia="zh-CN" w:bidi="ar-SA"/>
              </w:rPr>
              <w:t>5000</w:t>
            </w:r>
            <w:r>
              <w:rPr>
                <w:rFonts w:hint="default" w:ascii="Times New Roman" w:hAnsi="Times New Roman" w:eastAsia="宋体" w:cs="Times New Roman"/>
                <w:color w:val="auto"/>
                <w:kern w:val="2"/>
                <w:sz w:val="24"/>
                <w:szCs w:val="24"/>
                <w:lang w:val="en-US" w:eastAsia="zh-CN" w:bidi="ar-SA"/>
              </w:rPr>
              <w:t>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/h。</w:t>
            </w:r>
          </w:p>
          <w:p w14:paraId="1840D093">
            <w:pPr>
              <w:spacing w:line="360" w:lineRule="auto"/>
              <w:ind w:firstLine="480" w:firstLineChars="200"/>
              <w:rPr>
                <w:rFonts w:hint="default" w:ascii="Times New Roman" w:hAnsi="Times New Roman" w:cs="Times New Roman" w:eastAsiaTheme="minorEastAsia"/>
                <w:color w:val="auto"/>
                <w:kern w:val="0"/>
                <w:sz w:val="24"/>
                <w:lang w:eastAsia="zh-CN"/>
              </w:rPr>
            </w:pPr>
            <w:r>
              <w:rPr>
                <w:rFonts w:hint="default" w:ascii="Times New Roman" w:hAnsi="Times New Roman" w:cs="Times New Roman" w:eastAsiaTheme="minorEastAsia"/>
                <w:color w:val="auto"/>
                <w:kern w:val="0"/>
                <w:sz w:val="24"/>
                <w:lang w:eastAsia="zh-CN"/>
              </w:rPr>
              <w:t>综上所述，</w:t>
            </w:r>
            <w:r>
              <w:rPr>
                <w:rFonts w:hint="eastAsia" w:cs="Times New Roman"/>
                <w:color w:val="auto"/>
                <w:sz w:val="24"/>
                <w:lang w:val="en-US" w:eastAsia="zh-CN"/>
              </w:rPr>
              <w:t>锻造</w:t>
            </w:r>
            <w:r>
              <w:rPr>
                <w:rFonts w:hint="eastAsia" w:cs="Times New Roman"/>
                <w:color w:val="auto"/>
                <w:sz w:val="24"/>
                <w:lang w:val="en-US" w:eastAsia="zh-CN"/>
              </w:rPr>
              <w:t>、淬火</w:t>
            </w:r>
            <w:r>
              <w:rPr>
                <w:rFonts w:hint="eastAsia" w:cs="Times New Roman" w:eastAsiaTheme="minorEastAsia"/>
                <w:color w:val="auto"/>
                <w:kern w:val="0"/>
                <w:sz w:val="24"/>
                <w:lang w:val="en-US" w:eastAsia="zh-CN"/>
              </w:rPr>
              <w:t>工序年运行5120h，锻造工序</w:t>
            </w:r>
            <w:r>
              <w:rPr>
                <w:rFonts w:hint="default" w:ascii="Times New Roman" w:hAnsi="Times New Roman" w:cs="Times New Roman"/>
                <w:b w:val="0"/>
                <w:bCs w:val="0"/>
                <w:color w:val="auto"/>
                <w:kern w:val="2"/>
                <w:sz w:val="24"/>
                <w:szCs w:val="24"/>
                <w:lang w:val="en-US" w:eastAsia="zh-CN" w:bidi="ar-SA"/>
              </w:rPr>
              <w:t>风机风量为</w:t>
            </w:r>
            <w:r>
              <w:rPr>
                <w:rFonts w:hint="eastAsia" w:cs="Times New Roman"/>
                <w:color w:val="auto"/>
                <w:kern w:val="2"/>
                <w:sz w:val="24"/>
                <w:szCs w:val="24"/>
                <w:lang w:val="en-US" w:eastAsia="zh-CN" w:bidi="ar-SA"/>
              </w:rPr>
              <w:t>5000</w:t>
            </w:r>
            <w:r>
              <w:rPr>
                <w:rFonts w:hint="default" w:ascii="Times New Roman" w:hAnsi="Times New Roman" w:eastAsia="宋体" w:cs="Times New Roman"/>
                <w:color w:val="auto"/>
                <w:kern w:val="2"/>
                <w:sz w:val="24"/>
                <w:szCs w:val="24"/>
                <w:lang w:val="en-US" w:eastAsia="zh-CN" w:bidi="ar-SA"/>
              </w:rPr>
              <w:t>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/h。</w:t>
            </w:r>
            <w:r>
              <w:rPr>
                <w:rFonts w:hint="default" w:ascii="Times New Roman" w:hAnsi="Times New Roman" w:cs="Times New Roman" w:eastAsiaTheme="minorEastAsia"/>
                <w:color w:val="auto"/>
                <w:kern w:val="0"/>
                <w:sz w:val="24"/>
                <w:lang w:eastAsia="zh-CN"/>
              </w:rPr>
              <w:t>项目</w:t>
            </w:r>
            <w:r>
              <w:rPr>
                <w:rFonts w:hint="eastAsia" w:cs="Times New Roman"/>
                <w:color w:val="auto"/>
                <w:sz w:val="24"/>
                <w:lang w:val="en-US" w:eastAsia="zh-CN"/>
              </w:rPr>
              <w:t>锻造</w:t>
            </w:r>
            <w:r>
              <w:rPr>
                <w:rFonts w:hint="default" w:ascii="Times New Roman" w:hAnsi="Times New Roman" w:cs="Times New Roman"/>
                <w:b w:val="0"/>
                <w:bCs w:val="0"/>
                <w:color w:val="auto"/>
                <w:kern w:val="2"/>
                <w:sz w:val="24"/>
                <w:szCs w:val="24"/>
                <w:lang w:val="en-US" w:eastAsia="zh-CN" w:bidi="ar-SA"/>
              </w:rPr>
              <w:t>工序</w:t>
            </w:r>
            <w:r>
              <w:rPr>
                <w:rFonts w:hint="eastAsia" w:cs="Times New Roman" w:eastAsiaTheme="minorEastAsia"/>
                <w:color w:val="auto"/>
                <w:kern w:val="0"/>
                <w:sz w:val="24"/>
                <w:lang w:val="en-US" w:eastAsia="zh-CN"/>
              </w:rPr>
              <w:t>非甲烷总烃</w:t>
            </w:r>
            <w:r>
              <w:rPr>
                <w:rFonts w:hint="default" w:ascii="Times New Roman" w:hAnsi="Times New Roman" w:cs="Times New Roman" w:eastAsiaTheme="minorEastAsia"/>
                <w:color w:val="auto"/>
                <w:kern w:val="0"/>
                <w:sz w:val="24"/>
                <w:lang w:val="en-US" w:eastAsia="zh-CN"/>
              </w:rPr>
              <w:t>产生总量为</w:t>
            </w:r>
            <w:r>
              <w:rPr>
                <w:rFonts w:hint="eastAsia" w:cs="Times New Roman" w:eastAsiaTheme="minorEastAsia"/>
                <w:color w:val="auto"/>
                <w:kern w:val="0"/>
                <w:sz w:val="24"/>
                <w:lang w:val="en-US" w:eastAsia="zh-CN"/>
              </w:rPr>
              <w:t>0.756</w:t>
            </w:r>
            <w:r>
              <w:rPr>
                <w:rFonts w:hint="default" w:ascii="Times New Roman" w:hAnsi="Times New Roman" w:cs="Times New Roman" w:eastAsiaTheme="minorEastAsia"/>
                <w:color w:val="auto"/>
                <w:kern w:val="0"/>
                <w:sz w:val="24"/>
                <w:lang w:val="en-US" w:eastAsia="zh-CN"/>
              </w:rPr>
              <w:t>t/a。</w:t>
            </w:r>
            <w:r>
              <w:rPr>
                <w:rFonts w:hint="eastAsia" w:cs="Times New Roman"/>
                <w:color w:val="auto"/>
                <w:sz w:val="24"/>
                <w:lang w:val="en-US" w:eastAsia="zh-CN"/>
              </w:rPr>
              <w:t>锻造</w:t>
            </w:r>
            <w:r>
              <w:rPr>
                <w:rFonts w:hint="eastAsia" w:cs="Times New Roman" w:eastAsiaTheme="minorEastAsia"/>
                <w:color w:val="auto"/>
                <w:kern w:val="0"/>
                <w:sz w:val="24"/>
                <w:lang w:val="en-US" w:eastAsia="zh-CN"/>
              </w:rPr>
              <w:t>工序产生的废气经集气罩收集后由</w:t>
            </w:r>
            <w:r>
              <w:rPr>
                <w:rFonts w:hint="default" w:ascii="Times New Roman" w:hAnsi="Times New Roman" w:cs="Times New Roman"/>
                <w:color w:val="auto"/>
                <w:sz w:val="24"/>
                <w:szCs w:val="24"/>
                <w:lang w:eastAsia="zh-CN"/>
              </w:rPr>
              <w:t>静电</w:t>
            </w:r>
            <w:r>
              <w:rPr>
                <w:rFonts w:hint="default" w:ascii="Times New Roman" w:hAnsi="Times New Roman" w:cs="Times New Roman"/>
                <w:color w:val="auto"/>
                <w:sz w:val="24"/>
                <w:szCs w:val="24"/>
                <w:lang w:val="en-US" w:eastAsia="zh-CN"/>
              </w:rPr>
              <w:t>式</w:t>
            </w:r>
            <w:r>
              <w:rPr>
                <w:rFonts w:hint="default" w:ascii="Times New Roman" w:hAnsi="Times New Roman" w:cs="Times New Roman"/>
                <w:color w:val="auto"/>
                <w:sz w:val="24"/>
                <w:szCs w:val="24"/>
                <w:lang w:eastAsia="zh-CN"/>
              </w:rPr>
              <w:t>油雾净化</w:t>
            </w:r>
            <w:r>
              <w:rPr>
                <w:rFonts w:hint="default" w:ascii="Times New Roman" w:hAnsi="Times New Roman" w:cs="Times New Roman"/>
                <w:color w:val="auto"/>
                <w:sz w:val="24"/>
                <w:szCs w:val="24"/>
                <w:lang w:val="en-US" w:eastAsia="zh-CN"/>
              </w:rPr>
              <w:t>器</w:t>
            </w:r>
            <w:r>
              <w:rPr>
                <w:rFonts w:hint="eastAsia" w:ascii="Times New Roman" w:hAnsi="Times New Roman" w:cs="Times New Roman"/>
                <w:color w:val="auto"/>
                <w:sz w:val="24"/>
                <w:szCs w:val="24"/>
                <w:lang w:val="en-US" w:eastAsia="zh-CN"/>
              </w:rPr>
              <w:t>+</w:t>
            </w:r>
            <w:r>
              <w:rPr>
                <w:rFonts w:hint="eastAsia" w:cs="Times New Roman" w:eastAsiaTheme="minorEastAsia"/>
                <w:color w:val="auto"/>
                <w:kern w:val="0"/>
                <w:sz w:val="24"/>
                <w:lang w:val="en-US" w:eastAsia="zh-CN"/>
              </w:rPr>
              <w:t>两级活性炭吸附装置处理后通过</w:t>
            </w:r>
            <w:r>
              <w:rPr>
                <w:rFonts w:hint="eastAsia" w:ascii="Times New Roman" w:hAnsi="Times New Roman" w:eastAsia="宋体" w:cs="Times New Roman"/>
                <w:color w:val="auto"/>
                <w:kern w:val="0"/>
                <w:sz w:val="24"/>
                <w:lang w:val="en-US" w:eastAsia="zh-CN"/>
              </w:rPr>
              <w:t>一根</w:t>
            </w:r>
            <w:r>
              <w:rPr>
                <w:rFonts w:hint="eastAsia" w:cs="Times New Roman"/>
                <w:color w:val="auto"/>
                <w:kern w:val="0"/>
                <w:sz w:val="24"/>
                <w:lang w:val="en-US" w:eastAsia="zh-CN"/>
              </w:rPr>
              <w:t>18m</w:t>
            </w:r>
            <w:r>
              <w:rPr>
                <w:rFonts w:hint="eastAsia" w:ascii="Times New Roman" w:hAnsi="Times New Roman" w:eastAsia="宋体" w:cs="Times New Roman"/>
                <w:color w:val="auto"/>
                <w:kern w:val="0"/>
                <w:sz w:val="24"/>
                <w:lang w:val="en-US" w:eastAsia="zh-CN"/>
              </w:rPr>
              <w:t>高的排气筒DA002排放</w:t>
            </w:r>
            <w:r>
              <w:rPr>
                <w:rFonts w:hint="eastAsia" w:cs="Times New Roman"/>
                <w:color w:val="auto"/>
                <w:kern w:val="0"/>
                <w:sz w:val="24"/>
                <w:lang w:val="en-US" w:eastAsia="zh-CN"/>
              </w:rPr>
              <w:t>；</w:t>
            </w:r>
            <w:r>
              <w:rPr>
                <w:rFonts w:hint="eastAsia" w:ascii="Times New Roman" w:hAnsi="Times New Roman" w:eastAsia="宋体" w:cs="Times New Roman"/>
                <w:color w:val="auto"/>
                <w:kern w:val="0"/>
                <w:sz w:val="24"/>
                <w:lang w:val="en-US" w:eastAsia="zh-CN"/>
              </w:rPr>
              <w:t>淬火废气经设备密闭+集气管道收集后</w:t>
            </w:r>
            <w:r>
              <w:rPr>
                <w:rFonts w:hint="eastAsia" w:cs="Times New Roman"/>
                <w:color w:val="auto"/>
                <w:kern w:val="0"/>
                <w:sz w:val="24"/>
                <w:lang w:val="en-US" w:eastAsia="zh-CN"/>
              </w:rPr>
              <w:t>无组织排放。锻造废气</w:t>
            </w:r>
            <w:r>
              <w:rPr>
                <w:rFonts w:hint="default" w:ascii="Times New Roman" w:hAnsi="Times New Roman" w:cs="Times New Roman" w:eastAsiaTheme="minorEastAsia"/>
                <w:color w:val="auto"/>
                <w:kern w:val="0"/>
                <w:sz w:val="24"/>
              </w:rPr>
              <w:t>收</w:t>
            </w:r>
            <w:r>
              <w:rPr>
                <w:rFonts w:hint="default" w:ascii="Times New Roman" w:hAnsi="Times New Roman" w:cs="Times New Roman" w:eastAsiaTheme="minorEastAsia"/>
                <w:color w:val="auto"/>
                <w:kern w:val="0"/>
                <w:sz w:val="24"/>
              </w:rPr>
              <w:t>集效率</w:t>
            </w:r>
            <w:r>
              <w:rPr>
                <w:rFonts w:hint="eastAsia" w:cs="Times New Roman" w:eastAsiaTheme="minorEastAsia"/>
                <w:color w:val="auto"/>
                <w:kern w:val="0"/>
                <w:sz w:val="24"/>
                <w:lang w:val="en-US" w:eastAsia="zh-CN"/>
              </w:rPr>
              <w:t>按</w:t>
            </w:r>
            <w:r>
              <w:rPr>
                <w:rFonts w:hint="default" w:ascii="Times New Roman" w:hAnsi="Times New Roman" w:cs="Times New Roman" w:eastAsiaTheme="minorEastAsia"/>
                <w:color w:val="auto"/>
                <w:kern w:val="0"/>
                <w:sz w:val="24"/>
                <w:lang w:val="en-US" w:eastAsia="zh-CN"/>
              </w:rPr>
              <w:t>9</w:t>
            </w:r>
            <w:r>
              <w:rPr>
                <w:rFonts w:hint="eastAsia" w:cs="Times New Roman" w:eastAsiaTheme="minorEastAsia"/>
                <w:color w:val="auto"/>
                <w:kern w:val="0"/>
                <w:sz w:val="24"/>
                <w:lang w:val="en-US" w:eastAsia="zh-CN"/>
              </w:rPr>
              <w:t>0</w:t>
            </w:r>
            <w:r>
              <w:rPr>
                <w:rFonts w:hint="default" w:ascii="Times New Roman" w:hAnsi="Times New Roman" w:cs="Times New Roman" w:eastAsiaTheme="minorEastAsia"/>
                <w:color w:val="auto"/>
                <w:kern w:val="0"/>
                <w:sz w:val="24"/>
              </w:rPr>
              <w:t>%</w:t>
            </w:r>
            <w:r>
              <w:rPr>
                <w:rFonts w:hint="eastAsia" w:cs="Times New Roman" w:eastAsiaTheme="minorEastAsia"/>
                <w:color w:val="auto"/>
                <w:kern w:val="0"/>
                <w:sz w:val="24"/>
                <w:lang w:val="en-US" w:eastAsia="zh-CN"/>
              </w:rPr>
              <w:t>计</w:t>
            </w:r>
            <w:r>
              <w:rPr>
                <w:rFonts w:hint="default" w:ascii="Times New Roman" w:hAnsi="Times New Roman" w:cs="Times New Roman" w:eastAsiaTheme="minorEastAsia"/>
                <w:color w:val="auto"/>
                <w:kern w:val="0"/>
                <w:sz w:val="24"/>
              </w:rPr>
              <w:t>，处理效率</w:t>
            </w:r>
            <w:r>
              <w:rPr>
                <w:rFonts w:hint="eastAsia" w:cs="Times New Roman" w:eastAsiaTheme="minorEastAsia"/>
                <w:color w:val="auto"/>
                <w:kern w:val="0"/>
                <w:sz w:val="24"/>
                <w:lang w:val="en-US" w:eastAsia="zh-CN"/>
              </w:rPr>
              <w:t>按</w:t>
            </w:r>
            <w:r>
              <w:rPr>
                <w:rFonts w:hint="default" w:ascii="Times New Roman" w:hAnsi="Times New Roman" w:cs="Times New Roman" w:eastAsiaTheme="minorEastAsia"/>
                <w:color w:val="auto"/>
                <w:kern w:val="0"/>
                <w:sz w:val="24"/>
              </w:rPr>
              <w:t>9</w:t>
            </w:r>
            <w:r>
              <w:rPr>
                <w:rFonts w:hint="eastAsia" w:cs="Times New Roman" w:eastAsiaTheme="minorEastAsia"/>
                <w:color w:val="auto"/>
                <w:kern w:val="0"/>
                <w:sz w:val="24"/>
                <w:lang w:val="en-US" w:eastAsia="zh-CN"/>
              </w:rPr>
              <w:t>0</w:t>
            </w:r>
            <w:r>
              <w:rPr>
                <w:rFonts w:hint="default" w:ascii="Times New Roman" w:hAnsi="Times New Roman" w:cs="Times New Roman" w:eastAsiaTheme="minorEastAsia"/>
                <w:color w:val="auto"/>
                <w:kern w:val="0"/>
                <w:sz w:val="24"/>
              </w:rPr>
              <w:t>%</w:t>
            </w:r>
            <w:r>
              <w:rPr>
                <w:rFonts w:hint="eastAsia" w:cs="Times New Roman" w:eastAsiaTheme="minorEastAsia"/>
                <w:color w:val="auto"/>
                <w:kern w:val="0"/>
                <w:sz w:val="24"/>
                <w:lang w:val="en-US" w:eastAsia="zh-CN"/>
              </w:rPr>
              <w:t>计；</w:t>
            </w:r>
            <w:r>
              <w:rPr>
                <w:rFonts w:hint="eastAsia" w:cs="Times New Roman"/>
                <w:color w:val="auto"/>
                <w:sz w:val="24"/>
                <w:lang w:val="en-US" w:eastAsia="zh-CN"/>
              </w:rPr>
              <w:t>淬火废气</w:t>
            </w:r>
            <w:r>
              <w:rPr>
                <w:rFonts w:hint="default" w:ascii="Times New Roman" w:hAnsi="Times New Roman" w:cs="Times New Roman" w:eastAsiaTheme="minorEastAsia"/>
                <w:color w:val="auto"/>
                <w:kern w:val="0"/>
                <w:sz w:val="24"/>
              </w:rPr>
              <w:t>收集效率</w:t>
            </w:r>
            <w:r>
              <w:rPr>
                <w:rFonts w:hint="eastAsia" w:cs="Times New Roman" w:eastAsiaTheme="minorEastAsia"/>
                <w:color w:val="auto"/>
                <w:kern w:val="0"/>
                <w:sz w:val="24"/>
                <w:lang w:val="en-US" w:eastAsia="zh-CN"/>
              </w:rPr>
              <w:t>按</w:t>
            </w:r>
            <w:r>
              <w:rPr>
                <w:rFonts w:hint="default" w:ascii="Times New Roman" w:hAnsi="Times New Roman" w:cs="Times New Roman" w:eastAsiaTheme="minorEastAsia"/>
                <w:color w:val="auto"/>
                <w:kern w:val="0"/>
                <w:sz w:val="24"/>
                <w:lang w:val="en-US" w:eastAsia="zh-CN"/>
              </w:rPr>
              <w:t>99</w:t>
            </w:r>
            <w:r>
              <w:rPr>
                <w:rFonts w:hint="default" w:ascii="Times New Roman" w:hAnsi="Times New Roman" w:cs="Times New Roman" w:eastAsiaTheme="minorEastAsia"/>
                <w:color w:val="auto"/>
                <w:kern w:val="0"/>
                <w:sz w:val="24"/>
              </w:rPr>
              <w:t>%</w:t>
            </w:r>
            <w:r>
              <w:rPr>
                <w:rFonts w:hint="eastAsia" w:cs="Times New Roman" w:eastAsiaTheme="minorEastAsia"/>
                <w:color w:val="auto"/>
                <w:kern w:val="0"/>
                <w:sz w:val="24"/>
                <w:lang w:val="en-US" w:eastAsia="zh-CN"/>
              </w:rPr>
              <w:t>计</w:t>
            </w:r>
            <w:r>
              <w:rPr>
                <w:rFonts w:hint="default" w:ascii="Times New Roman" w:hAnsi="Times New Roman" w:cs="Times New Roman" w:eastAsiaTheme="minorEastAsia"/>
                <w:color w:val="auto"/>
                <w:kern w:val="0"/>
                <w:sz w:val="24"/>
                <w:lang w:eastAsia="zh-CN"/>
              </w:rPr>
              <w:t>。</w:t>
            </w:r>
          </w:p>
          <w:p w14:paraId="46BF6241">
            <w:pPr>
              <w:keepNext w:val="0"/>
              <w:keepLines w:val="0"/>
              <w:pageBreakBefore w:val="0"/>
              <w:widowControl w:val="0"/>
              <w:kinsoku/>
              <w:wordWrap/>
              <w:overflowPunct/>
              <w:topLinePunct w:val="0"/>
              <w:autoSpaceDE/>
              <w:autoSpaceDN/>
              <w:bidi w:val="0"/>
              <w:adjustRightInd/>
              <w:snapToGrid/>
              <w:spacing w:beforeAutospacing="0"/>
              <w:jc w:val="center"/>
              <w:textAlignment w:val="auto"/>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en-US" w:eastAsia="zh-CN" w:bidi="ar-SA"/>
              </w:rPr>
              <w:t>表4-</w:t>
            </w:r>
            <w:r>
              <w:rPr>
                <w:rFonts w:hint="eastAsia" w:ascii="Times New Roman" w:hAnsi="Times New Roman" w:eastAsia="宋体" w:cs="Times New Roman"/>
                <w:b/>
                <w:color w:val="auto"/>
                <w:kern w:val="0"/>
                <w:sz w:val="24"/>
                <w:szCs w:val="24"/>
                <w:lang w:val="en-US" w:eastAsia="zh-CN" w:bidi="ar-SA"/>
              </w:rPr>
              <w:t>5</w:t>
            </w:r>
            <w:r>
              <w:rPr>
                <w:rFonts w:hint="default" w:ascii="Times New Roman" w:hAnsi="Times New Roman" w:eastAsia="宋体" w:cs="Times New Roman"/>
                <w:b/>
                <w:color w:val="auto"/>
                <w:kern w:val="0"/>
                <w:sz w:val="24"/>
                <w:szCs w:val="24"/>
                <w:lang w:val="en-US" w:eastAsia="zh-CN" w:bidi="ar-SA"/>
              </w:rPr>
              <w:t xml:space="preserve">  项目</w:t>
            </w:r>
            <w:r>
              <w:rPr>
                <w:rFonts w:hint="eastAsia" w:ascii="Times New Roman" w:hAnsi="Times New Roman" w:eastAsia="宋体" w:cs="Times New Roman"/>
                <w:b/>
                <w:color w:val="auto"/>
                <w:kern w:val="0"/>
                <w:sz w:val="24"/>
                <w:szCs w:val="24"/>
                <w:lang w:val="en-US" w:eastAsia="zh-CN" w:bidi="ar-SA"/>
              </w:rPr>
              <w:t>锻造</w:t>
            </w:r>
            <w:r>
              <w:rPr>
                <w:rFonts w:hint="default" w:ascii="Times New Roman" w:hAnsi="Times New Roman" w:eastAsia="宋体" w:cs="Times New Roman"/>
                <w:b/>
                <w:color w:val="auto"/>
                <w:kern w:val="0"/>
                <w:sz w:val="24"/>
                <w:szCs w:val="24"/>
                <w:lang w:val="en-US" w:eastAsia="zh-CN" w:bidi="ar-SA"/>
              </w:rPr>
              <w:t>工序有组织排放</w:t>
            </w:r>
            <w:r>
              <w:rPr>
                <w:rFonts w:hint="default" w:ascii="Times New Roman" w:hAnsi="Times New Roman" w:eastAsia="宋体" w:cs="Times New Roman"/>
                <w:b/>
                <w:color w:val="auto"/>
                <w:kern w:val="0"/>
                <w:sz w:val="24"/>
                <w:szCs w:val="24"/>
                <w:lang w:val="en-GB" w:eastAsia="zh-CN" w:bidi="ar-SA"/>
              </w:rPr>
              <w:t>产生及排放情况</w:t>
            </w:r>
          </w:p>
          <w:tbl>
            <w:tblPr>
              <w:tblStyle w:val="6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6" w:type="dxa"/>
                <w:bottom w:w="0" w:type="dxa"/>
                <w:right w:w="6" w:type="dxa"/>
              </w:tblCellMar>
            </w:tblPr>
            <w:tblGrid>
              <w:gridCol w:w="585"/>
              <w:gridCol w:w="524"/>
              <w:gridCol w:w="794"/>
              <w:gridCol w:w="613"/>
              <w:gridCol w:w="689"/>
              <w:gridCol w:w="798"/>
              <w:gridCol w:w="1159"/>
              <w:gridCol w:w="689"/>
              <w:gridCol w:w="689"/>
              <w:gridCol w:w="798"/>
              <w:gridCol w:w="937"/>
            </w:tblGrid>
            <w:tr w14:paraId="6E8D6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jc w:val="center"/>
              </w:trPr>
              <w:tc>
                <w:tcPr>
                  <w:tcW w:w="585" w:type="dxa"/>
                  <w:vMerge w:val="restart"/>
                  <w:vAlign w:val="center"/>
                </w:tcPr>
                <w:p w14:paraId="6DBEE351">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污染源</w:t>
                  </w:r>
                </w:p>
              </w:tc>
              <w:tc>
                <w:tcPr>
                  <w:tcW w:w="524" w:type="dxa"/>
                  <w:vMerge w:val="restart"/>
                  <w:vAlign w:val="center"/>
                </w:tcPr>
                <w:p w14:paraId="3E55D378">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污染物</w:t>
                  </w:r>
                </w:p>
              </w:tc>
              <w:tc>
                <w:tcPr>
                  <w:tcW w:w="794" w:type="dxa"/>
                  <w:vMerge w:val="restart"/>
                  <w:vAlign w:val="center"/>
                </w:tcPr>
                <w:p w14:paraId="13FCA995">
                  <w:pPr>
                    <w:tabs>
                      <w:tab w:val="left" w:pos="2200"/>
                      <w:tab w:val="left" w:pos="3960"/>
                      <w:tab w:val="left" w:pos="5280"/>
                    </w:tabs>
                    <w:jc w:val="center"/>
                    <w:rPr>
                      <w:rFonts w:hint="default" w:ascii="Times New Roman" w:hAnsi="Times New Roman" w:cs="Times New Roman"/>
                      <w:b/>
                      <w:color w:val="auto"/>
                      <w:szCs w:val="18"/>
                    </w:rPr>
                  </w:pPr>
                  <w:r>
                    <w:rPr>
                      <w:rFonts w:hint="default" w:ascii="Times New Roman" w:hAnsi="Times New Roman" w:cs="Times New Roman"/>
                      <w:b/>
                      <w:color w:val="auto"/>
                      <w:szCs w:val="18"/>
                    </w:rPr>
                    <w:t>排气量m</w:t>
                  </w:r>
                  <w:r>
                    <w:rPr>
                      <w:rFonts w:hint="default" w:ascii="Times New Roman" w:hAnsi="Times New Roman" w:cs="Times New Roman"/>
                      <w:b/>
                      <w:color w:val="auto"/>
                      <w:szCs w:val="18"/>
                      <w:vertAlign w:val="superscript"/>
                    </w:rPr>
                    <w:t>3</w:t>
                  </w:r>
                  <w:r>
                    <w:rPr>
                      <w:rFonts w:hint="default" w:ascii="Times New Roman" w:hAnsi="Times New Roman" w:cs="Times New Roman"/>
                      <w:b/>
                      <w:color w:val="auto"/>
                      <w:szCs w:val="18"/>
                    </w:rPr>
                    <w:t>/h</w:t>
                  </w:r>
                </w:p>
              </w:tc>
              <w:tc>
                <w:tcPr>
                  <w:tcW w:w="2100" w:type="dxa"/>
                  <w:gridSpan w:val="3"/>
                  <w:vAlign w:val="center"/>
                </w:tcPr>
                <w:p w14:paraId="190C1E4A">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产生情况</w:t>
                  </w:r>
                </w:p>
              </w:tc>
              <w:tc>
                <w:tcPr>
                  <w:tcW w:w="1159" w:type="dxa"/>
                  <w:vMerge w:val="restart"/>
                  <w:vAlign w:val="center"/>
                </w:tcPr>
                <w:p w14:paraId="781E96FC">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拟采取的污染治理措施</w:t>
                  </w:r>
                </w:p>
              </w:tc>
              <w:tc>
                <w:tcPr>
                  <w:tcW w:w="2176" w:type="dxa"/>
                  <w:gridSpan w:val="3"/>
                  <w:vAlign w:val="center"/>
                </w:tcPr>
                <w:p w14:paraId="0BBEFC0C">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排放情况</w:t>
                  </w:r>
                </w:p>
              </w:tc>
              <w:tc>
                <w:tcPr>
                  <w:tcW w:w="937" w:type="dxa"/>
                  <w:vMerge w:val="restart"/>
                  <w:vAlign w:val="center"/>
                </w:tcPr>
                <w:p w14:paraId="6DA843B7">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排气筒参数</w:t>
                  </w:r>
                </w:p>
              </w:tc>
            </w:tr>
            <w:tr w14:paraId="03DF2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jc w:val="center"/>
              </w:trPr>
              <w:tc>
                <w:tcPr>
                  <w:tcW w:w="585" w:type="dxa"/>
                  <w:vMerge w:val="continue"/>
                  <w:vAlign w:val="center"/>
                </w:tcPr>
                <w:p w14:paraId="4394DB3E">
                  <w:pPr>
                    <w:jc w:val="center"/>
                    <w:rPr>
                      <w:rFonts w:hint="default" w:ascii="Times New Roman" w:hAnsi="Times New Roman" w:cs="Times New Roman"/>
                      <w:b/>
                      <w:color w:val="auto"/>
                      <w:szCs w:val="18"/>
                    </w:rPr>
                  </w:pPr>
                </w:p>
              </w:tc>
              <w:tc>
                <w:tcPr>
                  <w:tcW w:w="524" w:type="dxa"/>
                  <w:vMerge w:val="continue"/>
                  <w:vAlign w:val="center"/>
                </w:tcPr>
                <w:p w14:paraId="2DFDD8FA">
                  <w:pPr>
                    <w:jc w:val="center"/>
                    <w:rPr>
                      <w:rFonts w:hint="default" w:ascii="Times New Roman" w:hAnsi="Times New Roman" w:cs="Times New Roman"/>
                      <w:b/>
                      <w:color w:val="auto"/>
                      <w:szCs w:val="18"/>
                    </w:rPr>
                  </w:pPr>
                </w:p>
              </w:tc>
              <w:tc>
                <w:tcPr>
                  <w:tcW w:w="794" w:type="dxa"/>
                  <w:vMerge w:val="continue"/>
                  <w:vAlign w:val="center"/>
                </w:tcPr>
                <w:p w14:paraId="3810C3ED">
                  <w:pPr>
                    <w:jc w:val="center"/>
                    <w:rPr>
                      <w:rFonts w:hint="default" w:ascii="Times New Roman" w:hAnsi="Times New Roman" w:cs="Times New Roman"/>
                      <w:b/>
                      <w:color w:val="auto"/>
                      <w:szCs w:val="18"/>
                    </w:rPr>
                  </w:pPr>
                </w:p>
              </w:tc>
              <w:tc>
                <w:tcPr>
                  <w:tcW w:w="613" w:type="dxa"/>
                  <w:vAlign w:val="center"/>
                </w:tcPr>
                <w:p w14:paraId="787C547C">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kg/h</w:t>
                  </w:r>
                </w:p>
              </w:tc>
              <w:tc>
                <w:tcPr>
                  <w:tcW w:w="689" w:type="dxa"/>
                  <w:vAlign w:val="center"/>
                </w:tcPr>
                <w:p w14:paraId="6A06267E">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t/a</w:t>
                  </w:r>
                </w:p>
              </w:tc>
              <w:tc>
                <w:tcPr>
                  <w:tcW w:w="798" w:type="dxa"/>
                  <w:vAlign w:val="center"/>
                </w:tcPr>
                <w:p w14:paraId="169F66FB">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mg/m</w:t>
                  </w:r>
                  <w:r>
                    <w:rPr>
                      <w:rFonts w:hint="default" w:ascii="Times New Roman" w:hAnsi="Times New Roman" w:cs="Times New Roman"/>
                      <w:b/>
                      <w:color w:val="auto"/>
                      <w:szCs w:val="18"/>
                      <w:vertAlign w:val="superscript"/>
                    </w:rPr>
                    <w:t>3</w:t>
                  </w:r>
                </w:p>
              </w:tc>
              <w:tc>
                <w:tcPr>
                  <w:tcW w:w="1159" w:type="dxa"/>
                  <w:vMerge w:val="continue"/>
                  <w:vAlign w:val="center"/>
                </w:tcPr>
                <w:p w14:paraId="053FEC6F">
                  <w:pPr>
                    <w:jc w:val="center"/>
                    <w:rPr>
                      <w:rFonts w:hint="default" w:ascii="Times New Roman" w:hAnsi="Times New Roman" w:cs="Times New Roman"/>
                      <w:b/>
                      <w:color w:val="auto"/>
                      <w:szCs w:val="18"/>
                    </w:rPr>
                  </w:pPr>
                </w:p>
              </w:tc>
              <w:tc>
                <w:tcPr>
                  <w:tcW w:w="689" w:type="dxa"/>
                  <w:vAlign w:val="center"/>
                </w:tcPr>
                <w:p w14:paraId="2706C174">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kg/h</w:t>
                  </w:r>
                </w:p>
              </w:tc>
              <w:tc>
                <w:tcPr>
                  <w:tcW w:w="689" w:type="dxa"/>
                  <w:vAlign w:val="center"/>
                </w:tcPr>
                <w:p w14:paraId="4980788D">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t/a</w:t>
                  </w:r>
                </w:p>
              </w:tc>
              <w:tc>
                <w:tcPr>
                  <w:tcW w:w="798" w:type="dxa"/>
                  <w:vAlign w:val="center"/>
                </w:tcPr>
                <w:p w14:paraId="38137157">
                  <w:pPr>
                    <w:jc w:val="center"/>
                    <w:rPr>
                      <w:rFonts w:hint="default" w:ascii="Times New Roman" w:hAnsi="Times New Roman" w:cs="Times New Roman"/>
                      <w:b/>
                      <w:color w:val="auto"/>
                      <w:szCs w:val="18"/>
                    </w:rPr>
                  </w:pPr>
                  <w:r>
                    <w:rPr>
                      <w:rFonts w:hint="default" w:ascii="Times New Roman" w:hAnsi="Times New Roman" w:cs="Times New Roman"/>
                      <w:b/>
                      <w:color w:val="auto"/>
                      <w:szCs w:val="18"/>
                    </w:rPr>
                    <w:t>mg/m</w:t>
                  </w:r>
                  <w:r>
                    <w:rPr>
                      <w:rFonts w:hint="default" w:ascii="Times New Roman" w:hAnsi="Times New Roman" w:cs="Times New Roman"/>
                      <w:b/>
                      <w:color w:val="auto"/>
                      <w:szCs w:val="18"/>
                      <w:vertAlign w:val="superscript"/>
                    </w:rPr>
                    <w:t>3</w:t>
                  </w:r>
                </w:p>
              </w:tc>
              <w:tc>
                <w:tcPr>
                  <w:tcW w:w="937" w:type="dxa"/>
                  <w:vMerge w:val="continue"/>
                  <w:vAlign w:val="center"/>
                </w:tcPr>
                <w:p w14:paraId="463469AA">
                  <w:pPr>
                    <w:jc w:val="center"/>
                    <w:rPr>
                      <w:rFonts w:hint="default" w:ascii="Times New Roman" w:hAnsi="Times New Roman" w:cs="Times New Roman"/>
                      <w:b/>
                      <w:color w:val="auto"/>
                      <w:szCs w:val="18"/>
                    </w:rPr>
                  </w:pPr>
                </w:p>
              </w:tc>
            </w:tr>
            <w:tr w14:paraId="12854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6" w:hRule="atLeast"/>
                <w:jc w:val="center"/>
              </w:trPr>
              <w:tc>
                <w:tcPr>
                  <w:tcW w:w="585" w:type="dxa"/>
                  <w:vAlign w:val="center"/>
                </w:tcPr>
                <w:p w14:paraId="6E6184AF">
                  <w:pPr>
                    <w:widowControl/>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锻造</w:t>
                  </w:r>
                </w:p>
              </w:tc>
              <w:tc>
                <w:tcPr>
                  <w:tcW w:w="524" w:type="dxa"/>
                  <w:vAlign w:val="center"/>
                </w:tcPr>
                <w:p w14:paraId="2DD3B888">
                  <w:pPr>
                    <w:widowControl/>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非甲烷总烃</w:t>
                  </w:r>
                </w:p>
              </w:tc>
              <w:tc>
                <w:tcPr>
                  <w:tcW w:w="794" w:type="dxa"/>
                  <w:vAlign w:val="center"/>
                </w:tcPr>
                <w:p w14:paraId="52EE09B2">
                  <w:pPr>
                    <w:widowControl/>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5</w:t>
                  </w:r>
                  <w:r>
                    <w:rPr>
                      <w:rFonts w:hint="default" w:ascii="Times New Roman" w:hAnsi="Times New Roman" w:cs="Times New Roman"/>
                      <w:i w:val="0"/>
                      <w:iCs w:val="0"/>
                      <w:color w:val="auto"/>
                      <w:kern w:val="0"/>
                      <w:sz w:val="21"/>
                      <w:szCs w:val="21"/>
                      <w:u w:val="none"/>
                      <w:lang w:val="en-US" w:eastAsia="zh-CN" w:bidi="ar"/>
                    </w:rPr>
                    <w:t>000</w:t>
                  </w:r>
                </w:p>
              </w:tc>
              <w:tc>
                <w:tcPr>
                  <w:tcW w:w="613" w:type="dxa"/>
                  <w:shd w:val="clear" w:color="auto" w:fill="auto"/>
                  <w:vAlign w:val="center"/>
                </w:tcPr>
                <w:p w14:paraId="08CFFCF6">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0.133</w:t>
                  </w:r>
                </w:p>
              </w:tc>
              <w:tc>
                <w:tcPr>
                  <w:tcW w:w="689" w:type="dxa"/>
                  <w:shd w:val="clear" w:color="auto" w:fill="auto"/>
                  <w:vAlign w:val="center"/>
                </w:tcPr>
                <w:p w14:paraId="5AFF8D59">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0.6804</w:t>
                  </w:r>
                </w:p>
              </w:tc>
              <w:tc>
                <w:tcPr>
                  <w:tcW w:w="798" w:type="dxa"/>
                  <w:shd w:val="clear" w:color="auto" w:fill="auto"/>
                  <w:vAlign w:val="center"/>
                </w:tcPr>
                <w:p w14:paraId="55AE06D7">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26.578</w:t>
                  </w:r>
                </w:p>
              </w:tc>
              <w:tc>
                <w:tcPr>
                  <w:tcW w:w="1159" w:type="dxa"/>
                  <w:vAlign w:val="center"/>
                </w:tcPr>
                <w:p w14:paraId="63690DC8">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集气罩</w:t>
                  </w:r>
                  <w:r>
                    <w:rPr>
                      <w:rFonts w:hint="eastAsia" w:cs="Times New Roman"/>
                      <w:color w:val="auto"/>
                      <w:szCs w:val="21"/>
                      <w:lang w:val="en-US" w:eastAsia="zh-CN"/>
                    </w:rPr>
                    <w:t>+</w:t>
                  </w:r>
                  <w:r>
                    <w:rPr>
                      <w:rFonts w:hint="default" w:ascii="Times New Roman" w:hAnsi="Times New Roman" w:cs="Times New Roman"/>
                      <w:color w:val="auto"/>
                      <w:szCs w:val="21"/>
                      <w:lang w:eastAsia="zh-CN"/>
                    </w:rPr>
                    <w:t>静电</w:t>
                  </w:r>
                  <w:r>
                    <w:rPr>
                      <w:rFonts w:hint="default" w:ascii="Times New Roman" w:hAnsi="Times New Roman" w:cs="Times New Roman"/>
                      <w:color w:val="auto"/>
                      <w:szCs w:val="21"/>
                      <w:lang w:val="en-US" w:eastAsia="zh-CN"/>
                    </w:rPr>
                    <w:t>式</w:t>
                  </w:r>
                  <w:r>
                    <w:rPr>
                      <w:rFonts w:hint="default" w:ascii="Times New Roman" w:hAnsi="Times New Roman" w:cs="Times New Roman"/>
                      <w:color w:val="auto"/>
                      <w:szCs w:val="21"/>
                      <w:lang w:eastAsia="zh-CN"/>
                    </w:rPr>
                    <w:t>油雾净化</w:t>
                  </w:r>
                  <w:r>
                    <w:rPr>
                      <w:rFonts w:hint="default" w:ascii="Times New Roman" w:hAnsi="Times New Roman" w:cs="Times New Roman"/>
                      <w:color w:val="auto"/>
                      <w:szCs w:val="21"/>
                      <w:lang w:val="en-US" w:eastAsia="zh-CN"/>
                    </w:rPr>
                    <w:t>器</w:t>
                  </w:r>
                  <w:r>
                    <w:rPr>
                      <w:rFonts w:hint="eastAsia" w:ascii="Times New Roman" w:hAnsi="Times New Roman" w:cs="Times New Roman"/>
                      <w:color w:val="auto"/>
                      <w:szCs w:val="21"/>
                      <w:lang w:val="en-US" w:eastAsia="zh-CN"/>
                    </w:rPr>
                    <w:t>+</w:t>
                  </w:r>
                  <w:r>
                    <w:rPr>
                      <w:rFonts w:hint="eastAsia" w:cs="Times New Roman"/>
                      <w:color w:val="auto"/>
                      <w:szCs w:val="21"/>
                      <w:lang w:val="en-US" w:eastAsia="zh-CN"/>
                    </w:rPr>
                    <w:t>两级活性炭吸附装置</w:t>
                  </w:r>
                </w:p>
              </w:tc>
              <w:tc>
                <w:tcPr>
                  <w:tcW w:w="689" w:type="dxa"/>
                  <w:shd w:val="clear" w:color="auto" w:fill="auto"/>
                  <w:vAlign w:val="center"/>
                </w:tcPr>
                <w:p w14:paraId="1F98B113">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0.013</w:t>
                  </w:r>
                </w:p>
              </w:tc>
              <w:tc>
                <w:tcPr>
                  <w:tcW w:w="689" w:type="dxa"/>
                  <w:shd w:val="clear" w:color="auto" w:fill="auto"/>
                  <w:vAlign w:val="center"/>
                </w:tcPr>
                <w:p w14:paraId="0977FF13">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0.068</w:t>
                  </w:r>
                </w:p>
              </w:tc>
              <w:tc>
                <w:tcPr>
                  <w:tcW w:w="798" w:type="dxa"/>
                  <w:shd w:val="clear" w:color="auto" w:fill="auto"/>
                  <w:vAlign w:val="center"/>
                </w:tcPr>
                <w:p w14:paraId="0354E226">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2.656</w:t>
                  </w:r>
                </w:p>
              </w:tc>
              <w:tc>
                <w:tcPr>
                  <w:tcW w:w="937" w:type="dxa"/>
                  <w:vAlign w:val="center"/>
                </w:tcPr>
                <w:p w14:paraId="189E60E4">
                  <w:pPr>
                    <w:widowControl/>
                    <w:jc w:val="center"/>
                    <w:textAlignment w:val="center"/>
                    <w:rPr>
                      <w:rFonts w:hint="default" w:ascii="Times New Roman" w:hAnsi="Times New Roman"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DA00</w:t>
                  </w:r>
                  <w:r>
                    <w:rPr>
                      <w:rFonts w:hint="eastAsia" w:cs="Times New Roman"/>
                      <w:i w:val="0"/>
                      <w:iCs w:val="0"/>
                      <w:color w:val="auto"/>
                      <w:kern w:val="0"/>
                      <w:sz w:val="21"/>
                      <w:szCs w:val="21"/>
                      <w:u w:val="none"/>
                      <w:lang w:val="en-US" w:eastAsia="zh-CN" w:bidi="ar"/>
                    </w:rPr>
                    <w:t>2</w:t>
                  </w:r>
                </w:p>
                <w:p w14:paraId="46C35CD1">
                  <w:pPr>
                    <w:widowControl/>
                    <w:jc w:val="center"/>
                    <w:textAlignment w:val="center"/>
                    <w:rPr>
                      <w:rFonts w:hint="default" w:ascii="Times New Roman" w:hAnsi="Times New Roman"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H:</w:t>
                  </w:r>
                  <w:r>
                    <w:rPr>
                      <w:rFonts w:hint="eastAsia" w:cs="Times New Roman"/>
                      <w:i w:val="0"/>
                      <w:iCs w:val="0"/>
                      <w:color w:val="auto"/>
                      <w:kern w:val="0"/>
                      <w:sz w:val="21"/>
                      <w:szCs w:val="21"/>
                      <w:u w:val="none"/>
                      <w:lang w:val="en-US" w:eastAsia="zh-CN" w:bidi="ar"/>
                    </w:rPr>
                    <w:t>18m</w:t>
                  </w:r>
                </w:p>
                <w:p w14:paraId="40C5D442">
                  <w:pPr>
                    <w:widowControl/>
                    <w:jc w:val="center"/>
                    <w:textAlignment w:val="center"/>
                    <w:rPr>
                      <w:rFonts w:hint="default" w:ascii="Times New Roman" w:hAnsi="Times New Roman" w:eastAsia="宋体" w:cs="Times New Roman"/>
                      <w:color w:val="auto"/>
                      <w:szCs w:val="18"/>
                      <w:lang w:val="en-US" w:eastAsia="zh-CN"/>
                    </w:rPr>
                  </w:pPr>
                  <w:r>
                    <w:rPr>
                      <w:rFonts w:hint="default" w:ascii="Times New Roman" w:hAnsi="Times New Roman" w:cs="Times New Roman"/>
                      <w:i w:val="0"/>
                      <w:iCs w:val="0"/>
                      <w:color w:val="auto"/>
                      <w:kern w:val="0"/>
                      <w:sz w:val="21"/>
                      <w:szCs w:val="21"/>
                      <w:u w:val="none"/>
                      <w:lang w:val="en-US" w:eastAsia="zh-CN" w:bidi="ar"/>
                    </w:rPr>
                    <w:t>ф:0.</w:t>
                  </w:r>
                  <w:r>
                    <w:rPr>
                      <w:rFonts w:hint="eastAsia" w:cs="Times New Roman"/>
                      <w:i w:val="0"/>
                      <w:iCs w:val="0"/>
                      <w:color w:val="auto"/>
                      <w:kern w:val="0"/>
                      <w:sz w:val="21"/>
                      <w:szCs w:val="21"/>
                      <w:u w:val="none"/>
                      <w:lang w:val="en-US" w:eastAsia="zh-CN" w:bidi="ar"/>
                    </w:rPr>
                    <w:t>4</w:t>
                  </w:r>
                  <w:r>
                    <w:rPr>
                      <w:rFonts w:hint="default" w:ascii="Times New Roman" w:hAnsi="Times New Roman" w:cs="Times New Roman"/>
                      <w:i w:val="0"/>
                      <w:iCs w:val="0"/>
                      <w:color w:val="auto"/>
                      <w:kern w:val="0"/>
                      <w:sz w:val="21"/>
                      <w:szCs w:val="21"/>
                      <w:u w:val="none"/>
                      <w:lang w:val="en-US" w:eastAsia="zh-CN" w:bidi="ar"/>
                    </w:rPr>
                    <w:t>m</w:t>
                  </w:r>
                </w:p>
              </w:tc>
            </w:tr>
          </w:tbl>
          <w:p w14:paraId="1A96FD8B">
            <w:pPr>
              <w:keepNext w:val="0"/>
              <w:keepLines w:val="0"/>
              <w:pageBreakBefore w:val="0"/>
              <w:widowControl w:val="0"/>
              <w:kinsoku/>
              <w:wordWrap/>
              <w:overflowPunct/>
              <w:topLinePunct w:val="0"/>
              <w:autoSpaceDE/>
              <w:autoSpaceDN/>
              <w:bidi w:val="0"/>
              <w:adjustRightInd/>
              <w:snapToGrid/>
              <w:spacing w:before="157" w:beforeLines="50" w:beforeAutospacing="0"/>
              <w:jc w:val="center"/>
              <w:textAlignment w:val="auto"/>
              <w:rPr>
                <w:rFonts w:hint="default" w:ascii="Times New Roman" w:hAnsi="Times New Roman" w:eastAsia="宋体" w:cs="Times New Roman"/>
                <w:b/>
                <w:color w:val="auto"/>
                <w:kern w:val="0"/>
                <w:sz w:val="24"/>
                <w:szCs w:val="24"/>
                <w:lang w:val="en-US" w:eastAsia="zh-CN" w:bidi="ar-SA"/>
              </w:rPr>
            </w:pPr>
            <w:r>
              <w:rPr>
                <w:rFonts w:hint="default" w:ascii="Times New Roman" w:hAnsi="Times New Roman" w:eastAsia="宋体" w:cs="Times New Roman"/>
                <w:b/>
                <w:color w:val="auto"/>
                <w:kern w:val="0"/>
                <w:sz w:val="24"/>
                <w:szCs w:val="24"/>
                <w:lang w:val="zh-CN" w:eastAsia="zh-CN" w:bidi="ar-SA"/>
              </w:rPr>
              <w:t>表</w:t>
            </w:r>
            <w:r>
              <w:rPr>
                <w:rFonts w:hint="default" w:ascii="Times New Roman" w:hAnsi="Times New Roman" w:eastAsia="宋体" w:cs="Times New Roman"/>
                <w:b/>
                <w:color w:val="auto"/>
                <w:kern w:val="0"/>
                <w:sz w:val="24"/>
                <w:szCs w:val="24"/>
                <w:lang w:val="en-US" w:eastAsia="zh-CN" w:bidi="ar-SA"/>
              </w:rPr>
              <w:t>4-</w:t>
            </w:r>
            <w:r>
              <w:rPr>
                <w:rFonts w:hint="eastAsia" w:ascii="Times New Roman" w:hAnsi="Times New Roman" w:eastAsia="宋体" w:cs="Times New Roman"/>
                <w:b/>
                <w:color w:val="auto"/>
                <w:kern w:val="0"/>
                <w:sz w:val="24"/>
                <w:szCs w:val="24"/>
                <w:lang w:val="en-US" w:eastAsia="zh-CN" w:bidi="ar-SA"/>
              </w:rPr>
              <w:t>6</w:t>
            </w:r>
            <w:r>
              <w:rPr>
                <w:rFonts w:hint="default" w:ascii="Times New Roman" w:hAnsi="Times New Roman" w:eastAsia="宋体" w:cs="Times New Roman"/>
                <w:b/>
                <w:color w:val="auto"/>
                <w:kern w:val="0"/>
                <w:sz w:val="24"/>
                <w:szCs w:val="24"/>
                <w:lang w:val="en-US" w:eastAsia="zh-CN" w:bidi="ar-SA"/>
              </w:rPr>
              <w:t xml:space="preserve">  项目</w:t>
            </w:r>
            <w:r>
              <w:rPr>
                <w:rFonts w:hint="eastAsia" w:ascii="Times New Roman" w:hAnsi="Times New Roman" w:eastAsia="宋体" w:cs="Times New Roman"/>
                <w:b/>
                <w:color w:val="auto"/>
                <w:kern w:val="0"/>
                <w:sz w:val="24"/>
                <w:szCs w:val="24"/>
                <w:lang w:val="en-US" w:eastAsia="zh-CN" w:bidi="ar-SA"/>
              </w:rPr>
              <w:t>锻造</w:t>
            </w:r>
            <w:r>
              <w:rPr>
                <w:rFonts w:hint="eastAsia" w:cs="Times New Roman"/>
                <w:b/>
                <w:color w:val="auto"/>
                <w:kern w:val="0"/>
                <w:sz w:val="24"/>
                <w:szCs w:val="24"/>
                <w:lang w:val="en-US" w:eastAsia="zh-CN" w:bidi="ar-SA"/>
              </w:rPr>
              <w:t>、</w:t>
            </w:r>
            <w:r>
              <w:rPr>
                <w:rFonts w:hint="eastAsia" w:cs="Times New Roman"/>
                <w:b/>
                <w:color w:val="auto"/>
                <w:kern w:val="0"/>
                <w:sz w:val="24"/>
                <w:szCs w:val="24"/>
                <w:lang w:val="en-US" w:eastAsia="zh-CN" w:bidi="ar-SA"/>
              </w:rPr>
              <w:t>淬火</w:t>
            </w:r>
            <w:r>
              <w:rPr>
                <w:rFonts w:hint="default" w:ascii="Times New Roman" w:hAnsi="Times New Roman" w:eastAsia="宋体" w:cs="Times New Roman"/>
                <w:b/>
                <w:color w:val="auto"/>
                <w:kern w:val="0"/>
                <w:sz w:val="24"/>
                <w:szCs w:val="24"/>
                <w:lang w:val="en-US" w:eastAsia="zh-CN" w:bidi="ar-SA"/>
              </w:rPr>
              <w:t>工序无组织</w:t>
            </w:r>
            <w:r>
              <w:rPr>
                <w:rFonts w:hint="default" w:ascii="Times New Roman" w:hAnsi="Times New Roman" w:eastAsia="宋体" w:cs="Times New Roman"/>
                <w:b/>
                <w:color w:val="auto"/>
                <w:kern w:val="0"/>
                <w:sz w:val="24"/>
                <w:szCs w:val="24"/>
                <w:lang w:val="zh-CN" w:eastAsia="zh-CN" w:bidi="ar-SA"/>
              </w:rPr>
              <w:t>产排情况一览表</w:t>
            </w:r>
          </w:p>
          <w:tbl>
            <w:tblPr>
              <w:tblStyle w:val="63"/>
              <w:tblW w:w="496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7"/>
              <w:gridCol w:w="1500"/>
              <w:gridCol w:w="1319"/>
              <w:gridCol w:w="1170"/>
              <w:gridCol w:w="1319"/>
              <w:gridCol w:w="1189"/>
            </w:tblGrid>
            <w:tr w14:paraId="391F7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060" w:type="pct"/>
                  <w:vMerge w:val="restart"/>
                  <w:vAlign w:val="center"/>
                </w:tcPr>
                <w:p w14:paraId="2CA0B295">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污染源</w:t>
                  </w:r>
                </w:p>
              </w:tc>
              <w:tc>
                <w:tcPr>
                  <w:tcW w:w="928" w:type="pct"/>
                  <w:vMerge w:val="restart"/>
                  <w:vAlign w:val="center"/>
                </w:tcPr>
                <w:p w14:paraId="0BF1C655">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污染物种类</w:t>
                  </w:r>
                </w:p>
              </w:tc>
              <w:tc>
                <w:tcPr>
                  <w:tcW w:w="1496" w:type="pct"/>
                  <w:gridSpan w:val="2"/>
                  <w:vAlign w:val="center"/>
                </w:tcPr>
                <w:p w14:paraId="04151532">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无组织废气产生情况</w:t>
                  </w:r>
                </w:p>
              </w:tc>
              <w:tc>
                <w:tcPr>
                  <w:tcW w:w="1514" w:type="pct"/>
                  <w:gridSpan w:val="2"/>
                  <w:vAlign w:val="center"/>
                </w:tcPr>
                <w:p w14:paraId="48B42229">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无组织废气排放情况</w:t>
                  </w:r>
                </w:p>
              </w:tc>
            </w:tr>
            <w:tr w14:paraId="7AC27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1060" w:type="pct"/>
                  <w:vMerge w:val="continue"/>
                  <w:vAlign w:val="center"/>
                </w:tcPr>
                <w:p w14:paraId="3A6D1C29">
                  <w:pPr>
                    <w:jc w:val="center"/>
                    <w:rPr>
                      <w:rFonts w:hint="default" w:ascii="Times New Roman" w:hAnsi="Times New Roman" w:cs="Times New Roman"/>
                      <w:b/>
                      <w:color w:val="auto"/>
                      <w:szCs w:val="21"/>
                    </w:rPr>
                  </w:pPr>
                </w:p>
              </w:tc>
              <w:tc>
                <w:tcPr>
                  <w:tcW w:w="928" w:type="pct"/>
                  <w:vMerge w:val="continue"/>
                  <w:vAlign w:val="center"/>
                </w:tcPr>
                <w:p w14:paraId="033D580C">
                  <w:pPr>
                    <w:jc w:val="center"/>
                    <w:rPr>
                      <w:rFonts w:hint="default" w:ascii="Times New Roman" w:hAnsi="Times New Roman" w:cs="Times New Roman"/>
                      <w:b/>
                      <w:color w:val="auto"/>
                      <w:szCs w:val="21"/>
                    </w:rPr>
                  </w:pPr>
                </w:p>
              </w:tc>
              <w:tc>
                <w:tcPr>
                  <w:tcW w:w="769" w:type="pct"/>
                  <w:vAlign w:val="center"/>
                </w:tcPr>
                <w:p w14:paraId="6104AB5F">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kg/h</w:t>
                  </w:r>
                </w:p>
              </w:tc>
              <w:tc>
                <w:tcPr>
                  <w:tcW w:w="727" w:type="pct"/>
                  <w:vAlign w:val="center"/>
                </w:tcPr>
                <w:p w14:paraId="277DFAE1">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t/a</w:t>
                  </w:r>
                </w:p>
              </w:tc>
              <w:tc>
                <w:tcPr>
                  <w:tcW w:w="775" w:type="pct"/>
                  <w:vAlign w:val="center"/>
                </w:tcPr>
                <w:p w14:paraId="45880393">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kg/h</w:t>
                  </w:r>
                </w:p>
              </w:tc>
              <w:tc>
                <w:tcPr>
                  <w:tcW w:w="738" w:type="pct"/>
                  <w:vAlign w:val="center"/>
                </w:tcPr>
                <w:p w14:paraId="531BEA90">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t/a</w:t>
                  </w:r>
                </w:p>
              </w:tc>
            </w:tr>
            <w:tr w14:paraId="1027D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60" w:type="pct"/>
                  <w:vAlign w:val="center"/>
                </w:tcPr>
                <w:p w14:paraId="16D4A1C8">
                  <w:pPr>
                    <w:jc w:val="center"/>
                    <w:rPr>
                      <w:rFonts w:hint="default" w:ascii="Times New Roman" w:hAnsi="Times New Roman" w:cs="Times New Roman"/>
                      <w:bCs/>
                      <w:color w:val="auto"/>
                      <w:szCs w:val="18"/>
                      <w:lang w:val="en-US"/>
                    </w:rPr>
                  </w:pPr>
                  <w:r>
                    <w:rPr>
                      <w:rFonts w:hint="eastAsia" w:cs="Times New Roman"/>
                      <w:i w:val="0"/>
                      <w:iCs w:val="0"/>
                      <w:color w:val="auto"/>
                      <w:kern w:val="0"/>
                      <w:sz w:val="21"/>
                      <w:szCs w:val="21"/>
                      <w:u w:val="none"/>
                      <w:lang w:val="en-US" w:eastAsia="zh-CN" w:bidi="ar"/>
                    </w:rPr>
                    <w:t>锻造、</w:t>
                  </w:r>
                  <w:r>
                    <w:rPr>
                      <w:rFonts w:hint="eastAsia" w:cs="Times New Roman"/>
                      <w:i w:val="0"/>
                      <w:iCs w:val="0"/>
                      <w:color w:val="auto"/>
                      <w:kern w:val="0"/>
                      <w:sz w:val="21"/>
                      <w:szCs w:val="21"/>
                      <w:u w:val="none"/>
                      <w:lang w:val="en-US" w:eastAsia="zh-CN" w:bidi="ar"/>
                    </w:rPr>
                    <w:t>淬火</w:t>
                  </w:r>
                </w:p>
              </w:tc>
              <w:tc>
                <w:tcPr>
                  <w:tcW w:w="928" w:type="pct"/>
                  <w:vAlign w:val="center"/>
                </w:tcPr>
                <w:p w14:paraId="3FF6A606">
                  <w:pPr>
                    <w:jc w:val="center"/>
                    <w:rPr>
                      <w:rFonts w:hint="default" w:ascii="Times New Roman" w:hAnsi="Times New Roman" w:cs="Times New Roman"/>
                      <w:color w:val="auto"/>
                      <w:szCs w:val="21"/>
                      <w:lang w:val="en-US" w:eastAsia="zh-CN"/>
                    </w:rPr>
                  </w:pPr>
                  <w:r>
                    <w:rPr>
                      <w:rFonts w:hint="eastAsia" w:cs="Times New Roman"/>
                      <w:i w:val="0"/>
                      <w:iCs w:val="0"/>
                      <w:color w:val="auto"/>
                      <w:kern w:val="0"/>
                      <w:sz w:val="21"/>
                      <w:szCs w:val="21"/>
                      <w:u w:val="none"/>
                      <w:lang w:val="en-US" w:eastAsia="zh-CN" w:bidi="ar"/>
                    </w:rPr>
                    <w:t>非甲烷总烃</w:t>
                  </w:r>
                </w:p>
              </w:tc>
              <w:tc>
                <w:tcPr>
                  <w:tcW w:w="1264" w:type="dxa"/>
                  <w:shd w:val="clear" w:color="auto" w:fill="auto"/>
                  <w:vAlign w:val="center"/>
                </w:tcPr>
                <w:p w14:paraId="28AB9A47">
                  <w:pPr>
                    <w:jc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0.015002344</w:t>
                  </w:r>
                </w:p>
              </w:tc>
              <w:tc>
                <w:tcPr>
                  <w:tcW w:w="1195" w:type="dxa"/>
                  <w:shd w:val="clear" w:color="auto" w:fill="auto"/>
                  <w:vAlign w:val="center"/>
                </w:tcPr>
                <w:p w14:paraId="3D01ACB6">
                  <w:pPr>
                    <w:jc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0.076012</w:t>
                  </w:r>
                </w:p>
              </w:tc>
              <w:tc>
                <w:tcPr>
                  <w:tcW w:w="1274" w:type="dxa"/>
                  <w:vAlign w:val="center"/>
                </w:tcPr>
                <w:p w14:paraId="79BF1EF2">
                  <w:pPr>
                    <w:jc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0.015002344</w:t>
                  </w:r>
                </w:p>
              </w:tc>
              <w:tc>
                <w:tcPr>
                  <w:tcW w:w="1214" w:type="dxa"/>
                  <w:vAlign w:val="center"/>
                </w:tcPr>
                <w:p w14:paraId="40D97A45">
                  <w:pPr>
                    <w:jc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0.076012</w:t>
                  </w:r>
                </w:p>
              </w:tc>
            </w:tr>
          </w:tbl>
          <w:p w14:paraId="57CFE601">
            <w:pPr>
              <w:pStyle w:val="31"/>
              <w:numPr>
                <w:ilvl w:val="0"/>
                <w:numId w:val="4"/>
              </w:numPr>
              <w:ind w:left="0" w:leftChars="0" w:firstLine="480" w:firstLineChars="200"/>
              <w:rPr>
                <w:rFonts w:hint="eastAsia" w:cs="Times New Roman" w:eastAsiaTheme="minorEastAsia"/>
                <w:color w:val="auto"/>
                <w:kern w:val="0"/>
                <w:sz w:val="24"/>
                <w:lang w:val="en-US" w:eastAsia="zh-CN"/>
              </w:rPr>
            </w:pPr>
            <w:r>
              <w:rPr>
                <w:rFonts w:hint="eastAsia" w:cs="Times New Roman" w:eastAsiaTheme="minorEastAsia"/>
                <w:color w:val="auto"/>
                <w:kern w:val="0"/>
                <w:sz w:val="24"/>
                <w:lang w:val="en-US" w:eastAsia="zh-CN"/>
              </w:rPr>
              <w:t>危废库废气</w:t>
            </w:r>
          </w:p>
          <w:p w14:paraId="2C0CC8C1">
            <w:pPr>
              <w:spacing w:line="360" w:lineRule="auto"/>
              <w:ind w:firstLine="480" w:firstLineChars="200"/>
              <w:rPr>
                <w:rFonts w:hint="eastAsia" w:ascii="Times New Roman" w:hAnsi="Times New Roman" w:cs="Times New Roman" w:eastAsiaTheme="minorEastAsia"/>
                <w:color w:val="auto"/>
                <w:kern w:val="0"/>
                <w:sz w:val="24"/>
                <w:lang w:val="en-US" w:eastAsia="zh-CN"/>
              </w:rPr>
            </w:pPr>
            <w:r>
              <w:rPr>
                <w:rFonts w:hint="eastAsia" w:ascii="Times New Roman" w:hAnsi="Times New Roman" w:cs="Times New Roman" w:eastAsiaTheme="minorEastAsia"/>
                <w:color w:val="auto"/>
                <w:kern w:val="0"/>
                <w:sz w:val="24"/>
                <w:lang w:val="en-US" w:eastAsia="zh-CN"/>
              </w:rPr>
              <w:t>本项目危废仓库内废切削液、废水性淬火液、废</w:t>
            </w:r>
            <w:r>
              <w:rPr>
                <w:rFonts w:hint="eastAsia" w:cs="Times New Roman" w:eastAsiaTheme="minorEastAsia"/>
                <w:color w:val="auto"/>
                <w:kern w:val="0"/>
                <w:sz w:val="24"/>
                <w:lang w:val="en-US" w:eastAsia="zh-CN"/>
              </w:rPr>
              <w:t>水性脱模剂</w:t>
            </w:r>
            <w:r>
              <w:rPr>
                <w:rFonts w:hint="eastAsia" w:ascii="Times New Roman" w:hAnsi="Times New Roman" w:cs="Times New Roman" w:eastAsiaTheme="minorEastAsia"/>
                <w:color w:val="auto"/>
                <w:kern w:val="0"/>
                <w:sz w:val="24"/>
                <w:lang w:val="en-US" w:eastAsia="zh-CN"/>
              </w:rPr>
              <w:t>、废机油等液态危险废物采用包装桶密闭存储，废活性炭采用包装袋密闭存储。项目危险废物密封保存，废气挥发的可能性较小，因此，危废仓库废气忽略不计。危废仓库按照《危险废物贮存污染控制标准》（</w:t>
            </w:r>
            <w:r>
              <w:rPr>
                <w:rFonts w:hint="default" w:ascii="Times New Roman" w:hAnsi="Times New Roman" w:cs="Times New Roman" w:eastAsiaTheme="minorEastAsia"/>
                <w:color w:val="auto"/>
                <w:kern w:val="0"/>
                <w:sz w:val="24"/>
                <w:lang w:val="en-US" w:eastAsia="zh-CN"/>
              </w:rPr>
              <w:t>GB18597-2023</w:t>
            </w:r>
            <w:r>
              <w:rPr>
                <w:rFonts w:hint="eastAsia" w:ascii="Times New Roman" w:hAnsi="Times New Roman" w:cs="Times New Roman" w:eastAsiaTheme="minorEastAsia"/>
                <w:color w:val="auto"/>
                <w:kern w:val="0"/>
                <w:sz w:val="24"/>
                <w:lang w:val="en-US" w:eastAsia="zh-CN"/>
              </w:rPr>
              <w:t>）、《省生态环境厅关于进一步加强危险废物污染防治工作的实施意见》（苏环办〔</w:t>
            </w:r>
            <w:r>
              <w:rPr>
                <w:rFonts w:hint="default" w:ascii="Times New Roman" w:hAnsi="Times New Roman" w:cs="Times New Roman" w:eastAsiaTheme="minorEastAsia"/>
                <w:color w:val="auto"/>
                <w:kern w:val="0"/>
                <w:sz w:val="24"/>
                <w:lang w:val="en-US" w:eastAsia="zh-CN"/>
              </w:rPr>
              <w:t>2019</w:t>
            </w:r>
            <w:r>
              <w:rPr>
                <w:rFonts w:hint="eastAsia" w:ascii="Times New Roman" w:hAnsi="Times New Roman" w:cs="Times New Roman" w:eastAsiaTheme="minorEastAsia"/>
                <w:color w:val="auto"/>
                <w:kern w:val="0"/>
                <w:sz w:val="24"/>
                <w:lang w:val="en-US" w:eastAsia="zh-CN"/>
              </w:rPr>
              <w:t>〕</w:t>
            </w:r>
            <w:r>
              <w:rPr>
                <w:rFonts w:hint="default" w:ascii="Times New Roman" w:hAnsi="Times New Roman" w:cs="Times New Roman" w:eastAsiaTheme="minorEastAsia"/>
                <w:color w:val="auto"/>
                <w:kern w:val="0"/>
                <w:sz w:val="24"/>
                <w:lang w:val="en-US" w:eastAsia="zh-CN"/>
              </w:rPr>
              <w:t xml:space="preserve">327 </w:t>
            </w:r>
            <w:r>
              <w:rPr>
                <w:rFonts w:hint="eastAsia" w:ascii="Times New Roman" w:hAnsi="Times New Roman" w:cs="Times New Roman" w:eastAsiaTheme="minorEastAsia"/>
                <w:color w:val="auto"/>
                <w:kern w:val="0"/>
                <w:sz w:val="24"/>
                <w:lang w:val="en-US" w:eastAsia="zh-CN"/>
              </w:rPr>
              <w:t>号）、《省生态环境厅关于进一步加强危险废物环境管理工作的通知》（苏环办</w:t>
            </w:r>
            <w:r>
              <w:rPr>
                <w:rFonts w:hint="default" w:ascii="Times New Roman" w:hAnsi="Times New Roman" w:cs="Times New Roman" w:eastAsiaTheme="minorEastAsia"/>
                <w:color w:val="auto"/>
                <w:kern w:val="0"/>
                <w:sz w:val="24"/>
                <w:lang w:val="en-US" w:eastAsia="zh-CN"/>
              </w:rPr>
              <w:t>[2021]207</w:t>
            </w:r>
            <w:r>
              <w:rPr>
                <w:rFonts w:hint="eastAsia" w:ascii="Times New Roman" w:hAnsi="Times New Roman" w:cs="Times New Roman" w:eastAsiaTheme="minorEastAsia"/>
                <w:color w:val="auto"/>
                <w:kern w:val="0"/>
                <w:sz w:val="24"/>
                <w:lang w:val="en-US" w:eastAsia="zh-CN"/>
              </w:rPr>
              <w:t>）等相关文件的要求建设。</w:t>
            </w:r>
          </w:p>
          <w:p w14:paraId="178D6F19">
            <w:pPr>
              <w:spacing w:line="360" w:lineRule="auto"/>
              <w:ind w:firstLine="480" w:firstLineChars="200"/>
              <w:rPr>
                <w:rFonts w:hint="eastAsia" w:ascii="Times New Roman" w:hAnsi="Times New Roman" w:cs="Times New Roman" w:eastAsiaTheme="minorEastAsia"/>
                <w:color w:val="auto"/>
                <w:kern w:val="0"/>
                <w:sz w:val="24"/>
                <w:lang w:val="en-US" w:eastAsia="zh-CN"/>
              </w:rPr>
            </w:pPr>
          </w:p>
          <w:p w14:paraId="6F090F30">
            <w:pPr>
              <w:spacing w:line="360" w:lineRule="auto"/>
              <w:ind w:firstLine="480" w:firstLineChars="200"/>
              <w:rPr>
                <w:rFonts w:hint="eastAsia" w:ascii="Times New Roman" w:hAnsi="Times New Roman" w:cs="Times New Roman" w:eastAsiaTheme="minorEastAsia"/>
                <w:color w:val="auto"/>
                <w:kern w:val="0"/>
                <w:sz w:val="24"/>
                <w:lang w:val="en-US" w:eastAsia="zh-CN"/>
              </w:rPr>
            </w:pPr>
          </w:p>
          <w:p w14:paraId="41EC5468">
            <w:pPr>
              <w:spacing w:line="360" w:lineRule="auto"/>
              <w:ind w:firstLine="480" w:firstLineChars="200"/>
              <w:rPr>
                <w:rFonts w:hint="eastAsia" w:ascii="Times New Roman" w:hAnsi="Times New Roman" w:cs="Times New Roman" w:eastAsiaTheme="minorEastAsia"/>
                <w:color w:val="auto"/>
                <w:kern w:val="0"/>
                <w:sz w:val="24"/>
                <w:lang w:val="en-US" w:eastAsia="zh-CN"/>
              </w:rPr>
            </w:pPr>
          </w:p>
          <w:p w14:paraId="174BB8FF">
            <w:pPr>
              <w:spacing w:line="360" w:lineRule="auto"/>
              <w:ind w:firstLine="480" w:firstLineChars="200"/>
              <w:rPr>
                <w:rFonts w:hint="eastAsia" w:ascii="Times New Roman" w:hAnsi="Times New Roman" w:cs="Times New Roman" w:eastAsiaTheme="minorEastAsia"/>
                <w:color w:val="auto"/>
                <w:kern w:val="0"/>
                <w:sz w:val="24"/>
                <w:lang w:val="en-US" w:eastAsia="zh-CN"/>
              </w:rPr>
            </w:pPr>
          </w:p>
          <w:p w14:paraId="55D11643">
            <w:pPr>
              <w:spacing w:line="360" w:lineRule="auto"/>
              <w:ind w:firstLine="480" w:firstLineChars="200"/>
              <w:rPr>
                <w:rFonts w:hint="eastAsia" w:ascii="Times New Roman" w:hAnsi="Times New Roman" w:cs="Times New Roman" w:eastAsiaTheme="minorEastAsia"/>
                <w:color w:val="auto"/>
                <w:kern w:val="0"/>
                <w:sz w:val="24"/>
                <w:lang w:val="en-US" w:eastAsia="zh-CN"/>
              </w:rPr>
            </w:pPr>
          </w:p>
          <w:p w14:paraId="5827560A">
            <w:pPr>
              <w:spacing w:line="360" w:lineRule="auto"/>
              <w:ind w:firstLine="480" w:firstLineChars="200"/>
              <w:rPr>
                <w:rFonts w:hint="eastAsia" w:ascii="Times New Roman" w:hAnsi="Times New Roman" w:cs="Times New Roman" w:eastAsiaTheme="minorEastAsia"/>
                <w:color w:val="auto"/>
                <w:kern w:val="0"/>
                <w:sz w:val="24"/>
                <w:lang w:val="en-US" w:eastAsia="zh-CN"/>
              </w:rPr>
            </w:pPr>
          </w:p>
          <w:p w14:paraId="5616FD3C">
            <w:pPr>
              <w:spacing w:line="360" w:lineRule="auto"/>
              <w:ind w:firstLine="480" w:firstLineChars="200"/>
              <w:rPr>
                <w:rFonts w:hint="eastAsia" w:ascii="Times New Roman" w:hAnsi="Times New Roman" w:cs="Times New Roman" w:eastAsiaTheme="minorEastAsia"/>
                <w:color w:val="auto"/>
                <w:kern w:val="0"/>
                <w:sz w:val="24"/>
                <w:lang w:val="en-US" w:eastAsia="zh-CN"/>
              </w:rPr>
            </w:pPr>
          </w:p>
          <w:p w14:paraId="2E5176A1">
            <w:pPr>
              <w:spacing w:line="360" w:lineRule="auto"/>
              <w:ind w:firstLine="480" w:firstLineChars="200"/>
              <w:rPr>
                <w:rFonts w:hint="eastAsia" w:ascii="Times New Roman" w:hAnsi="Times New Roman" w:cs="Times New Roman" w:eastAsiaTheme="minorEastAsia"/>
                <w:color w:val="auto"/>
                <w:kern w:val="0"/>
                <w:sz w:val="24"/>
                <w:lang w:val="en-US" w:eastAsia="zh-CN"/>
              </w:rPr>
            </w:pPr>
          </w:p>
          <w:p w14:paraId="106B5E28">
            <w:pPr>
              <w:spacing w:line="360" w:lineRule="auto"/>
              <w:ind w:firstLine="480" w:firstLineChars="200"/>
              <w:rPr>
                <w:rFonts w:hint="eastAsia" w:ascii="Times New Roman" w:hAnsi="Times New Roman" w:cs="Times New Roman" w:eastAsiaTheme="minorEastAsia"/>
                <w:color w:val="auto"/>
                <w:kern w:val="0"/>
                <w:sz w:val="24"/>
                <w:lang w:val="en-US" w:eastAsia="zh-CN"/>
              </w:rPr>
            </w:pPr>
          </w:p>
          <w:p w14:paraId="219BCBA1">
            <w:pPr>
              <w:spacing w:line="360" w:lineRule="auto"/>
              <w:ind w:firstLine="480" w:firstLineChars="200"/>
              <w:rPr>
                <w:rFonts w:hint="eastAsia" w:ascii="Times New Roman" w:hAnsi="Times New Roman" w:cs="Times New Roman" w:eastAsiaTheme="minorEastAsia"/>
                <w:color w:val="auto"/>
                <w:kern w:val="0"/>
                <w:sz w:val="24"/>
                <w:lang w:val="en-US" w:eastAsia="zh-CN"/>
              </w:rPr>
            </w:pPr>
          </w:p>
          <w:p w14:paraId="2EBB1531">
            <w:pPr>
              <w:spacing w:line="360" w:lineRule="auto"/>
              <w:ind w:firstLine="480" w:firstLineChars="200"/>
              <w:rPr>
                <w:rFonts w:hint="eastAsia" w:ascii="Times New Roman" w:hAnsi="Times New Roman" w:cs="Times New Roman" w:eastAsiaTheme="minorEastAsia"/>
                <w:color w:val="auto"/>
                <w:kern w:val="0"/>
                <w:sz w:val="24"/>
                <w:lang w:val="en-US" w:eastAsia="zh-CN"/>
              </w:rPr>
            </w:pPr>
          </w:p>
          <w:p w14:paraId="24D84552">
            <w:pPr>
              <w:spacing w:line="360" w:lineRule="auto"/>
              <w:ind w:firstLine="480" w:firstLineChars="200"/>
              <w:rPr>
                <w:rFonts w:hint="eastAsia" w:ascii="Times New Roman" w:hAnsi="Times New Roman" w:cs="Times New Roman" w:eastAsiaTheme="minorEastAsia"/>
                <w:color w:val="auto"/>
                <w:kern w:val="0"/>
                <w:sz w:val="24"/>
                <w:lang w:val="en-US" w:eastAsia="zh-CN"/>
              </w:rPr>
            </w:pPr>
          </w:p>
          <w:p w14:paraId="7AA2B64E">
            <w:pPr>
              <w:spacing w:line="360" w:lineRule="auto"/>
              <w:ind w:firstLine="480" w:firstLineChars="200"/>
              <w:rPr>
                <w:rFonts w:hint="eastAsia" w:ascii="Times New Roman" w:hAnsi="Times New Roman" w:cs="Times New Roman" w:eastAsiaTheme="minorEastAsia"/>
                <w:color w:val="auto"/>
                <w:kern w:val="0"/>
                <w:sz w:val="24"/>
                <w:lang w:val="en-US" w:eastAsia="zh-CN"/>
              </w:rPr>
            </w:pPr>
          </w:p>
          <w:p w14:paraId="068F80C5">
            <w:pPr>
              <w:spacing w:line="360" w:lineRule="auto"/>
              <w:ind w:firstLine="480" w:firstLineChars="200"/>
              <w:rPr>
                <w:rFonts w:hint="eastAsia" w:ascii="Times New Roman" w:hAnsi="Times New Roman" w:cs="Times New Roman" w:eastAsiaTheme="minorEastAsia"/>
                <w:color w:val="auto"/>
                <w:kern w:val="0"/>
                <w:sz w:val="24"/>
                <w:lang w:val="en-US" w:eastAsia="zh-CN"/>
              </w:rPr>
            </w:pPr>
          </w:p>
          <w:p w14:paraId="5E6AEACF">
            <w:pPr>
              <w:spacing w:line="360" w:lineRule="auto"/>
              <w:ind w:firstLine="480" w:firstLineChars="200"/>
              <w:rPr>
                <w:rFonts w:hint="eastAsia" w:ascii="Times New Roman" w:hAnsi="Times New Roman" w:cs="Times New Roman" w:eastAsiaTheme="minorEastAsia"/>
                <w:color w:val="auto"/>
                <w:kern w:val="0"/>
                <w:sz w:val="24"/>
                <w:lang w:val="en-US" w:eastAsia="zh-CN"/>
              </w:rPr>
            </w:pPr>
          </w:p>
          <w:p w14:paraId="5383C7C0">
            <w:pPr>
              <w:spacing w:line="360" w:lineRule="auto"/>
              <w:ind w:firstLine="480" w:firstLineChars="200"/>
              <w:rPr>
                <w:rFonts w:hint="eastAsia" w:ascii="Times New Roman" w:hAnsi="Times New Roman" w:cs="Times New Roman" w:eastAsiaTheme="minorEastAsia"/>
                <w:color w:val="auto"/>
                <w:kern w:val="0"/>
                <w:sz w:val="24"/>
                <w:lang w:val="en-US" w:eastAsia="zh-CN"/>
              </w:rPr>
            </w:pPr>
          </w:p>
          <w:p w14:paraId="4E4EC479">
            <w:pPr>
              <w:spacing w:line="360" w:lineRule="auto"/>
              <w:ind w:firstLine="480" w:firstLineChars="200"/>
              <w:rPr>
                <w:rFonts w:hint="eastAsia" w:ascii="Times New Roman" w:hAnsi="Times New Roman" w:cs="Times New Roman" w:eastAsiaTheme="minorEastAsia"/>
                <w:color w:val="auto"/>
                <w:kern w:val="0"/>
                <w:sz w:val="24"/>
                <w:lang w:val="en-US" w:eastAsia="zh-CN"/>
              </w:rPr>
            </w:pPr>
          </w:p>
          <w:p w14:paraId="34A6DE31">
            <w:pPr>
              <w:spacing w:line="360" w:lineRule="auto"/>
              <w:ind w:firstLine="480" w:firstLineChars="200"/>
              <w:rPr>
                <w:rFonts w:hint="eastAsia" w:ascii="Times New Roman" w:hAnsi="Times New Roman" w:cs="Times New Roman" w:eastAsiaTheme="minorEastAsia"/>
                <w:color w:val="auto"/>
                <w:kern w:val="0"/>
                <w:sz w:val="24"/>
                <w:lang w:val="en-US" w:eastAsia="zh-CN"/>
              </w:rPr>
            </w:pPr>
          </w:p>
          <w:p w14:paraId="56E21E86">
            <w:pPr>
              <w:spacing w:line="360" w:lineRule="auto"/>
              <w:ind w:firstLine="480" w:firstLineChars="200"/>
              <w:rPr>
                <w:rFonts w:hint="eastAsia" w:ascii="Times New Roman" w:hAnsi="Times New Roman" w:cs="Times New Roman" w:eastAsiaTheme="minorEastAsia"/>
                <w:color w:val="auto"/>
                <w:kern w:val="0"/>
                <w:sz w:val="24"/>
                <w:lang w:val="en-US" w:eastAsia="zh-CN"/>
              </w:rPr>
            </w:pPr>
          </w:p>
          <w:p w14:paraId="699F5E3A">
            <w:pPr>
              <w:spacing w:line="360" w:lineRule="auto"/>
              <w:ind w:firstLine="480" w:firstLineChars="200"/>
              <w:rPr>
                <w:rFonts w:hint="eastAsia" w:ascii="Times New Roman" w:hAnsi="Times New Roman" w:cs="Times New Roman" w:eastAsiaTheme="minorEastAsia"/>
                <w:color w:val="auto"/>
                <w:kern w:val="0"/>
                <w:sz w:val="24"/>
                <w:lang w:val="en-US" w:eastAsia="zh-CN"/>
              </w:rPr>
            </w:pPr>
          </w:p>
          <w:p w14:paraId="1BC428E1">
            <w:pPr>
              <w:spacing w:line="360" w:lineRule="auto"/>
              <w:ind w:firstLine="480" w:firstLineChars="200"/>
              <w:rPr>
                <w:rFonts w:hint="eastAsia" w:ascii="Times New Roman" w:hAnsi="Times New Roman" w:cs="Times New Roman" w:eastAsiaTheme="minorEastAsia"/>
                <w:color w:val="auto"/>
                <w:kern w:val="0"/>
                <w:sz w:val="24"/>
                <w:lang w:val="en-US" w:eastAsia="zh-CN"/>
              </w:rPr>
            </w:pPr>
          </w:p>
          <w:p w14:paraId="052CA25B">
            <w:pPr>
              <w:spacing w:line="360" w:lineRule="auto"/>
              <w:ind w:firstLine="480" w:firstLineChars="200"/>
              <w:rPr>
                <w:rFonts w:hint="eastAsia" w:ascii="Times New Roman" w:hAnsi="Times New Roman" w:cs="Times New Roman" w:eastAsiaTheme="minorEastAsia"/>
                <w:color w:val="auto"/>
                <w:kern w:val="0"/>
                <w:sz w:val="24"/>
                <w:lang w:val="en-US" w:eastAsia="zh-CN"/>
              </w:rPr>
            </w:pPr>
          </w:p>
          <w:p w14:paraId="14788C7F">
            <w:pPr>
              <w:spacing w:line="360" w:lineRule="auto"/>
              <w:ind w:firstLine="480" w:firstLineChars="200"/>
              <w:rPr>
                <w:rFonts w:hint="default" w:ascii="Times New Roman" w:hAnsi="Times New Roman" w:cs="Times New Roman" w:eastAsiaTheme="minorEastAsia"/>
                <w:color w:val="auto"/>
                <w:kern w:val="0"/>
                <w:sz w:val="24"/>
                <w:lang w:val="en-US" w:eastAsia="zh-CN"/>
              </w:rPr>
            </w:pPr>
          </w:p>
        </w:tc>
      </w:tr>
    </w:tbl>
    <w:p w14:paraId="5C36EDB5">
      <w:pPr>
        <w:rPr>
          <w:rFonts w:hint="default" w:ascii="Times New Roman" w:hAnsi="Times New Roman" w:cs="Times New Roman"/>
          <w:color w:val="auto"/>
          <w:sz w:val="24"/>
        </w:rPr>
        <w:sectPr>
          <w:pgSz w:w="11905" w:h="16838"/>
          <w:pgMar w:top="1701" w:right="1531" w:bottom="2126" w:left="1531" w:header="851" w:footer="850" w:gutter="0"/>
          <w:cols w:space="0" w:num="1"/>
          <w:docGrid w:linePitch="312" w:charSpace="0"/>
        </w:sectPr>
      </w:pPr>
    </w:p>
    <w:tbl>
      <w:tblPr>
        <w:tblStyle w:val="6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12771"/>
      </w:tblGrid>
      <w:tr w14:paraId="49248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shd w:val="clear" w:color="auto" w:fill="auto"/>
            <w:vAlign w:val="center"/>
          </w:tcPr>
          <w:p w14:paraId="116B5EBA">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运营</w:t>
            </w:r>
          </w:p>
          <w:p w14:paraId="1CDDDA48">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期环</w:t>
            </w:r>
          </w:p>
          <w:p w14:paraId="66AF94BB">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境影</w:t>
            </w:r>
          </w:p>
          <w:p w14:paraId="4B4E9015">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响和</w:t>
            </w:r>
          </w:p>
          <w:p w14:paraId="1E0DD864">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保护</w:t>
            </w:r>
          </w:p>
          <w:p w14:paraId="4BBE4DCE">
            <w:pPr>
              <w:tabs>
                <w:tab w:val="left" w:pos="1077"/>
              </w:tabs>
              <w:jc w:val="center"/>
              <w:rPr>
                <w:rFonts w:hint="default" w:ascii="Times New Roman" w:hAnsi="Times New Roman" w:cs="Times New Roman"/>
                <w:color w:val="auto"/>
                <w:sz w:val="24"/>
              </w:rPr>
            </w:pPr>
            <w:r>
              <w:rPr>
                <w:rFonts w:hint="default" w:ascii="Times New Roman" w:hAnsi="Times New Roman" w:cs="Times New Roman"/>
                <w:color w:val="auto"/>
                <w:kern w:val="0"/>
                <w:sz w:val="24"/>
              </w:rPr>
              <w:t>措施</w:t>
            </w:r>
          </w:p>
        </w:tc>
        <w:tc>
          <w:tcPr>
            <w:tcW w:w="12772" w:type="dxa"/>
            <w:shd w:val="clear" w:color="auto" w:fill="auto"/>
            <w:vAlign w:val="center"/>
          </w:tcPr>
          <w:p w14:paraId="506CCE5E">
            <w:pPr>
              <w:spacing w:before="100" w:beforeAutospacing="1"/>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表4-</w:t>
            </w:r>
            <w:r>
              <w:rPr>
                <w:rFonts w:hint="eastAsia" w:ascii="Times New Roman" w:hAnsi="Times New Roman" w:cs="Times New Roman"/>
                <w:b/>
                <w:bCs/>
                <w:color w:val="auto"/>
                <w:sz w:val="24"/>
                <w:lang w:val="en-US" w:eastAsia="zh-CN"/>
              </w:rPr>
              <w:t>7</w:t>
            </w:r>
            <w:r>
              <w:rPr>
                <w:rFonts w:hint="default" w:ascii="Times New Roman" w:hAnsi="Times New Roman" w:cs="Times New Roman"/>
                <w:b/>
                <w:bCs/>
                <w:color w:val="auto"/>
                <w:sz w:val="24"/>
              </w:rPr>
              <w:t xml:space="preserve">  项目有组织废气产生、治理及排放状况表</w:t>
            </w:r>
          </w:p>
          <w:tbl>
            <w:tblPr>
              <w:tblStyle w:val="63"/>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0" w:type="dxa"/>
                <w:bottom w:w="0" w:type="dxa"/>
                <w:right w:w="0" w:type="dxa"/>
              </w:tblCellMar>
            </w:tblPr>
            <w:tblGrid>
              <w:gridCol w:w="771"/>
              <w:gridCol w:w="359"/>
              <w:gridCol w:w="499"/>
              <w:gridCol w:w="479"/>
              <w:gridCol w:w="584"/>
              <w:gridCol w:w="689"/>
              <w:gridCol w:w="1635"/>
              <w:gridCol w:w="641"/>
              <w:gridCol w:w="545"/>
              <w:gridCol w:w="474"/>
              <w:gridCol w:w="479"/>
              <w:gridCol w:w="584"/>
              <w:gridCol w:w="591"/>
              <w:gridCol w:w="591"/>
              <w:gridCol w:w="403"/>
              <w:gridCol w:w="429"/>
              <w:gridCol w:w="288"/>
              <w:gridCol w:w="322"/>
              <w:gridCol w:w="299"/>
              <w:gridCol w:w="597"/>
              <w:gridCol w:w="480"/>
              <w:gridCol w:w="811"/>
            </w:tblGrid>
            <w:tr w14:paraId="2110DF6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53" w:hRule="atLeast"/>
                <w:jc w:val="center"/>
              </w:trPr>
              <w:tc>
                <w:tcPr>
                  <w:tcW w:w="0" w:type="auto"/>
                  <w:vMerge w:val="restart"/>
                  <w:vAlign w:val="center"/>
                </w:tcPr>
                <w:p w14:paraId="766F6E76">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排放源编号</w:t>
                  </w:r>
                </w:p>
              </w:tc>
              <w:tc>
                <w:tcPr>
                  <w:tcW w:w="0" w:type="auto"/>
                  <w:vMerge w:val="restart"/>
                  <w:vAlign w:val="center"/>
                </w:tcPr>
                <w:p w14:paraId="1848B7A7">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污染源</w:t>
                  </w:r>
                </w:p>
              </w:tc>
              <w:tc>
                <w:tcPr>
                  <w:tcW w:w="0" w:type="auto"/>
                  <w:vMerge w:val="restart"/>
                  <w:vAlign w:val="center"/>
                </w:tcPr>
                <w:p w14:paraId="0C3976C9">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污染物</w:t>
                  </w:r>
                </w:p>
                <w:p w14:paraId="0CAADD17">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名称</w:t>
                  </w:r>
                </w:p>
              </w:tc>
              <w:tc>
                <w:tcPr>
                  <w:tcW w:w="0" w:type="auto"/>
                  <w:gridSpan w:val="3"/>
                  <w:vAlign w:val="center"/>
                </w:tcPr>
                <w:p w14:paraId="741AE962">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产生状况</w:t>
                  </w:r>
                </w:p>
              </w:tc>
              <w:tc>
                <w:tcPr>
                  <w:tcW w:w="0" w:type="auto"/>
                  <w:vMerge w:val="restart"/>
                  <w:vAlign w:val="center"/>
                </w:tcPr>
                <w:p w14:paraId="13341266">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处理措施</w:t>
                  </w:r>
                </w:p>
              </w:tc>
              <w:tc>
                <w:tcPr>
                  <w:tcW w:w="0" w:type="auto"/>
                  <w:vMerge w:val="restart"/>
                  <w:vAlign w:val="center"/>
                </w:tcPr>
                <w:p w14:paraId="76B11B3A">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是否为可行技术</w:t>
                  </w:r>
                </w:p>
              </w:tc>
              <w:tc>
                <w:tcPr>
                  <w:tcW w:w="0" w:type="auto"/>
                  <w:vMerge w:val="restart"/>
                  <w:vAlign w:val="center"/>
                </w:tcPr>
                <w:p w14:paraId="473350CC">
                  <w:pPr>
                    <w:overflowPunct w:val="0"/>
                    <w:adjustRightInd w:val="0"/>
                    <w:snapToGrid w:val="0"/>
                    <w:jc w:val="center"/>
                    <w:textAlignment w:val="baseline"/>
                    <w:rPr>
                      <w:rFonts w:hint="default" w:ascii="Times New Roman" w:hAnsi="Times New Roman" w:eastAsia="宋体" w:cs="Times New Roman"/>
                      <w:b/>
                      <w:bCs/>
                      <w:color w:val="auto"/>
                      <w:lang w:eastAsia="zh-CN"/>
                    </w:rPr>
                  </w:pPr>
                  <w:r>
                    <w:rPr>
                      <w:rFonts w:hint="default" w:ascii="Times New Roman" w:hAnsi="Times New Roman" w:cs="Times New Roman"/>
                      <w:b/>
                      <w:bCs/>
                      <w:color w:val="auto"/>
                      <w:lang w:eastAsia="zh-CN"/>
                    </w:rPr>
                    <w:t>收集效率</w:t>
                  </w:r>
                </w:p>
              </w:tc>
              <w:tc>
                <w:tcPr>
                  <w:tcW w:w="0" w:type="auto"/>
                  <w:vMerge w:val="restart"/>
                  <w:vAlign w:val="center"/>
                </w:tcPr>
                <w:p w14:paraId="35DF805F">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去除率</w:t>
                  </w:r>
                </w:p>
              </w:tc>
              <w:tc>
                <w:tcPr>
                  <w:tcW w:w="0" w:type="auto"/>
                  <w:gridSpan w:val="3"/>
                  <w:vAlign w:val="center"/>
                </w:tcPr>
                <w:p w14:paraId="1D881466">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排放状况</w:t>
                  </w:r>
                </w:p>
              </w:tc>
              <w:tc>
                <w:tcPr>
                  <w:tcW w:w="0" w:type="auto"/>
                  <w:gridSpan w:val="2"/>
                  <w:vAlign w:val="center"/>
                </w:tcPr>
                <w:p w14:paraId="33ECDC37">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执行标准</w:t>
                  </w:r>
                </w:p>
              </w:tc>
              <w:tc>
                <w:tcPr>
                  <w:tcW w:w="0" w:type="auto"/>
                  <w:vMerge w:val="restart"/>
                  <w:vAlign w:val="center"/>
                </w:tcPr>
                <w:p w14:paraId="6803C929">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达标情况</w:t>
                  </w:r>
                </w:p>
              </w:tc>
              <w:tc>
                <w:tcPr>
                  <w:tcW w:w="0" w:type="auto"/>
                  <w:gridSpan w:val="5"/>
                  <w:vAlign w:val="center"/>
                </w:tcPr>
                <w:p w14:paraId="3DE2CA25">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排气筒参数</w:t>
                  </w:r>
                </w:p>
              </w:tc>
              <w:tc>
                <w:tcPr>
                  <w:tcW w:w="0" w:type="auto"/>
                  <w:vMerge w:val="restart"/>
                  <w:vAlign w:val="center"/>
                </w:tcPr>
                <w:p w14:paraId="6B9C5E58">
                  <w:pPr>
                    <w:overflowPunct w:val="0"/>
                    <w:adjustRightInd w:val="0"/>
                    <w:snapToGrid w:val="0"/>
                    <w:spacing w:before="40" w:after="60" w:line="200" w:lineRule="atLeast"/>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年排放时间</w:t>
                  </w:r>
                </w:p>
              </w:tc>
            </w:tr>
            <w:tr w14:paraId="50F6C01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5" w:hRule="atLeast"/>
                <w:jc w:val="center"/>
              </w:trPr>
              <w:tc>
                <w:tcPr>
                  <w:tcW w:w="0" w:type="auto"/>
                  <w:vMerge w:val="continue"/>
                  <w:vAlign w:val="center"/>
                </w:tcPr>
                <w:p w14:paraId="0524124D">
                  <w:pPr>
                    <w:overflowPunct w:val="0"/>
                    <w:adjustRightInd w:val="0"/>
                    <w:snapToGrid w:val="0"/>
                    <w:jc w:val="center"/>
                    <w:textAlignment w:val="baseline"/>
                    <w:rPr>
                      <w:rFonts w:hint="default" w:ascii="Times New Roman" w:hAnsi="Times New Roman" w:cs="Times New Roman"/>
                      <w:b/>
                      <w:bCs/>
                      <w:color w:val="auto"/>
                    </w:rPr>
                  </w:pPr>
                </w:p>
              </w:tc>
              <w:tc>
                <w:tcPr>
                  <w:tcW w:w="0" w:type="auto"/>
                  <w:vMerge w:val="continue"/>
                  <w:vAlign w:val="center"/>
                </w:tcPr>
                <w:p w14:paraId="1FBD7B15">
                  <w:pPr>
                    <w:overflowPunct w:val="0"/>
                    <w:adjustRightInd w:val="0"/>
                    <w:snapToGrid w:val="0"/>
                    <w:jc w:val="center"/>
                    <w:textAlignment w:val="baseline"/>
                    <w:rPr>
                      <w:rFonts w:hint="default" w:ascii="Times New Roman" w:hAnsi="Times New Roman" w:cs="Times New Roman"/>
                      <w:b/>
                      <w:bCs/>
                      <w:color w:val="auto"/>
                    </w:rPr>
                  </w:pPr>
                </w:p>
              </w:tc>
              <w:tc>
                <w:tcPr>
                  <w:tcW w:w="0" w:type="auto"/>
                  <w:vMerge w:val="continue"/>
                  <w:vAlign w:val="center"/>
                </w:tcPr>
                <w:p w14:paraId="6D7EC522">
                  <w:pPr>
                    <w:overflowPunct w:val="0"/>
                    <w:adjustRightInd w:val="0"/>
                    <w:snapToGrid w:val="0"/>
                    <w:jc w:val="center"/>
                    <w:textAlignment w:val="baseline"/>
                    <w:rPr>
                      <w:rFonts w:hint="default" w:ascii="Times New Roman" w:hAnsi="Times New Roman" w:cs="Times New Roman"/>
                      <w:b/>
                      <w:bCs/>
                      <w:color w:val="auto"/>
                    </w:rPr>
                  </w:pPr>
                </w:p>
              </w:tc>
              <w:tc>
                <w:tcPr>
                  <w:tcW w:w="0" w:type="auto"/>
                  <w:vAlign w:val="center"/>
                </w:tcPr>
                <w:p w14:paraId="17BB1A71">
                  <w:pPr>
                    <w:widowControl/>
                    <w:jc w:val="center"/>
                    <w:rPr>
                      <w:rFonts w:hint="default" w:ascii="Times New Roman" w:hAnsi="Times New Roman" w:cs="Times New Roman"/>
                      <w:b/>
                      <w:bCs/>
                      <w:color w:val="auto"/>
                    </w:rPr>
                  </w:pPr>
                  <w:r>
                    <w:rPr>
                      <w:rFonts w:hint="default" w:ascii="Times New Roman" w:hAnsi="Times New Roman" w:cs="Times New Roman"/>
                      <w:b/>
                      <w:bCs/>
                      <w:color w:val="auto"/>
                    </w:rPr>
                    <w:t>kg/h</w:t>
                  </w:r>
                </w:p>
              </w:tc>
              <w:tc>
                <w:tcPr>
                  <w:tcW w:w="0" w:type="auto"/>
                  <w:vAlign w:val="center"/>
                </w:tcPr>
                <w:p w14:paraId="65E8D1BC">
                  <w:pPr>
                    <w:widowControl/>
                    <w:jc w:val="center"/>
                    <w:rPr>
                      <w:rFonts w:hint="default" w:ascii="Times New Roman" w:hAnsi="Times New Roman" w:cs="Times New Roman"/>
                      <w:b/>
                      <w:bCs/>
                      <w:color w:val="auto"/>
                    </w:rPr>
                  </w:pPr>
                  <w:r>
                    <w:rPr>
                      <w:rFonts w:hint="default" w:ascii="Times New Roman" w:hAnsi="Times New Roman" w:cs="Times New Roman"/>
                      <w:b/>
                      <w:bCs/>
                      <w:color w:val="auto"/>
                    </w:rPr>
                    <w:t>t/a</w:t>
                  </w:r>
                </w:p>
              </w:tc>
              <w:tc>
                <w:tcPr>
                  <w:tcW w:w="0" w:type="auto"/>
                  <w:vAlign w:val="center"/>
                </w:tcPr>
                <w:p w14:paraId="4748505F">
                  <w:pPr>
                    <w:widowControl/>
                    <w:jc w:val="center"/>
                    <w:rPr>
                      <w:rFonts w:hint="default" w:ascii="Times New Roman" w:hAnsi="Times New Roman" w:cs="Times New Roman"/>
                      <w:b/>
                      <w:bCs/>
                      <w:color w:val="auto"/>
                    </w:rPr>
                  </w:pPr>
                  <w:r>
                    <w:rPr>
                      <w:rFonts w:hint="default" w:ascii="Times New Roman" w:hAnsi="Times New Roman" w:cs="Times New Roman"/>
                      <w:b/>
                      <w:bCs/>
                      <w:color w:val="auto"/>
                    </w:rPr>
                    <w:t>mg/m</w:t>
                  </w:r>
                  <w:r>
                    <w:rPr>
                      <w:rFonts w:hint="default" w:ascii="Times New Roman" w:hAnsi="Times New Roman" w:cs="Times New Roman"/>
                      <w:b/>
                      <w:bCs/>
                      <w:color w:val="auto"/>
                      <w:sz w:val="22"/>
                      <w:szCs w:val="28"/>
                      <w:vertAlign w:val="superscript"/>
                    </w:rPr>
                    <w:t>3</w:t>
                  </w:r>
                </w:p>
              </w:tc>
              <w:tc>
                <w:tcPr>
                  <w:tcW w:w="0" w:type="auto"/>
                  <w:vMerge w:val="continue"/>
                  <w:vAlign w:val="center"/>
                </w:tcPr>
                <w:p w14:paraId="77354028">
                  <w:pPr>
                    <w:overflowPunct w:val="0"/>
                    <w:adjustRightInd w:val="0"/>
                    <w:snapToGrid w:val="0"/>
                    <w:jc w:val="center"/>
                    <w:textAlignment w:val="baseline"/>
                    <w:rPr>
                      <w:rFonts w:hint="default" w:ascii="Times New Roman" w:hAnsi="Times New Roman" w:cs="Times New Roman"/>
                      <w:b/>
                      <w:bCs/>
                      <w:color w:val="auto"/>
                    </w:rPr>
                  </w:pPr>
                </w:p>
              </w:tc>
              <w:tc>
                <w:tcPr>
                  <w:tcW w:w="0" w:type="auto"/>
                  <w:vMerge w:val="continue"/>
                  <w:vAlign w:val="center"/>
                </w:tcPr>
                <w:p w14:paraId="77BFA348">
                  <w:pPr>
                    <w:overflowPunct w:val="0"/>
                    <w:adjustRightInd w:val="0"/>
                    <w:snapToGrid w:val="0"/>
                    <w:jc w:val="center"/>
                    <w:textAlignment w:val="baseline"/>
                    <w:rPr>
                      <w:rFonts w:hint="default" w:ascii="Times New Roman" w:hAnsi="Times New Roman" w:cs="Times New Roman"/>
                      <w:b/>
                      <w:bCs/>
                      <w:color w:val="auto"/>
                    </w:rPr>
                  </w:pPr>
                </w:p>
              </w:tc>
              <w:tc>
                <w:tcPr>
                  <w:tcW w:w="0" w:type="auto"/>
                  <w:vMerge w:val="continue"/>
                  <w:vAlign w:val="center"/>
                </w:tcPr>
                <w:p w14:paraId="237DF924">
                  <w:pPr>
                    <w:overflowPunct w:val="0"/>
                    <w:adjustRightInd w:val="0"/>
                    <w:snapToGrid w:val="0"/>
                    <w:jc w:val="center"/>
                    <w:textAlignment w:val="baseline"/>
                    <w:rPr>
                      <w:rFonts w:hint="default" w:ascii="Times New Roman" w:hAnsi="Times New Roman" w:cs="Times New Roman"/>
                      <w:b/>
                      <w:bCs/>
                      <w:color w:val="auto"/>
                    </w:rPr>
                  </w:pPr>
                </w:p>
              </w:tc>
              <w:tc>
                <w:tcPr>
                  <w:tcW w:w="0" w:type="auto"/>
                  <w:vMerge w:val="continue"/>
                  <w:vAlign w:val="center"/>
                </w:tcPr>
                <w:p w14:paraId="587837B7">
                  <w:pPr>
                    <w:overflowPunct w:val="0"/>
                    <w:adjustRightInd w:val="0"/>
                    <w:snapToGrid w:val="0"/>
                    <w:jc w:val="center"/>
                    <w:textAlignment w:val="baseline"/>
                    <w:rPr>
                      <w:rFonts w:hint="default" w:ascii="Times New Roman" w:hAnsi="Times New Roman" w:cs="Times New Roman"/>
                      <w:b/>
                      <w:bCs/>
                      <w:color w:val="auto"/>
                    </w:rPr>
                  </w:pPr>
                </w:p>
              </w:tc>
              <w:tc>
                <w:tcPr>
                  <w:tcW w:w="0" w:type="auto"/>
                  <w:vAlign w:val="center"/>
                </w:tcPr>
                <w:p w14:paraId="4EBC9B61">
                  <w:pPr>
                    <w:widowControl/>
                    <w:jc w:val="center"/>
                    <w:rPr>
                      <w:rFonts w:hint="default" w:ascii="Times New Roman" w:hAnsi="Times New Roman" w:cs="Times New Roman"/>
                      <w:b/>
                      <w:bCs/>
                      <w:color w:val="auto"/>
                    </w:rPr>
                  </w:pPr>
                  <w:r>
                    <w:rPr>
                      <w:rFonts w:hint="default" w:ascii="Times New Roman" w:hAnsi="Times New Roman" w:cs="Times New Roman"/>
                      <w:b/>
                      <w:bCs/>
                      <w:color w:val="auto"/>
                    </w:rPr>
                    <w:t>kg/h</w:t>
                  </w:r>
                </w:p>
              </w:tc>
              <w:tc>
                <w:tcPr>
                  <w:tcW w:w="0" w:type="auto"/>
                  <w:vAlign w:val="center"/>
                </w:tcPr>
                <w:p w14:paraId="7D1CF5B8">
                  <w:pPr>
                    <w:widowControl/>
                    <w:jc w:val="center"/>
                    <w:rPr>
                      <w:rFonts w:hint="default" w:ascii="Times New Roman" w:hAnsi="Times New Roman" w:cs="Times New Roman"/>
                      <w:b/>
                      <w:bCs/>
                      <w:color w:val="auto"/>
                    </w:rPr>
                  </w:pPr>
                  <w:r>
                    <w:rPr>
                      <w:rFonts w:hint="default" w:ascii="Times New Roman" w:hAnsi="Times New Roman" w:cs="Times New Roman"/>
                      <w:b/>
                      <w:bCs/>
                      <w:color w:val="auto"/>
                    </w:rPr>
                    <w:t>t/a</w:t>
                  </w:r>
                </w:p>
              </w:tc>
              <w:tc>
                <w:tcPr>
                  <w:tcW w:w="0" w:type="auto"/>
                  <w:vAlign w:val="center"/>
                </w:tcPr>
                <w:p w14:paraId="506F7B94">
                  <w:pPr>
                    <w:widowControl/>
                    <w:jc w:val="center"/>
                    <w:rPr>
                      <w:rFonts w:hint="default" w:ascii="Times New Roman" w:hAnsi="Times New Roman" w:cs="Times New Roman"/>
                      <w:b/>
                      <w:bCs/>
                      <w:color w:val="auto"/>
                    </w:rPr>
                  </w:pPr>
                  <w:r>
                    <w:rPr>
                      <w:rFonts w:hint="default" w:ascii="Times New Roman" w:hAnsi="Times New Roman" w:cs="Times New Roman"/>
                      <w:b/>
                      <w:bCs/>
                      <w:color w:val="auto"/>
                    </w:rPr>
                    <w:t>mg/m</w:t>
                  </w:r>
                  <w:r>
                    <w:rPr>
                      <w:rFonts w:hint="default" w:ascii="Times New Roman" w:hAnsi="Times New Roman" w:cs="Times New Roman"/>
                      <w:b/>
                      <w:bCs/>
                      <w:color w:val="auto"/>
                      <w:sz w:val="22"/>
                      <w:szCs w:val="28"/>
                      <w:vertAlign w:val="superscript"/>
                    </w:rPr>
                    <w:t>3</w:t>
                  </w:r>
                </w:p>
              </w:tc>
              <w:tc>
                <w:tcPr>
                  <w:tcW w:w="0" w:type="auto"/>
                  <w:vAlign w:val="center"/>
                </w:tcPr>
                <w:p w14:paraId="2FF75E7E">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mg/m</w:t>
                  </w:r>
                  <w:r>
                    <w:rPr>
                      <w:rFonts w:hint="default" w:ascii="Times New Roman" w:hAnsi="Times New Roman" w:cs="Times New Roman"/>
                      <w:b/>
                      <w:bCs/>
                      <w:color w:val="auto"/>
                      <w:sz w:val="22"/>
                      <w:szCs w:val="28"/>
                      <w:vertAlign w:val="superscript"/>
                    </w:rPr>
                    <w:t>3</w:t>
                  </w:r>
                </w:p>
              </w:tc>
              <w:tc>
                <w:tcPr>
                  <w:tcW w:w="0" w:type="auto"/>
                  <w:shd w:val="clear" w:color="auto" w:fill="auto"/>
                  <w:vAlign w:val="center"/>
                </w:tcPr>
                <w:p w14:paraId="5E84FEBD">
                  <w:pPr>
                    <w:overflowPunct w:val="0"/>
                    <w:adjustRightInd w:val="0"/>
                    <w:snapToGrid w:val="0"/>
                    <w:jc w:val="center"/>
                    <w:textAlignment w:val="baseline"/>
                    <w:rPr>
                      <w:rFonts w:hint="default" w:ascii="Times New Roman" w:hAnsi="Times New Roman" w:eastAsia="宋体" w:cs="Times New Roman"/>
                      <w:b/>
                      <w:bCs/>
                      <w:color w:val="auto"/>
                      <w:kern w:val="2"/>
                      <w:sz w:val="21"/>
                      <w:szCs w:val="24"/>
                      <w:lang w:val="en-US" w:eastAsia="zh-CN" w:bidi="ar-SA"/>
                    </w:rPr>
                  </w:pPr>
                  <w:r>
                    <w:rPr>
                      <w:rFonts w:hint="default" w:ascii="Times New Roman" w:hAnsi="Times New Roman" w:eastAsia="宋体" w:cs="Times New Roman"/>
                      <w:b/>
                      <w:color w:val="auto"/>
                      <w:kern w:val="0"/>
                      <w:sz w:val="21"/>
                      <w:szCs w:val="21"/>
                    </w:rPr>
                    <w:t>kg/h</w:t>
                  </w:r>
                </w:p>
              </w:tc>
              <w:tc>
                <w:tcPr>
                  <w:tcW w:w="0" w:type="auto"/>
                  <w:vMerge w:val="continue"/>
                  <w:vAlign w:val="center"/>
                </w:tcPr>
                <w:p w14:paraId="4D60ACC5">
                  <w:pPr>
                    <w:overflowPunct w:val="0"/>
                    <w:adjustRightInd w:val="0"/>
                    <w:snapToGrid w:val="0"/>
                    <w:jc w:val="center"/>
                    <w:textAlignment w:val="baseline"/>
                    <w:rPr>
                      <w:rFonts w:hint="default" w:ascii="Times New Roman" w:hAnsi="Times New Roman" w:cs="Times New Roman"/>
                      <w:b/>
                      <w:bCs/>
                      <w:color w:val="auto"/>
                    </w:rPr>
                  </w:pPr>
                </w:p>
              </w:tc>
              <w:tc>
                <w:tcPr>
                  <w:tcW w:w="0" w:type="auto"/>
                  <w:vAlign w:val="center"/>
                </w:tcPr>
                <w:p w14:paraId="3C289B49">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高度</w:t>
                  </w:r>
                </w:p>
                <w:p w14:paraId="055CFE74">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m</w:t>
                  </w:r>
                </w:p>
              </w:tc>
              <w:tc>
                <w:tcPr>
                  <w:tcW w:w="0" w:type="auto"/>
                  <w:vAlign w:val="center"/>
                </w:tcPr>
                <w:p w14:paraId="0200EA85">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直径</w:t>
                  </w:r>
                </w:p>
                <w:p w14:paraId="159FAC62">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m</w:t>
                  </w:r>
                </w:p>
              </w:tc>
              <w:tc>
                <w:tcPr>
                  <w:tcW w:w="0" w:type="auto"/>
                  <w:vAlign w:val="center"/>
                </w:tcPr>
                <w:p w14:paraId="3A20F030">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温度</w:t>
                  </w:r>
                </w:p>
                <w:p w14:paraId="1F2ABEE8">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w:t>
                  </w:r>
                </w:p>
              </w:tc>
              <w:tc>
                <w:tcPr>
                  <w:tcW w:w="0" w:type="auto"/>
                  <w:vAlign w:val="center"/>
                </w:tcPr>
                <w:p w14:paraId="75067E40">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排气量</w:t>
                  </w:r>
                </w:p>
                <w:p w14:paraId="5AABEFC1">
                  <w:pPr>
                    <w:overflowPunct w:val="0"/>
                    <w:adjustRightInd w:val="0"/>
                    <w:snapToGrid w:val="0"/>
                    <w:jc w:val="center"/>
                    <w:textAlignment w:val="baseline"/>
                    <w:rPr>
                      <w:rFonts w:hint="default" w:ascii="Times New Roman" w:hAnsi="Times New Roman" w:cs="Times New Roman"/>
                      <w:b/>
                      <w:bCs/>
                      <w:color w:val="auto"/>
                    </w:rPr>
                  </w:pPr>
                  <w:r>
                    <w:rPr>
                      <w:rFonts w:hint="default" w:ascii="Times New Roman" w:hAnsi="Times New Roman" w:cs="Times New Roman"/>
                      <w:b/>
                      <w:bCs/>
                      <w:color w:val="auto"/>
                    </w:rPr>
                    <w:t>Nm</w:t>
                  </w:r>
                  <w:r>
                    <w:rPr>
                      <w:rFonts w:hint="default" w:ascii="Times New Roman" w:hAnsi="Times New Roman" w:cs="Times New Roman"/>
                      <w:b/>
                      <w:bCs/>
                      <w:color w:val="auto"/>
                      <w:vertAlign w:val="superscript"/>
                    </w:rPr>
                    <w:t>3</w:t>
                  </w:r>
                  <w:r>
                    <w:rPr>
                      <w:rFonts w:hint="default" w:ascii="Times New Roman" w:hAnsi="Times New Roman" w:cs="Times New Roman"/>
                      <w:b/>
                      <w:bCs/>
                      <w:color w:val="auto"/>
                    </w:rPr>
                    <w:t>/h</w:t>
                  </w:r>
                </w:p>
              </w:tc>
              <w:tc>
                <w:tcPr>
                  <w:tcW w:w="0" w:type="auto"/>
                  <w:vAlign w:val="center"/>
                </w:tcPr>
                <w:p w14:paraId="4467BF24">
                  <w:pPr>
                    <w:overflowPunct w:val="0"/>
                    <w:adjustRightInd w:val="0"/>
                    <w:snapToGrid w:val="0"/>
                    <w:jc w:val="center"/>
                    <w:textAlignment w:val="baseline"/>
                    <w:rPr>
                      <w:rFonts w:hint="default" w:ascii="Times New Roman" w:hAnsi="Times New Roman" w:eastAsia="宋体" w:cs="Times New Roman"/>
                      <w:b/>
                      <w:bCs/>
                      <w:color w:val="auto"/>
                      <w:lang w:val="en-US" w:eastAsia="zh-CN"/>
                    </w:rPr>
                  </w:pPr>
                  <w:r>
                    <w:rPr>
                      <w:rFonts w:hint="eastAsia" w:cs="Times New Roman"/>
                      <w:b/>
                      <w:bCs/>
                      <w:color w:val="auto"/>
                      <w:lang w:val="en-US" w:eastAsia="zh-CN"/>
                    </w:rPr>
                    <w:t>流速m/s</w:t>
                  </w:r>
                </w:p>
              </w:tc>
              <w:tc>
                <w:tcPr>
                  <w:tcW w:w="0" w:type="auto"/>
                  <w:vMerge w:val="continue"/>
                  <w:vAlign w:val="center"/>
                </w:tcPr>
                <w:p w14:paraId="20D62E5F">
                  <w:pPr>
                    <w:overflowPunct w:val="0"/>
                    <w:adjustRightInd w:val="0"/>
                    <w:snapToGrid w:val="0"/>
                    <w:jc w:val="center"/>
                    <w:textAlignment w:val="baseline"/>
                    <w:rPr>
                      <w:rFonts w:hint="default" w:ascii="Times New Roman" w:hAnsi="Times New Roman" w:cs="Times New Roman"/>
                      <w:b/>
                      <w:bCs/>
                      <w:color w:val="auto"/>
                    </w:rPr>
                  </w:pPr>
                </w:p>
              </w:tc>
            </w:tr>
            <w:tr w14:paraId="22F88C0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723" w:hRule="atLeast"/>
                <w:jc w:val="center"/>
              </w:trPr>
              <w:tc>
                <w:tcPr>
                  <w:tcW w:w="0" w:type="auto"/>
                  <w:vAlign w:val="center"/>
                </w:tcPr>
                <w:p w14:paraId="724DB3E2">
                  <w:pPr>
                    <w:adjustRightInd w:val="0"/>
                    <w:snapToGrid w:val="0"/>
                    <w:jc w:val="center"/>
                    <w:rPr>
                      <w:rFonts w:hint="default" w:ascii="Times New Roman" w:hAnsi="Times New Roman" w:eastAsia="宋体" w:cs="Times New Roman"/>
                      <w:color w:val="auto"/>
                      <w:lang w:val="en-US" w:eastAsia="zh-CN"/>
                    </w:rPr>
                  </w:pPr>
                  <w:r>
                    <w:rPr>
                      <w:rFonts w:hint="eastAsia" w:cs="Times New Roman"/>
                      <w:i w:val="0"/>
                      <w:iCs w:val="0"/>
                      <w:color w:val="auto"/>
                      <w:kern w:val="0"/>
                      <w:sz w:val="21"/>
                      <w:szCs w:val="21"/>
                      <w:u w:val="none"/>
                      <w:lang w:val="en-US" w:eastAsia="zh-CN" w:bidi="ar"/>
                    </w:rPr>
                    <w:t>DA001</w:t>
                  </w:r>
                </w:p>
              </w:tc>
              <w:tc>
                <w:tcPr>
                  <w:tcW w:w="0" w:type="auto"/>
                  <w:shd w:val="clear" w:color="auto" w:fill="auto"/>
                  <w:vAlign w:val="center"/>
                </w:tcPr>
                <w:p w14:paraId="318AD0FD">
                  <w:pPr>
                    <w:widowControl/>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抛丸</w:t>
                  </w:r>
                </w:p>
              </w:tc>
              <w:tc>
                <w:tcPr>
                  <w:tcW w:w="0" w:type="auto"/>
                  <w:shd w:val="clear" w:color="auto" w:fill="auto"/>
                  <w:vAlign w:val="center"/>
                </w:tcPr>
                <w:p w14:paraId="05D918CF">
                  <w:pPr>
                    <w:widowControl/>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颗粒物</w:t>
                  </w:r>
                </w:p>
              </w:tc>
              <w:tc>
                <w:tcPr>
                  <w:tcW w:w="0" w:type="auto"/>
                  <w:shd w:val="clear" w:color="auto" w:fill="auto"/>
                  <w:vAlign w:val="center"/>
                </w:tcPr>
                <w:p w14:paraId="7407CC02">
                  <w:pPr>
                    <w:jc w:val="center"/>
                    <w:rPr>
                      <w:rFonts w:hint="default" w:ascii="Times New Roman" w:hAnsi="Times New Roman" w:eastAsia="宋体" w:cs="Times New Roman"/>
                      <w:color w:val="auto"/>
                      <w:kern w:val="2"/>
                      <w:sz w:val="21"/>
                      <w:szCs w:val="18"/>
                      <w:lang w:val="en-US" w:eastAsia="zh-CN" w:bidi="ar-SA"/>
                    </w:rPr>
                  </w:pPr>
                  <w:r>
                    <w:rPr>
                      <w:rFonts w:hint="eastAsia" w:cs="Times New Roman"/>
                      <w:color w:val="auto"/>
                      <w:szCs w:val="21"/>
                      <w:lang w:val="en-US" w:eastAsia="zh-CN"/>
                    </w:rPr>
                    <w:t>1.524</w:t>
                  </w:r>
                </w:p>
              </w:tc>
              <w:tc>
                <w:tcPr>
                  <w:tcW w:w="0" w:type="auto"/>
                  <w:shd w:val="clear" w:color="auto" w:fill="auto"/>
                  <w:vAlign w:val="center"/>
                </w:tcPr>
                <w:p w14:paraId="77506039">
                  <w:pPr>
                    <w:jc w:val="center"/>
                    <w:rPr>
                      <w:rFonts w:hint="default" w:ascii="Times New Roman" w:hAnsi="Times New Roman" w:eastAsia="宋体" w:cs="Times New Roman"/>
                      <w:color w:val="auto"/>
                      <w:kern w:val="2"/>
                      <w:sz w:val="21"/>
                      <w:szCs w:val="24"/>
                      <w:lang w:val="en-US" w:eastAsia="zh-CN" w:bidi="ar-SA"/>
                    </w:rPr>
                  </w:pPr>
                  <w:r>
                    <w:rPr>
                      <w:rFonts w:hint="eastAsia" w:cs="Times New Roman"/>
                      <w:color w:val="auto"/>
                      <w:szCs w:val="21"/>
                      <w:lang w:val="en-US" w:eastAsia="zh-CN"/>
                    </w:rPr>
                    <w:t>1.951</w:t>
                  </w:r>
                </w:p>
              </w:tc>
              <w:tc>
                <w:tcPr>
                  <w:tcW w:w="0" w:type="auto"/>
                  <w:shd w:val="clear" w:color="auto" w:fill="auto"/>
                  <w:vAlign w:val="center"/>
                </w:tcPr>
                <w:p w14:paraId="5902405A">
                  <w:pPr>
                    <w:jc w:val="center"/>
                    <w:rPr>
                      <w:rFonts w:hint="default" w:ascii="Times New Roman" w:hAnsi="Times New Roman" w:eastAsia="宋体" w:cs="Times New Roman"/>
                      <w:color w:val="auto"/>
                      <w:kern w:val="2"/>
                      <w:sz w:val="21"/>
                      <w:szCs w:val="18"/>
                      <w:lang w:val="en-US" w:eastAsia="zh-CN" w:bidi="ar-SA"/>
                    </w:rPr>
                  </w:pPr>
                  <w:r>
                    <w:rPr>
                      <w:rFonts w:hint="eastAsia" w:cs="Times New Roman"/>
                      <w:color w:val="auto"/>
                      <w:szCs w:val="21"/>
                      <w:lang w:val="en-US" w:eastAsia="zh-CN"/>
                    </w:rPr>
                    <w:t>381.055</w:t>
                  </w:r>
                </w:p>
              </w:tc>
              <w:tc>
                <w:tcPr>
                  <w:tcW w:w="0" w:type="auto"/>
                  <w:shd w:val="clear" w:color="auto" w:fill="auto"/>
                  <w:vAlign w:val="center"/>
                </w:tcPr>
                <w:p w14:paraId="628D73BE">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i w:val="0"/>
                      <w:iCs w:val="0"/>
                      <w:color w:val="auto"/>
                      <w:kern w:val="0"/>
                      <w:sz w:val="21"/>
                      <w:szCs w:val="21"/>
                      <w:u w:val="none"/>
                      <w:lang w:val="en-US" w:eastAsia="zh-CN" w:bidi="ar"/>
                    </w:rPr>
                    <w:t>设备密闭+集气管道+自带布袋除尘器</w:t>
                  </w:r>
                </w:p>
              </w:tc>
              <w:tc>
                <w:tcPr>
                  <w:tcW w:w="0" w:type="auto"/>
                  <w:vAlign w:val="center"/>
                </w:tcPr>
                <w:p w14:paraId="6FE1E641">
                  <w:pPr>
                    <w:jc w:val="center"/>
                    <w:rPr>
                      <w:rFonts w:hint="default" w:ascii="Times New Roman" w:hAnsi="Times New Roman" w:cs="Times New Roman"/>
                      <w:color w:val="auto"/>
                      <w:lang w:eastAsia="zh-CN"/>
                    </w:rPr>
                  </w:pPr>
                  <w:r>
                    <w:rPr>
                      <w:rFonts w:hint="default" w:ascii="Times New Roman" w:hAnsi="Times New Roman" w:cs="Times New Roman"/>
                      <w:color w:val="auto"/>
                    </w:rPr>
                    <w:t>是</w:t>
                  </w:r>
                </w:p>
              </w:tc>
              <w:tc>
                <w:tcPr>
                  <w:tcW w:w="0" w:type="auto"/>
                  <w:vAlign w:val="center"/>
                </w:tcPr>
                <w:p w14:paraId="03B2075B">
                  <w:pPr>
                    <w:jc w:val="center"/>
                    <w:rPr>
                      <w:rFonts w:hint="default" w:ascii="Times New Roman" w:hAnsi="Times New Roman" w:cs="Times New Roman"/>
                      <w:color w:val="auto"/>
                      <w:lang w:val="en-US" w:eastAsia="zh-CN"/>
                    </w:rPr>
                  </w:pPr>
                  <w:r>
                    <w:rPr>
                      <w:rFonts w:hint="default" w:ascii="Times New Roman" w:hAnsi="Times New Roman" w:cs="Times New Roman"/>
                      <w:color w:val="auto"/>
                    </w:rPr>
                    <w:t>9</w:t>
                  </w:r>
                  <w:r>
                    <w:rPr>
                      <w:rFonts w:hint="eastAsia" w:cs="Times New Roman"/>
                      <w:color w:val="auto"/>
                      <w:lang w:val="en-US" w:eastAsia="zh-CN"/>
                    </w:rPr>
                    <w:t>0</w:t>
                  </w:r>
                  <w:r>
                    <w:rPr>
                      <w:rFonts w:hint="default" w:ascii="Times New Roman" w:hAnsi="Times New Roman" w:cs="Times New Roman"/>
                      <w:color w:val="auto"/>
                    </w:rPr>
                    <w:t>%</w:t>
                  </w:r>
                </w:p>
              </w:tc>
              <w:tc>
                <w:tcPr>
                  <w:tcW w:w="0" w:type="auto"/>
                  <w:vAlign w:val="center"/>
                </w:tcPr>
                <w:p w14:paraId="16ECDFD8">
                  <w:pPr>
                    <w:jc w:val="center"/>
                    <w:rPr>
                      <w:rFonts w:hint="default" w:ascii="Times New Roman" w:hAnsi="Times New Roman" w:cs="Times New Roman"/>
                      <w:color w:val="auto"/>
                      <w:lang w:val="en-US" w:eastAsia="zh-CN"/>
                    </w:rPr>
                  </w:pPr>
                  <w:r>
                    <w:rPr>
                      <w:rFonts w:hint="default" w:ascii="Times New Roman" w:hAnsi="Times New Roman" w:cs="Times New Roman"/>
                      <w:color w:val="auto"/>
                    </w:rPr>
                    <w:t>9</w:t>
                  </w:r>
                  <w:r>
                    <w:rPr>
                      <w:rFonts w:hint="eastAsia" w:cs="Times New Roman"/>
                      <w:color w:val="auto"/>
                      <w:lang w:val="en-US" w:eastAsia="zh-CN"/>
                    </w:rPr>
                    <w:t>9</w:t>
                  </w:r>
                  <w:r>
                    <w:rPr>
                      <w:rFonts w:hint="default" w:ascii="Times New Roman" w:hAnsi="Times New Roman" w:cs="Times New Roman"/>
                      <w:color w:val="auto"/>
                    </w:rPr>
                    <w:t>%</w:t>
                  </w:r>
                </w:p>
              </w:tc>
              <w:tc>
                <w:tcPr>
                  <w:tcW w:w="0" w:type="auto"/>
                  <w:shd w:val="clear" w:color="auto" w:fill="auto"/>
                  <w:vAlign w:val="center"/>
                </w:tcPr>
                <w:p w14:paraId="5065B67D">
                  <w:pPr>
                    <w:jc w:val="center"/>
                    <w:rPr>
                      <w:rFonts w:hint="default" w:ascii="Times New Roman" w:hAnsi="Times New Roman" w:eastAsia="宋体" w:cs="Times New Roman"/>
                      <w:color w:val="auto"/>
                      <w:kern w:val="2"/>
                      <w:sz w:val="21"/>
                      <w:szCs w:val="24"/>
                      <w:lang w:val="en-US" w:eastAsia="zh-CN" w:bidi="ar-SA"/>
                    </w:rPr>
                  </w:pPr>
                  <w:r>
                    <w:rPr>
                      <w:rFonts w:hint="eastAsia" w:cs="Times New Roman"/>
                      <w:color w:val="auto"/>
                      <w:szCs w:val="21"/>
                      <w:lang w:val="en-US" w:eastAsia="zh-CN"/>
                    </w:rPr>
                    <w:t>0.015</w:t>
                  </w:r>
                </w:p>
              </w:tc>
              <w:tc>
                <w:tcPr>
                  <w:tcW w:w="0" w:type="auto"/>
                  <w:shd w:val="clear" w:color="auto" w:fill="auto"/>
                  <w:vAlign w:val="center"/>
                </w:tcPr>
                <w:p w14:paraId="6BFBB255">
                  <w:pPr>
                    <w:jc w:val="center"/>
                    <w:rPr>
                      <w:rFonts w:hint="default" w:ascii="Times New Roman" w:hAnsi="Times New Roman" w:eastAsia="宋体" w:cs="Times New Roman"/>
                      <w:color w:val="auto"/>
                      <w:kern w:val="2"/>
                      <w:sz w:val="21"/>
                      <w:szCs w:val="18"/>
                      <w:lang w:val="en-US" w:eastAsia="zh-CN" w:bidi="ar-SA"/>
                    </w:rPr>
                  </w:pPr>
                  <w:r>
                    <w:rPr>
                      <w:rFonts w:hint="eastAsia" w:cs="Times New Roman"/>
                      <w:color w:val="auto"/>
                      <w:szCs w:val="21"/>
                      <w:lang w:val="en-US" w:eastAsia="zh-CN"/>
                    </w:rPr>
                    <w:t>0.0195</w:t>
                  </w:r>
                </w:p>
              </w:tc>
              <w:tc>
                <w:tcPr>
                  <w:tcW w:w="0" w:type="auto"/>
                  <w:shd w:val="clear" w:color="auto" w:fill="auto"/>
                  <w:vAlign w:val="center"/>
                </w:tcPr>
                <w:p w14:paraId="627E8EE7">
                  <w:pPr>
                    <w:jc w:val="center"/>
                    <w:rPr>
                      <w:rFonts w:hint="default" w:ascii="Times New Roman" w:hAnsi="Times New Roman" w:eastAsia="宋体" w:cs="Times New Roman"/>
                      <w:color w:val="auto"/>
                      <w:kern w:val="2"/>
                      <w:sz w:val="21"/>
                      <w:szCs w:val="18"/>
                      <w:lang w:val="en-US" w:eastAsia="zh-CN" w:bidi="ar-SA"/>
                    </w:rPr>
                  </w:pPr>
                  <w:r>
                    <w:rPr>
                      <w:rFonts w:hint="eastAsia" w:cs="Times New Roman"/>
                      <w:color w:val="auto"/>
                      <w:szCs w:val="21"/>
                      <w:lang w:val="en-US" w:eastAsia="zh-CN"/>
                    </w:rPr>
                    <w:t>3.809</w:t>
                  </w:r>
                </w:p>
              </w:tc>
              <w:tc>
                <w:tcPr>
                  <w:tcW w:w="0" w:type="auto"/>
                  <w:vAlign w:val="center"/>
                </w:tcPr>
                <w:p w14:paraId="5C453359">
                  <w:pPr>
                    <w:widowControl/>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120</w:t>
                  </w:r>
                </w:p>
              </w:tc>
              <w:tc>
                <w:tcPr>
                  <w:tcW w:w="403" w:type="dxa"/>
                  <w:vAlign w:val="center"/>
                </w:tcPr>
                <w:p w14:paraId="7A6ADCC5">
                  <w:pPr>
                    <w:widowControl/>
                    <w:snapToGrid w:val="0"/>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kern w:val="0"/>
                      <w:sz w:val="21"/>
                      <w:szCs w:val="21"/>
                      <w:lang w:val="en-US" w:eastAsia="zh-CN" w:bidi="ar-SA"/>
                    </w:rPr>
                    <w:t>4.94</w:t>
                  </w:r>
                </w:p>
              </w:tc>
              <w:tc>
                <w:tcPr>
                  <w:tcW w:w="0" w:type="auto"/>
                  <w:vAlign w:val="center"/>
                </w:tcPr>
                <w:p w14:paraId="4AB4ED5A">
                  <w:pPr>
                    <w:widowControl/>
                    <w:jc w:val="center"/>
                    <w:rPr>
                      <w:rFonts w:hint="default" w:cs="Times New Roman"/>
                      <w:color w:val="auto"/>
                      <w:kern w:val="2"/>
                      <w:sz w:val="21"/>
                      <w:szCs w:val="24"/>
                      <w:lang w:val="en-US" w:eastAsia="zh-CN" w:bidi="ar-SA"/>
                    </w:rPr>
                  </w:pPr>
                  <w:r>
                    <w:rPr>
                      <w:rFonts w:hint="default" w:cs="Times New Roman"/>
                      <w:color w:val="auto"/>
                      <w:kern w:val="2"/>
                      <w:sz w:val="21"/>
                      <w:szCs w:val="24"/>
                      <w:lang w:val="en-US" w:eastAsia="zh-CN" w:bidi="ar-SA"/>
                    </w:rPr>
                    <w:t>达标</w:t>
                  </w:r>
                </w:p>
              </w:tc>
              <w:tc>
                <w:tcPr>
                  <w:tcW w:w="0" w:type="auto"/>
                  <w:vAlign w:val="center"/>
                </w:tcPr>
                <w:p w14:paraId="4B63792F">
                  <w:pPr>
                    <w:widowControl/>
                    <w:jc w:val="center"/>
                    <w:rPr>
                      <w:rFonts w:hint="default" w:cs="Times New Roman"/>
                      <w:color w:val="auto"/>
                      <w:kern w:val="2"/>
                      <w:sz w:val="21"/>
                      <w:szCs w:val="24"/>
                      <w:lang w:val="en-US" w:eastAsia="zh-CN" w:bidi="ar-SA"/>
                    </w:rPr>
                  </w:pPr>
                  <w:r>
                    <w:rPr>
                      <w:rFonts w:hint="eastAsia" w:cs="Times New Roman"/>
                      <w:color w:val="auto"/>
                      <w:kern w:val="2"/>
                      <w:sz w:val="21"/>
                      <w:szCs w:val="24"/>
                      <w:lang w:val="en-US" w:eastAsia="zh-CN" w:bidi="ar-SA"/>
                    </w:rPr>
                    <w:t>18</w:t>
                  </w:r>
                </w:p>
              </w:tc>
              <w:tc>
                <w:tcPr>
                  <w:tcW w:w="0" w:type="auto"/>
                  <w:vAlign w:val="center"/>
                </w:tcPr>
                <w:p w14:paraId="02700E18">
                  <w:pPr>
                    <w:widowControl/>
                    <w:jc w:val="center"/>
                    <w:rPr>
                      <w:rFonts w:hint="default" w:cs="Times New Roman"/>
                      <w:color w:val="auto"/>
                      <w:kern w:val="2"/>
                      <w:sz w:val="21"/>
                      <w:szCs w:val="24"/>
                      <w:lang w:val="en-US" w:eastAsia="zh-CN" w:bidi="ar-SA"/>
                    </w:rPr>
                  </w:pPr>
                  <w:r>
                    <w:rPr>
                      <w:rFonts w:hint="eastAsia" w:cs="Times New Roman"/>
                      <w:color w:val="auto"/>
                      <w:kern w:val="2"/>
                      <w:sz w:val="21"/>
                      <w:szCs w:val="24"/>
                      <w:lang w:val="en-US" w:eastAsia="zh-CN" w:bidi="ar-SA"/>
                    </w:rPr>
                    <w:t>0.4</w:t>
                  </w:r>
                </w:p>
              </w:tc>
              <w:tc>
                <w:tcPr>
                  <w:tcW w:w="0" w:type="auto"/>
                  <w:vAlign w:val="center"/>
                </w:tcPr>
                <w:p w14:paraId="1D1BA9D0">
                  <w:pPr>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cs="Times New Roman"/>
                      <w:color w:val="auto"/>
                    </w:rPr>
                    <w:t>25</w:t>
                  </w:r>
                </w:p>
              </w:tc>
              <w:tc>
                <w:tcPr>
                  <w:tcW w:w="0" w:type="auto"/>
                  <w:vAlign w:val="center"/>
                </w:tcPr>
                <w:p w14:paraId="5A58E3D6">
                  <w:pPr>
                    <w:widowControl/>
                    <w:jc w:val="center"/>
                    <w:rPr>
                      <w:rFonts w:hint="default" w:ascii="Times New Roman" w:hAnsi="Times New Roman" w:eastAsia="宋体" w:cs="Times New Roman"/>
                      <w:color w:val="auto"/>
                      <w:kern w:val="2"/>
                      <w:sz w:val="21"/>
                      <w:szCs w:val="24"/>
                      <w:lang w:val="en-US" w:eastAsia="zh-CN" w:bidi="ar-SA"/>
                    </w:rPr>
                  </w:pPr>
                  <w:r>
                    <w:rPr>
                      <w:rFonts w:hint="eastAsia" w:cs="Times New Roman"/>
                      <w:color w:val="auto"/>
                      <w:kern w:val="2"/>
                      <w:sz w:val="21"/>
                      <w:szCs w:val="24"/>
                      <w:lang w:val="en-US" w:eastAsia="zh-CN" w:bidi="ar-SA"/>
                    </w:rPr>
                    <w:t>4000</w:t>
                  </w:r>
                </w:p>
              </w:tc>
              <w:tc>
                <w:tcPr>
                  <w:tcW w:w="0" w:type="auto"/>
                  <w:vAlign w:val="center"/>
                </w:tcPr>
                <w:p w14:paraId="5434ACF4">
                  <w:pPr>
                    <w:widowControl/>
                    <w:jc w:val="center"/>
                    <w:rPr>
                      <w:rFonts w:hint="default" w:cs="Times New Roman"/>
                      <w:color w:val="auto"/>
                      <w:kern w:val="2"/>
                      <w:sz w:val="21"/>
                      <w:szCs w:val="24"/>
                      <w:lang w:val="en-US" w:eastAsia="zh-CN" w:bidi="ar-SA"/>
                    </w:rPr>
                  </w:pPr>
                  <w:r>
                    <w:rPr>
                      <w:rFonts w:hint="eastAsia" w:cs="Times New Roman"/>
                      <w:color w:val="auto"/>
                      <w:kern w:val="2"/>
                      <w:sz w:val="21"/>
                      <w:szCs w:val="24"/>
                      <w:lang w:val="en-US" w:eastAsia="zh-CN" w:bidi="ar-SA"/>
                    </w:rPr>
                    <w:t>12</w:t>
                  </w:r>
                </w:p>
              </w:tc>
              <w:tc>
                <w:tcPr>
                  <w:tcW w:w="0" w:type="auto"/>
                  <w:vAlign w:val="center"/>
                </w:tcPr>
                <w:p w14:paraId="64548DAB">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pacing w:val="0"/>
                      <w:sz w:val="21"/>
                      <w:szCs w:val="24"/>
                      <w:highlight w:val="none"/>
                      <w:lang w:val="en-US" w:eastAsia="zh-CN"/>
                    </w:rPr>
                    <w:t>5120</w:t>
                  </w:r>
                  <w:r>
                    <w:rPr>
                      <w:rFonts w:hint="default" w:ascii="Times New Roman" w:hAnsi="Times New Roman" w:eastAsia="宋体" w:cs="Times New Roman"/>
                      <w:color w:val="auto"/>
                      <w:spacing w:val="0"/>
                      <w:sz w:val="21"/>
                      <w:szCs w:val="24"/>
                      <w:highlight w:val="none"/>
                      <w:lang w:val="en-US" w:eastAsia="zh-CN"/>
                    </w:rPr>
                    <w:t>h/a</w:t>
                  </w:r>
                </w:p>
              </w:tc>
            </w:tr>
            <w:tr w14:paraId="7E0925E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723" w:hRule="atLeast"/>
                <w:jc w:val="center"/>
              </w:trPr>
              <w:tc>
                <w:tcPr>
                  <w:tcW w:w="0" w:type="auto"/>
                  <w:vAlign w:val="center"/>
                </w:tcPr>
                <w:p w14:paraId="076CAC41">
                  <w:pPr>
                    <w:adjustRightInd w:val="0"/>
                    <w:snapToGrid w:val="0"/>
                    <w:jc w:val="center"/>
                    <w:rPr>
                      <w:rFonts w:hint="default" w:cs="Times New Roman"/>
                      <w:color w:val="auto"/>
                      <w:lang w:val="en-US" w:eastAsia="zh-CN"/>
                    </w:rPr>
                  </w:pPr>
                  <w:r>
                    <w:rPr>
                      <w:rFonts w:hint="eastAsia" w:cs="Times New Roman"/>
                      <w:color w:val="auto"/>
                      <w:lang w:val="en-US" w:eastAsia="zh-CN"/>
                    </w:rPr>
                    <w:t>DA002</w:t>
                  </w:r>
                </w:p>
              </w:tc>
              <w:tc>
                <w:tcPr>
                  <w:tcW w:w="0" w:type="auto"/>
                  <w:shd w:val="clear" w:color="auto" w:fill="auto"/>
                  <w:vAlign w:val="center"/>
                </w:tcPr>
                <w:p w14:paraId="7F49D2FD">
                  <w:pPr>
                    <w:widowControl/>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锻造</w:t>
                  </w:r>
                </w:p>
              </w:tc>
              <w:tc>
                <w:tcPr>
                  <w:tcW w:w="0" w:type="auto"/>
                  <w:shd w:val="clear" w:color="auto" w:fill="auto"/>
                  <w:vAlign w:val="center"/>
                </w:tcPr>
                <w:p w14:paraId="609BECA2">
                  <w:pPr>
                    <w:widowControl/>
                    <w:jc w:val="center"/>
                    <w:textAlignment w:val="center"/>
                    <w:rPr>
                      <w:rFonts w:hint="eastAsia"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非甲烷总烃</w:t>
                  </w:r>
                </w:p>
              </w:tc>
              <w:tc>
                <w:tcPr>
                  <w:tcW w:w="479" w:type="dxa"/>
                  <w:shd w:val="clear" w:color="auto" w:fill="auto"/>
                  <w:vAlign w:val="center"/>
                </w:tcPr>
                <w:p w14:paraId="04DBCD33">
                  <w:pPr>
                    <w:jc w:val="center"/>
                    <w:rPr>
                      <w:rFonts w:hint="eastAsia" w:ascii="Times New Roman" w:hAnsi="Times New Roman" w:cs="Times New Roman"/>
                      <w:i w:val="0"/>
                      <w:iCs w:val="0"/>
                      <w:color w:val="auto"/>
                      <w:kern w:val="0"/>
                      <w:sz w:val="21"/>
                      <w:szCs w:val="21"/>
                      <w:u w:val="none"/>
                      <w:lang w:val="en-US" w:eastAsia="zh-CN" w:bidi="ar"/>
                    </w:rPr>
                  </w:pPr>
                  <w:r>
                    <w:rPr>
                      <w:rFonts w:hint="eastAsia" w:cs="Times New Roman"/>
                      <w:color w:val="auto"/>
                      <w:szCs w:val="21"/>
                      <w:lang w:val="en-US" w:eastAsia="zh-CN"/>
                    </w:rPr>
                    <w:t>0.133</w:t>
                  </w:r>
                </w:p>
              </w:tc>
              <w:tc>
                <w:tcPr>
                  <w:tcW w:w="479" w:type="dxa"/>
                  <w:shd w:val="clear" w:color="auto" w:fill="auto"/>
                  <w:vAlign w:val="center"/>
                </w:tcPr>
                <w:p w14:paraId="5754E798">
                  <w:pPr>
                    <w:jc w:val="center"/>
                    <w:rPr>
                      <w:rFonts w:hint="eastAsia" w:ascii="Times New Roman" w:hAnsi="Times New Roman" w:cs="Times New Roman"/>
                      <w:i w:val="0"/>
                      <w:iCs w:val="0"/>
                      <w:color w:val="auto"/>
                      <w:kern w:val="0"/>
                      <w:sz w:val="21"/>
                      <w:szCs w:val="21"/>
                      <w:u w:val="none"/>
                      <w:lang w:val="en-US" w:eastAsia="zh-CN" w:bidi="ar"/>
                    </w:rPr>
                  </w:pPr>
                  <w:r>
                    <w:rPr>
                      <w:rFonts w:hint="eastAsia" w:cs="Times New Roman"/>
                      <w:color w:val="auto"/>
                      <w:szCs w:val="21"/>
                      <w:lang w:val="en-US" w:eastAsia="zh-CN"/>
                    </w:rPr>
                    <w:t>0.6804</w:t>
                  </w:r>
                </w:p>
              </w:tc>
              <w:tc>
                <w:tcPr>
                  <w:tcW w:w="689" w:type="dxa"/>
                  <w:shd w:val="clear" w:color="auto" w:fill="auto"/>
                  <w:vAlign w:val="center"/>
                </w:tcPr>
                <w:p w14:paraId="40D6C7EC">
                  <w:pPr>
                    <w:jc w:val="center"/>
                    <w:rPr>
                      <w:rFonts w:hint="eastAsia" w:ascii="Times New Roman" w:hAnsi="Times New Roman" w:cs="Times New Roman"/>
                      <w:i w:val="0"/>
                      <w:iCs w:val="0"/>
                      <w:color w:val="auto"/>
                      <w:kern w:val="0"/>
                      <w:sz w:val="21"/>
                      <w:szCs w:val="21"/>
                      <w:u w:val="none"/>
                      <w:lang w:val="en-US" w:eastAsia="zh-CN" w:bidi="ar"/>
                    </w:rPr>
                  </w:pPr>
                  <w:r>
                    <w:rPr>
                      <w:rFonts w:hint="eastAsia" w:cs="Times New Roman"/>
                      <w:color w:val="auto"/>
                      <w:szCs w:val="21"/>
                      <w:lang w:val="en-US" w:eastAsia="zh-CN"/>
                    </w:rPr>
                    <w:t>26.578</w:t>
                  </w:r>
                </w:p>
              </w:tc>
              <w:tc>
                <w:tcPr>
                  <w:tcW w:w="0" w:type="auto"/>
                  <w:shd w:val="clear" w:color="auto" w:fill="auto"/>
                  <w:vAlign w:val="center"/>
                </w:tcPr>
                <w:p w14:paraId="02407907">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集气罩</w:t>
                  </w:r>
                  <w:r>
                    <w:rPr>
                      <w:rFonts w:hint="eastAsia" w:cs="Times New Roman"/>
                      <w:color w:val="auto"/>
                      <w:szCs w:val="21"/>
                      <w:lang w:val="en-US" w:eastAsia="zh-CN"/>
                    </w:rPr>
                    <w:t>+</w:t>
                  </w:r>
                  <w:r>
                    <w:rPr>
                      <w:rFonts w:hint="default" w:ascii="Times New Roman" w:hAnsi="Times New Roman" w:cs="Times New Roman"/>
                      <w:color w:val="auto"/>
                      <w:szCs w:val="21"/>
                      <w:lang w:eastAsia="zh-CN"/>
                    </w:rPr>
                    <w:t>静电</w:t>
                  </w:r>
                  <w:r>
                    <w:rPr>
                      <w:rFonts w:hint="default" w:ascii="Times New Roman" w:hAnsi="Times New Roman" w:cs="Times New Roman"/>
                      <w:color w:val="auto"/>
                      <w:szCs w:val="21"/>
                      <w:lang w:val="en-US" w:eastAsia="zh-CN"/>
                    </w:rPr>
                    <w:t>式</w:t>
                  </w:r>
                  <w:r>
                    <w:rPr>
                      <w:rFonts w:hint="default" w:ascii="Times New Roman" w:hAnsi="Times New Roman" w:cs="Times New Roman"/>
                      <w:color w:val="auto"/>
                      <w:szCs w:val="21"/>
                      <w:lang w:eastAsia="zh-CN"/>
                    </w:rPr>
                    <w:t>油雾净化</w:t>
                  </w:r>
                  <w:r>
                    <w:rPr>
                      <w:rFonts w:hint="default" w:ascii="Times New Roman" w:hAnsi="Times New Roman" w:cs="Times New Roman"/>
                      <w:color w:val="auto"/>
                      <w:szCs w:val="21"/>
                      <w:lang w:val="en-US" w:eastAsia="zh-CN"/>
                    </w:rPr>
                    <w:t>器</w:t>
                  </w:r>
                  <w:r>
                    <w:rPr>
                      <w:rFonts w:hint="eastAsia" w:ascii="Times New Roman" w:hAnsi="Times New Roman" w:cs="Times New Roman"/>
                      <w:color w:val="auto"/>
                      <w:szCs w:val="21"/>
                      <w:lang w:val="en-US" w:eastAsia="zh-CN"/>
                    </w:rPr>
                    <w:t>+</w:t>
                  </w:r>
                  <w:r>
                    <w:rPr>
                      <w:rFonts w:hint="eastAsia" w:cs="Times New Roman"/>
                      <w:color w:val="auto"/>
                      <w:szCs w:val="21"/>
                      <w:lang w:val="en-US" w:eastAsia="zh-CN"/>
                    </w:rPr>
                    <w:t>两级活性炭吸附装置</w:t>
                  </w:r>
                </w:p>
              </w:tc>
              <w:tc>
                <w:tcPr>
                  <w:tcW w:w="0" w:type="auto"/>
                  <w:vAlign w:val="center"/>
                </w:tcPr>
                <w:p w14:paraId="446B3E04">
                  <w:pPr>
                    <w:jc w:val="center"/>
                    <w:rPr>
                      <w:rFonts w:hint="default" w:ascii="Times New Roman" w:hAnsi="Times New Roman" w:cs="Times New Roman"/>
                      <w:color w:val="auto"/>
                    </w:rPr>
                  </w:pPr>
                  <w:r>
                    <w:rPr>
                      <w:rFonts w:hint="default" w:ascii="Times New Roman" w:hAnsi="Times New Roman" w:cs="Times New Roman"/>
                      <w:color w:val="auto"/>
                    </w:rPr>
                    <w:t>是</w:t>
                  </w:r>
                </w:p>
              </w:tc>
              <w:tc>
                <w:tcPr>
                  <w:tcW w:w="0" w:type="auto"/>
                  <w:shd w:val="clear" w:color="auto" w:fill="auto"/>
                  <w:vAlign w:val="center"/>
                </w:tcPr>
                <w:p w14:paraId="7661B79D">
                  <w:pPr>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cs="Times New Roman"/>
                      <w:color w:val="auto"/>
                    </w:rPr>
                    <w:t>9</w:t>
                  </w:r>
                  <w:r>
                    <w:rPr>
                      <w:rFonts w:hint="eastAsia" w:cs="Times New Roman"/>
                      <w:color w:val="auto"/>
                      <w:lang w:val="en-US" w:eastAsia="zh-CN"/>
                    </w:rPr>
                    <w:t>0</w:t>
                  </w:r>
                  <w:r>
                    <w:rPr>
                      <w:rFonts w:hint="default" w:ascii="Times New Roman" w:hAnsi="Times New Roman" w:cs="Times New Roman"/>
                      <w:color w:val="auto"/>
                    </w:rPr>
                    <w:t>%</w:t>
                  </w:r>
                </w:p>
              </w:tc>
              <w:tc>
                <w:tcPr>
                  <w:tcW w:w="0" w:type="auto"/>
                  <w:shd w:val="clear" w:color="auto" w:fill="auto"/>
                  <w:vAlign w:val="center"/>
                </w:tcPr>
                <w:p w14:paraId="085D1455">
                  <w:pPr>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cs="Times New Roman"/>
                      <w:color w:val="auto"/>
                    </w:rPr>
                    <w:t>9</w:t>
                  </w:r>
                  <w:r>
                    <w:rPr>
                      <w:rFonts w:hint="eastAsia" w:cs="Times New Roman"/>
                      <w:color w:val="auto"/>
                      <w:lang w:val="en-US" w:eastAsia="zh-CN"/>
                    </w:rPr>
                    <w:t>0</w:t>
                  </w:r>
                  <w:r>
                    <w:rPr>
                      <w:rFonts w:hint="default" w:ascii="Times New Roman" w:hAnsi="Times New Roman" w:cs="Times New Roman"/>
                      <w:color w:val="auto"/>
                    </w:rPr>
                    <w:t>%</w:t>
                  </w:r>
                </w:p>
              </w:tc>
              <w:tc>
                <w:tcPr>
                  <w:tcW w:w="479" w:type="dxa"/>
                  <w:shd w:val="clear" w:color="auto" w:fill="auto"/>
                  <w:vAlign w:val="center"/>
                </w:tcPr>
                <w:p w14:paraId="7EF28DD4">
                  <w:pPr>
                    <w:jc w:val="center"/>
                    <w:rPr>
                      <w:rFonts w:hint="eastAsia" w:ascii="Times New Roman" w:hAnsi="Times New Roman" w:cs="Times New Roman"/>
                      <w:i w:val="0"/>
                      <w:iCs w:val="0"/>
                      <w:color w:val="auto"/>
                      <w:kern w:val="0"/>
                      <w:sz w:val="21"/>
                      <w:szCs w:val="21"/>
                      <w:u w:val="none"/>
                      <w:lang w:val="en-US" w:eastAsia="zh-CN" w:bidi="ar"/>
                    </w:rPr>
                  </w:pPr>
                  <w:r>
                    <w:rPr>
                      <w:rFonts w:hint="eastAsia" w:cs="Times New Roman"/>
                      <w:color w:val="auto"/>
                      <w:szCs w:val="21"/>
                      <w:lang w:val="en-US" w:eastAsia="zh-CN"/>
                    </w:rPr>
                    <w:t>0.013</w:t>
                  </w:r>
                </w:p>
              </w:tc>
              <w:tc>
                <w:tcPr>
                  <w:tcW w:w="584" w:type="dxa"/>
                  <w:shd w:val="clear" w:color="auto" w:fill="auto"/>
                  <w:vAlign w:val="center"/>
                </w:tcPr>
                <w:p w14:paraId="1E8DFB68">
                  <w:pPr>
                    <w:jc w:val="center"/>
                    <w:rPr>
                      <w:rFonts w:hint="eastAsia" w:ascii="Times New Roman" w:hAnsi="Times New Roman" w:cs="Times New Roman"/>
                      <w:i w:val="0"/>
                      <w:iCs w:val="0"/>
                      <w:color w:val="auto"/>
                      <w:kern w:val="0"/>
                      <w:sz w:val="21"/>
                      <w:szCs w:val="21"/>
                      <w:u w:val="none"/>
                      <w:lang w:val="en-US" w:eastAsia="zh-CN" w:bidi="ar"/>
                    </w:rPr>
                  </w:pPr>
                  <w:r>
                    <w:rPr>
                      <w:rFonts w:hint="eastAsia" w:cs="Times New Roman"/>
                      <w:color w:val="auto"/>
                      <w:szCs w:val="21"/>
                      <w:lang w:val="en-US" w:eastAsia="zh-CN"/>
                    </w:rPr>
                    <w:t>0.068</w:t>
                  </w:r>
                </w:p>
              </w:tc>
              <w:tc>
                <w:tcPr>
                  <w:tcW w:w="591" w:type="dxa"/>
                  <w:shd w:val="clear" w:color="auto" w:fill="auto"/>
                  <w:vAlign w:val="center"/>
                </w:tcPr>
                <w:p w14:paraId="79D2FC1A">
                  <w:pPr>
                    <w:jc w:val="center"/>
                    <w:rPr>
                      <w:rFonts w:hint="eastAsia" w:ascii="Times New Roman" w:hAnsi="Times New Roman" w:cs="Times New Roman"/>
                      <w:i w:val="0"/>
                      <w:iCs w:val="0"/>
                      <w:color w:val="auto"/>
                      <w:kern w:val="0"/>
                      <w:sz w:val="21"/>
                      <w:szCs w:val="21"/>
                      <w:u w:val="none"/>
                      <w:lang w:val="en-US" w:eastAsia="zh-CN" w:bidi="ar"/>
                    </w:rPr>
                  </w:pPr>
                  <w:r>
                    <w:rPr>
                      <w:rFonts w:hint="eastAsia" w:cs="Times New Roman"/>
                      <w:color w:val="auto"/>
                      <w:szCs w:val="21"/>
                      <w:lang w:val="en-US" w:eastAsia="zh-CN"/>
                    </w:rPr>
                    <w:t>2.656</w:t>
                  </w:r>
                </w:p>
              </w:tc>
              <w:tc>
                <w:tcPr>
                  <w:tcW w:w="0" w:type="auto"/>
                  <w:shd w:val="clear" w:color="auto" w:fill="auto"/>
                  <w:vAlign w:val="center"/>
                </w:tcPr>
                <w:p w14:paraId="1F4EC614">
                  <w:pPr>
                    <w:widowControl/>
                    <w:jc w:val="center"/>
                    <w:rPr>
                      <w:rFonts w:hint="eastAsia"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120</w:t>
                  </w:r>
                </w:p>
              </w:tc>
              <w:tc>
                <w:tcPr>
                  <w:tcW w:w="403" w:type="dxa"/>
                  <w:shd w:val="clear" w:color="auto" w:fill="auto"/>
                  <w:vAlign w:val="center"/>
                </w:tcPr>
                <w:p w14:paraId="733DCAFD">
                  <w:pPr>
                    <w:widowControl/>
                    <w:snapToGrid w:val="0"/>
                    <w:jc w:val="center"/>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0"/>
                      <w:sz w:val="21"/>
                      <w:szCs w:val="21"/>
                      <w:lang w:val="en-US" w:eastAsia="zh-CN" w:bidi="ar-SA"/>
                    </w:rPr>
                    <w:t>14.2</w:t>
                  </w:r>
                </w:p>
              </w:tc>
              <w:tc>
                <w:tcPr>
                  <w:tcW w:w="0" w:type="auto"/>
                  <w:shd w:val="clear" w:color="auto" w:fill="auto"/>
                  <w:vAlign w:val="center"/>
                </w:tcPr>
                <w:p w14:paraId="295F8F6F">
                  <w:pPr>
                    <w:widowControl/>
                    <w:jc w:val="center"/>
                    <w:rPr>
                      <w:rFonts w:hint="default" w:cs="Times New Roman"/>
                      <w:color w:val="auto"/>
                      <w:kern w:val="2"/>
                      <w:sz w:val="21"/>
                      <w:szCs w:val="24"/>
                      <w:lang w:val="en-US" w:eastAsia="zh-CN" w:bidi="ar-SA"/>
                    </w:rPr>
                  </w:pPr>
                  <w:r>
                    <w:rPr>
                      <w:rFonts w:hint="default" w:cs="Times New Roman"/>
                      <w:color w:val="auto"/>
                      <w:kern w:val="2"/>
                      <w:sz w:val="21"/>
                      <w:szCs w:val="24"/>
                      <w:lang w:val="en-US" w:eastAsia="zh-CN" w:bidi="ar-SA"/>
                    </w:rPr>
                    <w:t>达标</w:t>
                  </w:r>
                </w:p>
              </w:tc>
              <w:tc>
                <w:tcPr>
                  <w:tcW w:w="0" w:type="auto"/>
                  <w:shd w:val="clear" w:color="auto" w:fill="auto"/>
                  <w:vAlign w:val="center"/>
                </w:tcPr>
                <w:p w14:paraId="634CB38F">
                  <w:pPr>
                    <w:widowControl/>
                    <w:jc w:val="center"/>
                    <w:rPr>
                      <w:rFonts w:hint="default" w:cs="Times New Roman"/>
                      <w:color w:val="auto"/>
                      <w:kern w:val="2"/>
                      <w:sz w:val="21"/>
                      <w:szCs w:val="24"/>
                      <w:lang w:val="en-US" w:eastAsia="zh-CN" w:bidi="ar-SA"/>
                    </w:rPr>
                  </w:pPr>
                  <w:r>
                    <w:rPr>
                      <w:rFonts w:hint="eastAsia" w:cs="Times New Roman"/>
                      <w:color w:val="auto"/>
                      <w:kern w:val="2"/>
                      <w:sz w:val="21"/>
                      <w:szCs w:val="24"/>
                      <w:lang w:val="en-US" w:eastAsia="zh-CN" w:bidi="ar-SA"/>
                    </w:rPr>
                    <w:t>18</w:t>
                  </w:r>
                </w:p>
              </w:tc>
              <w:tc>
                <w:tcPr>
                  <w:tcW w:w="0" w:type="auto"/>
                  <w:shd w:val="clear" w:color="auto" w:fill="auto"/>
                  <w:vAlign w:val="center"/>
                </w:tcPr>
                <w:p w14:paraId="2008A88C">
                  <w:pPr>
                    <w:widowControl/>
                    <w:jc w:val="center"/>
                    <w:rPr>
                      <w:rFonts w:hint="eastAsia" w:cs="Times New Roman"/>
                      <w:color w:val="auto"/>
                      <w:kern w:val="2"/>
                      <w:sz w:val="21"/>
                      <w:szCs w:val="24"/>
                      <w:lang w:val="en-US" w:eastAsia="zh-CN" w:bidi="ar-SA"/>
                    </w:rPr>
                  </w:pPr>
                  <w:r>
                    <w:rPr>
                      <w:rFonts w:hint="eastAsia" w:cs="Times New Roman"/>
                      <w:color w:val="auto"/>
                      <w:kern w:val="2"/>
                      <w:sz w:val="21"/>
                      <w:szCs w:val="24"/>
                      <w:lang w:val="en-US" w:eastAsia="zh-CN" w:bidi="ar-SA"/>
                    </w:rPr>
                    <w:t>0.6</w:t>
                  </w:r>
                </w:p>
              </w:tc>
              <w:tc>
                <w:tcPr>
                  <w:tcW w:w="0" w:type="auto"/>
                  <w:shd w:val="clear" w:color="auto" w:fill="auto"/>
                  <w:vAlign w:val="center"/>
                </w:tcPr>
                <w:p w14:paraId="19AA3058">
                  <w:pPr>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cs="Times New Roman"/>
                      <w:color w:val="auto"/>
                    </w:rPr>
                    <w:t>25</w:t>
                  </w:r>
                </w:p>
              </w:tc>
              <w:tc>
                <w:tcPr>
                  <w:tcW w:w="0" w:type="auto"/>
                  <w:shd w:val="clear" w:color="auto" w:fill="auto"/>
                  <w:vAlign w:val="center"/>
                </w:tcPr>
                <w:p w14:paraId="334780EA">
                  <w:pPr>
                    <w:widowControl/>
                    <w:jc w:val="center"/>
                    <w:rPr>
                      <w:rFonts w:hint="default" w:ascii="Times New Roman" w:hAnsi="Times New Roman" w:eastAsia="宋体" w:cs="Times New Roman"/>
                      <w:color w:val="auto"/>
                      <w:kern w:val="2"/>
                      <w:sz w:val="21"/>
                      <w:szCs w:val="24"/>
                      <w:lang w:val="en-US" w:eastAsia="zh-CN" w:bidi="ar-SA"/>
                    </w:rPr>
                  </w:pPr>
                  <w:r>
                    <w:rPr>
                      <w:rFonts w:hint="eastAsia" w:cs="Times New Roman"/>
                      <w:color w:val="auto"/>
                      <w:kern w:val="2"/>
                      <w:sz w:val="21"/>
                      <w:szCs w:val="24"/>
                      <w:lang w:val="en-US" w:eastAsia="zh-CN" w:bidi="ar-SA"/>
                    </w:rPr>
                    <w:t>5000</w:t>
                  </w:r>
                </w:p>
              </w:tc>
              <w:tc>
                <w:tcPr>
                  <w:tcW w:w="0" w:type="auto"/>
                  <w:shd w:val="clear" w:color="auto" w:fill="auto"/>
                  <w:vAlign w:val="center"/>
                </w:tcPr>
                <w:p w14:paraId="368C4C1A">
                  <w:pPr>
                    <w:widowControl/>
                    <w:jc w:val="center"/>
                    <w:rPr>
                      <w:rFonts w:hint="eastAsia" w:ascii="Times New Roman" w:hAnsi="Times New Roman" w:eastAsia="宋体" w:cs="Times New Roman"/>
                      <w:color w:val="auto"/>
                      <w:kern w:val="2"/>
                      <w:sz w:val="21"/>
                      <w:szCs w:val="24"/>
                      <w:lang w:val="en-US" w:eastAsia="zh-CN" w:bidi="ar-SA"/>
                    </w:rPr>
                  </w:pPr>
                  <w:r>
                    <w:rPr>
                      <w:rFonts w:hint="eastAsia" w:cs="Times New Roman"/>
                      <w:color w:val="auto"/>
                      <w:kern w:val="2"/>
                      <w:sz w:val="21"/>
                      <w:szCs w:val="24"/>
                      <w:lang w:val="en-US" w:eastAsia="zh-CN" w:bidi="ar-SA"/>
                    </w:rPr>
                    <w:t>12</w:t>
                  </w:r>
                </w:p>
              </w:tc>
              <w:tc>
                <w:tcPr>
                  <w:tcW w:w="0" w:type="auto"/>
                  <w:shd w:val="clear" w:color="auto" w:fill="auto"/>
                  <w:vAlign w:val="center"/>
                </w:tcPr>
                <w:p w14:paraId="0D4F7010">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pacing w:val="0"/>
                      <w:sz w:val="21"/>
                      <w:szCs w:val="24"/>
                      <w:highlight w:val="none"/>
                      <w:lang w:val="en-US" w:eastAsia="zh-CN"/>
                    </w:rPr>
                    <w:t>5120</w:t>
                  </w:r>
                  <w:r>
                    <w:rPr>
                      <w:rFonts w:hint="default" w:ascii="Times New Roman" w:hAnsi="Times New Roman" w:eastAsia="宋体" w:cs="Times New Roman"/>
                      <w:color w:val="auto"/>
                      <w:spacing w:val="0"/>
                      <w:sz w:val="21"/>
                      <w:szCs w:val="24"/>
                      <w:highlight w:val="none"/>
                      <w:lang w:val="en-US" w:eastAsia="zh-CN"/>
                    </w:rPr>
                    <w:t>h/a</w:t>
                  </w:r>
                </w:p>
              </w:tc>
            </w:tr>
          </w:tbl>
          <w:p w14:paraId="04CEE3C7">
            <w:pPr>
              <w:keepNext w:val="0"/>
              <w:keepLines w:val="0"/>
              <w:pageBreakBefore w:val="0"/>
              <w:widowControl w:val="0"/>
              <w:kinsoku/>
              <w:wordWrap/>
              <w:overflowPunct/>
              <w:topLinePunct w:val="0"/>
              <w:autoSpaceDE/>
              <w:autoSpaceDN/>
              <w:bidi w:val="0"/>
              <w:adjustRightInd/>
              <w:snapToGrid/>
              <w:spacing w:before="157" w:beforeLines="50" w:beforeAutospacing="0"/>
              <w:jc w:val="center"/>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表4-</w:t>
            </w:r>
            <w:r>
              <w:rPr>
                <w:rFonts w:hint="eastAsia" w:cs="Times New Roman"/>
                <w:b/>
                <w:bCs/>
                <w:color w:val="auto"/>
                <w:sz w:val="24"/>
                <w:lang w:val="en-US" w:eastAsia="zh-CN"/>
              </w:rPr>
              <w:t>8</w:t>
            </w:r>
            <w:r>
              <w:rPr>
                <w:rFonts w:hint="default" w:ascii="Times New Roman" w:hAnsi="Times New Roman" w:cs="Times New Roman"/>
                <w:b/>
                <w:bCs/>
                <w:color w:val="auto"/>
                <w:sz w:val="24"/>
              </w:rPr>
              <w:t xml:space="preserve">  建设项目大气污染物有组织排放基本情况表</w:t>
            </w:r>
          </w:p>
          <w:tbl>
            <w:tblPr>
              <w:tblStyle w:val="6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222"/>
              <w:gridCol w:w="1398"/>
              <w:gridCol w:w="1574"/>
              <w:gridCol w:w="1606"/>
              <w:gridCol w:w="1378"/>
              <w:gridCol w:w="1152"/>
              <w:gridCol w:w="1099"/>
              <w:gridCol w:w="1260"/>
              <w:gridCol w:w="1851"/>
            </w:tblGrid>
            <w:tr w14:paraId="246EF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87" w:type="pct"/>
                  <w:vMerge w:val="restart"/>
                  <w:vAlign w:val="center"/>
                </w:tcPr>
                <w:p w14:paraId="2085CE5D">
                  <w:pPr>
                    <w:widowControl/>
                    <w:jc w:val="center"/>
                    <w:rPr>
                      <w:rFonts w:hint="default" w:ascii="Times New Roman" w:hAnsi="Times New Roman" w:cs="Times New Roman"/>
                      <w:b/>
                      <w:bCs/>
                      <w:color w:val="auto"/>
                    </w:rPr>
                  </w:pPr>
                  <w:r>
                    <w:rPr>
                      <w:rFonts w:hint="default" w:ascii="Times New Roman" w:hAnsi="Times New Roman" w:cs="Times New Roman"/>
                      <w:b/>
                      <w:bCs/>
                      <w:color w:val="auto"/>
                    </w:rPr>
                    <w:t>排放口编号</w:t>
                  </w:r>
                </w:p>
              </w:tc>
              <w:tc>
                <w:tcPr>
                  <w:tcW w:w="557" w:type="pct"/>
                  <w:vMerge w:val="restart"/>
                  <w:vAlign w:val="center"/>
                </w:tcPr>
                <w:p w14:paraId="748DE491">
                  <w:pPr>
                    <w:widowControl/>
                    <w:snapToGrid w:val="0"/>
                    <w:jc w:val="center"/>
                    <w:rPr>
                      <w:rFonts w:hint="default" w:ascii="Times New Roman" w:hAnsi="Times New Roman" w:cs="Times New Roman"/>
                      <w:b/>
                      <w:bCs/>
                      <w:color w:val="auto"/>
                    </w:rPr>
                  </w:pPr>
                  <w:r>
                    <w:rPr>
                      <w:rFonts w:hint="default" w:ascii="Times New Roman" w:hAnsi="Times New Roman" w:cs="Times New Roman"/>
                      <w:b/>
                      <w:bCs/>
                      <w:color w:val="auto"/>
                    </w:rPr>
                    <w:t>排放口名称</w:t>
                  </w:r>
                </w:p>
              </w:tc>
              <w:tc>
                <w:tcPr>
                  <w:tcW w:w="627" w:type="pct"/>
                  <w:vMerge w:val="restart"/>
                  <w:vAlign w:val="center"/>
                </w:tcPr>
                <w:p w14:paraId="169EE08D">
                  <w:pPr>
                    <w:widowControl/>
                    <w:snapToGrid w:val="0"/>
                    <w:jc w:val="center"/>
                    <w:rPr>
                      <w:rFonts w:hint="default" w:ascii="Times New Roman" w:hAnsi="Times New Roman" w:cs="Times New Roman"/>
                      <w:b/>
                      <w:bCs/>
                      <w:color w:val="auto"/>
                    </w:rPr>
                  </w:pPr>
                  <w:r>
                    <w:rPr>
                      <w:rFonts w:hint="default" w:ascii="Times New Roman" w:hAnsi="Times New Roman" w:cs="Times New Roman"/>
                      <w:b/>
                      <w:bCs/>
                      <w:color w:val="auto"/>
                    </w:rPr>
                    <w:t>排放口类型</w:t>
                  </w:r>
                </w:p>
              </w:tc>
              <w:tc>
                <w:tcPr>
                  <w:tcW w:w="1189" w:type="pct"/>
                  <w:gridSpan w:val="2"/>
                  <w:vAlign w:val="center"/>
                </w:tcPr>
                <w:p w14:paraId="3F6046E7">
                  <w:pPr>
                    <w:widowControl/>
                    <w:snapToGrid w:val="0"/>
                    <w:jc w:val="center"/>
                    <w:rPr>
                      <w:rFonts w:hint="default" w:ascii="Times New Roman" w:hAnsi="Times New Roman" w:cs="Times New Roman"/>
                      <w:b/>
                      <w:bCs/>
                      <w:color w:val="auto"/>
                    </w:rPr>
                  </w:pPr>
                  <w:r>
                    <w:rPr>
                      <w:rFonts w:hint="default" w:ascii="Times New Roman" w:hAnsi="Times New Roman" w:cs="Times New Roman"/>
                      <w:b/>
                      <w:bCs/>
                      <w:color w:val="auto"/>
                    </w:rPr>
                    <w:t>排放口地理坐标(o)</w:t>
                  </w:r>
                </w:p>
              </w:tc>
              <w:tc>
                <w:tcPr>
                  <w:tcW w:w="459" w:type="pct"/>
                  <w:vMerge w:val="restart"/>
                  <w:vAlign w:val="center"/>
                </w:tcPr>
                <w:p w14:paraId="5DB46CE8">
                  <w:pPr>
                    <w:widowControl/>
                    <w:snapToGrid w:val="0"/>
                    <w:jc w:val="center"/>
                    <w:rPr>
                      <w:rFonts w:hint="default" w:ascii="Times New Roman" w:hAnsi="Times New Roman" w:cs="Times New Roman"/>
                      <w:b/>
                      <w:bCs/>
                      <w:color w:val="auto"/>
                    </w:rPr>
                  </w:pPr>
                  <w:r>
                    <w:rPr>
                      <w:rFonts w:hint="default" w:ascii="Times New Roman" w:hAnsi="Times New Roman" w:cs="Times New Roman"/>
                      <w:b/>
                      <w:bCs/>
                      <w:color w:val="auto"/>
                    </w:rPr>
                    <w:t>污染物</w:t>
                  </w:r>
                </w:p>
                <w:p w14:paraId="40931DCA">
                  <w:pPr>
                    <w:widowControl/>
                    <w:snapToGrid w:val="0"/>
                    <w:jc w:val="center"/>
                    <w:rPr>
                      <w:rFonts w:hint="default" w:ascii="Times New Roman" w:hAnsi="Times New Roman" w:cs="Times New Roman"/>
                      <w:b/>
                      <w:bCs/>
                      <w:color w:val="auto"/>
                    </w:rPr>
                  </w:pPr>
                  <w:r>
                    <w:rPr>
                      <w:rFonts w:hint="default" w:ascii="Times New Roman" w:hAnsi="Times New Roman" w:cs="Times New Roman"/>
                      <w:b/>
                      <w:bCs/>
                      <w:color w:val="auto"/>
                    </w:rPr>
                    <w:t>名称</w:t>
                  </w:r>
                </w:p>
              </w:tc>
              <w:tc>
                <w:tcPr>
                  <w:tcW w:w="438" w:type="pct"/>
                  <w:vMerge w:val="restart"/>
                  <w:vAlign w:val="center"/>
                </w:tcPr>
                <w:p w14:paraId="5720F3D4">
                  <w:pPr>
                    <w:widowControl/>
                    <w:snapToGrid w:val="0"/>
                    <w:jc w:val="center"/>
                    <w:rPr>
                      <w:rFonts w:hint="default" w:ascii="Times New Roman" w:hAnsi="Times New Roman" w:cs="Times New Roman"/>
                      <w:b/>
                      <w:bCs/>
                      <w:color w:val="auto"/>
                    </w:rPr>
                  </w:pPr>
                  <w:r>
                    <w:rPr>
                      <w:rFonts w:hint="default" w:ascii="Times New Roman" w:hAnsi="Times New Roman" w:cs="Times New Roman"/>
                      <w:b/>
                      <w:bCs/>
                      <w:color w:val="auto"/>
                    </w:rPr>
                    <w:t>年许可排放量（t/a）</w:t>
                  </w:r>
                </w:p>
              </w:tc>
              <w:tc>
                <w:tcPr>
                  <w:tcW w:w="502" w:type="pct"/>
                  <w:vMerge w:val="restart"/>
                  <w:vAlign w:val="center"/>
                </w:tcPr>
                <w:p w14:paraId="7D3C0126">
                  <w:pPr>
                    <w:widowControl/>
                    <w:snapToGrid w:val="0"/>
                    <w:jc w:val="center"/>
                    <w:rPr>
                      <w:rFonts w:hint="default" w:ascii="Times New Roman" w:hAnsi="Times New Roman" w:cs="Times New Roman"/>
                      <w:b/>
                      <w:bCs/>
                      <w:color w:val="auto"/>
                    </w:rPr>
                  </w:pPr>
                  <w:r>
                    <w:rPr>
                      <w:rFonts w:hint="default" w:ascii="Times New Roman" w:hAnsi="Times New Roman" w:cs="Times New Roman"/>
                      <w:b/>
                      <w:bCs/>
                      <w:color w:val="auto"/>
                    </w:rPr>
                    <w:t>申请特殊排放浓度限值</w:t>
                  </w:r>
                </w:p>
              </w:tc>
              <w:tc>
                <w:tcPr>
                  <w:tcW w:w="737" w:type="pct"/>
                  <w:vMerge w:val="restart"/>
                  <w:vAlign w:val="center"/>
                </w:tcPr>
                <w:p w14:paraId="4F160960">
                  <w:pPr>
                    <w:widowControl/>
                    <w:snapToGrid w:val="0"/>
                    <w:jc w:val="center"/>
                    <w:rPr>
                      <w:rFonts w:hint="default" w:ascii="Times New Roman" w:hAnsi="Times New Roman" w:cs="Times New Roman"/>
                      <w:b/>
                      <w:bCs/>
                      <w:color w:val="auto"/>
                    </w:rPr>
                  </w:pPr>
                  <w:r>
                    <w:rPr>
                      <w:rFonts w:hint="default" w:ascii="Times New Roman" w:hAnsi="Times New Roman" w:cs="Times New Roman"/>
                      <w:b/>
                      <w:bCs/>
                      <w:color w:val="auto"/>
                    </w:rPr>
                    <w:t>申请特殊时段许可排放量限值</w:t>
                  </w:r>
                </w:p>
              </w:tc>
            </w:tr>
            <w:tr w14:paraId="252DD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87" w:type="pct"/>
                  <w:vMerge w:val="continue"/>
                  <w:vAlign w:val="center"/>
                </w:tcPr>
                <w:p w14:paraId="71D4E889">
                  <w:pPr>
                    <w:widowControl/>
                    <w:snapToGrid w:val="0"/>
                    <w:jc w:val="center"/>
                    <w:rPr>
                      <w:rFonts w:hint="default" w:ascii="Times New Roman" w:hAnsi="Times New Roman" w:cs="Times New Roman"/>
                      <w:b/>
                      <w:bCs/>
                      <w:color w:val="auto"/>
                    </w:rPr>
                  </w:pPr>
                </w:p>
              </w:tc>
              <w:tc>
                <w:tcPr>
                  <w:tcW w:w="557" w:type="pct"/>
                  <w:vMerge w:val="continue"/>
                  <w:vAlign w:val="center"/>
                </w:tcPr>
                <w:p w14:paraId="1A962D7B">
                  <w:pPr>
                    <w:widowControl/>
                    <w:snapToGrid w:val="0"/>
                    <w:jc w:val="center"/>
                    <w:rPr>
                      <w:rFonts w:hint="default" w:ascii="Times New Roman" w:hAnsi="Times New Roman" w:cs="Times New Roman"/>
                      <w:b/>
                      <w:bCs/>
                      <w:color w:val="auto"/>
                    </w:rPr>
                  </w:pPr>
                </w:p>
              </w:tc>
              <w:tc>
                <w:tcPr>
                  <w:tcW w:w="627" w:type="pct"/>
                  <w:vMerge w:val="continue"/>
                  <w:vAlign w:val="center"/>
                </w:tcPr>
                <w:p w14:paraId="395B7F87">
                  <w:pPr>
                    <w:widowControl/>
                    <w:snapToGrid w:val="0"/>
                    <w:jc w:val="center"/>
                    <w:rPr>
                      <w:rFonts w:hint="default" w:ascii="Times New Roman" w:hAnsi="Times New Roman" w:cs="Times New Roman"/>
                      <w:b/>
                      <w:bCs/>
                      <w:color w:val="auto"/>
                    </w:rPr>
                  </w:pPr>
                </w:p>
              </w:tc>
              <w:tc>
                <w:tcPr>
                  <w:tcW w:w="640" w:type="pct"/>
                  <w:vAlign w:val="center"/>
                </w:tcPr>
                <w:p w14:paraId="08571D60">
                  <w:pPr>
                    <w:widowControl/>
                    <w:snapToGrid w:val="0"/>
                    <w:jc w:val="center"/>
                    <w:rPr>
                      <w:rFonts w:hint="default" w:ascii="Times New Roman" w:hAnsi="Times New Roman" w:cs="Times New Roman"/>
                      <w:b/>
                      <w:bCs/>
                      <w:color w:val="auto"/>
                    </w:rPr>
                  </w:pPr>
                  <w:r>
                    <w:rPr>
                      <w:rFonts w:hint="default" w:ascii="Times New Roman" w:hAnsi="Times New Roman" w:cs="Times New Roman"/>
                      <w:b/>
                      <w:bCs/>
                      <w:color w:val="auto"/>
                    </w:rPr>
                    <w:t>经度</w:t>
                  </w:r>
                </w:p>
              </w:tc>
              <w:tc>
                <w:tcPr>
                  <w:tcW w:w="548" w:type="pct"/>
                  <w:vAlign w:val="center"/>
                </w:tcPr>
                <w:p w14:paraId="6D6A59AE">
                  <w:pPr>
                    <w:widowControl/>
                    <w:snapToGrid w:val="0"/>
                    <w:jc w:val="center"/>
                    <w:rPr>
                      <w:rFonts w:hint="default" w:ascii="Times New Roman" w:hAnsi="Times New Roman" w:cs="Times New Roman"/>
                      <w:b/>
                      <w:bCs/>
                      <w:color w:val="auto"/>
                    </w:rPr>
                  </w:pPr>
                  <w:r>
                    <w:rPr>
                      <w:rFonts w:hint="default" w:ascii="Times New Roman" w:hAnsi="Times New Roman" w:cs="Times New Roman"/>
                      <w:b/>
                      <w:bCs/>
                      <w:color w:val="auto"/>
                    </w:rPr>
                    <w:t>纬度</w:t>
                  </w:r>
                </w:p>
              </w:tc>
              <w:tc>
                <w:tcPr>
                  <w:tcW w:w="459" w:type="pct"/>
                  <w:vMerge w:val="continue"/>
                  <w:vAlign w:val="center"/>
                </w:tcPr>
                <w:p w14:paraId="60535BCF">
                  <w:pPr>
                    <w:widowControl/>
                    <w:snapToGrid w:val="0"/>
                    <w:jc w:val="center"/>
                    <w:rPr>
                      <w:rFonts w:hint="default" w:ascii="Times New Roman" w:hAnsi="Times New Roman" w:cs="Times New Roman"/>
                      <w:b/>
                      <w:bCs/>
                      <w:color w:val="auto"/>
                    </w:rPr>
                  </w:pPr>
                </w:p>
              </w:tc>
              <w:tc>
                <w:tcPr>
                  <w:tcW w:w="438" w:type="pct"/>
                  <w:vMerge w:val="continue"/>
                  <w:vAlign w:val="center"/>
                </w:tcPr>
                <w:p w14:paraId="4300AC3C">
                  <w:pPr>
                    <w:widowControl/>
                    <w:snapToGrid w:val="0"/>
                    <w:jc w:val="center"/>
                    <w:rPr>
                      <w:rFonts w:hint="default" w:ascii="Times New Roman" w:hAnsi="Times New Roman" w:cs="Times New Roman"/>
                      <w:b/>
                      <w:bCs/>
                      <w:color w:val="auto"/>
                    </w:rPr>
                  </w:pPr>
                </w:p>
              </w:tc>
              <w:tc>
                <w:tcPr>
                  <w:tcW w:w="502" w:type="pct"/>
                  <w:vMerge w:val="continue"/>
                  <w:vAlign w:val="center"/>
                </w:tcPr>
                <w:p w14:paraId="2FA4BFAE">
                  <w:pPr>
                    <w:widowControl/>
                    <w:snapToGrid w:val="0"/>
                    <w:jc w:val="center"/>
                    <w:rPr>
                      <w:rFonts w:hint="default" w:ascii="Times New Roman" w:hAnsi="Times New Roman" w:cs="Times New Roman"/>
                      <w:b/>
                      <w:bCs/>
                      <w:color w:val="auto"/>
                    </w:rPr>
                  </w:pPr>
                </w:p>
              </w:tc>
              <w:tc>
                <w:tcPr>
                  <w:tcW w:w="737" w:type="pct"/>
                  <w:vMerge w:val="continue"/>
                  <w:vAlign w:val="center"/>
                </w:tcPr>
                <w:p w14:paraId="76A6F376">
                  <w:pPr>
                    <w:widowControl/>
                    <w:snapToGrid w:val="0"/>
                    <w:jc w:val="center"/>
                    <w:rPr>
                      <w:rFonts w:hint="default" w:ascii="Times New Roman" w:hAnsi="Times New Roman" w:cs="Times New Roman"/>
                      <w:b/>
                      <w:bCs/>
                      <w:color w:val="auto"/>
                    </w:rPr>
                  </w:pPr>
                </w:p>
              </w:tc>
            </w:tr>
            <w:tr w14:paraId="16BB9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67" w:hRule="atLeast"/>
                <w:jc w:val="center"/>
              </w:trPr>
              <w:tc>
                <w:tcPr>
                  <w:tcW w:w="487" w:type="pct"/>
                  <w:vAlign w:val="center"/>
                </w:tcPr>
                <w:p w14:paraId="471C00E2">
                  <w:pPr>
                    <w:adjustRightInd w:val="0"/>
                    <w:snapToGrid w:val="0"/>
                    <w:jc w:val="center"/>
                    <w:rPr>
                      <w:rFonts w:hint="default" w:ascii="Times New Roman" w:hAnsi="Times New Roman" w:cs="Times New Roman"/>
                      <w:color w:val="auto"/>
                    </w:rPr>
                  </w:pPr>
                  <w:r>
                    <w:rPr>
                      <w:rFonts w:hint="default" w:ascii="Times New Roman" w:hAnsi="Times New Roman" w:cs="Times New Roman"/>
                      <w:color w:val="auto"/>
                    </w:rPr>
                    <w:t>DA001</w:t>
                  </w:r>
                </w:p>
              </w:tc>
              <w:tc>
                <w:tcPr>
                  <w:tcW w:w="557" w:type="pct"/>
                  <w:vAlign w:val="center"/>
                </w:tcPr>
                <w:p w14:paraId="721EA650">
                  <w:pPr>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szCs w:val="21"/>
                      <w:lang w:val="en-US" w:eastAsia="zh-CN"/>
                    </w:rPr>
                    <w:t>抛丸</w:t>
                  </w:r>
                </w:p>
              </w:tc>
              <w:tc>
                <w:tcPr>
                  <w:tcW w:w="627" w:type="pct"/>
                  <w:vAlign w:val="center"/>
                </w:tcPr>
                <w:p w14:paraId="43E71314">
                  <w:pPr>
                    <w:widowControl/>
                    <w:snapToGrid w:val="0"/>
                    <w:jc w:val="center"/>
                    <w:rPr>
                      <w:rFonts w:hint="default" w:ascii="Times New Roman" w:hAnsi="Times New Roman" w:cs="Times New Roman"/>
                      <w:color w:val="auto"/>
                    </w:rPr>
                  </w:pPr>
                  <w:r>
                    <w:rPr>
                      <w:rFonts w:hint="default" w:ascii="Times New Roman" w:hAnsi="Times New Roman" w:cs="Times New Roman"/>
                      <w:color w:val="auto"/>
                    </w:rPr>
                    <w:t>一般排放口</w:t>
                  </w:r>
                </w:p>
              </w:tc>
              <w:tc>
                <w:tcPr>
                  <w:tcW w:w="640" w:type="pct"/>
                  <w:vAlign w:val="center"/>
                </w:tcPr>
                <w:p w14:paraId="74A5692A">
                  <w:pPr>
                    <w:widowControl/>
                    <w:snapToGrid w:val="0"/>
                    <w:jc w:val="center"/>
                    <w:rPr>
                      <w:rFonts w:hint="default" w:ascii="Times New Roman" w:hAnsi="Times New Roman" w:cs="Times New Roman"/>
                      <w:color w:val="auto"/>
                    </w:rPr>
                  </w:pPr>
                  <w:r>
                    <w:rPr>
                      <w:rFonts w:hint="eastAsia" w:ascii="Times New Roman" w:hAnsi="Times New Roman" w:cs="Times New Roman"/>
                      <w:color w:val="auto"/>
                    </w:rPr>
                    <w:t>118.60965774</w:t>
                  </w:r>
                </w:p>
              </w:tc>
              <w:tc>
                <w:tcPr>
                  <w:tcW w:w="548" w:type="pct"/>
                  <w:vAlign w:val="center"/>
                </w:tcPr>
                <w:p w14:paraId="48B98D99">
                  <w:pPr>
                    <w:widowControl/>
                    <w:snapToGrid w:val="0"/>
                    <w:jc w:val="center"/>
                    <w:rPr>
                      <w:rFonts w:hint="default" w:ascii="Times New Roman" w:hAnsi="Times New Roman" w:cs="Times New Roman"/>
                      <w:color w:val="auto"/>
                    </w:rPr>
                  </w:pPr>
                  <w:r>
                    <w:rPr>
                      <w:rFonts w:hint="default" w:ascii="Times New Roman" w:hAnsi="Times New Roman" w:cs="Times New Roman"/>
                      <w:color w:val="auto"/>
                    </w:rPr>
                    <w:t>31.13645325</w:t>
                  </w:r>
                </w:p>
              </w:tc>
              <w:tc>
                <w:tcPr>
                  <w:tcW w:w="459" w:type="pct"/>
                  <w:shd w:val="clear" w:color="auto" w:fill="auto"/>
                  <w:vAlign w:val="center"/>
                </w:tcPr>
                <w:p w14:paraId="31438717">
                  <w:pPr>
                    <w:widowControl/>
                    <w:jc w:val="center"/>
                    <w:textAlignment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颗粒物</w:t>
                  </w:r>
                </w:p>
              </w:tc>
              <w:tc>
                <w:tcPr>
                  <w:tcW w:w="438" w:type="pct"/>
                  <w:shd w:val="clear" w:color="auto" w:fill="auto"/>
                  <w:vAlign w:val="center"/>
                </w:tcPr>
                <w:p w14:paraId="51E91609">
                  <w:pPr>
                    <w:jc w:val="center"/>
                    <w:rPr>
                      <w:rFonts w:hint="default" w:ascii="Times New Roman" w:hAnsi="Times New Roman" w:eastAsia="宋体" w:cs="Times New Roman"/>
                      <w:color w:val="auto"/>
                      <w:kern w:val="2"/>
                      <w:sz w:val="21"/>
                      <w:szCs w:val="18"/>
                      <w:lang w:val="en-US" w:eastAsia="zh-CN" w:bidi="ar-SA"/>
                    </w:rPr>
                  </w:pPr>
                  <w:r>
                    <w:rPr>
                      <w:rFonts w:hint="eastAsia" w:cs="Times New Roman"/>
                      <w:color w:val="auto"/>
                      <w:szCs w:val="21"/>
                      <w:lang w:val="en-US" w:eastAsia="zh-CN"/>
                    </w:rPr>
                    <w:t>0.0195</w:t>
                  </w:r>
                </w:p>
              </w:tc>
              <w:tc>
                <w:tcPr>
                  <w:tcW w:w="502" w:type="pct"/>
                  <w:vAlign w:val="center"/>
                </w:tcPr>
                <w:p w14:paraId="53457451">
                  <w:pPr>
                    <w:widowControl/>
                    <w:snapToGrid w:val="0"/>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p>
              </w:tc>
              <w:tc>
                <w:tcPr>
                  <w:tcW w:w="737" w:type="pct"/>
                  <w:vAlign w:val="center"/>
                </w:tcPr>
                <w:p w14:paraId="028A872C">
                  <w:pPr>
                    <w:widowControl/>
                    <w:snapToGrid w:val="0"/>
                    <w:jc w:val="center"/>
                    <w:rPr>
                      <w:rFonts w:hint="default" w:ascii="Times New Roman" w:hAnsi="Times New Roman" w:cs="Times New Roman"/>
                      <w:color w:val="auto"/>
                    </w:rPr>
                  </w:pPr>
                  <w:r>
                    <w:rPr>
                      <w:rFonts w:hint="default" w:ascii="Times New Roman" w:hAnsi="Times New Roman" w:cs="Times New Roman"/>
                      <w:color w:val="auto"/>
                    </w:rPr>
                    <w:t>/</w:t>
                  </w:r>
                </w:p>
              </w:tc>
            </w:tr>
            <w:tr w14:paraId="29879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487" w:type="pct"/>
                  <w:shd w:val="clear" w:color="auto" w:fill="auto"/>
                  <w:vAlign w:val="center"/>
                </w:tcPr>
                <w:p w14:paraId="577DFEB6">
                  <w:pPr>
                    <w:adjustRightInd w:val="0"/>
                    <w:snapToGrid w:val="0"/>
                    <w:jc w:val="center"/>
                    <w:rPr>
                      <w:rFonts w:hint="eastAsia" w:ascii="Times New Roman" w:hAnsi="Times New Roman" w:eastAsia="宋体" w:cs="Times New Roman"/>
                      <w:color w:val="auto"/>
                      <w:kern w:val="2"/>
                      <w:sz w:val="21"/>
                      <w:szCs w:val="24"/>
                      <w:lang w:val="en-US" w:eastAsia="zh-CN" w:bidi="ar-SA"/>
                    </w:rPr>
                  </w:pPr>
                  <w:r>
                    <w:rPr>
                      <w:rFonts w:hint="default" w:ascii="Times New Roman" w:hAnsi="Times New Roman" w:cs="Times New Roman"/>
                      <w:color w:val="auto"/>
                    </w:rPr>
                    <w:t>DA00</w:t>
                  </w:r>
                  <w:r>
                    <w:rPr>
                      <w:rFonts w:hint="eastAsia" w:cs="Times New Roman"/>
                      <w:color w:val="auto"/>
                      <w:lang w:val="en-US" w:eastAsia="zh-CN"/>
                    </w:rPr>
                    <w:t>2</w:t>
                  </w:r>
                </w:p>
              </w:tc>
              <w:tc>
                <w:tcPr>
                  <w:tcW w:w="557" w:type="pct"/>
                  <w:shd w:val="clear" w:color="auto" w:fill="auto"/>
                  <w:vAlign w:val="center"/>
                </w:tcPr>
                <w:p w14:paraId="76791890">
                  <w:pPr>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szCs w:val="21"/>
                      <w:lang w:val="en-US" w:eastAsia="zh-CN"/>
                    </w:rPr>
                    <w:t>锻造</w:t>
                  </w:r>
                </w:p>
              </w:tc>
              <w:tc>
                <w:tcPr>
                  <w:tcW w:w="627" w:type="pct"/>
                  <w:shd w:val="clear" w:color="auto" w:fill="auto"/>
                  <w:vAlign w:val="center"/>
                </w:tcPr>
                <w:p w14:paraId="185829A8">
                  <w:pPr>
                    <w:widowControl/>
                    <w:snapToGrid w:val="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cs="Times New Roman"/>
                      <w:color w:val="auto"/>
                    </w:rPr>
                    <w:t>一般排放口</w:t>
                  </w:r>
                </w:p>
              </w:tc>
              <w:tc>
                <w:tcPr>
                  <w:tcW w:w="640" w:type="pct"/>
                  <w:shd w:val="clear" w:color="auto" w:fill="auto"/>
                  <w:vAlign w:val="center"/>
                </w:tcPr>
                <w:p w14:paraId="4A42A7EB">
                  <w:pPr>
                    <w:widowControl/>
                    <w:snapToGrid w:val="0"/>
                    <w:jc w:val="center"/>
                    <w:rPr>
                      <w:rFonts w:hint="eastAsia" w:ascii="Times New Roman" w:hAnsi="Times New Roman" w:cs="Times New Roman"/>
                      <w:color w:val="auto"/>
                      <w:lang w:val="en-US" w:eastAsia="zh-CN"/>
                    </w:rPr>
                  </w:pPr>
                  <w:r>
                    <w:rPr>
                      <w:rFonts w:hint="eastAsia" w:ascii="Times New Roman" w:hAnsi="Times New Roman" w:cs="Times New Roman"/>
                      <w:color w:val="auto"/>
                    </w:rPr>
                    <w:t>118.61011908</w:t>
                  </w:r>
                </w:p>
              </w:tc>
              <w:tc>
                <w:tcPr>
                  <w:tcW w:w="548" w:type="pct"/>
                  <w:shd w:val="clear" w:color="auto" w:fill="auto"/>
                  <w:vAlign w:val="center"/>
                </w:tcPr>
                <w:p w14:paraId="623E7450">
                  <w:pPr>
                    <w:widowControl/>
                    <w:snapToGrid w:val="0"/>
                    <w:jc w:val="center"/>
                    <w:rPr>
                      <w:rFonts w:hint="default" w:ascii="Times New Roman" w:hAnsi="Times New Roman" w:cs="Times New Roman"/>
                      <w:color w:val="auto"/>
                      <w:lang w:val="en-US" w:eastAsia="zh-CN"/>
                    </w:rPr>
                  </w:pPr>
                  <w:r>
                    <w:rPr>
                      <w:rFonts w:hint="default" w:ascii="Times New Roman" w:hAnsi="Times New Roman" w:cs="Times New Roman"/>
                      <w:color w:val="auto"/>
                    </w:rPr>
                    <w:t>31.13649916</w:t>
                  </w:r>
                </w:p>
              </w:tc>
              <w:tc>
                <w:tcPr>
                  <w:tcW w:w="459" w:type="pct"/>
                  <w:shd w:val="clear" w:color="auto" w:fill="auto"/>
                  <w:vAlign w:val="center"/>
                </w:tcPr>
                <w:p w14:paraId="21B28F24">
                  <w:pPr>
                    <w:widowControl/>
                    <w:jc w:val="center"/>
                    <w:textAlignment w:val="center"/>
                    <w:rPr>
                      <w:rFonts w:hint="eastAsia"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非甲烷总烃</w:t>
                  </w:r>
                </w:p>
              </w:tc>
              <w:tc>
                <w:tcPr>
                  <w:tcW w:w="1099" w:type="dxa"/>
                  <w:shd w:val="clear" w:color="auto" w:fill="auto"/>
                  <w:vAlign w:val="center"/>
                </w:tcPr>
                <w:p w14:paraId="4776FB26">
                  <w:pPr>
                    <w:jc w:val="center"/>
                    <w:rPr>
                      <w:rFonts w:hint="eastAsia" w:ascii="Times New Roman" w:hAnsi="Times New Roman" w:eastAsia="宋体" w:cs="Times New Roman"/>
                      <w:color w:val="auto"/>
                      <w:kern w:val="2"/>
                      <w:sz w:val="21"/>
                      <w:szCs w:val="18"/>
                      <w:lang w:val="en-US" w:eastAsia="zh-CN" w:bidi="ar-SA"/>
                    </w:rPr>
                  </w:pPr>
                  <w:r>
                    <w:rPr>
                      <w:rFonts w:hint="eastAsia" w:cs="Times New Roman"/>
                      <w:color w:val="auto"/>
                      <w:szCs w:val="21"/>
                      <w:lang w:val="en-US" w:eastAsia="zh-CN"/>
                    </w:rPr>
                    <w:t>0.068</w:t>
                  </w:r>
                </w:p>
              </w:tc>
              <w:tc>
                <w:tcPr>
                  <w:tcW w:w="502" w:type="pct"/>
                  <w:shd w:val="clear" w:color="auto" w:fill="auto"/>
                  <w:vAlign w:val="center"/>
                </w:tcPr>
                <w:p w14:paraId="6FAFC87C">
                  <w:pPr>
                    <w:widowControl/>
                    <w:snapToGrid w:val="0"/>
                    <w:jc w:val="cente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cs="Times New Roman"/>
                      <w:color w:val="auto"/>
                      <w:sz w:val="24"/>
                      <w:szCs w:val="24"/>
                    </w:rPr>
                    <w:t>/</w:t>
                  </w:r>
                </w:p>
              </w:tc>
              <w:tc>
                <w:tcPr>
                  <w:tcW w:w="737" w:type="pct"/>
                  <w:shd w:val="clear" w:color="auto" w:fill="auto"/>
                  <w:vAlign w:val="center"/>
                </w:tcPr>
                <w:p w14:paraId="2FD7303E">
                  <w:pPr>
                    <w:widowControl/>
                    <w:snapToGrid w:val="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cs="Times New Roman"/>
                      <w:color w:val="auto"/>
                    </w:rPr>
                    <w:t>/</w:t>
                  </w:r>
                </w:p>
              </w:tc>
            </w:tr>
          </w:tbl>
          <w:p w14:paraId="325D4E28">
            <w:pPr>
              <w:pStyle w:val="78"/>
              <w:keepNext w:val="0"/>
              <w:keepLines w:val="0"/>
              <w:pageBreakBefore w:val="0"/>
              <w:widowControl w:val="0"/>
              <w:kinsoku/>
              <w:wordWrap/>
              <w:overflowPunct/>
              <w:topLinePunct w:val="0"/>
              <w:autoSpaceDE w:val="0"/>
              <w:autoSpaceDN w:val="0"/>
              <w:bidi w:val="0"/>
              <w:adjustRightInd w:val="0"/>
              <w:snapToGrid/>
              <w:spacing w:before="157" w:beforeLines="50" w:line="240" w:lineRule="auto"/>
              <w:ind w:firstLine="482"/>
              <w:jc w:val="center"/>
              <w:textAlignment w:val="auto"/>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sz w:val="21"/>
                <w:szCs w:val="21"/>
              </w:rPr>
              <w:t xml:space="preserve"> </w:t>
            </w:r>
            <w:r>
              <w:rPr>
                <w:rFonts w:hint="default" w:ascii="Times New Roman" w:hAnsi="Times New Roman" w:eastAsia="宋体" w:cs="Times New Roman"/>
                <w:b/>
                <w:bCs/>
                <w:color w:val="auto"/>
                <w:kern w:val="2"/>
                <w:sz w:val="24"/>
                <w:szCs w:val="24"/>
                <w:lang w:val="en-US" w:eastAsia="zh-CN" w:bidi="ar-SA"/>
              </w:rPr>
              <w:t>表4-</w:t>
            </w:r>
            <w:r>
              <w:rPr>
                <w:rFonts w:hint="eastAsia" w:ascii="Times New Roman" w:hAnsi="Times New Roman" w:eastAsia="宋体" w:cs="Times New Roman"/>
                <w:b/>
                <w:bCs/>
                <w:color w:val="auto"/>
                <w:kern w:val="2"/>
                <w:sz w:val="24"/>
                <w:szCs w:val="24"/>
                <w:lang w:val="en-US" w:eastAsia="zh-CN" w:bidi="ar-SA"/>
              </w:rPr>
              <w:t>9</w:t>
            </w:r>
            <w:r>
              <w:rPr>
                <w:rFonts w:hint="default" w:ascii="Times New Roman" w:hAnsi="Times New Roman" w:eastAsia="宋体" w:cs="Times New Roman"/>
                <w:b/>
                <w:bCs/>
                <w:color w:val="auto"/>
                <w:kern w:val="2"/>
                <w:sz w:val="24"/>
                <w:szCs w:val="24"/>
                <w:lang w:val="en-US" w:eastAsia="zh-CN" w:bidi="ar-SA"/>
              </w:rPr>
              <w:t xml:space="preserve">  项目废气污染物无组织产排情况表</w:t>
            </w:r>
          </w:p>
          <w:tbl>
            <w:tblPr>
              <w:tblStyle w:val="6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0"/>
              <w:gridCol w:w="860"/>
              <w:gridCol w:w="1450"/>
              <w:gridCol w:w="1297"/>
              <w:gridCol w:w="1515"/>
              <w:gridCol w:w="1463"/>
              <w:gridCol w:w="1287"/>
              <w:gridCol w:w="4368"/>
            </w:tblGrid>
            <w:tr w14:paraId="74CF4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462" w:type="pct"/>
                  <w:gridSpan w:val="2"/>
                  <w:noWrap w:val="0"/>
                  <w:vAlign w:val="center"/>
                </w:tcPr>
                <w:p w14:paraId="590BD0BC">
                  <w:pPr>
                    <w:keepNext w:val="0"/>
                    <w:keepLines w:val="0"/>
                    <w:pageBreakBefore w:val="0"/>
                    <w:kinsoku/>
                    <w:wordWrap/>
                    <w:overflowPunct/>
                    <w:topLinePunct w:val="0"/>
                    <w:autoSpaceDE/>
                    <w:autoSpaceDN/>
                    <w:bidi w:val="0"/>
                    <w:adjustRightInd w:val="0"/>
                    <w:snapToGrid w:val="0"/>
                    <w:spacing w:line="240" w:lineRule="auto"/>
                    <w:ind w:left="-63" w:leftChars="-30" w:right="-63" w:rightChars="-3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面源</w:t>
                  </w:r>
                </w:p>
              </w:tc>
              <w:tc>
                <w:tcPr>
                  <w:tcW w:w="578" w:type="pct"/>
                  <w:noWrap w:val="0"/>
                  <w:vAlign w:val="center"/>
                </w:tcPr>
                <w:p w14:paraId="5723918A">
                  <w:pPr>
                    <w:keepNext w:val="0"/>
                    <w:keepLines w:val="0"/>
                    <w:pageBreakBefore w:val="0"/>
                    <w:kinsoku/>
                    <w:wordWrap/>
                    <w:overflowPunct/>
                    <w:topLinePunct w:val="0"/>
                    <w:autoSpaceDE/>
                    <w:autoSpaceDN/>
                    <w:bidi w:val="0"/>
                    <w:adjustRightInd w:val="0"/>
                    <w:snapToGrid w:val="0"/>
                    <w:spacing w:line="240" w:lineRule="auto"/>
                    <w:ind w:left="-63" w:leftChars="-30" w:right="-63" w:rightChars="-3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面源面积m</w:t>
                  </w:r>
                  <w:r>
                    <w:rPr>
                      <w:rFonts w:hint="default" w:ascii="Times New Roman" w:hAnsi="Times New Roman" w:eastAsia="宋体" w:cs="Times New Roman"/>
                      <w:b/>
                      <w:color w:val="auto"/>
                      <w:sz w:val="21"/>
                      <w:szCs w:val="21"/>
                      <w:vertAlign w:val="superscript"/>
                    </w:rPr>
                    <w:t>2</w:t>
                  </w:r>
                </w:p>
              </w:tc>
              <w:tc>
                <w:tcPr>
                  <w:tcW w:w="517" w:type="pct"/>
                  <w:noWrap w:val="0"/>
                  <w:vAlign w:val="center"/>
                </w:tcPr>
                <w:p w14:paraId="4728AAEC">
                  <w:pPr>
                    <w:keepNext w:val="0"/>
                    <w:keepLines w:val="0"/>
                    <w:pageBreakBefore w:val="0"/>
                    <w:kinsoku/>
                    <w:wordWrap/>
                    <w:overflowPunct/>
                    <w:topLinePunct w:val="0"/>
                    <w:autoSpaceDE/>
                    <w:autoSpaceDN/>
                    <w:bidi w:val="0"/>
                    <w:adjustRightInd w:val="0"/>
                    <w:snapToGrid w:val="0"/>
                    <w:spacing w:line="240" w:lineRule="auto"/>
                    <w:ind w:left="-63" w:leftChars="-30" w:right="-63" w:rightChars="-3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面源高度m</w:t>
                  </w:r>
                </w:p>
              </w:tc>
              <w:tc>
                <w:tcPr>
                  <w:tcW w:w="604" w:type="pct"/>
                  <w:noWrap w:val="0"/>
                  <w:vAlign w:val="center"/>
                </w:tcPr>
                <w:p w14:paraId="57EE299F">
                  <w:pPr>
                    <w:keepNext w:val="0"/>
                    <w:keepLines w:val="0"/>
                    <w:pageBreakBefore w:val="0"/>
                    <w:kinsoku/>
                    <w:wordWrap/>
                    <w:overflowPunct/>
                    <w:topLinePunct w:val="0"/>
                    <w:autoSpaceDE/>
                    <w:autoSpaceDN/>
                    <w:bidi w:val="0"/>
                    <w:adjustRightInd w:val="0"/>
                    <w:snapToGrid w:val="0"/>
                    <w:spacing w:line="240" w:lineRule="auto"/>
                    <w:ind w:left="-63" w:leftChars="-30" w:right="-63" w:rightChars="-3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污染物种类</w:t>
                  </w:r>
                </w:p>
              </w:tc>
              <w:tc>
                <w:tcPr>
                  <w:tcW w:w="583" w:type="pct"/>
                  <w:noWrap w:val="0"/>
                  <w:vAlign w:val="center"/>
                </w:tcPr>
                <w:p w14:paraId="134184AC">
                  <w:pPr>
                    <w:keepNext w:val="0"/>
                    <w:keepLines w:val="0"/>
                    <w:pageBreakBefore w:val="0"/>
                    <w:kinsoku/>
                    <w:wordWrap/>
                    <w:overflowPunct/>
                    <w:topLinePunct w:val="0"/>
                    <w:autoSpaceDE/>
                    <w:autoSpaceDN/>
                    <w:bidi w:val="0"/>
                    <w:adjustRightInd w:val="0"/>
                    <w:snapToGrid w:val="0"/>
                    <w:spacing w:line="240" w:lineRule="auto"/>
                    <w:ind w:left="-63" w:leftChars="-30" w:right="-63" w:rightChars="-3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排放速率kg/h</w:t>
                  </w:r>
                </w:p>
              </w:tc>
              <w:tc>
                <w:tcPr>
                  <w:tcW w:w="513" w:type="pct"/>
                  <w:noWrap w:val="0"/>
                  <w:vAlign w:val="center"/>
                </w:tcPr>
                <w:p w14:paraId="62150671">
                  <w:pPr>
                    <w:keepNext w:val="0"/>
                    <w:keepLines w:val="0"/>
                    <w:pageBreakBefore w:val="0"/>
                    <w:kinsoku/>
                    <w:wordWrap/>
                    <w:overflowPunct/>
                    <w:topLinePunct w:val="0"/>
                    <w:autoSpaceDE/>
                    <w:autoSpaceDN/>
                    <w:bidi w:val="0"/>
                    <w:adjustRightInd w:val="0"/>
                    <w:snapToGrid w:val="0"/>
                    <w:spacing w:line="240" w:lineRule="auto"/>
                    <w:ind w:left="-63" w:leftChars="-30" w:right="-63" w:rightChars="-3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排放量t/a</w:t>
                  </w:r>
                </w:p>
              </w:tc>
              <w:tc>
                <w:tcPr>
                  <w:tcW w:w="1741" w:type="pct"/>
                  <w:noWrap w:val="0"/>
                  <w:vAlign w:val="center"/>
                </w:tcPr>
                <w:p w14:paraId="7F4ACF62">
                  <w:pPr>
                    <w:keepNext w:val="0"/>
                    <w:keepLines w:val="0"/>
                    <w:pageBreakBefore w:val="0"/>
                    <w:kinsoku/>
                    <w:wordWrap/>
                    <w:overflowPunct/>
                    <w:topLinePunct w:val="0"/>
                    <w:autoSpaceDE/>
                    <w:autoSpaceDN/>
                    <w:bidi w:val="0"/>
                    <w:adjustRightInd w:val="0"/>
                    <w:snapToGrid w:val="0"/>
                    <w:spacing w:line="240" w:lineRule="auto"/>
                    <w:ind w:left="-63" w:leftChars="-30" w:right="-63" w:rightChars="-3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无组织排放浓度限值</w:t>
                  </w:r>
                </w:p>
              </w:tc>
            </w:tr>
            <w:tr w14:paraId="58C99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19" w:type="pct"/>
                  <w:vMerge w:val="restart"/>
                  <w:noWrap w:val="0"/>
                  <w:vAlign w:val="center"/>
                </w:tcPr>
                <w:p w14:paraId="4ADC7841">
                  <w:pPr>
                    <w:keepNext w:val="0"/>
                    <w:keepLines w:val="0"/>
                    <w:pageBreakBefore w:val="0"/>
                    <w:kinsoku/>
                    <w:wordWrap/>
                    <w:overflowPunct/>
                    <w:topLinePunct w:val="0"/>
                    <w:autoSpaceDE/>
                    <w:autoSpaceDN/>
                    <w:bidi w:val="0"/>
                    <w:adjustRightInd w:val="0"/>
                    <w:snapToGrid w:val="0"/>
                    <w:spacing w:line="240" w:lineRule="auto"/>
                    <w:ind w:left="-63" w:leftChars="-30" w:right="-63" w:rightChars="-30"/>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生产车间</w:t>
                  </w:r>
                </w:p>
              </w:tc>
              <w:tc>
                <w:tcPr>
                  <w:tcW w:w="342" w:type="pct"/>
                  <w:shd w:val="clear" w:color="auto" w:fill="auto"/>
                  <w:noWrap w:val="0"/>
                  <w:vAlign w:val="center"/>
                </w:tcPr>
                <w:p w14:paraId="7028CF49">
                  <w:pPr>
                    <w:keepNext w:val="0"/>
                    <w:keepLines w:val="0"/>
                    <w:pageBreakBefore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Times New Roman"/>
                      <w:bCs/>
                      <w:color w:val="auto"/>
                      <w:kern w:val="2"/>
                      <w:sz w:val="21"/>
                      <w:szCs w:val="21"/>
                      <w:lang w:val="en-US" w:eastAsia="zh-CN" w:bidi="ar-SA"/>
                    </w:rPr>
                  </w:pPr>
                  <w:r>
                    <w:rPr>
                      <w:rFonts w:hint="eastAsia" w:cs="Times New Roman"/>
                      <w:bCs/>
                      <w:color w:val="auto"/>
                      <w:sz w:val="21"/>
                      <w:szCs w:val="21"/>
                      <w:lang w:val="en-US" w:eastAsia="zh-CN"/>
                    </w:rPr>
                    <w:t>1#厂房</w:t>
                  </w:r>
                </w:p>
              </w:tc>
              <w:tc>
                <w:tcPr>
                  <w:tcW w:w="578" w:type="pct"/>
                  <w:vMerge w:val="restart"/>
                  <w:noWrap w:val="0"/>
                  <w:vAlign w:val="center"/>
                </w:tcPr>
                <w:p w14:paraId="29CE935C">
                  <w:pPr>
                    <w:keepNext w:val="0"/>
                    <w:keepLines w:val="0"/>
                    <w:pageBreakBefore w:val="0"/>
                    <w:kinsoku/>
                    <w:wordWrap/>
                    <w:overflowPunct/>
                    <w:topLinePunct w:val="0"/>
                    <w:autoSpaceDE/>
                    <w:autoSpaceDN/>
                    <w:bidi w:val="0"/>
                    <w:adjustRightInd w:val="0"/>
                    <w:snapToGrid w:val="0"/>
                    <w:spacing w:line="240" w:lineRule="auto"/>
                    <w:ind w:left="-63" w:leftChars="-30" w:right="-63" w:rightChars="-3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color w:val="auto"/>
                      <w:lang w:val="en-US" w:eastAsia="zh-CN"/>
                    </w:rPr>
                    <w:t>6079.24</w:t>
                  </w:r>
                </w:p>
              </w:tc>
              <w:tc>
                <w:tcPr>
                  <w:tcW w:w="517" w:type="pct"/>
                  <w:vMerge w:val="restart"/>
                  <w:noWrap w:val="0"/>
                  <w:vAlign w:val="center"/>
                </w:tcPr>
                <w:p w14:paraId="028B64FF">
                  <w:pPr>
                    <w:widowControl/>
                    <w:jc w:val="center"/>
                    <w:textAlignment w:val="center"/>
                    <w:rPr>
                      <w:rFonts w:hint="default" w:cs="Times New Roman"/>
                      <w:bCs/>
                      <w:color w:val="auto"/>
                      <w:sz w:val="21"/>
                      <w:szCs w:val="21"/>
                      <w:lang w:val="en-US" w:eastAsia="zh-CN"/>
                    </w:rPr>
                  </w:pPr>
                  <w:r>
                    <w:rPr>
                      <w:rFonts w:hint="eastAsia" w:cs="Times New Roman"/>
                      <w:bCs/>
                      <w:color w:val="auto"/>
                      <w:sz w:val="21"/>
                      <w:szCs w:val="21"/>
                      <w:lang w:val="en-US" w:eastAsia="zh-CN"/>
                    </w:rPr>
                    <w:t>12.5</w:t>
                  </w:r>
                </w:p>
              </w:tc>
              <w:tc>
                <w:tcPr>
                  <w:tcW w:w="604" w:type="pct"/>
                  <w:shd w:val="clear" w:color="auto" w:fill="auto"/>
                  <w:noWrap w:val="0"/>
                  <w:vAlign w:val="center"/>
                </w:tcPr>
                <w:p w14:paraId="66E1AE81">
                  <w:pPr>
                    <w:widowControl/>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bCs/>
                      <w:color w:val="auto"/>
                      <w:sz w:val="21"/>
                      <w:szCs w:val="21"/>
                      <w:lang w:val="en-US" w:eastAsia="zh-CN"/>
                    </w:rPr>
                    <w:t>颗粒物</w:t>
                  </w:r>
                </w:p>
              </w:tc>
              <w:tc>
                <w:tcPr>
                  <w:tcW w:w="583" w:type="pct"/>
                  <w:shd w:val="clear" w:color="auto" w:fill="auto"/>
                  <w:noWrap w:val="0"/>
                  <w:vAlign w:val="center"/>
                </w:tcPr>
                <w:p w14:paraId="60F940F0">
                  <w:pPr>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color w:val="auto"/>
                      <w:szCs w:val="21"/>
                      <w:lang w:val="en-US" w:eastAsia="zh-CN"/>
                    </w:rPr>
                    <w:t>0.016</w:t>
                  </w:r>
                </w:p>
              </w:tc>
              <w:tc>
                <w:tcPr>
                  <w:tcW w:w="513" w:type="pct"/>
                  <w:shd w:val="clear" w:color="auto" w:fill="auto"/>
                  <w:noWrap w:val="0"/>
                  <w:vAlign w:val="center"/>
                </w:tcPr>
                <w:p w14:paraId="48296467">
                  <w:pPr>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color w:val="auto"/>
                      <w:szCs w:val="21"/>
                      <w:lang w:val="en-US" w:eastAsia="zh-CN"/>
                    </w:rPr>
                    <w:t>0.02</w:t>
                  </w:r>
                </w:p>
              </w:tc>
              <w:tc>
                <w:tcPr>
                  <w:tcW w:w="1741" w:type="pct"/>
                  <w:shd w:val="clear" w:color="auto" w:fill="auto"/>
                  <w:noWrap w:val="0"/>
                  <w:vAlign w:val="center"/>
                </w:tcPr>
                <w:p w14:paraId="44FEEBC3">
                  <w:pPr>
                    <w:keepNext w:val="0"/>
                    <w:keepLines w:val="0"/>
                    <w:widowControl/>
                    <w:suppressLineNumbers w:val="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bidi="ar"/>
                    </w:rPr>
                    <w:t>厂界监控点浓度限值：</w:t>
                  </w:r>
                  <w:r>
                    <w:rPr>
                      <w:rFonts w:hint="eastAsia" w:eastAsia="宋体" w:cs="Times New Roman"/>
                      <w:color w:val="auto"/>
                      <w:kern w:val="0"/>
                      <w:sz w:val="21"/>
                      <w:szCs w:val="21"/>
                      <w:lang w:val="en-US" w:eastAsia="zh-CN" w:bidi="ar"/>
                    </w:rPr>
                    <w:t>1.0</w:t>
                  </w:r>
                  <w:r>
                    <w:rPr>
                      <w:rFonts w:hint="default" w:ascii="Times New Roman" w:hAnsi="Times New Roman" w:eastAsia="宋体" w:cs="Times New Roman"/>
                      <w:color w:val="auto"/>
                      <w:kern w:val="0"/>
                      <w:sz w:val="21"/>
                      <w:szCs w:val="21"/>
                      <w:lang w:val="en-US" w:eastAsia="zh-CN" w:bidi="ar"/>
                    </w:rPr>
                    <w:t>mg/m</w:t>
                  </w:r>
                  <w:r>
                    <w:rPr>
                      <w:rFonts w:hint="default" w:ascii="Times New Roman" w:hAnsi="Times New Roman" w:eastAsia="宋体" w:cs="Times New Roman"/>
                      <w:color w:val="auto"/>
                      <w:kern w:val="0"/>
                      <w:sz w:val="21"/>
                      <w:szCs w:val="21"/>
                      <w:vertAlign w:val="superscript"/>
                      <w:lang w:val="en-US" w:eastAsia="zh-CN" w:bidi="ar"/>
                    </w:rPr>
                    <w:t>3</w:t>
                  </w:r>
                  <w:r>
                    <w:rPr>
                      <w:rFonts w:hint="default" w:ascii="Times New Roman" w:hAnsi="Times New Roman" w:eastAsia="宋体" w:cs="Times New Roman"/>
                      <w:color w:val="auto"/>
                      <w:kern w:val="0"/>
                      <w:sz w:val="21"/>
                      <w:szCs w:val="21"/>
                      <w:lang w:val="en-US" w:eastAsia="zh-CN" w:bidi="ar"/>
                    </w:rPr>
                    <w:t>；</w:t>
                  </w:r>
                </w:p>
              </w:tc>
            </w:tr>
            <w:tr w14:paraId="18C9E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9" w:type="pct"/>
                  <w:vMerge w:val="continue"/>
                  <w:noWrap w:val="0"/>
                  <w:vAlign w:val="center"/>
                </w:tcPr>
                <w:p w14:paraId="1987A61E">
                  <w:pPr>
                    <w:keepNext w:val="0"/>
                    <w:keepLines w:val="0"/>
                    <w:pageBreakBefore w:val="0"/>
                    <w:kinsoku/>
                    <w:wordWrap/>
                    <w:overflowPunct/>
                    <w:topLinePunct w:val="0"/>
                    <w:autoSpaceDE/>
                    <w:autoSpaceDN/>
                    <w:bidi w:val="0"/>
                    <w:adjustRightInd w:val="0"/>
                    <w:snapToGrid w:val="0"/>
                    <w:spacing w:line="240" w:lineRule="auto"/>
                    <w:ind w:left="-63" w:leftChars="-30" w:right="-63" w:rightChars="-30"/>
                    <w:jc w:val="center"/>
                    <w:rPr>
                      <w:rFonts w:hint="default" w:ascii="Times New Roman" w:hAnsi="Times New Roman" w:eastAsia="宋体" w:cs="Times New Roman"/>
                      <w:bCs/>
                      <w:color w:val="auto"/>
                      <w:sz w:val="21"/>
                      <w:szCs w:val="21"/>
                      <w:lang w:val="en-US" w:eastAsia="zh-CN"/>
                    </w:rPr>
                  </w:pPr>
                </w:p>
              </w:tc>
              <w:tc>
                <w:tcPr>
                  <w:tcW w:w="342" w:type="pct"/>
                  <w:shd w:val="clear" w:color="auto" w:fill="auto"/>
                  <w:noWrap w:val="0"/>
                  <w:vAlign w:val="center"/>
                </w:tcPr>
                <w:p w14:paraId="76405BEB">
                  <w:pPr>
                    <w:keepNext w:val="0"/>
                    <w:keepLines w:val="0"/>
                    <w:pageBreakBefore w:val="0"/>
                    <w:kinsoku/>
                    <w:wordWrap/>
                    <w:overflowPunct/>
                    <w:topLinePunct w:val="0"/>
                    <w:autoSpaceDE/>
                    <w:autoSpaceDN/>
                    <w:bidi w:val="0"/>
                    <w:adjustRightInd w:val="0"/>
                    <w:snapToGrid w:val="0"/>
                    <w:spacing w:line="240" w:lineRule="auto"/>
                    <w:ind w:left="-63" w:leftChars="-30" w:right="-63" w:rightChars="-30"/>
                    <w:jc w:val="center"/>
                    <w:rPr>
                      <w:rFonts w:hint="eastAsia" w:ascii="Times New Roman" w:hAnsi="Times New Roman" w:eastAsia="宋体" w:cs="Times New Roman"/>
                      <w:bCs/>
                      <w:color w:val="auto"/>
                      <w:kern w:val="2"/>
                      <w:sz w:val="21"/>
                      <w:szCs w:val="21"/>
                      <w:lang w:val="en-US" w:eastAsia="zh-CN" w:bidi="ar-SA"/>
                    </w:rPr>
                  </w:pPr>
                  <w:r>
                    <w:rPr>
                      <w:rFonts w:hint="eastAsia" w:cs="Times New Roman"/>
                      <w:bCs/>
                      <w:color w:val="auto"/>
                      <w:sz w:val="21"/>
                      <w:szCs w:val="21"/>
                      <w:lang w:val="en-US" w:eastAsia="zh-CN"/>
                    </w:rPr>
                    <w:t>2#厂房</w:t>
                  </w:r>
                </w:p>
              </w:tc>
              <w:tc>
                <w:tcPr>
                  <w:tcW w:w="578" w:type="pct"/>
                  <w:vMerge w:val="continue"/>
                  <w:noWrap w:val="0"/>
                  <w:vAlign w:val="center"/>
                </w:tcPr>
                <w:p w14:paraId="10AA51E1">
                  <w:pPr>
                    <w:keepNext w:val="0"/>
                    <w:keepLines w:val="0"/>
                    <w:pageBreakBefore w:val="0"/>
                    <w:kinsoku/>
                    <w:wordWrap/>
                    <w:overflowPunct/>
                    <w:topLinePunct w:val="0"/>
                    <w:autoSpaceDE/>
                    <w:autoSpaceDN/>
                    <w:bidi w:val="0"/>
                    <w:adjustRightInd w:val="0"/>
                    <w:snapToGrid w:val="0"/>
                    <w:spacing w:line="240" w:lineRule="auto"/>
                    <w:ind w:left="-63" w:leftChars="-30" w:right="-63" w:rightChars="-30"/>
                    <w:jc w:val="center"/>
                    <w:rPr>
                      <w:rFonts w:hint="eastAsia" w:cs="Times New Roman"/>
                      <w:color w:val="auto"/>
                      <w:kern w:val="1"/>
                      <w:sz w:val="21"/>
                      <w:szCs w:val="21"/>
                      <w:lang w:val="en-US" w:eastAsia="zh-CN"/>
                    </w:rPr>
                  </w:pPr>
                </w:p>
              </w:tc>
              <w:tc>
                <w:tcPr>
                  <w:tcW w:w="517" w:type="pct"/>
                  <w:vMerge w:val="continue"/>
                  <w:noWrap w:val="0"/>
                  <w:vAlign w:val="center"/>
                </w:tcPr>
                <w:p w14:paraId="079101EC">
                  <w:pPr>
                    <w:widowControl/>
                    <w:jc w:val="center"/>
                    <w:textAlignment w:val="center"/>
                    <w:rPr>
                      <w:rFonts w:hint="default" w:cs="Times New Roman"/>
                      <w:bCs/>
                      <w:color w:val="auto"/>
                      <w:sz w:val="21"/>
                      <w:szCs w:val="21"/>
                      <w:lang w:val="en-US" w:eastAsia="zh-CN"/>
                    </w:rPr>
                  </w:pPr>
                </w:p>
              </w:tc>
              <w:tc>
                <w:tcPr>
                  <w:tcW w:w="604" w:type="pct"/>
                  <w:shd w:val="clear" w:color="auto" w:fill="auto"/>
                  <w:noWrap w:val="0"/>
                  <w:vAlign w:val="center"/>
                </w:tcPr>
                <w:p w14:paraId="05299D7A">
                  <w:pPr>
                    <w:widowControl/>
                    <w:jc w:val="center"/>
                    <w:textAlignment w:val="center"/>
                    <w:rPr>
                      <w:rFonts w:hint="default" w:cs="Times New Roman"/>
                      <w:bCs/>
                      <w:color w:val="auto"/>
                      <w:sz w:val="21"/>
                      <w:szCs w:val="21"/>
                      <w:lang w:val="en-US" w:eastAsia="zh-CN"/>
                    </w:rPr>
                  </w:pPr>
                  <w:r>
                    <w:rPr>
                      <w:rFonts w:hint="eastAsia" w:cs="Times New Roman"/>
                      <w:bCs/>
                      <w:color w:val="auto"/>
                      <w:sz w:val="21"/>
                      <w:szCs w:val="21"/>
                      <w:lang w:val="en-US" w:eastAsia="zh-CN"/>
                    </w:rPr>
                    <w:t>非甲烷总烃</w:t>
                  </w:r>
                </w:p>
              </w:tc>
              <w:tc>
                <w:tcPr>
                  <w:tcW w:w="1463" w:type="dxa"/>
                  <w:shd w:val="clear" w:color="auto" w:fill="auto"/>
                  <w:noWrap w:val="0"/>
                  <w:vAlign w:val="center"/>
                </w:tcPr>
                <w:p w14:paraId="482E46AE">
                  <w:pPr>
                    <w:jc w:val="center"/>
                    <w:rPr>
                      <w:rFonts w:hint="eastAsia" w:ascii="Times New Roman" w:hAnsi="Times New Roman"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0.015002344</w:t>
                  </w:r>
                </w:p>
              </w:tc>
              <w:tc>
                <w:tcPr>
                  <w:tcW w:w="1287" w:type="dxa"/>
                  <w:shd w:val="clear" w:color="auto" w:fill="auto"/>
                  <w:noWrap w:val="0"/>
                  <w:vAlign w:val="center"/>
                </w:tcPr>
                <w:p w14:paraId="50774C3E">
                  <w:pPr>
                    <w:jc w:val="center"/>
                    <w:rPr>
                      <w:rFonts w:hint="eastAsia" w:ascii="Times New Roman" w:hAnsi="Times New Roman"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0.076012</w:t>
                  </w:r>
                </w:p>
              </w:tc>
              <w:tc>
                <w:tcPr>
                  <w:tcW w:w="1741" w:type="pct"/>
                  <w:shd w:val="clear" w:color="auto" w:fill="auto"/>
                  <w:noWrap w:val="0"/>
                  <w:vAlign w:val="center"/>
                </w:tcPr>
                <w:p w14:paraId="428D9883">
                  <w:pPr>
                    <w:keepNext w:val="0"/>
                    <w:keepLines w:val="0"/>
                    <w:pageBreakBefore w:val="0"/>
                    <w:kinsoku/>
                    <w:wordWrap/>
                    <w:overflowPunct/>
                    <w:topLinePunct w:val="0"/>
                    <w:autoSpaceDE/>
                    <w:autoSpaceDN/>
                    <w:bidi w:val="0"/>
                    <w:adjustRightInd w:val="0"/>
                    <w:snapToGrid w:val="0"/>
                    <w:spacing w:line="240" w:lineRule="auto"/>
                    <w:ind w:left="-63" w:leftChars="-30" w:right="-63" w:rightChars="-3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厂界：厂界监控点浓度限值4.0mg/m</w:t>
                  </w:r>
                  <w:r>
                    <w:rPr>
                      <w:rFonts w:hint="default" w:ascii="Times New Roman" w:hAnsi="Times New Roman" w:eastAsia="宋体" w:cs="Times New Roman"/>
                      <w:bCs/>
                      <w:color w:val="auto"/>
                      <w:sz w:val="21"/>
                      <w:szCs w:val="21"/>
                      <w:vertAlign w:val="superscript"/>
                    </w:rPr>
                    <w:t>3</w:t>
                  </w:r>
                  <w:r>
                    <w:rPr>
                      <w:rFonts w:hint="default" w:ascii="Times New Roman" w:hAnsi="Times New Roman" w:eastAsia="宋体" w:cs="Times New Roman"/>
                      <w:bCs/>
                      <w:color w:val="auto"/>
                      <w:sz w:val="21"/>
                      <w:szCs w:val="21"/>
                    </w:rPr>
                    <w:t>；</w:t>
                  </w:r>
                </w:p>
                <w:p w14:paraId="2360AFD7">
                  <w:pPr>
                    <w:keepNext w:val="0"/>
                    <w:keepLines w:val="0"/>
                    <w:widowControl/>
                    <w:suppressLineNumbers w:val="0"/>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bCs/>
                      <w:color w:val="auto"/>
                      <w:sz w:val="21"/>
                      <w:szCs w:val="21"/>
                    </w:rPr>
                    <w:t>厂区内：监控点处1h平均浓度值6.0mg/m</w:t>
                  </w:r>
                  <w:r>
                    <w:rPr>
                      <w:rFonts w:hint="default" w:ascii="Times New Roman" w:hAnsi="Times New Roman" w:eastAsia="宋体" w:cs="Times New Roman"/>
                      <w:bCs/>
                      <w:color w:val="auto"/>
                      <w:sz w:val="21"/>
                      <w:szCs w:val="21"/>
                      <w:vertAlign w:val="superscript"/>
                    </w:rPr>
                    <w:t>3</w:t>
                  </w:r>
                  <w:r>
                    <w:rPr>
                      <w:rFonts w:hint="default" w:ascii="Times New Roman" w:hAnsi="Times New Roman" w:eastAsia="宋体" w:cs="Times New Roman"/>
                      <w:bCs/>
                      <w:color w:val="auto"/>
                      <w:sz w:val="21"/>
                      <w:szCs w:val="21"/>
                    </w:rPr>
                    <w:t>，监控点处任意一次浓度值20mg/m</w:t>
                  </w:r>
                  <w:r>
                    <w:rPr>
                      <w:rFonts w:hint="default" w:ascii="Times New Roman" w:hAnsi="Times New Roman" w:eastAsia="宋体" w:cs="Times New Roman"/>
                      <w:bCs/>
                      <w:color w:val="auto"/>
                      <w:sz w:val="21"/>
                      <w:szCs w:val="21"/>
                      <w:vertAlign w:val="superscript"/>
                    </w:rPr>
                    <w:t>3</w:t>
                  </w:r>
                </w:p>
              </w:tc>
            </w:tr>
          </w:tbl>
          <w:p w14:paraId="7F361CC9">
            <w:pPr>
              <w:widowControl/>
              <w:jc w:val="left"/>
              <w:rPr>
                <w:rFonts w:hint="default" w:ascii="Times New Roman" w:hAnsi="Times New Roman" w:cs="Times New Roman"/>
                <w:color w:val="auto"/>
                <w:kern w:val="0"/>
                <w:szCs w:val="21"/>
              </w:rPr>
            </w:pPr>
          </w:p>
          <w:p w14:paraId="62CC1A08">
            <w:pPr>
              <w:widowControl/>
              <w:jc w:val="left"/>
              <w:rPr>
                <w:rFonts w:hint="default" w:ascii="Times New Roman" w:hAnsi="Times New Roman" w:cs="Times New Roman"/>
                <w:color w:val="auto"/>
                <w:kern w:val="0"/>
                <w:szCs w:val="21"/>
              </w:rPr>
            </w:pPr>
          </w:p>
          <w:p w14:paraId="5E5948B6">
            <w:pPr>
              <w:widowControl/>
              <w:jc w:val="left"/>
              <w:rPr>
                <w:rFonts w:hint="default" w:ascii="Times New Roman" w:hAnsi="Times New Roman" w:cs="Times New Roman"/>
                <w:color w:val="auto"/>
                <w:kern w:val="0"/>
                <w:szCs w:val="21"/>
              </w:rPr>
            </w:pPr>
          </w:p>
          <w:p w14:paraId="6F0DD829">
            <w:pPr>
              <w:widowControl/>
              <w:jc w:val="left"/>
              <w:rPr>
                <w:rFonts w:hint="default" w:ascii="Times New Roman" w:hAnsi="Times New Roman" w:cs="Times New Roman"/>
                <w:color w:val="auto"/>
                <w:kern w:val="0"/>
                <w:szCs w:val="21"/>
              </w:rPr>
            </w:pPr>
          </w:p>
        </w:tc>
      </w:tr>
    </w:tbl>
    <w:p w14:paraId="7838BF93">
      <w:pPr>
        <w:tabs>
          <w:tab w:val="left" w:pos="1077"/>
        </w:tabs>
        <w:rPr>
          <w:rFonts w:hint="default" w:ascii="Times New Roman" w:hAnsi="Times New Roman" w:cs="Times New Roman"/>
          <w:color w:val="auto"/>
          <w:sz w:val="24"/>
        </w:rPr>
        <w:sectPr>
          <w:pgSz w:w="16838" w:h="11905" w:orient="landscape"/>
          <w:pgMar w:top="1531" w:right="1701" w:bottom="1531" w:left="2126" w:header="851" w:footer="850" w:gutter="0"/>
          <w:cols w:space="0" w:num="1"/>
          <w:docGrid w:linePitch="312" w:charSpace="0"/>
        </w:sectPr>
      </w:pPr>
    </w:p>
    <w:tbl>
      <w:tblPr>
        <w:tblStyle w:val="63"/>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605"/>
      </w:tblGrid>
      <w:tr w14:paraId="4DC68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452" w:type="dxa"/>
            <w:vMerge w:val="restart"/>
            <w:shd w:val="clear" w:color="auto" w:fill="auto"/>
            <w:vAlign w:val="center"/>
          </w:tcPr>
          <w:p w14:paraId="5CCCE485">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运营</w:t>
            </w:r>
          </w:p>
          <w:p w14:paraId="2E5D5201">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期环</w:t>
            </w:r>
          </w:p>
          <w:p w14:paraId="04FB5BBB">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境影</w:t>
            </w:r>
          </w:p>
          <w:p w14:paraId="5D980094">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响和</w:t>
            </w:r>
          </w:p>
          <w:p w14:paraId="1A98FE2C">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保护</w:t>
            </w:r>
          </w:p>
          <w:p w14:paraId="5DC984AC">
            <w:pPr>
              <w:tabs>
                <w:tab w:val="left" w:pos="1077"/>
              </w:tabs>
              <w:jc w:val="center"/>
              <w:rPr>
                <w:rFonts w:hint="default" w:ascii="Times New Roman" w:hAnsi="Times New Roman" w:cs="Times New Roman"/>
                <w:color w:val="auto"/>
                <w:sz w:val="24"/>
              </w:rPr>
            </w:pPr>
            <w:r>
              <w:rPr>
                <w:rFonts w:hint="default" w:ascii="Times New Roman" w:hAnsi="Times New Roman" w:cs="Times New Roman"/>
                <w:color w:val="auto"/>
                <w:kern w:val="0"/>
                <w:sz w:val="24"/>
              </w:rPr>
              <w:t>措施</w:t>
            </w:r>
          </w:p>
        </w:tc>
        <w:tc>
          <w:tcPr>
            <w:tcW w:w="8609" w:type="dxa"/>
            <w:shd w:val="clear" w:color="auto" w:fill="auto"/>
          </w:tcPr>
          <w:p w14:paraId="3607B6EE">
            <w:pPr>
              <w:tabs>
                <w:tab w:val="left" w:pos="1077"/>
              </w:tabs>
              <w:spacing w:before="100" w:beforeAutospacing="1" w:line="360" w:lineRule="auto"/>
              <w:ind w:firstLine="482" w:firstLineChars="200"/>
              <w:rPr>
                <w:rFonts w:hint="default" w:ascii="Times New Roman" w:hAnsi="Times New Roman" w:cs="Times New Roman"/>
                <w:b/>
                <w:color w:val="auto"/>
                <w:sz w:val="24"/>
              </w:rPr>
            </w:pPr>
            <w:r>
              <w:rPr>
                <w:rFonts w:hint="default" w:ascii="Times New Roman" w:hAnsi="Times New Roman" w:cs="Times New Roman"/>
                <w:b/>
                <w:color w:val="auto"/>
                <w:sz w:val="24"/>
              </w:rPr>
              <w:t>2、废气非正常排放</w:t>
            </w:r>
          </w:p>
          <w:p w14:paraId="31F16B82">
            <w:pPr>
              <w:tabs>
                <w:tab w:val="left" w:pos="1077"/>
              </w:tabs>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非正常排放主要是指生产过程中开、停车、检修、发生故障情况下污染物的排放，不包括事故。非正常排放大小及频率与生产装置的工艺水平、操作管理水平等因素有密切关系，若没有严格的处理措施，往往是造成污染的重要因素。</w:t>
            </w:r>
          </w:p>
          <w:p w14:paraId="2C09042C">
            <w:pPr>
              <w:tabs>
                <w:tab w:val="left" w:pos="1077"/>
              </w:tabs>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本项目非正常工况主要包括开、停车，检修；电力供应突然中断；废气处理设施故障。项目非正常工况会引起污染物的非正常排放。本项目非正常工况下情况分析如下：</w:t>
            </w:r>
          </w:p>
          <w:p w14:paraId="3E9D5C43">
            <w:pPr>
              <w:tabs>
                <w:tab w:val="left" w:pos="1077"/>
              </w:tabs>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（1）开停车</w:t>
            </w:r>
          </w:p>
          <w:p w14:paraId="043FFA16">
            <w:pPr>
              <w:tabs>
                <w:tab w:val="left" w:pos="1077"/>
              </w:tabs>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项目计划停车，装置首先要停工，生产装置及环保设施等同步进行检修、维护和保养后，再开工生产。</w:t>
            </w:r>
          </w:p>
          <w:p w14:paraId="443E651B">
            <w:pPr>
              <w:tabs>
                <w:tab w:val="left" w:pos="1077"/>
              </w:tabs>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（2）设备故障</w:t>
            </w:r>
          </w:p>
          <w:p w14:paraId="59C48086">
            <w:pPr>
              <w:tabs>
                <w:tab w:val="left" w:pos="1077"/>
              </w:tabs>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当生产系统出现故障如停电故障，由于本项目采用双回路供电，出现停电的概率极低，控制系统采用DCS自动控制系统，因此出现上述情况的概率较低。</w:t>
            </w:r>
          </w:p>
          <w:p w14:paraId="1556AB6D">
            <w:pPr>
              <w:tabs>
                <w:tab w:val="left" w:pos="1077"/>
              </w:tabs>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由于开停车、设备检修等非正常工况产生的废气量均比正常工况的小，污染物也比正常工况时产生量少，废气经尾气处理装置处理后排放对周围环境的影响也相应地比正常工况轻。因此本次评价不考虑开停车及设备检修产生的污染物影响。</w:t>
            </w:r>
          </w:p>
          <w:p w14:paraId="07A9876E">
            <w:pPr>
              <w:tabs>
                <w:tab w:val="left" w:pos="1077"/>
              </w:tabs>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（3）废气处置效率降低</w:t>
            </w:r>
          </w:p>
          <w:p w14:paraId="539D2F56">
            <w:pPr>
              <w:tabs>
                <w:tab w:val="left" w:pos="1077"/>
              </w:tabs>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鉴于拟建项目产污主要集中在生产车间，本项目非正常工况为配套的废气处理装置处理效率无法达到设计效率时，</w:t>
            </w:r>
            <w:r>
              <w:rPr>
                <w:rFonts w:hint="eastAsia" w:cs="Times New Roman"/>
                <w:color w:val="auto"/>
                <w:sz w:val="24"/>
                <w:lang w:eastAsia="zh-CN"/>
              </w:rPr>
              <w:t>（</w:t>
            </w:r>
            <w:r>
              <w:rPr>
                <w:rFonts w:hint="default" w:ascii="Times New Roman" w:hAnsi="Times New Roman" w:cs="Times New Roman"/>
                <w:color w:val="auto"/>
                <w:sz w:val="24"/>
              </w:rPr>
              <w:t>非正常工况年排放时间按1h时间计算</w:t>
            </w:r>
            <w:r>
              <w:rPr>
                <w:rFonts w:hint="eastAsia" w:cs="Times New Roman"/>
                <w:color w:val="auto"/>
                <w:sz w:val="24"/>
                <w:lang w:eastAsia="zh-CN"/>
              </w:rPr>
              <w:t>）</w:t>
            </w:r>
            <w:r>
              <w:rPr>
                <w:rFonts w:hint="default" w:ascii="Times New Roman" w:hAnsi="Times New Roman" w:cs="Times New Roman"/>
                <w:color w:val="auto"/>
                <w:sz w:val="24"/>
              </w:rPr>
              <w:t>，废气在未经有效处理的情况通过排气筒排放，非正常工况下废气排放详见下表。本次评价环评要求企业实定期检查尾气处理装置，严格管理，避免失效工况发生。</w:t>
            </w:r>
          </w:p>
          <w:p w14:paraId="1592996A">
            <w:pPr>
              <w:keepNext w:val="0"/>
              <w:keepLines w:val="0"/>
              <w:pageBreakBefore w:val="0"/>
              <w:widowControl/>
              <w:kinsoku/>
              <w:wordWrap/>
              <w:overflowPunct/>
              <w:topLinePunct w:val="0"/>
              <w:autoSpaceDE/>
              <w:autoSpaceDN/>
              <w:bidi w:val="0"/>
              <w:adjustRightInd/>
              <w:snapToGrid/>
              <w:spacing w:beforeAutospacing="0"/>
              <w:ind w:left="-105" w:leftChars="-50"/>
              <w:jc w:val="center"/>
              <w:textAlignment w:val="auto"/>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表4-</w:t>
            </w:r>
            <w:r>
              <w:rPr>
                <w:rFonts w:hint="default" w:ascii="Times New Roman" w:hAnsi="Times New Roman" w:cs="Times New Roman"/>
                <w:b/>
                <w:color w:val="auto"/>
                <w:kern w:val="0"/>
                <w:sz w:val="24"/>
                <w:lang w:val="en-US" w:eastAsia="zh-CN"/>
              </w:rPr>
              <w:t>1</w:t>
            </w:r>
            <w:r>
              <w:rPr>
                <w:rFonts w:hint="eastAsia" w:cs="Times New Roman"/>
                <w:b/>
                <w:color w:val="auto"/>
                <w:kern w:val="0"/>
                <w:sz w:val="24"/>
                <w:lang w:val="en-US" w:eastAsia="zh-CN"/>
              </w:rPr>
              <w:t>0</w:t>
            </w:r>
            <w:r>
              <w:rPr>
                <w:rFonts w:hint="default" w:ascii="Times New Roman" w:hAnsi="Times New Roman" w:cs="Times New Roman"/>
                <w:b/>
                <w:color w:val="auto"/>
                <w:kern w:val="0"/>
                <w:sz w:val="24"/>
              </w:rPr>
              <w:t xml:space="preserve">  本项目非正常工况污染物排放情况</w:t>
            </w:r>
          </w:p>
          <w:tbl>
            <w:tblPr>
              <w:tblStyle w:val="63"/>
              <w:tblW w:w="4985"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0" w:type="dxa"/>
                <w:bottom w:w="0" w:type="dxa"/>
                <w:right w:w="0" w:type="dxa"/>
              </w:tblCellMar>
            </w:tblPr>
            <w:tblGrid>
              <w:gridCol w:w="716"/>
              <w:gridCol w:w="960"/>
              <w:gridCol w:w="1420"/>
              <w:gridCol w:w="1000"/>
              <w:gridCol w:w="783"/>
              <w:gridCol w:w="927"/>
              <w:gridCol w:w="962"/>
              <w:gridCol w:w="766"/>
              <w:gridCol w:w="825"/>
            </w:tblGrid>
            <w:tr w14:paraId="0F17FAB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53" w:hRule="atLeast"/>
                <w:jc w:val="center"/>
              </w:trPr>
              <w:tc>
                <w:tcPr>
                  <w:tcW w:w="428" w:type="pct"/>
                  <w:vMerge w:val="restart"/>
                  <w:vAlign w:val="center"/>
                </w:tcPr>
                <w:p w14:paraId="32ECB426">
                  <w:pPr>
                    <w:overflowPunct w:val="0"/>
                    <w:adjustRightInd w:val="0"/>
                    <w:snapToGrid w:val="0"/>
                    <w:ind w:firstLine="4"/>
                    <w:jc w:val="center"/>
                    <w:textAlignment w:val="baseline"/>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排放源编号</w:t>
                  </w:r>
                </w:p>
              </w:tc>
              <w:tc>
                <w:tcPr>
                  <w:tcW w:w="574" w:type="pct"/>
                  <w:vMerge w:val="restart"/>
                  <w:vAlign w:val="center"/>
                </w:tcPr>
                <w:p w14:paraId="34F83490">
                  <w:pPr>
                    <w:overflowPunct w:val="0"/>
                    <w:adjustRightInd w:val="0"/>
                    <w:snapToGrid w:val="0"/>
                    <w:ind w:firstLine="4"/>
                    <w:jc w:val="center"/>
                    <w:textAlignment w:val="baseline"/>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污染源</w:t>
                  </w:r>
                </w:p>
              </w:tc>
              <w:tc>
                <w:tcPr>
                  <w:tcW w:w="849" w:type="pct"/>
                  <w:vMerge w:val="restart"/>
                  <w:vAlign w:val="center"/>
                </w:tcPr>
                <w:p w14:paraId="0DB5B4CB">
                  <w:pPr>
                    <w:overflowPunct w:val="0"/>
                    <w:adjustRightInd w:val="0"/>
                    <w:snapToGrid w:val="0"/>
                    <w:ind w:firstLine="4"/>
                    <w:jc w:val="center"/>
                    <w:textAlignment w:val="baseline"/>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污染物</w:t>
                  </w:r>
                </w:p>
                <w:p w14:paraId="107C3774">
                  <w:pPr>
                    <w:overflowPunct w:val="0"/>
                    <w:adjustRightInd w:val="0"/>
                    <w:snapToGrid w:val="0"/>
                    <w:ind w:firstLine="4"/>
                    <w:jc w:val="center"/>
                    <w:textAlignment w:val="baseline"/>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名称</w:t>
                  </w:r>
                </w:p>
              </w:tc>
              <w:tc>
                <w:tcPr>
                  <w:tcW w:w="598" w:type="pct"/>
                  <w:vMerge w:val="restart"/>
                  <w:vAlign w:val="center"/>
                </w:tcPr>
                <w:p w14:paraId="4E6CE2BA">
                  <w:pPr>
                    <w:overflowPunct w:val="0"/>
                    <w:adjustRightInd w:val="0"/>
                    <w:snapToGrid w:val="0"/>
                    <w:ind w:firstLine="4"/>
                    <w:jc w:val="center"/>
                    <w:textAlignment w:val="baseline"/>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非正常排放原因</w:t>
                  </w:r>
                </w:p>
              </w:tc>
              <w:tc>
                <w:tcPr>
                  <w:tcW w:w="468" w:type="pct"/>
                  <w:vMerge w:val="restart"/>
                  <w:vAlign w:val="center"/>
                </w:tcPr>
                <w:p w14:paraId="2CA0A00B">
                  <w:pPr>
                    <w:overflowPunct w:val="0"/>
                    <w:adjustRightInd w:val="0"/>
                    <w:snapToGrid w:val="0"/>
                    <w:ind w:firstLine="4"/>
                    <w:jc w:val="center"/>
                    <w:textAlignment w:val="baseline"/>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去除率</w:t>
                  </w:r>
                </w:p>
              </w:tc>
              <w:tc>
                <w:tcPr>
                  <w:tcW w:w="1129" w:type="pct"/>
                  <w:gridSpan w:val="2"/>
                  <w:vAlign w:val="center"/>
                </w:tcPr>
                <w:p w14:paraId="3D394F0A">
                  <w:pPr>
                    <w:overflowPunct w:val="0"/>
                    <w:adjustRightInd w:val="0"/>
                    <w:snapToGrid w:val="0"/>
                    <w:ind w:firstLine="4"/>
                    <w:jc w:val="center"/>
                    <w:textAlignment w:val="baseline"/>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排放状况</w:t>
                  </w:r>
                </w:p>
              </w:tc>
              <w:tc>
                <w:tcPr>
                  <w:tcW w:w="458" w:type="pct"/>
                  <w:vMerge w:val="restart"/>
                  <w:vAlign w:val="center"/>
                </w:tcPr>
                <w:p w14:paraId="4B35F7E3">
                  <w:pPr>
                    <w:overflowPunct w:val="0"/>
                    <w:adjustRightInd w:val="0"/>
                    <w:snapToGrid w:val="0"/>
                    <w:spacing w:before="40" w:after="60" w:line="200" w:lineRule="atLeast"/>
                    <w:ind w:firstLine="4"/>
                    <w:jc w:val="center"/>
                    <w:textAlignment w:val="baseline"/>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单次持续时间</w:t>
                  </w:r>
                </w:p>
              </w:tc>
              <w:tc>
                <w:tcPr>
                  <w:tcW w:w="493" w:type="pct"/>
                  <w:vMerge w:val="restart"/>
                  <w:vAlign w:val="center"/>
                </w:tcPr>
                <w:p w14:paraId="407253AF">
                  <w:pPr>
                    <w:overflowPunct w:val="0"/>
                    <w:adjustRightInd w:val="0"/>
                    <w:snapToGrid w:val="0"/>
                    <w:spacing w:before="40" w:after="60" w:line="200" w:lineRule="atLeast"/>
                    <w:ind w:firstLine="4"/>
                    <w:jc w:val="center"/>
                    <w:textAlignment w:val="baseline"/>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年发生频次</w:t>
                  </w:r>
                </w:p>
              </w:tc>
            </w:tr>
            <w:tr w14:paraId="384F5A1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51" w:hRule="atLeast"/>
                <w:jc w:val="center"/>
              </w:trPr>
              <w:tc>
                <w:tcPr>
                  <w:tcW w:w="428" w:type="pct"/>
                  <w:vMerge w:val="continue"/>
                  <w:vAlign w:val="center"/>
                </w:tcPr>
                <w:p w14:paraId="4F11EFB1">
                  <w:pPr>
                    <w:overflowPunct w:val="0"/>
                    <w:adjustRightInd w:val="0"/>
                    <w:snapToGrid w:val="0"/>
                    <w:ind w:firstLine="4"/>
                    <w:jc w:val="center"/>
                    <w:textAlignment w:val="baseline"/>
                    <w:rPr>
                      <w:rFonts w:hint="default" w:ascii="Times New Roman" w:hAnsi="Times New Roman" w:cs="Times New Roman"/>
                      <w:b/>
                      <w:color w:val="auto"/>
                      <w:kern w:val="0"/>
                      <w:szCs w:val="21"/>
                    </w:rPr>
                  </w:pPr>
                </w:p>
              </w:tc>
              <w:tc>
                <w:tcPr>
                  <w:tcW w:w="574" w:type="pct"/>
                  <w:vMerge w:val="continue"/>
                  <w:vAlign w:val="center"/>
                </w:tcPr>
                <w:p w14:paraId="2A1B05D5">
                  <w:pPr>
                    <w:overflowPunct w:val="0"/>
                    <w:adjustRightInd w:val="0"/>
                    <w:snapToGrid w:val="0"/>
                    <w:ind w:firstLine="4"/>
                    <w:jc w:val="center"/>
                    <w:textAlignment w:val="baseline"/>
                    <w:rPr>
                      <w:rFonts w:hint="default" w:ascii="Times New Roman" w:hAnsi="Times New Roman" w:cs="Times New Roman"/>
                      <w:b/>
                      <w:color w:val="auto"/>
                      <w:kern w:val="0"/>
                      <w:szCs w:val="21"/>
                    </w:rPr>
                  </w:pPr>
                </w:p>
              </w:tc>
              <w:tc>
                <w:tcPr>
                  <w:tcW w:w="849" w:type="pct"/>
                  <w:vMerge w:val="continue"/>
                  <w:vAlign w:val="center"/>
                </w:tcPr>
                <w:p w14:paraId="76676F99">
                  <w:pPr>
                    <w:overflowPunct w:val="0"/>
                    <w:adjustRightInd w:val="0"/>
                    <w:snapToGrid w:val="0"/>
                    <w:ind w:firstLine="4"/>
                    <w:jc w:val="center"/>
                    <w:textAlignment w:val="baseline"/>
                    <w:rPr>
                      <w:rFonts w:hint="default" w:ascii="Times New Roman" w:hAnsi="Times New Roman" w:cs="Times New Roman"/>
                      <w:b/>
                      <w:color w:val="auto"/>
                      <w:kern w:val="0"/>
                      <w:szCs w:val="21"/>
                    </w:rPr>
                  </w:pPr>
                </w:p>
              </w:tc>
              <w:tc>
                <w:tcPr>
                  <w:tcW w:w="598" w:type="pct"/>
                  <w:vMerge w:val="continue"/>
                  <w:vAlign w:val="center"/>
                </w:tcPr>
                <w:p w14:paraId="75F811D0">
                  <w:pPr>
                    <w:overflowPunct w:val="0"/>
                    <w:adjustRightInd w:val="0"/>
                    <w:snapToGrid w:val="0"/>
                    <w:ind w:firstLine="4"/>
                    <w:jc w:val="center"/>
                    <w:textAlignment w:val="baseline"/>
                    <w:rPr>
                      <w:rFonts w:hint="default" w:ascii="Times New Roman" w:hAnsi="Times New Roman" w:cs="Times New Roman"/>
                      <w:b/>
                      <w:color w:val="auto"/>
                      <w:kern w:val="0"/>
                      <w:szCs w:val="21"/>
                    </w:rPr>
                  </w:pPr>
                </w:p>
              </w:tc>
              <w:tc>
                <w:tcPr>
                  <w:tcW w:w="468" w:type="pct"/>
                  <w:vMerge w:val="continue"/>
                  <w:vAlign w:val="center"/>
                </w:tcPr>
                <w:p w14:paraId="67E8062F">
                  <w:pPr>
                    <w:overflowPunct w:val="0"/>
                    <w:adjustRightInd w:val="0"/>
                    <w:snapToGrid w:val="0"/>
                    <w:ind w:firstLine="4"/>
                    <w:jc w:val="center"/>
                    <w:textAlignment w:val="baseline"/>
                    <w:rPr>
                      <w:rFonts w:hint="default" w:ascii="Times New Roman" w:hAnsi="Times New Roman" w:cs="Times New Roman"/>
                      <w:b/>
                      <w:color w:val="auto"/>
                      <w:kern w:val="0"/>
                      <w:szCs w:val="21"/>
                    </w:rPr>
                  </w:pPr>
                </w:p>
              </w:tc>
              <w:tc>
                <w:tcPr>
                  <w:tcW w:w="554" w:type="pct"/>
                  <w:vAlign w:val="center"/>
                </w:tcPr>
                <w:p w14:paraId="5B1702E8">
                  <w:pPr>
                    <w:widowControl/>
                    <w:ind w:left="-105" w:leftChars="-50" w:right="-105" w:rightChars="-5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kg/h</w:t>
                  </w:r>
                </w:p>
              </w:tc>
              <w:tc>
                <w:tcPr>
                  <w:tcW w:w="575" w:type="pct"/>
                  <w:vAlign w:val="center"/>
                </w:tcPr>
                <w:p w14:paraId="60BAC586">
                  <w:pPr>
                    <w:widowControl/>
                    <w:ind w:left="-105" w:leftChars="-50" w:right="-105" w:rightChars="-5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mg/m</w:t>
                  </w:r>
                  <w:r>
                    <w:rPr>
                      <w:rFonts w:hint="default" w:ascii="Times New Roman" w:hAnsi="Times New Roman" w:cs="Times New Roman"/>
                      <w:b/>
                      <w:color w:val="auto"/>
                      <w:kern w:val="0"/>
                      <w:szCs w:val="21"/>
                      <w:vertAlign w:val="superscript"/>
                    </w:rPr>
                    <w:t>3</w:t>
                  </w:r>
                </w:p>
              </w:tc>
              <w:tc>
                <w:tcPr>
                  <w:tcW w:w="458" w:type="pct"/>
                  <w:vMerge w:val="continue"/>
                  <w:vAlign w:val="center"/>
                </w:tcPr>
                <w:p w14:paraId="731DC78E">
                  <w:pPr>
                    <w:overflowPunct w:val="0"/>
                    <w:adjustRightInd w:val="0"/>
                    <w:snapToGrid w:val="0"/>
                    <w:ind w:firstLine="4"/>
                    <w:jc w:val="center"/>
                    <w:textAlignment w:val="baseline"/>
                    <w:rPr>
                      <w:rFonts w:hint="default" w:ascii="Times New Roman" w:hAnsi="Times New Roman" w:cs="Times New Roman"/>
                      <w:b/>
                      <w:color w:val="auto"/>
                      <w:kern w:val="0"/>
                      <w:szCs w:val="21"/>
                    </w:rPr>
                  </w:pPr>
                </w:p>
              </w:tc>
              <w:tc>
                <w:tcPr>
                  <w:tcW w:w="493" w:type="pct"/>
                  <w:vMerge w:val="continue"/>
                  <w:vAlign w:val="center"/>
                </w:tcPr>
                <w:p w14:paraId="2A83D006">
                  <w:pPr>
                    <w:overflowPunct w:val="0"/>
                    <w:adjustRightInd w:val="0"/>
                    <w:snapToGrid w:val="0"/>
                    <w:ind w:firstLine="4"/>
                    <w:jc w:val="center"/>
                    <w:textAlignment w:val="baseline"/>
                    <w:rPr>
                      <w:rFonts w:hint="default" w:ascii="Times New Roman" w:hAnsi="Times New Roman" w:cs="Times New Roman"/>
                      <w:b/>
                      <w:color w:val="auto"/>
                      <w:kern w:val="0"/>
                      <w:szCs w:val="21"/>
                    </w:rPr>
                  </w:pPr>
                </w:p>
              </w:tc>
            </w:tr>
            <w:tr w14:paraId="6159081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2" w:hRule="atLeast"/>
                <w:jc w:val="center"/>
              </w:trPr>
              <w:tc>
                <w:tcPr>
                  <w:tcW w:w="428" w:type="pct"/>
                  <w:shd w:val="clear" w:color="auto" w:fill="auto"/>
                  <w:vAlign w:val="center"/>
                </w:tcPr>
                <w:p w14:paraId="7B6D5454">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cs="Times New Roman"/>
                      <w:color w:val="auto"/>
                    </w:rPr>
                    <w:t>DA001</w:t>
                  </w:r>
                </w:p>
              </w:tc>
              <w:tc>
                <w:tcPr>
                  <w:tcW w:w="574" w:type="pct"/>
                  <w:shd w:val="clear" w:color="auto" w:fill="auto"/>
                  <w:vAlign w:val="center"/>
                </w:tcPr>
                <w:p w14:paraId="288178DD">
                  <w:pPr>
                    <w:widowControl/>
                    <w:jc w:val="center"/>
                    <w:textAlignment w:val="center"/>
                    <w:rPr>
                      <w:rFonts w:hint="default" w:eastAsia="宋体" w:cs="Times New Roman"/>
                      <w:i w:val="0"/>
                      <w:iCs w:val="0"/>
                      <w:color w:val="auto"/>
                      <w:kern w:val="0"/>
                      <w:sz w:val="21"/>
                      <w:szCs w:val="21"/>
                      <w:u w:val="none"/>
                      <w:lang w:val="en-US" w:eastAsia="zh-CN" w:bidi="ar"/>
                    </w:rPr>
                  </w:pPr>
                  <w:r>
                    <w:rPr>
                      <w:rFonts w:hint="eastAsia" w:eastAsia="宋体" w:cs="Times New Roman"/>
                      <w:i w:val="0"/>
                      <w:iCs w:val="0"/>
                      <w:color w:val="auto"/>
                      <w:kern w:val="0"/>
                      <w:sz w:val="21"/>
                      <w:szCs w:val="21"/>
                      <w:u w:val="none"/>
                      <w:lang w:val="en-US" w:eastAsia="zh-CN" w:bidi="ar"/>
                    </w:rPr>
                    <w:t>抛丸</w:t>
                  </w:r>
                </w:p>
              </w:tc>
              <w:tc>
                <w:tcPr>
                  <w:tcW w:w="849" w:type="pct"/>
                  <w:shd w:val="clear" w:color="auto" w:fill="auto"/>
                  <w:vAlign w:val="center"/>
                </w:tcPr>
                <w:p w14:paraId="59887EA3">
                  <w:pPr>
                    <w:widowControl/>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颗粒物</w:t>
                  </w:r>
                </w:p>
              </w:tc>
              <w:tc>
                <w:tcPr>
                  <w:tcW w:w="598" w:type="pct"/>
                  <w:shd w:val="clear" w:color="auto" w:fill="auto"/>
                  <w:vAlign w:val="center"/>
                </w:tcPr>
                <w:p w14:paraId="38E75A22">
                  <w:pPr>
                    <w:overflowPunct w:val="0"/>
                    <w:adjustRightInd w:val="0"/>
                    <w:snapToGrid w:val="0"/>
                    <w:ind w:firstLine="4" w:firstLineChars="0"/>
                    <w:jc w:val="center"/>
                    <w:textAlignment w:val="baseline"/>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Cs w:val="21"/>
                    </w:rPr>
                    <w:t>布带穿孔或风机故障</w:t>
                  </w:r>
                </w:p>
              </w:tc>
              <w:tc>
                <w:tcPr>
                  <w:tcW w:w="468" w:type="pct"/>
                  <w:shd w:val="clear" w:color="auto" w:fill="auto"/>
                  <w:vAlign w:val="center"/>
                </w:tcPr>
                <w:p w14:paraId="6557DD73">
                  <w:pPr>
                    <w:overflowPunct w:val="0"/>
                    <w:adjustRightInd w:val="0"/>
                    <w:snapToGrid w:val="0"/>
                    <w:ind w:firstLine="4" w:firstLineChars="0"/>
                    <w:jc w:val="center"/>
                    <w:textAlignment w:val="baseline"/>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50</w:t>
                  </w:r>
                  <w:r>
                    <w:rPr>
                      <w:rFonts w:hint="default" w:ascii="Times New Roman" w:hAnsi="Times New Roman" w:eastAsia="宋体" w:cs="Times New Roman"/>
                      <w:color w:val="auto"/>
                      <w:kern w:val="0"/>
                      <w:szCs w:val="21"/>
                    </w:rPr>
                    <w:t>%</w:t>
                  </w:r>
                </w:p>
              </w:tc>
              <w:tc>
                <w:tcPr>
                  <w:tcW w:w="927" w:type="dxa"/>
                  <w:shd w:val="clear" w:color="auto" w:fill="auto"/>
                  <w:vAlign w:val="center"/>
                </w:tcPr>
                <w:p w14:paraId="4FF8EE43">
                  <w:pPr>
                    <w:overflowPunct w:val="0"/>
                    <w:adjustRightInd w:val="0"/>
                    <w:snapToGrid w:val="0"/>
                    <w:ind w:firstLine="4" w:firstLineChars="0"/>
                    <w:jc w:val="center"/>
                    <w:textAlignment w:val="baseline"/>
                    <w:rPr>
                      <w:rFonts w:hint="default" w:ascii="Times New Roman" w:hAnsi="Times New Roman" w:eastAsia="宋体" w:cs="Times New Roman"/>
                      <w:color w:val="auto"/>
                      <w:kern w:val="0"/>
                      <w:szCs w:val="21"/>
                      <w:lang w:val="en-US" w:eastAsia="zh-CN"/>
                    </w:rPr>
                  </w:pPr>
                  <w:r>
                    <w:rPr>
                      <w:rFonts w:hint="eastAsia" w:cs="Times New Roman"/>
                      <w:color w:val="auto"/>
                      <w:kern w:val="0"/>
                      <w:szCs w:val="21"/>
                      <w:lang w:val="en-US" w:eastAsia="zh-CN"/>
                    </w:rPr>
                    <w:t>0.796</w:t>
                  </w:r>
                </w:p>
              </w:tc>
              <w:tc>
                <w:tcPr>
                  <w:tcW w:w="962" w:type="dxa"/>
                  <w:shd w:val="clear" w:color="auto" w:fill="auto"/>
                  <w:vAlign w:val="center"/>
                </w:tcPr>
                <w:p w14:paraId="61FDF5E1">
                  <w:pPr>
                    <w:overflowPunct w:val="0"/>
                    <w:adjustRightInd w:val="0"/>
                    <w:snapToGrid w:val="0"/>
                    <w:ind w:firstLine="4" w:firstLineChars="0"/>
                    <w:jc w:val="center"/>
                    <w:textAlignment w:val="baseline"/>
                    <w:rPr>
                      <w:rFonts w:hint="default" w:ascii="Times New Roman" w:hAnsi="Times New Roman" w:eastAsia="宋体" w:cs="Times New Roman"/>
                      <w:color w:val="auto"/>
                      <w:kern w:val="0"/>
                      <w:szCs w:val="21"/>
                      <w:lang w:val="en-US" w:eastAsia="zh-CN"/>
                    </w:rPr>
                  </w:pPr>
                  <w:r>
                    <w:rPr>
                      <w:rFonts w:hint="eastAsia" w:cs="Times New Roman"/>
                      <w:color w:val="auto"/>
                      <w:kern w:val="0"/>
                      <w:szCs w:val="21"/>
                      <w:lang w:val="en-US" w:eastAsia="zh-CN"/>
                    </w:rPr>
                    <w:t>190.5275</w:t>
                  </w:r>
                </w:p>
              </w:tc>
              <w:tc>
                <w:tcPr>
                  <w:tcW w:w="458" w:type="pct"/>
                  <w:shd w:val="clear" w:color="auto" w:fill="auto"/>
                  <w:vAlign w:val="center"/>
                </w:tcPr>
                <w:p w14:paraId="2D33EEE9">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1h</w:t>
                  </w:r>
                </w:p>
              </w:tc>
              <w:tc>
                <w:tcPr>
                  <w:tcW w:w="493" w:type="pct"/>
                  <w:shd w:val="clear" w:color="auto" w:fill="auto"/>
                  <w:vAlign w:val="center"/>
                </w:tcPr>
                <w:p w14:paraId="716D48A3">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1次/年</w:t>
                  </w:r>
                </w:p>
              </w:tc>
            </w:tr>
            <w:tr w14:paraId="0AA05B7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82" w:hRule="atLeast"/>
                <w:jc w:val="center"/>
              </w:trPr>
              <w:tc>
                <w:tcPr>
                  <w:tcW w:w="428" w:type="pct"/>
                  <w:shd w:val="clear" w:color="auto" w:fill="auto"/>
                  <w:vAlign w:val="center"/>
                </w:tcPr>
                <w:p w14:paraId="59D8BC8A">
                  <w:pPr>
                    <w:adjustRightInd w:val="0"/>
                    <w:snapToGrid w:val="0"/>
                    <w:jc w:val="center"/>
                    <w:rPr>
                      <w:rFonts w:hint="default" w:ascii="Times New Roman" w:hAnsi="Times New Roman" w:eastAsia="宋体" w:cs="Times New Roman"/>
                      <w:color w:val="auto"/>
                      <w:lang w:val="en-US" w:eastAsia="zh-CN"/>
                    </w:rPr>
                  </w:pPr>
                  <w:r>
                    <w:rPr>
                      <w:rFonts w:hint="eastAsia" w:cs="Times New Roman"/>
                      <w:color w:val="auto"/>
                      <w:lang w:val="en-US" w:eastAsia="zh-CN"/>
                    </w:rPr>
                    <w:t>DA002</w:t>
                  </w:r>
                </w:p>
              </w:tc>
              <w:tc>
                <w:tcPr>
                  <w:tcW w:w="574" w:type="pct"/>
                  <w:shd w:val="clear" w:color="auto" w:fill="auto"/>
                  <w:vAlign w:val="center"/>
                </w:tcPr>
                <w:p w14:paraId="55AB304D">
                  <w:pPr>
                    <w:widowControl/>
                    <w:jc w:val="center"/>
                    <w:textAlignment w:val="center"/>
                    <w:rPr>
                      <w:rFonts w:hint="default"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锻造</w:t>
                  </w:r>
                </w:p>
              </w:tc>
              <w:tc>
                <w:tcPr>
                  <w:tcW w:w="849" w:type="pct"/>
                  <w:shd w:val="clear" w:color="auto" w:fill="auto"/>
                  <w:vAlign w:val="center"/>
                </w:tcPr>
                <w:p w14:paraId="25D0E236">
                  <w:pPr>
                    <w:widowControl/>
                    <w:jc w:val="center"/>
                    <w:textAlignment w:val="center"/>
                    <w:rPr>
                      <w:rFonts w:hint="eastAsia" w:cs="Times New Roman"/>
                      <w:i w:val="0"/>
                      <w:iCs w:val="0"/>
                      <w:color w:val="auto"/>
                      <w:kern w:val="0"/>
                      <w:sz w:val="21"/>
                      <w:szCs w:val="21"/>
                      <w:u w:val="none"/>
                      <w:lang w:val="en-US" w:eastAsia="zh-CN" w:bidi="ar"/>
                    </w:rPr>
                  </w:pPr>
                  <w:r>
                    <w:rPr>
                      <w:rFonts w:hint="default" w:ascii="Times New Roman" w:hAnsi="Times New Roman" w:cs="Times New Roman"/>
                      <w:color w:val="auto"/>
                      <w:sz w:val="21"/>
                      <w:szCs w:val="21"/>
                      <w:lang w:val="en-US" w:eastAsia="zh-CN"/>
                    </w:rPr>
                    <w:t>非甲烷总烃</w:t>
                  </w:r>
                </w:p>
              </w:tc>
              <w:tc>
                <w:tcPr>
                  <w:tcW w:w="598" w:type="pct"/>
                  <w:shd w:val="clear" w:color="auto" w:fill="auto"/>
                  <w:vAlign w:val="center"/>
                </w:tcPr>
                <w:p w14:paraId="6748E63D">
                  <w:pPr>
                    <w:overflowPunct w:val="0"/>
                    <w:adjustRightInd w:val="0"/>
                    <w:snapToGrid w:val="0"/>
                    <w:ind w:firstLine="4" w:firstLineChars="0"/>
                    <w:jc w:val="center"/>
                    <w:textAlignment w:val="baseline"/>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szCs w:val="21"/>
                    </w:rPr>
                    <w:t>活性炭未及时更换</w:t>
                  </w:r>
                  <w:r>
                    <w:rPr>
                      <w:rFonts w:hint="eastAsia" w:cs="Times New Roman"/>
                      <w:color w:val="auto"/>
                      <w:szCs w:val="21"/>
                      <w:lang w:eastAsia="zh-CN"/>
                    </w:rPr>
                    <w:t>、布袋穿孔</w:t>
                  </w:r>
                  <w:r>
                    <w:rPr>
                      <w:rFonts w:hint="default" w:ascii="Times New Roman" w:hAnsi="Times New Roman" w:cs="Times New Roman"/>
                      <w:color w:val="auto"/>
                      <w:szCs w:val="21"/>
                    </w:rPr>
                    <w:t>或风机故障</w:t>
                  </w:r>
                </w:p>
              </w:tc>
              <w:tc>
                <w:tcPr>
                  <w:tcW w:w="468" w:type="pct"/>
                  <w:shd w:val="clear" w:color="auto" w:fill="auto"/>
                  <w:vAlign w:val="center"/>
                </w:tcPr>
                <w:p w14:paraId="485D808E">
                  <w:pPr>
                    <w:overflowPunct w:val="0"/>
                    <w:adjustRightInd w:val="0"/>
                    <w:snapToGrid w:val="0"/>
                    <w:ind w:firstLine="4" w:firstLineChars="0"/>
                    <w:jc w:val="center"/>
                    <w:textAlignment w:val="baseline"/>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Cs w:val="21"/>
                    </w:rPr>
                    <w:t>0%</w:t>
                  </w:r>
                </w:p>
              </w:tc>
              <w:tc>
                <w:tcPr>
                  <w:tcW w:w="554" w:type="pct"/>
                  <w:shd w:val="clear" w:color="auto" w:fill="auto"/>
                  <w:vAlign w:val="center"/>
                </w:tcPr>
                <w:p w14:paraId="464F05D1">
                  <w:pPr>
                    <w:overflowPunct w:val="0"/>
                    <w:adjustRightInd w:val="0"/>
                    <w:snapToGrid w:val="0"/>
                    <w:ind w:firstLine="4" w:firstLineChars="0"/>
                    <w:jc w:val="center"/>
                    <w:textAlignment w:val="baseline"/>
                    <w:rPr>
                      <w:rFonts w:hint="eastAsia" w:ascii="Times New Roman" w:hAnsi="Times New Roman" w:eastAsia="宋体" w:cs="Times New Roman"/>
                      <w:color w:val="auto"/>
                      <w:kern w:val="0"/>
                      <w:szCs w:val="21"/>
                      <w:lang w:val="en-US" w:eastAsia="zh-CN"/>
                    </w:rPr>
                  </w:pPr>
                  <w:r>
                    <w:rPr>
                      <w:rFonts w:hint="eastAsia" w:cs="Times New Roman"/>
                      <w:color w:val="auto"/>
                      <w:szCs w:val="21"/>
                      <w:lang w:val="en-US" w:eastAsia="zh-CN"/>
                    </w:rPr>
                    <w:t>0.133</w:t>
                  </w:r>
                </w:p>
              </w:tc>
              <w:tc>
                <w:tcPr>
                  <w:tcW w:w="575" w:type="pct"/>
                  <w:shd w:val="clear" w:color="auto" w:fill="auto"/>
                  <w:vAlign w:val="center"/>
                </w:tcPr>
                <w:p w14:paraId="79C87DD1">
                  <w:pPr>
                    <w:overflowPunct w:val="0"/>
                    <w:adjustRightInd w:val="0"/>
                    <w:snapToGrid w:val="0"/>
                    <w:ind w:firstLine="4" w:firstLineChars="0"/>
                    <w:jc w:val="center"/>
                    <w:textAlignment w:val="baseline"/>
                    <w:rPr>
                      <w:rFonts w:hint="eastAsia" w:ascii="Times New Roman" w:hAnsi="Times New Roman" w:eastAsia="宋体" w:cs="Times New Roman"/>
                      <w:color w:val="auto"/>
                      <w:kern w:val="0"/>
                      <w:szCs w:val="21"/>
                      <w:lang w:val="en-US" w:eastAsia="zh-CN"/>
                    </w:rPr>
                  </w:pPr>
                  <w:r>
                    <w:rPr>
                      <w:rFonts w:hint="eastAsia" w:cs="Times New Roman"/>
                      <w:color w:val="auto"/>
                      <w:szCs w:val="21"/>
                      <w:lang w:val="en-US" w:eastAsia="zh-CN"/>
                    </w:rPr>
                    <w:t>26.578</w:t>
                  </w:r>
                </w:p>
              </w:tc>
              <w:tc>
                <w:tcPr>
                  <w:tcW w:w="458" w:type="pct"/>
                  <w:shd w:val="clear" w:color="auto" w:fill="auto"/>
                  <w:vAlign w:val="center"/>
                </w:tcPr>
                <w:p w14:paraId="631736FD">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1h</w:t>
                  </w:r>
                </w:p>
              </w:tc>
              <w:tc>
                <w:tcPr>
                  <w:tcW w:w="493" w:type="pct"/>
                  <w:shd w:val="clear" w:color="auto" w:fill="auto"/>
                  <w:vAlign w:val="center"/>
                </w:tcPr>
                <w:p w14:paraId="5530C091">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1次/年</w:t>
                  </w:r>
                </w:p>
              </w:tc>
            </w:tr>
          </w:tbl>
          <w:p w14:paraId="53FD15A2">
            <w:pPr>
              <w:tabs>
                <w:tab w:val="left" w:pos="1077"/>
              </w:tabs>
              <w:spacing w:line="360" w:lineRule="auto"/>
              <w:ind w:firstLine="482" w:firstLineChars="200"/>
              <w:rPr>
                <w:rFonts w:hint="default" w:ascii="Times New Roman" w:hAnsi="Times New Roman" w:cs="Times New Roman"/>
                <w:b/>
                <w:color w:val="auto"/>
                <w:kern w:val="0"/>
                <w:sz w:val="24"/>
                <w:lang w:val="en-US" w:eastAsia="zh-CN"/>
              </w:rPr>
            </w:pPr>
            <w:r>
              <w:rPr>
                <w:rFonts w:hint="default" w:ascii="Times New Roman" w:hAnsi="Times New Roman" w:cs="Times New Roman"/>
                <w:b/>
                <w:color w:val="auto"/>
                <w:kern w:val="0"/>
                <w:sz w:val="24"/>
                <w:lang w:val="en-US" w:eastAsia="zh-CN"/>
              </w:rPr>
              <w:t>3、废气治理措施可行性分析</w:t>
            </w:r>
          </w:p>
          <w:p w14:paraId="272AB903">
            <w:pPr>
              <w:autoSpaceDE w:val="0"/>
              <w:spacing w:line="360" w:lineRule="auto"/>
              <w:ind w:firstLine="480" w:firstLineChars="200"/>
              <w:rPr>
                <w:rFonts w:hint="default" w:ascii="Times New Roman" w:hAnsi="Times New Roman" w:eastAsia="宋体" w:cs="Times New Roman"/>
                <w:bCs/>
                <w:color w:val="auto"/>
                <w:sz w:val="24"/>
                <w:szCs w:val="24"/>
              </w:rPr>
            </w:pPr>
            <w:r>
              <w:rPr>
                <w:rFonts w:hint="default" w:ascii="Times New Roman" w:hAnsi="Times New Roman" w:cs="Times New Roman"/>
                <w:color w:val="auto"/>
                <w:sz w:val="24"/>
              </w:rPr>
              <w:t>（1）</w:t>
            </w:r>
            <w:r>
              <w:rPr>
                <w:rFonts w:hint="default" w:ascii="Times New Roman" w:hAnsi="Times New Roman" w:cs="Times New Roman"/>
                <w:color w:val="auto"/>
                <w:sz w:val="24"/>
                <w:lang w:eastAsia="zh-CN"/>
              </w:rPr>
              <w:t>废气处理工艺流程</w:t>
            </w:r>
          </w:p>
          <w:p w14:paraId="5CC244A3">
            <w:pPr>
              <w:jc w:val="center"/>
              <w:rPr>
                <w:rFonts w:hint="default" w:ascii="Times New Roman" w:hAnsi="Times New Roman" w:eastAsia="宋体" w:cs="Times New Roman"/>
                <w:b/>
                <w:bCs/>
                <w:color w:val="auto"/>
                <w:sz w:val="24"/>
                <w:szCs w:val="24"/>
              </w:rPr>
            </w:pPr>
            <w:r>
              <w:rPr>
                <w:color w:val="auto"/>
              </w:rPr>
              <w:object>
                <v:shape id="_x0000_i1027" o:spt="75" type="#_x0000_t75" style="height:116.3pt;width:415.3pt;" o:ole="t" filled="f" o:preferrelative="t" stroked="f" coordsize="21600,21600">
                  <v:path/>
                  <v:fill on="f" focussize="0,0"/>
                  <v:stroke on="f"/>
                  <v:imagedata r:id="rId15" o:title=""/>
                  <o:lock v:ext="edit" aspectratio="f"/>
                  <w10:wrap type="none"/>
                  <w10:anchorlock/>
                </v:shape>
                <o:OLEObject Type="Embed" ProgID="Visio.Drawing.11" ShapeID="_x0000_i1027" DrawAspect="Content" ObjectID="_1468075727" r:id="rId14">
                  <o:LockedField>false</o:LockedField>
                </o:OLEObject>
              </w:object>
            </w:r>
          </w:p>
          <w:p w14:paraId="60EF82B2">
            <w:pPr>
              <w:jc w:val="center"/>
              <w:rPr>
                <w:rFonts w:hint="default" w:ascii="Times New Roman" w:hAnsi="Times New Roman" w:eastAsia="宋体" w:cs="Times New Roman"/>
                <w:color w:val="auto"/>
                <w:kern w:val="0"/>
                <w:sz w:val="24"/>
                <w:szCs w:val="24"/>
                <w:lang w:bidi="ar"/>
              </w:rPr>
            </w:pPr>
            <w:r>
              <w:rPr>
                <w:rFonts w:hint="default" w:ascii="Times New Roman" w:hAnsi="Times New Roman" w:eastAsia="宋体" w:cs="Times New Roman"/>
                <w:b/>
                <w:bCs/>
                <w:color w:val="auto"/>
                <w:sz w:val="24"/>
                <w:szCs w:val="24"/>
              </w:rPr>
              <w:t>图4-</w:t>
            </w:r>
            <w:r>
              <w:rPr>
                <w:rFonts w:hint="default" w:ascii="Times New Roman" w:hAnsi="Times New Roman" w:eastAsia="宋体" w:cs="Times New Roman"/>
                <w:b/>
                <w:bCs/>
                <w:color w:val="auto"/>
                <w:sz w:val="24"/>
                <w:szCs w:val="24"/>
                <w:lang w:val="en-US" w:eastAsia="zh-CN"/>
              </w:rPr>
              <w:t>1</w:t>
            </w:r>
            <w:r>
              <w:rPr>
                <w:rFonts w:hint="default" w:ascii="Times New Roman" w:hAnsi="Times New Roman" w:eastAsia="宋体" w:cs="Times New Roman"/>
                <w:b/>
                <w:bCs/>
                <w:color w:val="auto"/>
                <w:sz w:val="24"/>
                <w:szCs w:val="24"/>
              </w:rPr>
              <w:t xml:space="preserve"> 项目废气治理流程图</w:t>
            </w:r>
          </w:p>
          <w:p w14:paraId="07E46F65">
            <w:pPr>
              <w:pStyle w:val="1096"/>
              <w:ind w:firstLine="420"/>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2）项目废气治理措施可行性分析</w:t>
            </w:r>
          </w:p>
          <w:p w14:paraId="25B39A88">
            <w:pPr>
              <w:tabs>
                <w:tab w:val="left" w:pos="6987"/>
              </w:tabs>
              <w:spacing w:line="360" w:lineRule="auto"/>
              <w:ind w:firstLine="482" w:firstLineChars="200"/>
              <w:rPr>
                <w:rFonts w:hint="default" w:ascii="Times New Roman" w:hAnsi="Times New Roman" w:eastAsia="宋体" w:cs="Times New Roman"/>
                <w:b/>
                <w:bCs w:val="0"/>
                <w:color w:val="auto"/>
                <w:sz w:val="24"/>
                <w:szCs w:val="24"/>
              </w:rPr>
            </w:pPr>
            <w:r>
              <w:rPr>
                <w:rFonts w:hint="default" w:ascii="Times New Roman" w:hAnsi="Times New Roman" w:cs="Times New Roman"/>
                <w:b/>
                <w:bCs/>
                <w:color w:val="auto"/>
                <w:sz w:val="24"/>
                <w:szCs w:val="24"/>
                <w:lang w:eastAsia="zh-CN"/>
              </w:rPr>
              <w:t>①</w:t>
            </w:r>
            <w:r>
              <w:rPr>
                <w:rFonts w:hint="default" w:ascii="Times New Roman" w:hAnsi="Times New Roman" w:eastAsia="宋体" w:cs="Times New Roman"/>
                <w:b/>
                <w:bCs w:val="0"/>
                <w:color w:val="auto"/>
                <w:sz w:val="24"/>
                <w:szCs w:val="24"/>
              </w:rPr>
              <w:t>粉尘治理措施</w:t>
            </w:r>
          </w:p>
          <w:p w14:paraId="71ED7815">
            <w:pPr>
              <w:spacing w:line="360" w:lineRule="auto"/>
              <w:ind w:firstLine="482"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布袋除尘器：</w:t>
            </w:r>
            <w:r>
              <w:rPr>
                <w:rFonts w:hint="default" w:ascii="Times New Roman" w:hAnsi="Times New Roman" w:eastAsia="宋体" w:cs="Times New Roman"/>
                <w:color w:val="auto"/>
                <w:sz w:val="24"/>
                <w:szCs w:val="24"/>
              </w:rPr>
              <w:t>袋式除尘器的滤布用棉、毛、有机纤维、元机纤维织成，滤袋的捕尘主要是通过筛滤机制完成的，在尘粒径大滤料纤维孔隙时，会被滤料拦截，从气流中筛滤出来，特别是粉尘在滤料沉积到一定厚度后，形成所谓的“粉尘初层”，这种筛滤作用更为显著。袋式除尘器广泛应用于各种工业废气除尘中，它的除尘效率高，可达到95%以上，适应范围广，对细颗粒粉尘也有很强的捕集作用。</w:t>
            </w:r>
          </w:p>
          <w:p w14:paraId="31AE604D">
            <w:pPr>
              <w:tabs>
                <w:tab w:val="left" w:pos="6987"/>
              </w:tabs>
              <w:spacing w:line="360" w:lineRule="auto"/>
              <w:ind w:firstLine="482" w:firstLineChars="200"/>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kern w:val="0"/>
                <w:sz w:val="24"/>
                <w:szCs w:val="24"/>
                <w:lang w:eastAsia="zh-CN" w:bidi="ar"/>
              </w:rPr>
              <w:t>②</w:t>
            </w:r>
            <w:r>
              <w:rPr>
                <w:rFonts w:hint="default" w:ascii="Times New Roman" w:hAnsi="Times New Roman" w:cs="Times New Roman"/>
                <w:b/>
                <w:bCs/>
                <w:color w:val="auto"/>
                <w:sz w:val="24"/>
                <w:szCs w:val="24"/>
                <w:lang w:eastAsia="zh-CN"/>
              </w:rPr>
              <w:t>有机废气治理</w:t>
            </w:r>
          </w:p>
          <w:p w14:paraId="171C125D">
            <w:pPr>
              <w:spacing w:line="360" w:lineRule="auto"/>
              <w:ind w:firstLine="482" w:firstLineChars="200"/>
              <w:rPr>
                <w:rFonts w:hint="default" w:ascii="Times New Roman" w:hAnsi="Times New Roman" w:eastAsia="宋体" w:cs="Times New Roman"/>
                <w:color w:val="auto"/>
                <w:sz w:val="24"/>
                <w:szCs w:val="24"/>
              </w:rPr>
            </w:pPr>
            <w:r>
              <w:rPr>
                <w:rFonts w:hint="eastAsia" w:cs="Times New Roman"/>
                <w:b/>
                <w:bCs/>
                <w:color w:val="auto"/>
                <w:sz w:val="24"/>
                <w:szCs w:val="24"/>
                <w:lang w:eastAsia="zh-CN"/>
              </w:rPr>
              <w:t>两级</w:t>
            </w:r>
            <w:r>
              <w:rPr>
                <w:rFonts w:hint="default" w:ascii="Times New Roman" w:hAnsi="Times New Roman" w:eastAsia="宋体" w:cs="Times New Roman"/>
                <w:b/>
                <w:bCs/>
                <w:color w:val="auto"/>
                <w:sz w:val="24"/>
                <w:szCs w:val="24"/>
              </w:rPr>
              <w:t>活性炭吸附净化原理如下：</w:t>
            </w:r>
          </w:p>
          <w:p w14:paraId="26DBD799">
            <w:pPr>
              <w:spacing w:line="360" w:lineRule="auto"/>
              <w:ind w:firstLine="480" w:firstLineChars="200"/>
              <w:rPr>
                <w:rFonts w:hint="default" w:ascii="Times New Roman" w:hAnsi="Times New Roman" w:eastAsia="宋体" w:cs="Times New Roman"/>
                <w:color w:val="auto"/>
                <w:kern w:val="0"/>
                <w:sz w:val="24"/>
                <w:szCs w:val="24"/>
                <w:lang w:bidi="ar"/>
              </w:rPr>
            </w:pPr>
            <w:r>
              <w:rPr>
                <w:rFonts w:hint="default" w:ascii="Times New Roman" w:hAnsi="Times New Roman" w:eastAsia="宋体" w:cs="Times New Roman"/>
                <w:color w:val="auto"/>
                <w:kern w:val="0"/>
                <w:sz w:val="24"/>
                <w:szCs w:val="24"/>
                <w:lang w:bidi="ar"/>
              </w:rPr>
              <w:t>活性炭吸附法是以活性炭作为吸附剂，把废气中有机物溶剂的蒸汽吸附到固相表面，从而达到净化废气的方法。活性炭是一种具有非极性表面、疏水性、亲有机物的吸附剂。活性炭是由各种含碳物质（如木材、泥煤、果核、椰壳等原料）在高温下炭化后，再用水蒸气或化学药品（如氯化锌、氯化锰、氯化钙和磷酸等）进行活化处理，然后制成的孔隙十分丰富的吸附剂，其孔径平均为（10～40）×10</w:t>
            </w:r>
            <w:r>
              <w:rPr>
                <w:rFonts w:hint="default" w:ascii="Times New Roman" w:hAnsi="Times New Roman" w:eastAsia="宋体" w:cs="Times New Roman"/>
                <w:color w:val="auto"/>
                <w:kern w:val="0"/>
                <w:sz w:val="24"/>
                <w:szCs w:val="24"/>
                <w:vertAlign w:val="superscript"/>
                <w:lang w:bidi="ar"/>
              </w:rPr>
              <w:t>-8</w:t>
            </w:r>
            <w:r>
              <w:rPr>
                <w:rFonts w:hint="default" w:ascii="Times New Roman" w:hAnsi="Times New Roman" w:eastAsia="宋体" w:cs="Times New Roman"/>
                <w:color w:val="auto"/>
                <w:kern w:val="0"/>
                <w:sz w:val="24"/>
                <w:szCs w:val="24"/>
                <w:lang w:bidi="ar"/>
              </w:rPr>
              <w:t>cm，比表面积一般在600～1500m</w:t>
            </w:r>
            <w:r>
              <w:rPr>
                <w:rFonts w:hint="default" w:ascii="Times New Roman" w:hAnsi="Times New Roman" w:eastAsia="宋体" w:cs="Times New Roman"/>
                <w:color w:val="auto"/>
                <w:kern w:val="0"/>
                <w:sz w:val="24"/>
                <w:szCs w:val="24"/>
                <w:vertAlign w:val="superscript"/>
                <w:lang w:bidi="ar"/>
              </w:rPr>
              <w:t>2</w:t>
            </w:r>
            <w:r>
              <w:rPr>
                <w:rFonts w:hint="default" w:ascii="Times New Roman" w:hAnsi="Times New Roman" w:eastAsia="宋体" w:cs="Times New Roman"/>
                <w:color w:val="auto"/>
                <w:kern w:val="0"/>
                <w:sz w:val="24"/>
                <w:szCs w:val="24"/>
                <w:lang w:bidi="ar"/>
              </w:rPr>
              <w:t>/g范围内，具有优良的吸附能力。</w:t>
            </w:r>
          </w:p>
          <w:p w14:paraId="0511475C">
            <w:pPr>
              <w:spacing w:line="360" w:lineRule="auto"/>
              <w:ind w:firstLine="480" w:firstLineChars="200"/>
              <w:rPr>
                <w:rFonts w:hint="default" w:ascii="Times New Roman" w:hAnsi="Times New Roman" w:eastAsia="宋体" w:cs="Times New Roman"/>
                <w:color w:val="auto"/>
                <w:kern w:val="0"/>
                <w:sz w:val="24"/>
                <w:szCs w:val="24"/>
                <w:lang w:bidi="ar"/>
              </w:rPr>
            </w:pPr>
            <w:r>
              <w:rPr>
                <w:rFonts w:hint="default" w:ascii="Times New Roman" w:hAnsi="Times New Roman" w:eastAsia="宋体" w:cs="Times New Roman"/>
                <w:color w:val="auto"/>
                <w:kern w:val="0"/>
                <w:sz w:val="24"/>
                <w:szCs w:val="24"/>
                <w:lang w:bidi="ar"/>
              </w:rPr>
              <w:t>废气通过活性炭吸附层时，大部分的吸附质被吸附在吸附层内，随着吸附时间的延续，活性炭的吸附能力将下降，其有效部分将越来越薄，当活性炭全部达到饱和时，活性炭被穿透。为确保装置处理效率，需定期对活性炭进行更替。</w:t>
            </w:r>
          </w:p>
          <w:p w14:paraId="1F6C9991">
            <w:pPr>
              <w:spacing w:line="360" w:lineRule="auto"/>
              <w:ind w:firstLine="480" w:firstLineChars="200"/>
              <w:rPr>
                <w:rFonts w:hint="default" w:ascii="Times New Roman" w:hAnsi="Times New Roman" w:eastAsia="宋体" w:cs="Times New Roman"/>
                <w:color w:val="auto"/>
                <w:kern w:val="0"/>
                <w:sz w:val="24"/>
                <w:szCs w:val="24"/>
                <w:lang w:bidi="ar"/>
              </w:rPr>
            </w:pPr>
            <w:r>
              <w:rPr>
                <w:rFonts w:hint="default" w:ascii="Times New Roman" w:hAnsi="Times New Roman" w:eastAsia="宋体" w:cs="Times New Roman"/>
                <w:color w:val="auto"/>
                <w:kern w:val="0"/>
                <w:sz w:val="24"/>
                <w:szCs w:val="24"/>
                <w:lang w:val="en-US" w:eastAsia="zh-CN" w:bidi="ar"/>
              </w:rPr>
              <w:t xml:space="preserve">根据《吸附法工业有机废气治理工程技术规范》（HJ2026-2013）中“6.3.3.3 </w:t>
            </w:r>
          </w:p>
          <w:p w14:paraId="7A580002">
            <w:pPr>
              <w:spacing w:line="360" w:lineRule="auto"/>
              <w:rPr>
                <w:rFonts w:hint="default" w:ascii="Times New Roman" w:hAnsi="Times New Roman" w:eastAsia="宋体" w:cs="Times New Roman"/>
                <w:color w:val="auto"/>
                <w:kern w:val="0"/>
                <w:sz w:val="24"/>
                <w:szCs w:val="24"/>
                <w:lang w:bidi="ar"/>
              </w:rPr>
            </w:pPr>
            <w:r>
              <w:rPr>
                <w:rFonts w:hint="default" w:ascii="Times New Roman" w:hAnsi="Times New Roman" w:eastAsia="宋体" w:cs="Times New Roman"/>
                <w:color w:val="auto"/>
                <w:kern w:val="0"/>
                <w:sz w:val="24"/>
                <w:szCs w:val="24"/>
                <w:lang w:val="en-US" w:eastAsia="zh-CN" w:bidi="ar"/>
              </w:rPr>
              <w:t xml:space="preserve">固床吸附装置吸附层的气体流速应根据吸附剂的形态确定。采用颗粒状吸附剂时，气体流速宜低于0.60m/s；采用纤维状吸附剂（活性炭纤维毡）时，气体流速 </w:t>
            </w:r>
          </w:p>
          <w:p w14:paraId="0C1EECB8">
            <w:pPr>
              <w:spacing w:line="360" w:lineRule="auto"/>
              <w:rPr>
                <w:rFonts w:hint="default" w:ascii="Times New Roman" w:hAnsi="Times New Roman" w:eastAsia="宋体" w:cs="Times New Roman"/>
                <w:color w:val="auto"/>
                <w:kern w:val="0"/>
                <w:sz w:val="24"/>
                <w:szCs w:val="24"/>
                <w:lang w:bidi="ar"/>
              </w:rPr>
            </w:pPr>
            <w:r>
              <w:rPr>
                <w:rFonts w:hint="default" w:ascii="Times New Roman" w:hAnsi="Times New Roman" w:eastAsia="宋体" w:cs="Times New Roman"/>
                <w:color w:val="auto"/>
                <w:kern w:val="0"/>
                <w:sz w:val="24"/>
                <w:szCs w:val="24"/>
                <w:lang w:val="en-US" w:eastAsia="zh-CN" w:bidi="ar"/>
              </w:rPr>
              <w:t>宜低于0.</w:t>
            </w:r>
            <w:r>
              <w:rPr>
                <w:rFonts w:hint="eastAsia" w:cs="Times New Roman"/>
                <w:color w:val="auto"/>
                <w:kern w:val="0"/>
                <w:sz w:val="24"/>
                <w:szCs w:val="24"/>
                <w:lang w:val="en-US" w:eastAsia="zh-CN" w:bidi="ar"/>
              </w:rPr>
              <w:t>18m</w:t>
            </w:r>
            <w:r>
              <w:rPr>
                <w:rFonts w:hint="default" w:ascii="Times New Roman" w:hAnsi="Times New Roman" w:eastAsia="宋体" w:cs="Times New Roman"/>
                <w:color w:val="auto"/>
                <w:kern w:val="0"/>
                <w:sz w:val="24"/>
                <w:szCs w:val="24"/>
                <w:lang w:val="en-US" w:eastAsia="zh-CN" w:bidi="ar"/>
              </w:rPr>
              <w:t xml:space="preserve">/s；采用蜂窝状吸附剂时，气体流速宜低于1.20m/s”。本项目活性 </w:t>
            </w:r>
          </w:p>
          <w:p w14:paraId="02B7C96D">
            <w:pPr>
              <w:spacing w:line="360" w:lineRule="auto"/>
              <w:rPr>
                <w:rFonts w:hint="default" w:ascii="Times New Roman" w:hAnsi="Times New Roman" w:eastAsia="宋体" w:cs="Times New Roman"/>
                <w:color w:val="auto"/>
                <w:kern w:val="0"/>
                <w:sz w:val="24"/>
                <w:szCs w:val="24"/>
                <w:lang w:bidi="ar"/>
              </w:rPr>
            </w:pPr>
            <w:r>
              <w:rPr>
                <w:rFonts w:hint="default" w:ascii="Times New Roman" w:hAnsi="Times New Roman" w:eastAsia="宋体" w:cs="Times New Roman"/>
                <w:color w:val="auto"/>
                <w:kern w:val="0"/>
                <w:sz w:val="24"/>
                <w:szCs w:val="24"/>
                <w:lang w:val="en-US" w:eastAsia="zh-CN" w:bidi="ar"/>
              </w:rPr>
              <w:t xml:space="preserve">炭吸附箱选用的填料为蜂窝状活性炭，尽可能增大活性炭表面积，增加有机废气 </w:t>
            </w:r>
          </w:p>
          <w:p w14:paraId="74FDA348">
            <w:pPr>
              <w:spacing w:line="360" w:lineRule="auto"/>
              <w:rPr>
                <w:rFonts w:hint="default" w:ascii="Times New Roman" w:hAnsi="Times New Roman" w:eastAsia="宋体" w:cs="Times New Roman"/>
                <w:color w:val="auto"/>
                <w:kern w:val="0"/>
                <w:sz w:val="24"/>
                <w:szCs w:val="24"/>
                <w:lang w:bidi="ar"/>
              </w:rPr>
            </w:pPr>
            <w:r>
              <w:rPr>
                <w:rFonts w:hint="default" w:ascii="Times New Roman" w:hAnsi="Times New Roman" w:eastAsia="宋体" w:cs="Times New Roman"/>
                <w:color w:val="auto"/>
                <w:kern w:val="0"/>
                <w:sz w:val="24"/>
                <w:szCs w:val="24"/>
                <w:lang w:val="en-US" w:eastAsia="zh-CN" w:bidi="ar"/>
              </w:rPr>
              <w:t>的停留时间，从而增加活性炭与有机废气的接触面积，气体流速低于1.20m/s，活性炭吸附碘值不低于800毫克/克，比表面积≥850m</w:t>
            </w:r>
            <w:r>
              <w:rPr>
                <w:rFonts w:hint="default" w:ascii="Times New Roman" w:hAnsi="Times New Roman" w:eastAsia="宋体" w:cs="Times New Roman"/>
                <w:color w:val="auto"/>
                <w:kern w:val="0"/>
                <w:sz w:val="24"/>
                <w:szCs w:val="24"/>
                <w:vertAlign w:val="superscript"/>
                <w:lang w:val="en-US" w:eastAsia="zh-CN" w:bidi="ar"/>
              </w:rPr>
              <w:t>2</w:t>
            </w:r>
            <w:r>
              <w:rPr>
                <w:rFonts w:hint="default" w:ascii="Times New Roman" w:hAnsi="Times New Roman" w:eastAsia="宋体" w:cs="Times New Roman"/>
                <w:color w:val="auto"/>
                <w:kern w:val="0"/>
                <w:sz w:val="24"/>
                <w:szCs w:val="24"/>
                <w:lang w:val="en-US" w:eastAsia="zh-CN" w:bidi="ar"/>
              </w:rPr>
              <w:t xml:space="preserve"> /g，符合《吸附法工业有机 </w:t>
            </w:r>
          </w:p>
          <w:p w14:paraId="7CC29EB3">
            <w:pPr>
              <w:spacing w:line="360" w:lineRule="auto"/>
              <w:rPr>
                <w:rFonts w:hint="default" w:ascii="Times New Roman" w:hAnsi="Times New Roman" w:eastAsia="宋体" w:cs="Times New Roman"/>
                <w:color w:val="auto"/>
                <w:kern w:val="0"/>
                <w:sz w:val="24"/>
                <w:szCs w:val="24"/>
                <w:lang w:bidi="ar"/>
              </w:rPr>
            </w:pPr>
            <w:r>
              <w:rPr>
                <w:rFonts w:hint="default" w:ascii="Times New Roman" w:hAnsi="Times New Roman" w:eastAsia="宋体" w:cs="Times New Roman"/>
                <w:color w:val="auto"/>
                <w:kern w:val="0"/>
                <w:sz w:val="24"/>
                <w:szCs w:val="24"/>
                <w:lang w:val="en-US" w:eastAsia="zh-CN" w:bidi="ar"/>
              </w:rPr>
              <w:t>废气治理工程技术规范》（HJ2026-2013）中的相关规定。</w:t>
            </w:r>
          </w:p>
          <w:p w14:paraId="36F15389">
            <w:pPr>
              <w:keepNext w:val="0"/>
              <w:keepLines w:val="0"/>
              <w:pageBreakBefore w:val="0"/>
              <w:widowControl/>
              <w:kinsoku/>
              <w:wordWrap/>
              <w:overflowPunct/>
              <w:topLinePunct w:val="0"/>
              <w:autoSpaceDE/>
              <w:autoSpaceDN/>
              <w:bidi w:val="0"/>
              <w:adjustRightInd/>
              <w:snapToGrid/>
              <w:spacing w:beforeAutospacing="0"/>
              <w:ind w:left="-105" w:leftChars="-50"/>
              <w:jc w:val="center"/>
              <w:textAlignment w:val="auto"/>
              <w:rPr>
                <w:rFonts w:hint="default" w:ascii="Times New Roman" w:hAnsi="Times New Roman" w:eastAsia="宋体" w:cs="Times New Roman"/>
                <w:b/>
                <w:color w:val="auto"/>
                <w:kern w:val="0"/>
                <w:sz w:val="24"/>
                <w:lang w:val="zh-CN"/>
              </w:rPr>
            </w:pPr>
            <w:r>
              <w:rPr>
                <w:rFonts w:hint="default" w:ascii="Times New Roman" w:hAnsi="Times New Roman" w:eastAsia="宋体" w:cs="Times New Roman"/>
                <w:b/>
                <w:color w:val="auto"/>
                <w:kern w:val="0"/>
                <w:sz w:val="24"/>
                <w:lang w:val="zh-CN"/>
              </w:rPr>
              <w:t>表4-</w:t>
            </w:r>
            <w:r>
              <w:rPr>
                <w:rFonts w:hint="eastAsia" w:ascii="Times New Roman" w:hAnsi="Times New Roman" w:eastAsia="宋体" w:cs="Times New Roman"/>
                <w:b/>
                <w:color w:val="auto"/>
                <w:kern w:val="0"/>
                <w:sz w:val="24"/>
                <w:lang w:val="en-US" w:eastAsia="zh-CN"/>
              </w:rPr>
              <w:t>11</w:t>
            </w:r>
            <w:r>
              <w:rPr>
                <w:rFonts w:hint="default" w:ascii="Times New Roman" w:hAnsi="Times New Roman" w:eastAsia="宋体" w:cs="Times New Roman"/>
                <w:b/>
                <w:color w:val="auto"/>
                <w:kern w:val="0"/>
                <w:sz w:val="24"/>
                <w:lang w:val="zh-CN"/>
              </w:rPr>
              <w:t xml:space="preserve">  活性炭吸附装置设计参数</w:t>
            </w:r>
          </w:p>
          <w:tbl>
            <w:tblPr>
              <w:tblStyle w:val="6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6" w:type="dxa"/>
                <w:bottom w:w="0" w:type="dxa"/>
                <w:right w:w="6" w:type="dxa"/>
              </w:tblCellMar>
            </w:tblPr>
            <w:tblGrid>
              <w:gridCol w:w="802"/>
              <w:gridCol w:w="389"/>
              <w:gridCol w:w="1056"/>
              <w:gridCol w:w="891"/>
              <w:gridCol w:w="759"/>
              <w:gridCol w:w="856"/>
              <w:gridCol w:w="885"/>
              <w:gridCol w:w="651"/>
              <w:gridCol w:w="792"/>
              <w:gridCol w:w="536"/>
              <w:gridCol w:w="762"/>
            </w:tblGrid>
            <w:tr w14:paraId="108E6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514" w:hRule="atLeast"/>
                <w:jc w:val="center"/>
              </w:trPr>
              <w:tc>
                <w:tcPr>
                  <w:tcW w:w="0" w:type="auto"/>
                  <w:noWrap w:val="0"/>
                  <w:vAlign w:val="center"/>
                </w:tcPr>
                <w:p w14:paraId="15EAD449">
                  <w:pPr>
                    <w:pStyle w:val="98"/>
                    <w:spacing w:before="0" w:beforeLines="0" w:beforeAutospacing="0" w:after="0" w:afterLines="0" w:afterAutospacing="0" w:line="240" w:lineRule="auto"/>
                    <w:jc w:val="center"/>
                    <w:rPr>
                      <w:rFonts w:hint="default" w:ascii="Times New Roman" w:hAnsi="Times New Roman" w:cs="Times New Roman"/>
                      <w:b/>
                      <w:bCs w:val="0"/>
                      <w:color w:val="auto"/>
                      <w:sz w:val="21"/>
                      <w:szCs w:val="21"/>
                      <w:lang w:val="en-US" w:eastAsia="zh-CN"/>
                    </w:rPr>
                  </w:pPr>
                  <w:r>
                    <w:rPr>
                      <w:rFonts w:hint="default" w:ascii="Times New Roman" w:hAnsi="Times New Roman" w:cs="Times New Roman"/>
                      <w:b/>
                      <w:bCs w:val="0"/>
                      <w:color w:val="auto"/>
                      <w:sz w:val="21"/>
                      <w:szCs w:val="21"/>
                      <w:lang w:val="en-US" w:eastAsia="zh-CN"/>
                    </w:rPr>
                    <w:t>排放源编号</w:t>
                  </w:r>
                </w:p>
              </w:tc>
              <w:tc>
                <w:tcPr>
                  <w:tcW w:w="0" w:type="auto"/>
                  <w:noWrap w:val="0"/>
                  <w:vAlign w:val="center"/>
                </w:tcPr>
                <w:p w14:paraId="0230257F">
                  <w:pPr>
                    <w:pStyle w:val="98"/>
                    <w:spacing w:before="0" w:beforeLines="0" w:beforeAutospacing="0" w:after="0" w:afterLines="0" w:afterAutospacing="0"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cs="Times New Roman"/>
                      <w:b/>
                      <w:bCs w:val="0"/>
                      <w:color w:val="auto"/>
                      <w:sz w:val="21"/>
                      <w:szCs w:val="21"/>
                      <w:lang w:val="en-US" w:eastAsia="zh-CN"/>
                    </w:rPr>
                    <w:t>污染源</w:t>
                  </w:r>
                </w:p>
              </w:tc>
              <w:tc>
                <w:tcPr>
                  <w:tcW w:w="0" w:type="auto"/>
                  <w:noWrap w:val="0"/>
                  <w:vAlign w:val="center"/>
                </w:tcPr>
                <w:p w14:paraId="56222D72">
                  <w:pPr>
                    <w:pStyle w:val="98"/>
                    <w:spacing w:before="0" w:beforeLines="0" w:beforeAutospacing="0" w:after="0" w:afterLines="0" w:afterAutospacing="0"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cs="Times New Roman"/>
                      <w:b/>
                      <w:bCs w:val="0"/>
                      <w:color w:val="auto"/>
                      <w:sz w:val="21"/>
                      <w:szCs w:val="21"/>
                      <w:lang w:val="en-US" w:eastAsia="zh-CN"/>
                    </w:rPr>
                    <w:t>有机废气吸附量t/a</w:t>
                  </w:r>
                </w:p>
              </w:tc>
              <w:tc>
                <w:tcPr>
                  <w:tcW w:w="0" w:type="auto"/>
                  <w:noWrap w:val="0"/>
                  <w:vAlign w:val="center"/>
                </w:tcPr>
                <w:p w14:paraId="1B846C88">
                  <w:pPr>
                    <w:pStyle w:val="98"/>
                    <w:spacing w:before="0" w:beforeLines="0" w:beforeAutospacing="0" w:after="0" w:afterLines="0" w:afterAutospacing="0"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cs="Times New Roman"/>
                      <w:b/>
                      <w:bCs w:val="0"/>
                      <w:color w:val="auto"/>
                      <w:sz w:val="21"/>
                      <w:szCs w:val="21"/>
                      <w:lang w:val="en-US" w:eastAsia="zh-CN"/>
                    </w:rPr>
                    <w:t>活性炭碘值mg/g</w:t>
                  </w:r>
                </w:p>
              </w:tc>
              <w:tc>
                <w:tcPr>
                  <w:tcW w:w="0" w:type="auto"/>
                  <w:noWrap w:val="0"/>
                  <w:vAlign w:val="center"/>
                </w:tcPr>
                <w:p w14:paraId="11C42B57">
                  <w:pPr>
                    <w:pStyle w:val="98"/>
                    <w:spacing w:before="0" w:beforeLines="0" w:beforeAutospacing="0" w:after="0" w:afterLines="0" w:afterAutospacing="0"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cs="Times New Roman"/>
                      <w:b/>
                      <w:bCs w:val="0"/>
                      <w:color w:val="auto"/>
                      <w:sz w:val="21"/>
                      <w:szCs w:val="21"/>
                      <w:lang w:val="en-US" w:eastAsia="zh-CN"/>
                    </w:rPr>
                    <w:t>活性炭层厚度m</w:t>
                  </w:r>
                </w:p>
              </w:tc>
              <w:tc>
                <w:tcPr>
                  <w:tcW w:w="0" w:type="auto"/>
                  <w:noWrap w:val="0"/>
                  <w:vAlign w:val="center"/>
                </w:tcPr>
                <w:p w14:paraId="0422B065">
                  <w:pPr>
                    <w:pStyle w:val="98"/>
                    <w:spacing w:before="0" w:beforeLines="0" w:beforeAutospacing="0" w:after="0" w:afterLines="0" w:afterAutospacing="0"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cs="Times New Roman"/>
                      <w:b/>
                      <w:bCs w:val="0"/>
                      <w:color w:val="auto"/>
                      <w:sz w:val="21"/>
                      <w:szCs w:val="21"/>
                      <w:lang w:val="en-US" w:eastAsia="zh-CN"/>
                    </w:rPr>
                    <w:t>吸附装置截面积m</w:t>
                  </w:r>
                  <w:r>
                    <w:rPr>
                      <w:rFonts w:hint="default" w:ascii="Times New Roman" w:hAnsi="Times New Roman" w:cs="Times New Roman"/>
                      <w:b/>
                      <w:bCs w:val="0"/>
                      <w:color w:val="auto"/>
                      <w:sz w:val="21"/>
                      <w:szCs w:val="21"/>
                      <w:vertAlign w:val="superscript"/>
                      <w:lang w:val="en-US" w:eastAsia="zh-CN"/>
                    </w:rPr>
                    <w:t>2</w:t>
                  </w:r>
                </w:p>
              </w:tc>
              <w:tc>
                <w:tcPr>
                  <w:tcW w:w="0" w:type="auto"/>
                  <w:noWrap w:val="0"/>
                  <w:vAlign w:val="center"/>
                </w:tcPr>
                <w:p w14:paraId="14247A8D">
                  <w:pPr>
                    <w:pStyle w:val="98"/>
                    <w:spacing w:before="0" w:beforeLines="0" w:beforeAutospacing="0" w:after="0" w:afterLines="0" w:afterAutospacing="0" w:line="240" w:lineRule="auto"/>
                    <w:jc w:val="center"/>
                    <w:rPr>
                      <w:rFonts w:hint="default" w:ascii="Times New Roman" w:hAnsi="Times New Roman" w:cs="Times New Roman"/>
                      <w:b/>
                      <w:bCs w:val="0"/>
                      <w:color w:val="auto"/>
                      <w:sz w:val="21"/>
                      <w:szCs w:val="21"/>
                      <w:lang w:val="en-US" w:eastAsia="zh-CN"/>
                    </w:rPr>
                  </w:pPr>
                  <w:r>
                    <w:rPr>
                      <w:rFonts w:hint="default" w:ascii="Times New Roman" w:hAnsi="Times New Roman" w:cs="Times New Roman"/>
                      <w:b/>
                      <w:bCs w:val="0"/>
                      <w:color w:val="auto"/>
                      <w:sz w:val="21"/>
                      <w:szCs w:val="21"/>
                      <w:lang w:val="en-US" w:eastAsia="zh-CN"/>
                    </w:rPr>
                    <w:t>废气通过速率m/s</w:t>
                  </w:r>
                </w:p>
              </w:tc>
              <w:tc>
                <w:tcPr>
                  <w:tcW w:w="0" w:type="auto"/>
                  <w:noWrap w:val="0"/>
                  <w:vAlign w:val="center"/>
                </w:tcPr>
                <w:p w14:paraId="7154AB6B">
                  <w:pPr>
                    <w:pStyle w:val="98"/>
                    <w:spacing w:before="0" w:beforeLines="0" w:beforeAutospacing="0" w:after="0" w:afterLines="0" w:afterAutospacing="0" w:line="240" w:lineRule="auto"/>
                    <w:jc w:val="center"/>
                    <w:rPr>
                      <w:rFonts w:hint="default" w:ascii="Times New Roman" w:hAnsi="Times New Roman" w:cs="Times New Roman"/>
                      <w:b/>
                      <w:bCs w:val="0"/>
                      <w:color w:val="auto"/>
                      <w:sz w:val="21"/>
                      <w:szCs w:val="21"/>
                      <w:lang w:val="en-US" w:eastAsia="zh-CN"/>
                    </w:rPr>
                  </w:pPr>
                  <w:r>
                    <w:rPr>
                      <w:rFonts w:hint="default" w:ascii="Times New Roman" w:hAnsi="Times New Roman" w:cs="Times New Roman"/>
                      <w:b/>
                      <w:bCs w:val="0"/>
                      <w:color w:val="auto"/>
                      <w:sz w:val="21"/>
                      <w:szCs w:val="21"/>
                      <w:lang w:val="en-US" w:eastAsia="zh-CN"/>
                    </w:rPr>
                    <w:t>烟气温度</w:t>
                  </w:r>
                  <w:r>
                    <w:rPr>
                      <w:rFonts w:hint="default" w:ascii="Times New Roman" w:hAnsi="Times New Roman" w:cs="Times New Roman"/>
                      <w:b/>
                      <w:bCs w:val="0"/>
                      <w:color w:val="auto"/>
                      <w:sz w:val="21"/>
                      <w:szCs w:val="21"/>
                      <w:vertAlign w:val="superscript"/>
                      <w:lang w:val="en-US" w:eastAsia="zh-CN"/>
                    </w:rPr>
                    <w:t>o</w:t>
                  </w:r>
                  <w:r>
                    <w:rPr>
                      <w:rFonts w:hint="default" w:ascii="Times New Roman" w:hAnsi="Times New Roman" w:cs="Times New Roman"/>
                      <w:b/>
                      <w:bCs w:val="0"/>
                      <w:color w:val="auto"/>
                      <w:sz w:val="21"/>
                      <w:szCs w:val="21"/>
                      <w:lang w:val="en-US" w:eastAsia="zh-CN"/>
                    </w:rPr>
                    <w:t>C</w:t>
                  </w:r>
                </w:p>
              </w:tc>
              <w:tc>
                <w:tcPr>
                  <w:tcW w:w="0" w:type="auto"/>
                  <w:noWrap w:val="0"/>
                  <w:vAlign w:val="center"/>
                </w:tcPr>
                <w:p w14:paraId="1BAD7936">
                  <w:pPr>
                    <w:pStyle w:val="98"/>
                    <w:spacing w:before="0" w:beforeLines="0" w:beforeAutospacing="0" w:after="0" w:afterLines="0" w:afterAutospacing="0" w:line="240" w:lineRule="auto"/>
                    <w:jc w:val="center"/>
                    <w:rPr>
                      <w:rFonts w:hint="default" w:ascii="Times New Roman" w:hAnsi="Times New Roman" w:cs="Times New Roman"/>
                      <w:b/>
                      <w:bCs w:val="0"/>
                      <w:color w:val="auto"/>
                      <w:sz w:val="21"/>
                      <w:szCs w:val="21"/>
                      <w:lang w:val="en-US" w:eastAsia="zh-CN"/>
                    </w:rPr>
                  </w:pPr>
                  <w:r>
                    <w:rPr>
                      <w:rFonts w:hint="default" w:ascii="Times New Roman" w:hAnsi="Times New Roman" w:cs="Times New Roman"/>
                      <w:b/>
                      <w:bCs w:val="0"/>
                      <w:color w:val="auto"/>
                      <w:sz w:val="21"/>
                      <w:szCs w:val="21"/>
                      <w:lang w:val="en-US" w:eastAsia="zh-CN"/>
                    </w:rPr>
                    <w:t>活性炭填充量t/次</w:t>
                  </w:r>
                </w:p>
              </w:tc>
              <w:tc>
                <w:tcPr>
                  <w:tcW w:w="0" w:type="auto"/>
                  <w:noWrap w:val="0"/>
                  <w:vAlign w:val="center"/>
                </w:tcPr>
                <w:p w14:paraId="1A4C9F03">
                  <w:pPr>
                    <w:pStyle w:val="98"/>
                    <w:spacing w:before="0" w:beforeLines="0" w:beforeAutospacing="0" w:after="0" w:afterLines="0" w:afterAutospacing="0" w:line="240" w:lineRule="auto"/>
                    <w:jc w:val="center"/>
                    <w:rPr>
                      <w:rFonts w:hint="default" w:ascii="Times New Roman" w:hAnsi="Times New Roman" w:cs="Times New Roman"/>
                      <w:b/>
                      <w:bCs w:val="0"/>
                      <w:color w:val="auto"/>
                      <w:sz w:val="21"/>
                      <w:szCs w:val="21"/>
                      <w:lang w:val="en-US" w:eastAsia="zh-CN"/>
                    </w:rPr>
                  </w:pPr>
                  <w:r>
                    <w:rPr>
                      <w:rFonts w:hint="default" w:ascii="Times New Roman" w:hAnsi="Times New Roman" w:cs="Times New Roman"/>
                      <w:b/>
                      <w:bCs w:val="0"/>
                      <w:color w:val="auto"/>
                      <w:sz w:val="21"/>
                      <w:szCs w:val="21"/>
                      <w:lang w:val="en-US" w:eastAsia="zh-CN"/>
                    </w:rPr>
                    <w:t>更换频次/a</w:t>
                  </w:r>
                </w:p>
              </w:tc>
              <w:tc>
                <w:tcPr>
                  <w:tcW w:w="0" w:type="auto"/>
                  <w:noWrap w:val="0"/>
                  <w:vAlign w:val="center"/>
                </w:tcPr>
                <w:p w14:paraId="0D83286B">
                  <w:pPr>
                    <w:pStyle w:val="98"/>
                    <w:spacing w:before="0" w:beforeLines="0" w:beforeAutospacing="0" w:after="0" w:afterLines="0" w:afterAutospacing="0" w:line="240" w:lineRule="auto"/>
                    <w:jc w:val="center"/>
                    <w:rPr>
                      <w:rFonts w:hint="default" w:ascii="Times New Roman" w:hAnsi="Times New Roman" w:cs="Times New Roman"/>
                      <w:b/>
                      <w:bCs w:val="0"/>
                      <w:color w:val="auto"/>
                      <w:sz w:val="21"/>
                      <w:szCs w:val="21"/>
                      <w:lang w:val="en-US" w:eastAsia="zh-CN"/>
                    </w:rPr>
                  </w:pPr>
                  <w:r>
                    <w:rPr>
                      <w:rFonts w:hint="default" w:ascii="Times New Roman" w:hAnsi="Times New Roman" w:cs="Times New Roman"/>
                      <w:b/>
                      <w:bCs w:val="0"/>
                      <w:color w:val="auto"/>
                      <w:sz w:val="21"/>
                      <w:szCs w:val="21"/>
                      <w:lang w:val="en-US" w:eastAsia="zh-CN"/>
                    </w:rPr>
                    <w:t>活性炭用量t/a</w:t>
                  </w:r>
                </w:p>
              </w:tc>
            </w:tr>
            <w:tr w14:paraId="65632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08" w:hRule="atLeast"/>
                <w:jc w:val="center"/>
              </w:trPr>
              <w:tc>
                <w:tcPr>
                  <w:tcW w:w="0" w:type="auto"/>
                  <w:noWrap w:val="0"/>
                  <w:vAlign w:val="center"/>
                </w:tcPr>
                <w:p w14:paraId="39BBD0F8">
                  <w:pPr>
                    <w:pStyle w:val="98"/>
                    <w:spacing w:before="0" w:beforeLines="0" w:beforeAutospacing="0" w:after="0" w:afterLines="0" w:afterAutospacing="0" w:line="240" w:lineRule="auto"/>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DA00</w:t>
                  </w:r>
                  <w:r>
                    <w:rPr>
                      <w:rFonts w:hint="eastAsia" w:ascii="Times New Roman" w:hAnsi="Times New Roman" w:cs="Times New Roman"/>
                      <w:bCs/>
                      <w:color w:val="auto"/>
                      <w:sz w:val="21"/>
                      <w:szCs w:val="21"/>
                      <w:lang w:val="en-US" w:eastAsia="zh-CN"/>
                    </w:rPr>
                    <w:t>2</w:t>
                  </w:r>
                </w:p>
              </w:tc>
              <w:tc>
                <w:tcPr>
                  <w:tcW w:w="0" w:type="auto"/>
                  <w:noWrap w:val="0"/>
                  <w:vAlign w:val="center"/>
                </w:tcPr>
                <w:p w14:paraId="4B990D5C">
                  <w:pPr>
                    <w:pStyle w:val="98"/>
                    <w:spacing w:before="0" w:beforeLines="0" w:beforeAutospacing="0" w:after="0" w:afterLines="0" w:afterAutospacing="0" w:line="240" w:lineRule="auto"/>
                    <w:jc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锻造</w:t>
                  </w:r>
                </w:p>
              </w:tc>
              <w:tc>
                <w:tcPr>
                  <w:tcW w:w="0" w:type="auto"/>
                  <w:noWrap w:val="0"/>
                  <w:vAlign w:val="center"/>
                </w:tcPr>
                <w:p w14:paraId="3CF41E62">
                  <w:pPr>
                    <w:pStyle w:val="98"/>
                    <w:spacing w:before="0" w:beforeLines="0" w:beforeAutospacing="0" w:after="0" w:afterLines="0" w:afterAutospacing="0" w:line="240" w:lineRule="auto"/>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lang w:val="en-US" w:eastAsia="zh-CN"/>
                    </w:rPr>
                    <w:t>0.6124</w:t>
                  </w:r>
                </w:p>
              </w:tc>
              <w:tc>
                <w:tcPr>
                  <w:tcW w:w="0" w:type="auto"/>
                  <w:noWrap w:val="0"/>
                  <w:vAlign w:val="center"/>
                </w:tcPr>
                <w:p w14:paraId="35485542">
                  <w:pPr>
                    <w:spacing w:before="0" w:beforeLines="0" w:beforeAutospacing="0" w:after="0" w:afterLines="0" w:afterAutospacing="0" w:line="240" w:lineRule="auto"/>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800</w:t>
                  </w:r>
                </w:p>
              </w:tc>
              <w:tc>
                <w:tcPr>
                  <w:tcW w:w="0" w:type="auto"/>
                  <w:noWrap w:val="0"/>
                  <w:vAlign w:val="center"/>
                </w:tcPr>
                <w:p w14:paraId="30ED11AD">
                  <w:pPr>
                    <w:pStyle w:val="98"/>
                    <w:spacing w:before="0" w:beforeLines="0" w:beforeAutospacing="0" w:after="0" w:afterLines="0" w:afterAutospacing="0" w:line="240" w:lineRule="auto"/>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w:t>
                  </w:r>
                  <w:r>
                    <w:rPr>
                      <w:rFonts w:hint="eastAsia" w:ascii="Times New Roman" w:hAnsi="Times New Roman" w:cs="Times New Roman"/>
                      <w:bCs/>
                      <w:color w:val="auto"/>
                      <w:sz w:val="21"/>
                      <w:szCs w:val="21"/>
                      <w:lang w:val="en-US" w:eastAsia="zh-CN"/>
                    </w:rPr>
                    <w:t>5</w:t>
                  </w:r>
                </w:p>
              </w:tc>
              <w:tc>
                <w:tcPr>
                  <w:tcW w:w="0" w:type="auto"/>
                  <w:noWrap w:val="0"/>
                  <w:vAlign w:val="center"/>
                </w:tcPr>
                <w:p w14:paraId="6643AB02">
                  <w:pPr>
                    <w:pStyle w:val="98"/>
                    <w:spacing w:before="0" w:beforeLines="0" w:beforeAutospacing="0" w:after="0" w:afterLines="0" w:afterAutospacing="0" w:line="240" w:lineRule="auto"/>
                    <w:jc w:val="center"/>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4</w:t>
                  </w:r>
                </w:p>
              </w:tc>
              <w:tc>
                <w:tcPr>
                  <w:tcW w:w="0" w:type="auto"/>
                  <w:noWrap w:val="0"/>
                  <w:vAlign w:val="center"/>
                </w:tcPr>
                <w:p w14:paraId="0C63BE11">
                  <w:pPr>
                    <w:pStyle w:val="98"/>
                    <w:spacing w:before="0" w:beforeLines="0" w:beforeAutospacing="0" w:after="0" w:afterLines="0" w:afterAutospacing="0" w:line="240" w:lineRule="auto"/>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&lt;1.2</w:t>
                  </w:r>
                </w:p>
              </w:tc>
              <w:tc>
                <w:tcPr>
                  <w:tcW w:w="0" w:type="auto"/>
                  <w:noWrap w:val="0"/>
                  <w:vAlign w:val="center"/>
                </w:tcPr>
                <w:p w14:paraId="06398131">
                  <w:pPr>
                    <w:pStyle w:val="98"/>
                    <w:spacing w:before="0" w:beforeLines="0" w:beforeAutospacing="0" w:after="0" w:afterLines="0" w:afterAutospacing="0" w:line="240" w:lineRule="auto"/>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&lt;40</w:t>
                  </w:r>
                </w:p>
              </w:tc>
              <w:tc>
                <w:tcPr>
                  <w:tcW w:w="0" w:type="auto"/>
                  <w:noWrap w:val="0"/>
                  <w:vAlign w:val="center"/>
                </w:tcPr>
                <w:p w14:paraId="15CC6538">
                  <w:pPr>
                    <w:pStyle w:val="98"/>
                    <w:spacing w:before="0" w:beforeLines="0" w:beforeAutospacing="0" w:after="0" w:afterLines="0" w:afterAutospacing="0" w:line="240" w:lineRule="auto"/>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lang w:val="en-US" w:eastAsia="zh-CN"/>
                    </w:rPr>
                    <w:t>1</w:t>
                  </w:r>
                </w:p>
              </w:tc>
              <w:tc>
                <w:tcPr>
                  <w:tcW w:w="0" w:type="auto"/>
                  <w:noWrap w:val="0"/>
                  <w:vAlign w:val="center"/>
                </w:tcPr>
                <w:p w14:paraId="49C01F14">
                  <w:pPr>
                    <w:pStyle w:val="98"/>
                    <w:spacing w:before="0" w:beforeLines="0" w:beforeAutospacing="0" w:after="0" w:afterLines="0" w:afterAutospacing="0" w:line="240" w:lineRule="auto"/>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lang w:val="en-US" w:eastAsia="zh-CN"/>
                    </w:rPr>
                    <w:t>3</w:t>
                  </w:r>
                </w:p>
              </w:tc>
              <w:tc>
                <w:tcPr>
                  <w:tcW w:w="0" w:type="auto"/>
                  <w:noWrap w:val="0"/>
                  <w:vAlign w:val="center"/>
                </w:tcPr>
                <w:p w14:paraId="53C5241C">
                  <w:pPr>
                    <w:pStyle w:val="98"/>
                    <w:spacing w:before="0" w:beforeLines="0" w:beforeAutospacing="0" w:after="0" w:afterLines="0" w:afterAutospacing="0" w:line="240" w:lineRule="auto"/>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lang w:val="en-US" w:eastAsia="zh-CN"/>
                    </w:rPr>
                    <w:t>2.04</w:t>
                  </w:r>
                </w:p>
              </w:tc>
            </w:tr>
          </w:tbl>
          <w:p w14:paraId="55272A96">
            <w:pPr>
              <w:spacing w:line="360" w:lineRule="auto"/>
              <w:ind w:firstLine="482" w:firstLineChars="200"/>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kern w:val="2"/>
                <w:sz w:val="24"/>
                <w:szCs w:val="24"/>
                <w:lang w:val="en-US" w:eastAsia="zh-CN" w:bidi="ar-SA"/>
              </w:rPr>
              <w:t>静电式油雾净化器</w:t>
            </w:r>
            <w:r>
              <w:rPr>
                <w:rFonts w:hint="default" w:ascii="Times New Roman" w:hAnsi="Times New Roman" w:cs="Times New Roman"/>
                <w:b/>
                <w:bCs/>
                <w:color w:val="auto"/>
                <w:kern w:val="2"/>
                <w:sz w:val="24"/>
                <w:szCs w:val="24"/>
                <w:lang w:val="en-US" w:eastAsia="zh-CN" w:bidi="ar-SA"/>
              </w:rPr>
              <w:t>原理:</w:t>
            </w:r>
            <w:r>
              <w:rPr>
                <w:rFonts w:hint="default" w:ascii="Times New Roman" w:hAnsi="Times New Roman" w:eastAsia="宋体" w:cs="Times New Roman"/>
                <w:color w:val="auto"/>
                <w:kern w:val="2"/>
                <w:sz w:val="24"/>
                <w:szCs w:val="24"/>
                <w:lang w:val="en-US" w:eastAsia="zh-CN" w:bidi="ar-SA"/>
              </w:rPr>
              <w:t>含油雾的废气从吸风口进入复合式迷宫过滤器时，油雾中的大颗粒被分离并落入集液室，其余的细微颗粒进入荷电区被当中存在的大量正负离子着荷，然后在电场力的作用下，荷电油雾会向其极性相反的收集板运动，从而实现了油雾与空气的分离。</w:t>
            </w:r>
          </w:p>
          <w:p w14:paraId="42D4A0B8">
            <w:pPr>
              <w:spacing w:line="360" w:lineRule="auto"/>
              <w:ind w:firstLine="482" w:firstLineChars="200"/>
              <w:rPr>
                <w:rFonts w:hint="default" w:ascii="Times New Roman" w:hAnsi="Times New Roman" w:eastAsia="宋体" w:cs="Times New Roman"/>
                <w:b/>
                <w:bCs/>
                <w:color w:val="auto"/>
                <w:kern w:val="0"/>
                <w:sz w:val="24"/>
                <w:szCs w:val="24"/>
                <w:lang w:bidi="ar"/>
              </w:rPr>
            </w:pPr>
            <w:r>
              <w:rPr>
                <w:rFonts w:hint="default" w:ascii="Times New Roman" w:hAnsi="Times New Roman" w:eastAsia="宋体" w:cs="Times New Roman"/>
                <w:b/>
                <w:bCs/>
                <w:color w:val="auto"/>
                <w:kern w:val="0"/>
                <w:sz w:val="24"/>
                <w:szCs w:val="24"/>
                <w:lang w:bidi="ar"/>
              </w:rPr>
              <w:t>③项目废气治理措施可行性分析</w:t>
            </w:r>
          </w:p>
          <w:p w14:paraId="03B1B4AA">
            <w:pPr>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kern w:val="2"/>
                <w:sz w:val="24"/>
                <w:szCs w:val="24"/>
                <w:lang w:val="en-US" w:eastAsia="zh-CN" w:bidi="ar-SA"/>
              </w:rPr>
              <w:t>根据《国民经济行业分类》（GB/T4754-2017），本项目属于</w:t>
            </w:r>
            <w:r>
              <w:rPr>
                <w:rFonts w:hint="eastAsia"/>
                <w:color w:val="auto"/>
                <w:sz w:val="24"/>
              </w:rPr>
              <w:t>C3670汽车零部件及配件制造</w:t>
            </w:r>
            <w:r>
              <w:rPr>
                <w:rFonts w:hint="default" w:ascii="Times New Roman" w:hAnsi="Times New Roman" w:eastAsia="宋体" w:cs="Times New Roman"/>
                <w:color w:val="auto"/>
                <w:kern w:val="2"/>
                <w:sz w:val="24"/>
                <w:szCs w:val="24"/>
                <w:lang w:val="en-US" w:eastAsia="zh-CN" w:bidi="ar-SA"/>
              </w:rPr>
              <w:t>。参考</w:t>
            </w:r>
            <w:r>
              <w:rPr>
                <w:rFonts w:hint="eastAsia" w:cs="Times New Roman"/>
                <w:color w:val="auto"/>
                <w:kern w:val="2"/>
                <w:sz w:val="24"/>
                <w:szCs w:val="24"/>
                <w:lang w:val="en-US" w:eastAsia="zh-CN" w:bidi="ar-SA"/>
              </w:rPr>
              <w:t>《排污许可证申请与核发技术规范 汽车制造业》（HJ917-2018）、</w:t>
            </w:r>
            <w:r>
              <w:rPr>
                <w:rFonts w:hint="default" w:ascii="Times New Roman" w:hAnsi="Times New Roman" w:eastAsia="宋体" w:cs="Times New Roman"/>
                <w:bCs/>
                <w:color w:val="auto"/>
                <w:kern w:val="2"/>
                <w:sz w:val="24"/>
                <w:szCs w:val="24"/>
                <w:lang w:val="en-US" w:eastAsia="zh-CN" w:bidi="ar-SA"/>
              </w:rPr>
              <w:t>《排污许可证申请与核发技术规范 铁路、船舶、航空航天和其他运输设备制造业》（HJ 1124-2020）</w:t>
            </w:r>
            <w:r>
              <w:rPr>
                <w:rFonts w:hint="default" w:ascii="Times New Roman" w:hAnsi="Times New Roman" w:eastAsia="宋体" w:cs="Times New Roman"/>
                <w:color w:val="auto"/>
                <w:kern w:val="0"/>
                <w:sz w:val="24"/>
                <w:szCs w:val="24"/>
                <w:lang w:bidi="ar"/>
              </w:rPr>
              <w:t>废气污染防治可行技术参考表</w:t>
            </w:r>
            <w:r>
              <w:rPr>
                <w:rFonts w:hint="eastAsia"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bidi="ar"/>
              </w:rPr>
              <w:t>废气防治可行技术</w:t>
            </w:r>
            <w:r>
              <w:rPr>
                <w:rFonts w:hint="default" w:ascii="Times New Roman" w:hAnsi="Times New Roman" w:eastAsia="宋体" w:cs="Times New Roman"/>
                <w:color w:val="auto"/>
                <w:kern w:val="0"/>
                <w:sz w:val="24"/>
                <w:szCs w:val="24"/>
                <w:lang w:val="en-US" w:eastAsia="zh-CN" w:bidi="ar"/>
              </w:rPr>
              <w:t>如下。</w:t>
            </w:r>
          </w:p>
          <w:p w14:paraId="17C8B1C8">
            <w:pPr>
              <w:keepNext w:val="0"/>
              <w:keepLines w:val="0"/>
              <w:pageBreakBefore w:val="0"/>
              <w:widowControl/>
              <w:kinsoku/>
              <w:wordWrap/>
              <w:overflowPunct/>
              <w:topLinePunct w:val="0"/>
              <w:autoSpaceDE/>
              <w:autoSpaceDN/>
              <w:bidi w:val="0"/>
              <w:adjustRightInd/>
              <w:snapToGrid/>
              <w:spacing w:beforeAutospacing="0"/>
              <w:ind w:left="-105" w:leftChars="-50"/>
              <w:jc w:val="center"/>
              <w:textAlignment w:val="auto"/>
              <w:rPr>
                <w:rFonts w:hint="default" w:ascii="Times New Roman" w:hAnsi="Times New Roman" w:eastAsia="宋体" w:cs="Times New Roman"/>
                <w:b/>
                <w:color w:val="auto"/>
                <w:kern w:val="0"/>
                <w:sz w:val="24"/>
                <w:lang w:val="zh-CN"/>
              </w:rPr>
            </w:pPr>
            <w:r>
              <w:rPr>
                <w:rFonts w:hint="default" w:ascii="Times New Roman" w:hAnsi="Times New Roman" w:eastAsia="宋体" w:cs="Times New Roman"/>
                <w:b/>
                <w:color w:val="auto"/>
                <w:kern w:val="0"/>
                <w:sz w:val="24"/>
                <w:lang w:val="zh-CN"/>
              </w:rPr>
              <w:t>表4-</w:t>
            </w:r>
            <w:r>
              <w:rPr>
                <w:rFonts w:hint="eastAsia" w:ascii="Times New Roman" w:hAnsi="Times New Roman" w:eastAsia="宋体" w:cs="Times New Roman"/>
                <w:b/>
                <w:color w:val="auto"/>
                <w:kern w:val="0"/>
                <w:sz w:val="24"/>
                <w:lang w:val="en-US" w:eastAsia="zh-CN"/>
              </w:rPr>
              <w:t>12</w:t>
            </w:r>
            <w:r>
              <w:rPr>
                <w:rFonts w:hint="default" w:ascii="Times New Roman" w:hAnsi="Times New Roman" w:eastAsia="宋体" w:cs="Times New Roman"/>
                <w:b/>
                <w:color w:val="auto"/>
                <w:kern w:val="0"/>
                <w:sz w:val="24"/>
                <w:lang w:val="zh-CN"/>
              </w:rPr>
              <w:t xml:space="preserve">  废气防治可行技术参考表</w:t>
            </w:r>
          </w:p>
          <w:tbl>
            <w:tblPr>
              <w:tblStyle w:val="6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7"/>
              <w:gridCol w:w="900"/>
              <w:gridCol w:w="1323"/>
              <w:gridCol w:w="927"/>
              <w:gridCol w:w="1063"/>
              <w:gridCol w:w="1827"/>
              <w:gridCol w:w="1352"/>
              <w:gridCol w:w="480"/>
            </w:tblGrid>
            <w:tr w14:paraId="72260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507" w:type="dxa"/>
                  <w:vMerge w:val="restart"/>
                  <w:noWrap w:val="0"/>
                  <w:vAlign w:val="center"/>
                </w:tcPr>
                <w:p w14:paraId="492B4BC1">
                  <w:pPr>
                    <w:pStyle w:val="98"/>
                    <w:spacing w:before="0" w:beforeLines="0" w:beforeAutospacing="0" w:after="0" w:afterLines="0" w:afterAutospacing="0" w:line="240" w:lineRule="auto"/>
                    <w:rPr>
                      <w:rFonts w:hint="default" w:ascii="Times New Roman" w:hAnsi="Times New Roman" w:eastAsia="宋体" w:cs="Times New Roman"/>
                      <w:b/>
                      <w:bCs w:val="0"/>
                      <w:color w:val="auto"/>
                      <w:sz w:val="21"/>
                      <w:szCs w:val="21"/>
                      <w:lang w:val="en-US" w:eastAsia="zh-CN"/>
                    </w:rPr>
                  </w:pPr>
                  <w:r>
                    <w:rPr>
                      <w:rFonts w:hint="eastAsia" w:ascii="Times New Roman" w:hAnsi="Times New Roman" w:cs="Times New Roman"/>
                      <w:b/>
                      <w:bCs w:val="0"/>
                      <w:color w:val="auto"/>
                      <w:sz w:val="21"/>
                      <w:szCs w:val="21"/>
                      <w:lang w:val="en-US" w:eastAsia="zh-CN"/>
                    </w:rPr>
                    <w:t>生产单元</w:t>
                  </w:r>
                </w:p>
              </w:tc>
              <w:tc>
                <w:tcPr>
                  <w:tcW w:w="900" w:type="dxa"/>
                  <w:vMerge w:val="restart"/>
                  <w:noWrap w:val="0"/>
                  <w:vAlign w:val="center"/>
                </w:tcPr>
                <w:p w14:paraId="37F1AF00">
                  <w:pPr>
                    <w:pStyle w:val="98"/>
                    <w:spacing w:before="0" w:beforeLines="0" w:beforeAutospacing="0" w:after="0" w:afterLines="0" w:afterAutospacing="0" w:line="240" w:lineRule="auto"/>
                    <w:rPr>
                      <w:rFonts w:hint="eastAsia" w:ascii="Times New Roman" w:hAnsi="Times New Roman" w:cs="Times New Roman"/>
                      <w:b/>
                      <w:bCs w:val="0"/>
                      <w:color w:val="auto"/>
                      <w:sz w:val="21"/>
                      <w:szCs w:val="21"/>
                      <w:lang w:val="en-US" w:eastAsia="zh-CN"/>
                    </w:rPr>
                  </w:pPr>
                  <w:r>
                    <w:rPr>
                      <w:rFonts w:hint="eastAsia" w:ascii="Times New Roman" w:hAnsi="Times New Roman" w:cs="Times New Roman"/>
                      <w:b/>
                      <w:bCs w:val="0"/>
                      <w:color w:val="auto"/>
                      <w:sz w:val="21"/>
                      <w:szCs w:val="21"/>
                      <w:lang w:val="en-US" w:eastAsia="zh-CN"/>
                    </w:rPr>
                    <w:t>生产</w:t>
                  </w:r>
                </w:p>
                <w:p w14:paraId="185D997B">
                  <w:pPr>
                    <w:pStyle w:val="98"/>
                    <w:spacing w:before="0" w:beforeLines="0" w:beforeAutospacing="0" w:after="0" w:afterLines="0" w:afterAutospacing="0" w:line="240" w:lineRule="auto"/>
                    <w:rPr>
                      <w:rFonts w:hint="default" w:ascii="Times New Roman" w:hAnsi="Times New Roman" w:eastAsia="宋体" w:cs="Times New Roman"/>
                      <w:b/>
                      <w:bCs w:val="0"/>
                      <w:color w:val="auto"/>
                      <w:sz w:val="21"/>
                      <w:szCs w:val="21"/>
                      <w:lang w:val="en-US" w:eastAsia="zh-CN"/>
                    </w:rPr>
                  </w:pPr>
                  <w:r>
                    <w:rPr>
                      <w:rFonts w:hint="eastAsia" w:ascii="Times New Roman" w:hAnsi="Times New Roman" w:cs="Times New Roman"/>
                      <w:b/>
                      <w:bCs w:val="0"/>
                      <w:color w:val="auto"/>
                      <w:sz w:val="21"/>
                      <w:szCs w:val="21"/>
                      <w:lang w:val="en-US" w:eastAsia="zh-CN"/>
                    </w:rPr>
                    <w:t>工艺</w:t>
                  </w:r>
                </w:p>
              </w:tc>
              <w:tc>
                <w:tcPr>
                  <w:tcW w:w="1323" w:type="dxa"/>
                  <w:vMerge w:val="restart"/>
                  <w:noWrap w:val="0"/>
                  <w:vAlign w:val="center"/>
                </w:tcPr>
                <w:p w14:paraId="02E08C9B">
                  <w:pPr>
                    <w:pStyle w:val="98"/>
                    <w:spacing w:before="0" w:beforeLines="0" w:beforeAutospacing="0" w:after="0" w:afterLines="0" w:afterAutospacing="0" w:line="240" w:lineRule="auto"/>
                    <w:rPr>
                      <w:rFonts w:hint="default" w:ascii="Times New Roman" w:hAnsi="Times New Roman" w:eastAsia="宋体" w:cs="Times New Roman"/>
                      <w:b/>
                      <w:bCs w:val="0"/>
                      <w:color w:val="auto"/>
                      <w:sz w:val="21"/>
                      <w:szCs w:val="21"/>
                      <w:lang w:val="en-US" w:eastAsia="zh-CN"/>
                    </w:rPr>
                  </w:pPr>
                  <w:r>
                    <w:rPr>
                      <w:rFonts w:hint="eastAsia" w:ascii="Times New Roman" w:hAnsi="Times New Roman" w:cs="Times New Roman"/>
                      <w:b/>
                      <w:bCs w:val="0"/>
                      <w:color w:val="auto"/>
                      <w:sz w:val="21"/>
                      <w:szCs w:val="21"/>
                      <w:lang w:val="en-US" w:eastAsia="zh-CN"/>
                    </w:rPr>
                    <w:t>产排污环节</w:t>
                  </w:r>
                </w:p>
              </w:tc>
              <w:tc>
                <w:tcPr>
                  <w:tcW w:w="927" w:type="dxa"/>
                  <w:vMerge w:val="restart"/>
                  <w:noWrap w:val="0"/>
                  <w:vAlign w:val="center"/>
                </w:tcPr>
                <w:p w14:paraId="71F6E025">
                  <w:pPr>
                    <w:pStyle w:val="98"/>
                    <w:spacing w:before="0" w:beforeLines="0" w:beforeAutospacing="0" w:after="0" w:afterLines="0" w:afterAutospacing="0" w:line="240" w:lineRule="auto"/>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污染物</w:t>
                  </w:r>
                </w:p>
                <w:p w14:paraId="1A779413">
                  <w:pPr>
                    <w:pStyle w:val="98"/>
                    <w:spacing w:before="0" w:beforeLines="0" w:beforeAutospacing="0" w:after="0" w:afterLines="0" w:afterAutospacing="0" w:line="240" w:lineRule="auto"/>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项目</w:t>
                  </w:r>
                </w:p>
              </w:tc>
              <w:tc>
                <w:tcPr>
                  <w:tcW w:w="1063" w:type="dxa"/>
                  <w:vMerge w:val="restart"/>
                  <w:noWrap w:val="0"/>
                  <w:vAlign w:val="center"/>
                </w:tcPr>
                <w:p w14:paraId="24810D85">
                  <w:pPr>
                    <w:pStyle w:val="98"/>
                    <w:spacing w:before="0" w:beforeLines="0" w:beforeAutospacing="0" w:after="0" w:afterLines="0" w:afterAutospacing="0" w:line="240" w:lineRule="auto"/>
                    <w:rPr>
                      <w:rFonts w:hint="default" w:ascii="Times New Roman" w:hAnsi="Times New Roman" w:eastAsia="宋体" w:cs="Times New Roman"/>
                      <w:b/>
                      <w:bCs w:val="0"/>
                      <w:color w:val="auto"/>
                      <w:sz w:val="21"/>
                      <w:szCs w:val="21"/>
                      <w:lang w:val="en-US" w:eastAsia="zh-CN"/>
                    </w:rPr>
                  </w:pPr>
                  <w:r>
                    <w:rPr>
                      <w:rFonts w:hint="eastAsia" w:ascii="Times New Roman" w:hAnsi="Times New Roman" w:cs="Times New Roman"/>
                      <w:b/>
                      <w:bCs w:val="0"/>
                      <w:color w:val="auto"/>
                      <w:sz w:val="21"/>
                      <w:szCs w:val="21"/>
                      <w:lang w:val="en-US" w:eastAsia="zh-CN"/>
                    </w:rPr>
                    <w:t>可行技术</w:t>
                  </w:r>
                </w:p>
              </w:tc>
              <w:tc>
                <w:tcPr>
                  <w:tcW w:w="1827" w:type="dxa"/>
                  <w:vMerge w:val="restart"/>
                  <w:noWrap w:val="0"/>
                  <w:vAlign w:val="center"/>
                </w:tcPr>
                <w:p w14:paraId="6D45ED99">
                  <w:pPr>
                    <w:pStyle w:val="98"/>
                    <w:spacing w:before="0" w:beforeLines="0" w:beforeAutospacing="0" w:after="0" w:afterLines="0" w:afterAutospacing="0" w:line="240" w:lineRule="auto"/>
                    <w:jc w:val="center"/>
                    <w:rPr>
                      <w:rFonts w:hint="eastAsia" w:ascii="Times New Roman" w:hAnsi="Times New Roman" w:cs="Times New Roman"/>
                      <w:b/>
                      <w:bCs w:val="0"/>
                      <w:color w:val="auto"/>
                      <w:sz w:val="21"/>
                      <w:szCs w:val="21"/>
                      <w:lang w:val="en-US" w:eastAsia="zh-CN"/>
                    </w:rPr>
                  </w:pPr>
                  <w:r>
                    <w:rPr>
                      <w:rFonts w:hint="default" w:ascii="Times New Roman" w:hAnsi="Times New Roman" w:eastAsia="宋体" w:cs="Times New Roman"/>
                      <w:b/>
                      <w:bCs w:val="0"/>
                      <w:color w:val="auto"/>
                      <w:spacing w:val="0"/>
                      <w:kern w:val="0"/>
                      <w:sz w:val="21"/>
                      <w:szCs w:val="21"/>
                      <w:lang w:val="en-US" w:eastAsia="zh-CN" w:bidi="ar"/>
                    </w:rPr>
                    <w:t>排污许可证申请与核发技术规范</w:t>
                  </w:r>
                </w:p>
              </w:tc>
              <w:tc>
                <w:tcPr>
                  <w:tcW w:w="1832" w:type="dxa"/>
                  <w:gridSpan w:val="2"/>
                  <w:noWrap w:val="0"/>
                  <w:vAlign w:val="center"/>
                </w:tcPr>
                <w:p w14:paraId="239FA21F">
                  <w:pPr>
                    <w:pStyle w:val="98"/>
                    <w:spacing w:before="0" w:beforeLines="0" w:beforeAutospacing="0" w:after="0" w:afterLines="0" w:afterAutospacing="0" w:line="240" w:lineRule="auto"/>
                    <w:jc w:val="center"/>
                    <w:rPr>
                      <w:rFonts w:hint="eastAsia" w:ascii="Times New Roman" w:hAnsi="Times New Roman" w:eastAsia="宋体" w:cs="Times New Roman"/>
                      <w:b/>
                      <w:bCs w:val="0"/>
                      <w:color w:val="auto"/>
                      <w:sz w:val="21"/>
                      <w:szCs w:val="21"/>
                      <w:lang w:val="en-US" w:eastAsia="zh-CN"/>
                    </w:rPr>
                  </w:pPr>
                  <w:r>
                    <w:rPr>
                      <w:rFonts w:hint="eastAsia" w:ascii="Times New Roman" w:hAnsi="Times New Roman" w:cs="Times New Roman"/>
                      <w:b/>
                      <w:bCs w:val="0"/>
                      <w:color w:val="auto"/>
                      <w:sz w:val="21"/>
                      <w:szCs w:val="21"/>
                      <w:lang w:val="en-US" w:eastAsia="zh-CN"/>
                    </w:rPr>
                    <w:t>本项目</w:t>
                  </w:r>
                </w:p>
              </w:tc>
            </w:tr>
            <w:tr w14:paraId="49247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507" w:type="dxa"/>
                  <w:vMerge w:val="continue"/>
                  <w:noWrap w:val="0"/>
                  <w:vAlign w:val="center"/>
                </w:tcPr>
                <w:p w14:paraId="71A981F9">
                  <w:pPr>
                    <w:pStyle w:val="98"/>
                    <w:spacing w:before="0" w:beforeLines="0" w:beforeAutospacing="0" w:after="0" w:afterLines="0" w:afterAutospacing="0" w:line="240" w:lineRule="auto"/>
                    <w:rPr>
                      <w:color w:val="auto"/>
                    </w:rPr>
                  </w:pPr>
                </w:p>
              </w:tc>
              <w:tc>
                <w:tcPr>
                  <w:tcW w:w="900" w:type="dxa"/>
                  <w:vMerge w:val="continue"/>
                  <w:noWrap w:val="0"/>
                  <w:vAlign w:val="center"/>
                </w:tcPr>
                <w:p w14:paraId="3D5375A3">
                  <w:pPr>
                    <w:pStyle w:val="98"/>
                    <w:spacing w:before="0" w:beforeLines="0" w:beforeAutospacing="0" w:after="0" w:afterLines="0" w:afterAutospacing="0" w:line="240" w:lineRule="auto"/>
                    <w:rPr>
                      <w:color w:val="auto"/>
                    </w:rPr>
                  </w:pPr>
                </w:p>
              </w:tc>
              <w:tc>
                <w:tcPr>
                  <w:tcW w:w="1323" w:type="dxa"/>
                  <w:vMerge w:val="continue"/>
                  <w:noWrap w:val="0"/>
                  <w:vAlign w:val="center"/>
                </w:tcPr>
                <w:p w14:paraId="3D2839EA">
                  <w:pPr>
                    <w:pStyle w:val="98"/>
                    <w:spacing w:before="0" w:beforeLines="0" w:beforeAutospacing="0" w:after="0" w:afterLines="0" w:afterAutospacing="0" w:line="240" w:lineRule="auto"/>
                    <w:rPr>
                      <w:color w:val="auto"/>
                    </w:rPr>
                  </w:pPr>
                </w:p>
              </w:tc>
              <w:tc>
                <w:tcPr>
                  <w:tcW w:w="927" w:type="dxa"/>
                  <w:vMerge w:val="continue"/>
                  <w:noWrap w:val="0"/>
                  <w:vAlign w:val="center"/>
                </w:tcPr>
                <w:p w14:paraId="1DF21864">
                  <w:pPr>
                    <w:pStyle w:val="98"/>
                    <w:spacing w:before="0" w:beforeLines="0" w:beforeAutospacing="0" w:after="0" w:afterLines="0" w:afterAutospacing="0" w:line="240" w:lineRule="auto"/>
                    <w:rPr>
                      <w:color w:val="auto"/>
                    </w:rPr>
                  </w:pPr>
                </w:p>
              </w:tc>
              <w:tc>
                <w:tcPr>
                  <w:tcW w:w="1063" w:type="dxa"/>
                  <w:vMerge w:val="continue"/>
                  <w:noWrap w:val="0"/>
                  <w:vAlign w:val="center"/>
                </w:tcPr>
                <w:p w14:paraId="6361674F">
                  <w:pPr>
                    <w:pStyle w:val="98"/>
                    <w:spacing w:before="0" w:beforeLines="0" w:beforeAutospacing="0" w:after="0" w:afterLines="0" w:afterAutospacing="0" w:line="240" w:lineRule="auto"/>
                    <w:rPr>
                      <w:color w:val="auto"/>
                    </w:rPr>
                  </w:pPr>
                </w:p>
              </w:tc>
              <w:tc>
                <w:tcPr>
                  <w:tcW w:w="1827" w:type="dxa"/>
                  <w:vMerge w:val="continue"/>
                  <w:noWrap w:val="0"/>
                  <w:vAlign w:val="center"/>
                </w:tcPr>
                <w:p w14:paraId="2CF601BA">
                  <w:pPr>
                    <w:pStyle w:val="98"/>
                    <w:spacing w:before="0" w:beforeLines="0" w:beforeAutospacing="0" w:after="0" w:afterLines="0" w:afterAutospacing="0" w:line="240" w:lineRule="auto"/>
                    <w:rPr>
                      <w:rFonts w:hint="eastAsia" w:ascii="Times New Roman" w:hAnsi="Times New Roman" w:cs="Times New Roman"/>
                      <w:b/>
                      <w:bCs w:val="0"/>
                      <w:color w:val="auto"/>
                      <w:sz w:val="21"/>
                      <w:szCs w:val="21"/>
                      <w:lang w:val="en-US" w:eastAsia="zh-CN"/>
                    </w:rPr>
                  </w:pPr>
                </w:p>
              </w:tc>
              <w:tc>
                <w:tcPr>
                  <w:tcW w:w="1352" w:type="dxa"/>
                  <w:noWrap w:val="0"/>
                  <w:vAlign w:val="center"/>
                </w:tcPr>
                <w:p w14:paraId="2838F64C">
                  <w:pPr>
                    <w:pStyle w:val="98"/>
                    <w:spacing w:before="0" w:beforeLines="0" w:beforeAutospacing="0" w:after="0" w:afterLines="0" w:afterAutospacing="0" w:line="240" w:lineRule="auto"/>
                    <w:rPr>
                      <w:rFonts w:hint="eastAsia" w:ascii="Times New Roman" w:hAnsi="Times New Roman" w:cs="Times New Roman"/>
                      <w:b/>
                      <w:bCs w:val="0"/>
                      <w:color w:val="auto"/>
                      <w:sz w:val="21"/>
                      <w:szCs w:val="21"/>
                      <w:lang w:val="en-US" w:eastAsia="zh-CN"/>
                    </w:rPr>
                  </w:pPr>
                  <w:r>
                    <w:rPr>
                      <w:rFonts w:hint="eastAsia" w:ascii="Times New Roman" w:hAnsi="Times New Roman" w:cs="Times New Roman"/>
                      <w:b/>
                      <w:bCs w:val="0"/>
                      <w:color w:val="auto"/>
                      <w:sz w:val="21"/>
                      <w:szCs w:val="21"/>
                      <w:lang w:val="en-US" w:eastAsia="zh-CN"/>
                    </w:rPr>
                    <w:t>本项目采取措施</w:t>
                  </w:r>
                </w:p>
              </w:tc>
              <w:tc>
                <w:tcPr>
                  <w:tcW w:w="480" w:type="dxa"/>
                  <w:noWrap w:val="0"/>
                  <w:vAlign w:val="center"/>
                </w:tcPr>
                <w:p w14:paraId="28432768">
                  <w:pPr>
                    <w:pStyle w:val="98"/>
                    <w:spacing w:before="0" w:beforeLines="0" w:beforeAutospacing="0" w:after="0" w:afterLines="0" w:afterAutospacing="0" w:line="240" w:lineRule="auto"/>
                    <w:rPr>
                      <w:rFonts w:hint="eastAsia" w:ascii="Times New Roman" w:hAnsi="Times New Roman" w:cs="Times New Roman"/>
                      <w:b/>
                      <w:bCs w:val="0"/>
                      <w:color w:val="auto"/>
                      <w:sz w:val="21"/>
                      <w:szCs w:val="21"/>
                      <w:lang w:val="en-US" w:eastAsia="zh-CN"/>
                    </w:rPr>
                  </w:pPr>
                  <w:r>
                    <w:rPr>
                      <w:rFonts w:hint="eastAsia" w:ascii="Times New Roman" w:hAnsi="Times New Roman" w:cs="Times New Roman"/>
                      <w:b/>
                      <w:bCs w:val="0"/>
                      <w:color w:val="auto"/>
                      <w:sz w:val="21"/>
                      <w:szCs w:val="21"/>
                      <w:lang w:val="en-US" w:eastAsia="zh-CN"/>
                    </w:rPr>
                    <w:t>符合性</w:t>
                  </w:r>
                </w:p>
              </w:tc>
            </w:tr>
            <w:tr w14:paraId="4088C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507" w:type="dxa"/>
                  <w:shd w:val="clear" w:color="auto" w:fill="auto"/>
                  <w:noWrap w:val="0"/>
                  <w:vAlign w:val="center"/>
                </w:tcPr>
                <w:p w14:paraId="3B9EAB6C">
                  <w:pPr>
                    <w:pStyle w:val="98"/>
                    <w:spacing w:before="0" w:beforeLines="0" w:beforeAutospacing="0" w:after="0" w:afterLines="0" w:afterAutospacing="0" w:line="240" w:lineRule="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cs="Times New Roman"/>
                      <w:bCs/>
                      <w:color w:val="auto"/>
                      <w:sz w:val="21"/>
                      <w:szCs w:val="21"/>
                      <w:lang w:val="en-US" w:eastAsia="zh-CN"/>
                    </w:rPr>
                    <w:t>预处理</w:t>
                  </w:r>
                </w:p>
              </w:tc>
              <w:tc>
                <w:tcPr>
                  <w:tcW w:w="900" w:type="dxa"/>
                  <w:shd w:val="clear" w:color="auto" w:fill="auto"/>
                  <w:noWrap w:val="0"/>
                  <w:vAlign w:val="center"/>
                </w:tcPr>
                <w:p w14:paraId="0D7EBC86">
                  <w:pPr>
                    <w:pStyle w:val="98"/>
                    <w:spacing w:before="0" w:beforeLines="0" w:beforeAutospacing="0" w:after="0" w:afterLines="0" w:afterAutospacing="0" w:line="240" w:lineRule="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cs="Times New Roman"/>
                      <w:bCs/>
                      <w:color w:val="auto"/>
                      <w:sz w:val="21"/>
                      <w:szCs w:val="21"/>
                      <w:lang w:val="en-US" w:eastAsia="zh-CN"/>
                    </w:rPr>
                    <w:t>抛丸</w:t>
                  </w:r>
                </w:p>
              </w:tc>
              <w:tc>
                <w:tcPr>
                  <w:tcW w:w="1323" w:type="dxa"/>
                  <w:shd w:val="clear" w:color="auto" w:fill="auto"/>
                  <w:noWrap w:val="0"/>
                  <w:vAlign w:val="center"/>
                </w:tcPr>
                <w:p w14:paraId="5DF50A50">
                  <w:pPr>
                    <w:pStyle w:val="98"/>
                    <w:spacing w:before="0" w:beforeLines="0" w:beforeAutospacing="0" w:after="0" w:afterLines="0" w:afterAutospacing="0" w:line="240" w:lineRule="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cs="Times New Roman"/>
                      <w:bCs/>
                      <w:color w:val="auto"/>
                      <w:sz w:val="21"/>
                      <w:szCs w:val="21"/>
                      <w:lang w:val="en-US" w:eastAsia="zh-CN"/>
                    </w:rPr>
                    <w:t>机械抛丸、打磨、喷砂、清理设备</w:t>
                  </w:r>
                </w:p>
              </w:tc>
              <w:tc>
                <w:tcPr>
                  <w:tcW w:w="927" w:type="dxa"/>
                  <w:shd w:val="clear" w:color="auto" w:fill="auto"/>
                  <w:noWrap w:val="0"/>
                  <w:vAlign w:val="center"/>
                </w:tcPr>
                <w:p w14:paraId="3FC1F9E0">
                  <w:pPr>
                    <w:pStyle w:val="98"/>
                    <w:spacing w:before="0" w:beforeLines="0" w:beforeAutospacing="0" w:after="0" w:afterLines="0" w:afterAutospacing="0" w:line="240" w:lineRule="auto"/>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sz w:val="21"/>
                      <w:szCs w:val="21"/>
                      <w:lang w:val="en-US" w:eastAsia="zh-CN"/>
                    </w:rPr>
                    <w:t>颗粒物</w:t>
                  </w:r>
                </w:p>
              </w:tc>
              <w:tc>
                <w:tcPr>
                  <w:tcW w:w="1063" w:type="dxa"/>
                  <w:shd w:val="clear" w:color="auto" w:fill="auto"/>
                  <w:noWrap w:val="0"/>
                  <w:vAlign w:val="center"/>
                </w:tcPr>
                <w:p w14:paraId="01E95B91">
                  <w:pPr>
                    <w:pStyle w:val="98"/>
                    <w:spacing w:before="0" w:beforeLines="0" w:beforeAutospacing="0" w:after="0" w:afterLines="0" w:afterAutospacing="0" w:line="240" w:lineRule="auto"/>
                    <w:rPr>
                      <w:rFonts w:hint="eastAsia" w:ascii="Times New Roman" w:hAnsi="Times New Roman" w:eastAsia="宋体" w:cs="Times New Roman"/>
                      <w:bCs/>
                      <w:color w:val="auto"/>
                      <w:kern w:val="0"/>
                      <w:sz w:val="21"/>
                      <w:szCs w:val="21"/>
                      <w:lang w:val="en-US" w:eastAsia="zh-CN" w:bidi="ar-SA"/>
                    </w:rPr>
                  </w:pPr>
                  <w:r>
                    <w:rPr>
                      <w:rFonts w:hint="eastAsia" w:ascii="Times New Roman" w:hAnsi="Times New Roman" w:cs="Times New Roman"/>
                      <w:bCs/>
                      <w:color w:val="auto"/>
                      <w:sz w:val="21"/>
                      <w:szCs w:val="21"/>
                      <w:lang w:val="en-US" w:eastAsia="zh-CN"/>
                    </w:rPr>
                    <w:t>袋式过滤除尘、湿式除尘</w:t>
                  </w:r>
                </w:p>
              </w:tc>
              <w:tc>
                <w:tcPr>
                  <w:tcW w:w="1827" w:type="dxa"/>
                  <w:noWrap w:val="0"/>
                  <w:vAlign w:val="center"/>
                </w:tcPr>
                <w:p w14:paraId="566D916F">
                  <w:pPr>
                    <w:pStyle w:val="98"/>
                    <w:spacing w:before="0" w:beforeLines="0" w:beforeAutospacing="0" w:after="0" w:afterLines="0" w:afterAutospacing="0" w:line="240" w:lineRule="auto"/>
                    <w:rPr>
                      <w:rFonts w:hint="eastAsia"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《排污许可证申请与核发技术规范 汽车制造业》（HJ917-2018）</w:t>
                  </w:r>
                </w:p>
              </w:tc>
              <w:tc>
                <w:tcPr>
                  <w:tcW w:w="1352" w:type="dxa"/>
                  <w:noWrap w:val="0"/>
                  <w:vAlign w:val="center"/>
                </w:tcPr>
                <w:p w14:paraId="3C6B7553">
                  <w:pPr>
                    <w:pStyle w:val="98"/>
                    <w:spacing w:before="0" w:beforeLines="0" w:beforeAutospacing="0" w:after="0" w:afterLines="0" w:afterAutospacing="0" w:line="240" w:lineRule="auto"/>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抛丸机经设备密闭+集气管道收集，采用自带布袋除尘器处理</w:t>
                  </w:r>
                </w:p>
              </w:tc>
              <w:tc>
                <w:tcPr>
                  <w:tcW w:w="480" w:type="dxa"/>
                  <w:noWrap w:val="0"/>
                  <w:vAlign w:val="center"/>
                </w:tcPr>
                <w:p w14:paraId="26C0D1A0">
                  <w:pPr>
                    <w:pStyle w:val="98"/>
                    <w:spacing w:before="0" w:beforeLines="0" w:beforeAutospacing="0" w:after="0" w:afterLines="0" w:afterAutospacing="0" w:line="240" w:lineRule="auto"/>
                    <w:rPr>
                      <w:rFonts w:hint="eastAsia"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是</w:t>
                  </w:r>
                </w:p>
              </w:tc>
            </w:tr>
            <w:tr w14:paraId="73790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507" w:type="dxa"/>
                  <w:shd w:val="clear" w:color="auto" w:fill="auto"/>
                  <w:noWrap w:val="0"/>
                  <w:vAlign w:val="center"/>
                </w:tcPr>
                <w:p w14:paraId="01C27D44">
                  <w:pPr>
                    <w:pStyle w:val="98"/>
                    <w:spacing w:before="0" w:beforeLines="0" w:beforeAutospacing="0" w:after="0" w:afterLines="0" w:afterAutospacing="0" w:line="240" w:lineRule="auto"/>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机加</w:t>
                  </w:r>
                </w:p>
              </w:tc>
              <w:tc>
                <w:tcPr>
                  <w:tcW w:w="900" w:type="dxa"/>
                  <w:shd w:val="clear" w:color="auto" w:fill="auto"/>
                  <w:noWrap w:val="0"/>
                  <w:vAlign w:val="center"/>
                </w:tcPr>
                <w:p w14:paraId="7AA143A3">
                  <w:pPr>
                    <w:pStyle w:val="98"/>
                    <w:spacing w:before="0" w:beforeLines="0" w:beforeAutospacing="0" w:after="0" w:afterLines="0" w:afterAutospacing="0" w:line="240" w:lineRule="auto"/>
                    <w:rPr>
                      <w:rFonts w:hint="eastAsia"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锻造*</w:t>
                  </w:r>
                </w:p>
              </w:tc>
              <w:tc>
                <w:tcPr>
                  <w:tcW w:w="1323" w:type="dxa"/>
                  <w:shd w:val="clear" w:color="auto" w:fill="auto"/>
                  <w:noWrap w:val="0"/>
                  <w:vAlign w:val="center"/>
                </w:tcPr>
                <w:p w14:paraId="327BDDDC">
                  <w:pPr>
                    <w:pStyle w:val="98"/>
                    <w:spacing w:before="0" w:beforeLines="0" w:beforeAutospacing="0" w:after="0" w:afterLines="0" w:afterAutospacing="0" w:line="240" w:lineRule="auto"/>
                    <w:rPr>
                      <w:rFonts w:hint="eastAsia"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湿式机械</w:t>
                  </w:r>
                </w:p>
                <w:p w14:paraId="293C612C">
                  <w:pPr>
                    <w:pStyle w:val="98"/>
                    <w:spacing w:before="0" w:beforeLines="0" w:beforeAutospacing="0" w:after="0" w:afterLines="0" w:afterAutospacing="0" w:line="240" w:lineRule="auto"/>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加工设备</w:t>
                  </w:r>
                </w:p>
              </w:tc>
              <w:tc>
                <w:tcPr>
                  <w:tcW w:w="927" w:type="dxa"/>
                  <w:shd w:val="clear" w:color="auto" w:fill="auto"/>
                  <w:noWrap w:val="0"/>
                  <w:vAlign w:val="center"/>
                </w:tcPr>
                <w:p w14:paraId="4C5A3D13">
                  <w:pPr>
                    <w:pStyle w:val="98"/>
                    <w:spacing w:before="0" w:beforeLines="0" w:beforeAutospacing="0" w:after="0" w:afterLines="0" w:afterAutospacing="0" w:line="240" w:lineRule="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挥发性有机物、油雾</w:t>
                  </w:r>
                </w:p>
              </w:tc>
              <w:tc>
                <w:tcPr>
                  <w:tcW w:w="1063" w:type="dxa"/>
                  <w:shd w:val="clear" w:color="auto" w:fill="auto"/>
                  <w:noWrap w:val="0"/>
                  <w:vAlign w:val="center"/>
                </w:tcPr>
                <w:p w14:paraId="3C3E445B">
                  <w:pPr>
                    <w:pStyle w:val="98"/>
                    <w:spacing w:before="0" w:beforeLines="0" w:beforeAutospacing="0" w:after="0" w:afterLines="0" w:afterAutospacing="0" w:line="240" w:lineRule="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油雾净化装置，机械过滤、静电过滤</w:t>
                  </w:r>
                </w:p>
              </w:tc>
              <w:tc>
                <w:tcPr>
                  <w:tcW w:w="1827" w:type="dxa"/>
                  <w:vMerge w:val="restart"/>
                  <w:shd w:val="clear" w:color="auto" w:fill="auto"/>
                  <w:noWrap w:val="0"/>
                  <w:vAlign w:val="center"/>
                </w:tcPr>
                <w:p w14:paraId="2D68AD08">
                  <w:pPr>
                    <w:pStyle w:val="98"/>
                    <w:spacing w:before="0" w:beforeLines="0" w:beforeAutospacing="0" w:after="0" w:afterLines="0" w:afterAutospacing="0" w:line="240" w:lineRule="auto"/>
                    <w:rPr>
                      <w:rFonts w:hint="eastAsia"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《排污许可证申请与核发技术规范 铁路、船舶、航空航天和其他运输设备制造业》（HJ 1124-2020）</w:t>
                  </w:r>
                </w:p>
              </w:tc>
              <w:tc>
                <w:tcPr>
                  <w:tcW w:w="1352" w:type="dxa"/>
                  <w:shd w:val="clear" w:color="auto" w:fill="auto"/>
                  <w:noWrap w:val="0"/>
                  <w:vAlign w:val="center"/>
                </w:tcPr>
                <w:p w14:paraId="65A79AFA">
                  <w:pPr>
                    <w:pStyle w:val="98"/>
                    <w:spacing w:before="0" w:beforeLines="0" w:beforeAutospacing="0" w:after="0" w:afterLines="0" w:afterAutospacing="0" w:line="240" w:lineRule="auto"/>
                    <w:rPr>
                      <w:rFonts w:hint="eastAsia"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集气罩+</w:t>
                  </w:r>
                  <w:r>
                    <w:rPr>
                      <w:rFonts w:hint="default" w:ascii="Times New Roman" w:hAnsi="Times New Roman" w:cs="Times New Roman"/>
                      <w:color w:val="auto"/>
                      <w:sz w:val="21"/>
                      <w:szCs w:val="21"/>
                      <w:lang w:eastAsia="zh-CN"/>
                    </w:rPr>
                    <w:t>静电</w:t>
                  </w:r>
                  <w:r>
                    <w:rPr>
                      <w:rFonts w:hint="default" w:ascii="Times New Roman" w:hAnsi="Times New Roman" w:cs="Times New Roman"/>
                      <w:color w:val="auto"/>
                      <w:sz w:val="21"/>
                      <w:szCs w:val="21"/>
                      <w:lang w:val="en-US" w:eastAsia="zh-CN"/>
                    </w:rPr>
                    <w:t>式</w:t>
                  </w:r>
                  <w:r>
                    <w:rPr>
                      <w:rFonts w:hint="default" w:ascii="Times New Roman" w:hAnsi="Times New Roman" w:cs="Times New Roman"/>
                      <w:color w:val="auto"/>
                      <w:sz w:val="21"/>
                      <w:szCs w:val="21"/>
                      <w:lang w:eastAsia="zh-CN"/>
                    </w:rPr>
                    <w:t>油雾净化</w:t>
                  </w:r>
                  <w:r>
                    <w:rPr>
                      <w:rFonts w:hint="default" w:ascii="Times New Roman" w:hAnsi="Times New Roman" w:cs="Times New Roman"/>
                      <w:color w:val="auto"/>
                      <w:sz w:val="21"/>
                      <w:szCs w:val="21"/>
                      <w:lang w:val="en-US" w:eastAsia="zh-CN"/>
                    </w:rPr>
                    <w:t>器</w:t>
                  </w:r>
                  <w:r>
                    <w:rPr>
                      <w:rFonts w:hint="eastAsia" w:ascii="Times New Roman" w:hAnsi="Times New Roman" w:cs="Times New Roman"/>
                      <w:color w:val="auto"/>
                      <w:sz w:val="21"/>
                      <w:szCs w:val="21"/>
                      <w:lang w:val="en-US" w:eastAsia="zh-CN"/>
                    </w:rPr>
                    <w:t>+</w:t>
                  </w:r>
                  <w:r>
                    <w:rPr>
                      <w:rFonts w:hint="eastAsia" w:ascii="Times New Roman" w:hAnsi="Times New Roman" w:cs="Times New Roman"/>
                      <w:bCs/>
                      <w:color w:val="auto"/>
                      <w:sz w:val="21"/>
                      <w:szCs w:val="21"/>
                      <w:lang w:val="en-US" w:eastAsia="zh-CN"/>
                    </w:rPr>
                    <w:t>两级活性炭吸附装置</w:t>
                  </w:r>
                </w:p>
              </w:tc>
              <w:tc>
                <w:tcPr>
                  <w:tcW w:w="480" w:type="dxa"/>
                  <w:shd w:val="clear" w:color="auto" w:fill="auto"/>
                  <w:noWrap w:val="0"/>
                  <w:vAlign w:val="center"/>
                </w:tcPr>
                <w:p w14:paraId="3919D26C">
                  <w:pPr>
                    <w:pStyle w:val="98"/>
                    <w:spacing w:before="0" w:beforeLines="0" w:beforeAutospacing="0" w:after="0" w:afterLines="0" w:afterAutospacing="0" w:line="240" w:lineRule="auto"/>
                    <w:rPr>
                      <w:rFonts w:hint="eastAsia"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是</w:t>
                  </w:r>
                </w:p>
              </w:tc>
            </w:tr>
            <w:tr w14:paraId="1D543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507" w:type="dxa"/>
                  <w:shd w:val="clear" w:color="auto" w:fill="auto"/>
                  <w:noWrap w:val="0"/>
                  <w:vAlign w:val="center"/>
                </w:tcPr>
                <w:p w14:paraId="74AC4990">
                  <w:pPr>
                    <w:pStyle w:val="98"/>
                    <w:spacing w:before="0" w:beforeLines="0" w:beforeAutospacing="0" w:after="0" w:afterLines="0" w:afterAutospacing="0" w:line="240" w:lineRule="auto"/>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热处理</w:t>
                  </w:r>
                </w:p>
              </w:tc>
              <w:tc>
                <w:tcPr>
                  <w:tcW w:w="900" w:type="dxa"/>
                  <w:shd w:val="clear" w:color="auto" w:fill="auto"/>
                  <w:noWrap w:val="0"/>
                  <w:vAlign w:val="center"/>
                </w:tcPr>
                <w:p w14:paraId="30C15D14">
                  <w:pPr>
                    <w:pStyle w:val="98"/>
                    <w:spacing w:before="0" w:beforeLines="0" w:beforeAutospacing="0" w:after="0" w:afterLines="0" w:afterAutospacing="0" w:line="240" w:lineRule="auto"/>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淬火*</w:t>
                  </w:r>
                </w:p>
              </w:tc>
              <w:tc>
                <w:tcPr>
                  <w:tcW w:w="1323" w:type="dxa"/>
                  <w:shd w:val="clear" w:color="auto" w:fill="auto"/>
                  <w:noWrap w:val="0"/>
                  <w:vAlign w:val="center"/>
                </w:tcPr>
                <w:p w14:paraId="2E40F1EE">
                  <w:pPr>
                    <w:pStyle w:val="98"/>
                    <w:spacing w:before="0" w:beforeLines="0" w:beforeAutospacing="0" w:after="0" w:afterLines="0" w:afterAutospacing="0" w:line="240" w:lineRule="auto"/>
                    <w:rPr>
                      <w:rFonts w:hint="default"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淬火油槽</w:t>
                  </w:r>
                </w:p>
              </w:tc>
              <w:tc>
                <w:tcPr>
                  <w:tcW w:w="927" w:type="dxa"/>
                  <w:shd w:val="clear" w:color="auto" w:fill="auto"/>
                  <w:noWrap w:val="0"/>
                  <w:vAlign w:val="center"/>
                </w:tcPr>
                <w:p w14:paraId="531FA2DF">
                  <w:pPr>
                    <w:pStyle w:val="98"/>
                    <w:spacing w:before="0" w:beforeLines="0" w:beforeAutospacing="0" w:after="0" w:afterLines="0" w:afterAutospacing="0" w:line="240" w:lineRule="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挥发性有机物、油雾</w:t>
                  </w:r>
                </w:p>
              </w:tc>
              <w:tc>
                <w:tcPr>
                  <w:tcW w:w="1063" w:type="dxa"/>
                  <w:shd w:val="clear" w:color="auto" w:fill="auto"/>
                  <w:noWrap w:val="0"/>
                  <w:vAlign w:val="center"/>
                </w:tcPr>
                <w:p w14:paraId="79C68AE6">
                  <w:pPr>
                    <w:pStyle w:val="98"/>
                    <w:spacing w:before="0" w:beforeLines="0" w:beforeAutospacing="0" w:after="0" w:afterLines="0" w:afterAutospacing="0" w:line="240" w:lineRule="auto"/>
                    <w:rPr>
                      <w:rFonts w:hint="eastAsia" w:ascii="Times New Roman" w:hAnsi="Times New Roman"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油雾净化装置，机械过滤、静电过滤</w:t>
                  </w:r>
                </w:p>
              </w:tc>
              <w:tc>
                <w:tcPr>
                  <w:tcW w:w="1827" w:type="dxa"/>
                  <w:vMerge w:val="continue"/>
                  <w:shd w:val="clear" w:color="auto" w:fill="auto"/>
                  <w:noWrap w:val="0"/>
                  <w:vAlign w:val="center"/>
                </w:tcPr>
                <w:p w14:paraId="33409AB1">
                  <w:pPr>
                    <w:pStyle w:val="98"/>
                    <w:spacing w:before="0" w:beforeLines="0" w:beforeAutospacing="0" w:after="0" w:afterLines="0" w:afterAutospacing="0" w:line="240" w:lineRule="auto"/>
                    <w:rPr>
                      <w:rFonts w:hint="default" w:ascii="Times New Roman" w:hAnsi="Times New Roman" w:cs="Times New Roman"/>
                      <w:bCs/>
                      <w:color w:val="auto"/>
                      <w:sz w:val="21"/>
                      <w:szCs w:val="21"/>
                      <w:lang w:val="en-US" w:eastAsia="zh-CN"/>
                    </w:rPr>
                  </w:pPr>
                </w:p>
              </w:tc>
              <w:tc>
                <w:tcPr>
                  <w:tcW w:w="1352" w:type="dxa"/>
                  <w:shd w:val="clear" w:color="auto" w:fill="auto"/>
                  <w:noWrap w:val="0"/>
                  <w:vAlign w:val="center"/>
                </w:tcPr>
                <w:p w14:paraId="0F8E1E3D">
                  <w:pPr>
                    <w:pStyle w:val="98"/>
                    <w:spacing w:before="0" w:beforeLines="0" w:beforeAutospacing="0" w:after="0" w:afterLines="0" w:afterAutospacing="0" w:line="240" w:lineRule="auto"/>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设备密闭+集气管道</w:t>
                  </w:r>
                  <w:r>
                    <w:rPr>
                      <w:rFonts w:hint="eastAsia" w:ascii="Times New Roman" w:hAnsi="Times New Roman" w:cs="Times New Roman"/>
                      <w:bCs/>
                      <w:color w:val="auto"/>
                      <w:sz w:val="21"/>
                      <w:szCs w:val="21"/>
                      <w:lang w:val="en-US" w:eastAsia="zh-CN"/>
                    </w:rPr>
                    <w:t>收集后无组织排放</w:t>
                  </w:r>
                </w:p>
              </w:tc>
              <w:tc>
                <w:tcPr>
                  <w:tcW w:w="480" w:type="dxa"/>
                  <w:shd w:val="clear" w:color="auto" w:fill="auto"/>
                  <w:noWrap w:val="0"/>
                  <w:vAlign w:val="center"/>
                </w:tcPr>
                <w:p w14:paraId="5207B0F0">
                  <w:pPr>
                    <w:pStyle w:val="98"/>
                    <w:spacing w:before="0" w:beforeLines="0" w:beforeAutospacing="0" w:after="0" w:afterLines="0" w:afterAutospacing="0" w:line="240" w:lineRule="auto"/>
                    <w:rPr>
                      <w:rFonts w:hint="eastAsia" w:ascii="Times New Roman" w:hAnsi="Times New Roman" w:cs="Times New Roman"/>
                      <w:bCs/>
                      <w:color w:val="auto"/>
                      <w:sz w:val="21"/>
                      <w:szCs w:val="21"/>
                      <w:lang w:val="en-US" w:eastAsia="zh-CN"/>
                    </w:rPr>
                  </w:pPr>
                  <w:r>
                    <w:rPr>
                      <w:rFonts w:hint="eastAsia" w:ascii="Times New Roman" w:hAnsi="Times New Roman" w:cs="Times New Roman"/>
                      <w:bCs/>
                      <w:color w:val="auto"/>
                      <w:sz w:val="21"/>
                      <w:szCs w:val="21"/>
                      <w:lang w:val="en-US" w:eastAsia="zh-CN"/>
                    </w:rPr>
                    <w:t>是</w:t>
                  </w:r>
                </w:p>
              </w:tc>
            </w:tr>
          </w:tbl>
          <w:p w14:paraId="3F5A5C82">
            <w:pPr>
              <w:spacing w:line="360" w:lineRule="auto"/>
              <w:ind w:firstLine="420" w:firstLineChars="200"/>
              <w:rPr>
                <w:rFonts w:hint="default"/>
                <w:bCs/>
                <w:color w:val="auto"/>
                <w:sz w:val="21"/>
                <w:szCs w:val="21"/>
                <w:lang w:val="en-US" w:eastAsia="zh-CN"/>
              </w:rPr>
            </w:pPr>
            <w:r>
              <w:rPr>
                <w:rFonts w:hint="eastAsia"/>
                <w:bCs/>
                <w:color w:val="auto"/>
                <w:sz w:val="21"/>
                <w:szCs w:val="21"/>
                <w:lang w:val="en-US" w:eastAsia="zh-CN"/>
              </w:rPr>
              <w:t>注：“锻造*和淬火*”工序分别参照《排污许可证申请与核发技术规范铁路、船舶、航空航天和其他运输设备制造业》（HJ1124-2020）中的机加和热处理工序，由于本项目锻造工序使用水性脱模剂，锻造脱模</w:t>
            </w:r>
            <w:r>
              <w:rPr>
                <w:rFonts w:hint="default"/>
                <w:bCs/>
                <w:color w:val="auto"/>
                <w:sz w:val="21"/>
                <w:szCs w:val="21"/>
                <w:lang w:val="en-US" w:eastAsia="zh-CN"/>
              </w:rPr>
              <w:t>过程中受热挥发，形成油雾状废气，以非甲烷总烃计</w:t>
            </w:r>
            <w:r>
              <w:rPr>
                <w:rFonts w:hint="eastAsia"/>
                <w:bCs/>
                <w:color w:val="auto"/>
                <w:sz w:val="21"/>
                <w:szCs w:val="21"/>
                <w:lang w:val="en-US" w:eastAsia="zh-CN"/>
              </w:rPr>
              <w:t>，故以</w:t>
            </w:r>
            <w:r>
              <w:rPr>
                <w:rFonts w:hint="default" w:ascii="Times New Roman" w:hAnsi="Times New Roman" w:cs="Times New Roman"/>
                <w:color w:val="auto"/>
                <w:szCs w:val="21"/>
                <w:lang w:eastAsia="zh-CN"/>
              </w:rPr>
              <w:t>静电</w:t>
            </w:r>
            <w:r>
              <w:rPr>
                <w:rFonts w:hint="default" w:ascii="Times New Roman" w:hAnsi="Times New Roman" w:cs="Times New Roman"/>
                <w:color w:val="auto"/>
                <w:szCs w:val="21"/>
                <w:lang w:val="en-US" w:eastAsia="zh-CN"/>
              </w:rPr>
              <w:t>式</w:t>
            </w:r>
            <w:r>
              <w:rPr>
                <w:rFonts w:hint="default" w:ascii="Times New Roman" w:hAnsi="Times New Roman" w:cs="Times New Roman"/>
                <w:color w:val="auto"/>
                <w:szCs w:val="21"/>
                <w:lang w:eastAsia="zh-CN"/>
              </w:rPr>
              <w:t>油雾净化</w:t>
            </w:r>
            <w:r>
              <w:rPr>
                <w:rFonts w:hint="default" w:ascii="Times New Roman" w:hAnsi="Times New Roman" w:cs="Times New Roman"/>
                <w:color w:val="auto"/>
                <w:szCs w:val="21"/>
                <w:lang w:val="en-US" w:eastAsia="zh-CN"/>
              </w:rPr>
              <w:t>器</w:t>
            </w:r>
            <w:r>
              <w:rPr>
                <w:rFonts w:hint="eastAsia" w:ascii="Times New Roman" w:hAnsi="Times New Roman" w:cs="Times New Roman"/>
                <w:color w:val="auto"/>
                <w:szCs w:val="21"/>
                <w:lang w:val="en-US" w:eastAsia="zh-CN"/>
              </w:rPr>
              <w:t>+</w:t>
            </w:r>
            <w:r>
              <w:rPr>
                <w:rFonts w:hint="eastAsia"/>
                <w:bCs/>
                <w:color w:val="auto"/>
                <w:sz w:val="21"/>
                <w:szCs w:val="21"/>
                <w:lang w:val="en-US" w:eastAsia="zh-CN"/>
              </w:rPr>
              <w:t>两级活性炭吸附装置</w:t>
            </w:r>
            <w:r>
              <w:rPr>
                <w:rFonts w:hint="eastAsia" w:ascii="Times New Roman" w:hAnsi="Times New Roman" w:eastAsia="宋体" w:cs="Times New Roman"/>
                <w:bCs/>
                <w:color w:val="auto"/>
                <w:sz w:val="21"/>
                <w:szCs w:val="21"/>
                <w:lang w:val="en-US" w:eastAsia="zh-CN"/>
              </w:rPr>
              <w:t>处理是可行的；淬火工序使用水性淬火液和自来水配比的混合溶液，不属于淬火油，因此不产生油雾，污染物为挥发性有机物（以非甲烷总烃计）。由于淬火工序非甲烷总烃产生量为</w:t>
            </w:r>
            <w:r>
              <w:rPr>
                <w:rFonts w:hint="default" w:ascii="Times New Roman" w:hAnsi="Times New Roman" w:eastAsia="宋体" w:cs="Times New Roman"/>
                <w:bCs/>
                <w:color w:val="auto"/>
                <w:sz w:val="21"/>
                <w:szCs w:val="21"/>
                <w:lang w:val="en-US" w:eastAsia="zh-CN"/>
              </w:rPr>
              <w:t>0.00</w:t>
            </w:r>
            <w:r>
              <w:rPr>
                <w:rFonts w:hint="eastAsia" w:ascii="Times New Roman" w:hAnsi="Times New Roman" w:eastAsia="宋体" w:cs="Times New Roman"/>
                <w:bCs/>
                <w:color w:val="auto"/>
                <w:sz w:val="21"/>
                <w:szCs w:val="21"/>
                <w:lang w:val="en-US" w:eastAsia="zh-CN"/>
              </w:rPr>
              <w:t>0012</w:t>
            </w:r>
            <w:r>
              <w:rPr>
                <w:rFonts w:hint="default" w:ascii="Times New Roman" w:hAnsi="Times New Roman" w:eastAsia="宋体" w:cs="Times New Roman"/>
                <w:bCs/>
                <w:color w:val="auto"/>
                <w:sz w:val="21"/>
                <w:szCs w:val="21"/>
                <w:lang w:val="en-US" w:eastAsia="zh-CN"/>
              </w:rPr>
              <w:t>t/a</w:t>
            </w:r>
            <w:r>
              <w:rPr>
                <w:rFonts w:hint="eastAsia" w:ascii="Times New Roman" w:hAnsi="Times New Roman" w:eastAsia="宋体" w:cs="Times New Roman"/>
                <w:bCs/>
                <w:color w:val="auto"/>
                <w:sz w:val="21"/>
                <w:szCs w:val="21"/>
                <w:lang w:val="en-US" w:eastAsia="zh-CN"/>
              </w:rPr>
              <w:t>，产生速率为0.00000234kg/h，远小于2kg/h，因此可不设置末端治理设施</w:t>
            </w:r>
            <w:r>
              <w:rPr>
                <w:rFonts w:hint="eastAsia" w:ascii="Times New Roman" w:hAnsi="Times New Roman" w:eastAsia="宋体" w:cs="Times New Roman"/>
                <w:bCs/>
                <w:color w:val="auto"/>
                <w:sz w:val="21"/>
                <w:szCs w:val="21"/>
                <w:lang w:val="en-US" w:eastAsia="zh-CN"/>
              </w:rPr>
              <w:t>，故淬火废气经</w:t>
            </w:r>
            <w:r>
              <w:rPr>
                <w:rFonts w:hint="default" w:ascii="Times New Roman" w:hAnsi="Times New Roman" w:eastAsia="宋体" w:cs="Times New Roman"/>
                <w:bCs/>
                <w:color w:val="auto"/>
                <w:sz w:val="21"/>
                <w:szCs w:val="21"/>
                <w:lang w:val="en-US" w:eastAsia="zh-CN"/>
              </w:rPr>
              <w:t>设备密闭+集气管道</w:t>
            </w:r>
            <w:r>
              <w:rPr>
                <w:rFonts w:hint="eastAsia" w:ascii="Times New Roman" w:hAnsi="Times New Roman" w:eastAsia="宋体" w:cs="Times New Roman"/>
                <w:bCs/>
                <w:color w:val="auto"/>
                <w:sz w:val="21"/>
                <w:szCs w:val="21"/>
                <w:lang w:val="en-US" w:eastAsia="zh-CN"/>
              </w:rPr>
              <w:t>收集后无组织排放，</w:t>
            </w:r>
            <w:r>
              <w:rPr>
                <w:rFonts w:hint="eastAsia" w:ascii="Times New Roman" w:hAnsi="Times New Roman" w:eastAsia="宋体" w:cs="Times New Roman"/>
                <w:bCs/>
                <w:color w:val="auto"/>
                <w:sz w:val="21"/>
                <w:szCs w:val="21"/>
                <w:lang w:val="en-US" w:eastAsia="zh-CN"/>
              </w:rPr>
              <w:t>锻造脱模废气经集气罩收集后由</w:t>
            </w:r>
            <w:r>
              <w:rPr>
                <w:rFonts w:hint="default" w:ascii="Times New Roman" w:hAnsi="Times New Roman" w:cs="Times New Roman"/>
                <w:color w:val="auto"/>
                <w:szCs w:val="21"/>
                <w:lang w:eastAsia="zh-CN"/>
              </w:rPr>
              <w:t>静电</w:t>
            </w:r>
            <w:r>
              <w:rPr>
                <w:rFonts w:hint="default" w:ascii="Times New Roman" w:hAnsi="Times New Roman" w:cs="Times New Roman"/>
                <w:color w:val="auto"/>
                <w:szCs w:val="21"/>
                <w:lang w:val="en-US" w:eastAsia="zh-CN"/>
              </w:rPr>
              <w:t>式</w:t>
            </w:r>
            <w:r>
              <w:rPr>
                <w:rFonts w:hint="default" w:ascii="Times New Roman" w:hAnsi="Times New Roman" w:cs="Times New Roman"/>
                <w:color w:val="auto"/>
                <w:szCs w:val="21"/>
                <w:lang w:eastAsia="zh-CN"/>
              </w:rPr>
              <w:t>油雾净化</w:t>
            </w:r>
            <w:r>
              <w:rPr>
                <w:rFonts w:hint="default" w:ascii="Times New Roman" w:hAnsi="Times New Roman" w:cs="Times New Roman"/>
                <w:color w:val="auto"/>
                <w:szCs w:val="21"/>
                <w:lang w:val="en-US" w:eastAsia="zh-CN"/>
              </w:rPr>
              <w:t>器</w:t>
            </w:r>
            <w:r>
              <w:rPr>
                <w:rFonts w:hint="eastAsia" w:ascii="Times New Roman" w:hAnsi="Times New Roman" w:cs="Times New Roman"/>
                <w:color w:val="auto"/>
                <w:szCs w:val="21"/>
                <w:lang w:val="en-US" w:eastAsia="zh-CN"/>
              </w:rPr>
              <w:t>+</w:t>
            </w:r>
            <w:r>
              <w:rPr>
                <w:rFonts w:hint="eastAsia" w:ascii="Times New Roman" w:hAnsi="Times New Roman" w:eastAsia="宋体" w:cs="Times New Roman"/>
                <w:bCs/>
                <w:color w:val="auto"/>
                <w:sz w:val="21"/>
                <w:szCs w:val="21"/>
                <w:lang w:val="en-US" w:eastAsia="zh-CN"/>
              </w:rPr>
              <w:t>两级活性炭吸附装置处理后通过一根18m高的排气筒DA002排放是可行的。</w:t>
            </w:r>
          </w:p>
          <w:p w14:paraId="0CA226FA">
            <w:pPr>
              <w:autoSpaceDE w:val="0"/>
              <w:spacing w:line="360" w:lineRule="auto"/>
              <w:ind w:firstLine="480" w:firstLineChars="200"/>
              <w:rPr>
                <w:rFonts w:hint="default" w:ascii="Times New Roman" w:hAnsi="Times New Roman" w:eastAsia="宋体" w:cs="Times New Roman"/>
                <w:b w:val="0"/>
                <w:bCs w:val="0"/>
                <w:color w:val="auto"/>
                <w:sz w:val="24"/>
                <w:szCs w:val="24"/>
                <w:lang w:val="en-US" w:eastAsia="zh-CN"/>
              </w:rPr>
            </w:pPr>
            <w:r>
              <w:rPr>
                <w:rFonts w:hint="default" w:ascii="Times New Roman" w:hAnsi="Times New Roman" w:cs="Times New Roman"/>
                <w:color w:val="auto"/>
                <w:sz w:val="24"/>
                <w:lang w:eastAsia="zh-CN"/>
              </w:rPr>
              <w:t>由表可知，本项目采用的废气处理技术</w:t>
            </w:r>
            <w:r>
              <w:rPr>
                <w:rFonts w:hint="default" w:ascii="Times New Roman" w:hAnsi="Times New Roman" w:cs="Times New Roman"/>
                <w:bCs/>
                <w:color w:val="auto"/>
                <w:sz w:val="24"/>
                <w:lang w:eastAsia="zh-CN"/>
              </w:rPr>
              <w:t>，</w:t>
            </w:r>
            <w:r>
              <w:rPr>
                <w:rFonts w:hint="default" w:ascii="Times New Roman" w:hAnsi="Times New Roman" w:eastAsia="宋体" w:cs="Times New Roman"/>
                <w:color w:val="auto"/>
                <w:kern w:val="0"/>
                <w:sz w:val="24"/>
                <w:szCs w:val="24"/>
                <w:lang w:val="en-US" w:eastAsia="zh-CN" w:bidi="ar"/>
              </w:rPr>
              <w:t>均为可行性技术，</w:t>
            </w:r>
            <w:r>
              <w:rPr>
                <w:rFonts w:hint="default" w:ascii="Times New Roman" w:hAnsi="Times New Roman" w:eastAsia="宋体" w:cs="Times New Roman"/>
                <w:color w:val="auto"/>
                <w:sz w:val="24"/>
                <w:szCs w:val="24"/>
                <w:lang w:val="en-US" w:eastAsia="zh-CN"/>
              </w:rPr>
              <w:t>符</w:t>
            </w:r>
            <w:r>
              <w:rPr>
                <w:rFonts w:hint="default" w:ascii="Times New Roman" w:hAnsi="Times New Roman" w:eastAsia="宋体" w:cs="Times New Roman"/>
                <w:color w:val="auto"/>
                <w:kern w:val="0"/>
                <w:sz w:val="24"/>
                <w:szCs w:val="24"/>
                <w:lang w:val="en-US" w:eastAsia="zh-CN" w:bidi="ar"/>
              </w:rPr>
              <w:t>合</w:t>
            </w:r>
            <w:r>
              <w:rPr>
                <w:rFonts w:hint="eastAsia" w:cs="Times New Roman"/>
                <w:color w:val="auto"/>
                <w:kern w:val="2"/>
                <w:sz w:val="24"/>
                <w:szCs w:val="24"/>
                <w:lang w:val="en-US" w:eastAsia="zh-CN" w:bidi="ar-SA"/>
              </w:rPr>
              <w:t>《排污许可证申请与核发技术规范 汽车制造业》（HJ917-2018）</w:t>
            </w:r>
            <w:r>
              <w:rPr>
                <w:rFonts w:hint="default" w:ascii="Times New Roman" w:hAnsi="Times New Roman"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《排污许可证申请与核发技术规范 铁路、船舶、航空航天和其他运输设备制造业》（HJ 1124-2020）</w:t>
            </w:r>
            <w:r>
              <w:rPr>
                <w:rFonts w:hint="default" w:ascii="Times New Roman" w:hAnsi="Times New Roman" w:eastAsia="宋体" w:cs="Times New Roman"/>
                <w:color w:val="auto"/>
                <w:kern w:val="0"/>
                <w:sz w:val="24"/>
                <w:szCs w:val="24"/>
                <w:lang w:val="en-US" w:eastAsia="zh-CN" w:bidi="ar"/>
              </w:rPr>
              <w:t>中可行技术要求。</w:t>
            </w:r>
            <w:r>
              <w:rPr>
                <w:rFonts w:hint="default" w:ascii="Times New Roman" w:hAnsi="Times New Roman" w:eastAsia="宋体" w:cs="Times New Roman"/>
                <w:color w:val="auto"/>
                <w:kern w:val="0"/>
                <w:sz w:val="24"/>
                <w:szCs w:val="24"/>
                <w:lang w:bidi="ar"/>
              </w:rPr>
              <w:t>综上，项目废气治理措施属于可行技术。</w:t>
            </w:r>
          </w:p>
          <w:p w14:paraId="1F4E286C">
            <w:pPr>
              <w:spacing w:line="360" w:lineRule="auto"/>
              <w:ind w:firstLine="480" w:firstLineChars="200"/>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（4）排气筒高度设计要求</w:t>
            </w:r>
          </w:p>
          <w:p w14:paraId="35C6BA36">
            <w:pPr>
              <w:autoSpaceDE w:val="0"/>
              <w:spacing w:line="360" w:lineRule="auto"/>
              <w:ind w:firstLine="480" w:firstLineChars="200"/>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①标准中对排气筒高度的规定</w:t>
            </w:r>
          </w:p>
          <w:p w14:paraId="35D5ABAB">
            <w:pPr>
              <w:autoSpaceDE w:val="0"/>
              <w:spacing w:line="360" w:lineRule="auto"/>
              <w:ind w:firstLine="480" w:firstLineChars="200"/>
              <w:rPr>
                <w:rFonts w:hint="default" w:ascii="Times New Roman" w:hAnsi="Times New Roman" w:eastAsia="宋体" w:cs="Times New Roman"/>
                <w:color w:val="auto"/>
                <w:kern w:val="0"/>
                <w:sz w:val="24"/>
                <w:szCs w:val="24"/>
                <w:lang w:val="en-US" w:eastAsia="zh-CN" w:bidi="ar"/>
              </w:rPr>
            </w:pPr>
            <w:r>
              <w:rPr>
                <w:rFonts w:hint="eastAsia"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eastAsia="zh-CN" w:bidi="ar"/>
              </w:rPr>
              <w:t>大气污染物</w:t>
            </w:r>
            <w:r>
              <w:rPr>
                <w:rFonts w:hint="eastAsia" w:cs="Times New Roman"/>
                <w:color w:val="auto"/>
                <w:kern w:val="0"/>
                <w:sz w:val="24"/>
                <w:szCs w:val="24"/>
                <w:lang w:eastAsia="zh-CN" w:bidi="ar"/>
              </w:rPr>
              <w:t>综合</w:t>
            </w:r>
            <w:r>
              <w:rPr>
                <w:rFonts w:hint="default" w:ascii="Times New Roman" w:hAnsi="Times New Roman" w:eastAsia="宋体" w:cs="Times New Roman"/>
                <w:color w:val="auto"/>
                <w:kern w:val="0"/>
                <w:sz w:val="24"/>
                <w:szCs w:val="24"/>
                <w:lang w:eastAsia="zh-CN" w:bidi="ar"/>
              </w:rPr>
              <w:t>排放标准</w:t>
            </w:r>
            <w:r>
              <w:rPr>
                <w:rFonts w:hint="eastAsia"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eastAsia="zh-CN" w:bidi="ar"/>
              </w:rPr>
              <w:t>（</w:t>
            </w:r>
            <w:r>
              <w:rPr>
                <w:rFonts w:hint="default" w:ascii="Times New Roman" w:hAnsi="Times New Roman" w:eastAsia="宋体" w:cs="Times New Roman"/>
                <w:color w:val="auto"/>
                <w:kern w:val="0"/>
                <w:sz w:val="24"/>
                <w:szCs w:val="24"/>
                <w:lang w:val="en-US" w:eastAsia="zh-CN" w:bidi="ar"/>
              </w:rPr>
              <w:t>GB</w:t>
            </w:r>
            <w:r>
              <w:rPr>
                <w:rFonts w:hint="eastAsia" w:cs="Times New Roman"/>
                <w:color w:val="auto"/>
                <w:kern w:val="0"/>
                <w:sz w:val="24"/>
                <w:szCs w:val="24"/>
                <w:lang w:val="en-US" w:eastAsia="zh-CN" w:bidi="ar"/>
              </w:rPr>
              <w:t>16297</w:t>
            </w:r>
            <w:r>
              <w:rPr>
                <w:rFonts w:hint="default" w:ascii="Times New Roman" w:hAnsi="Times New Roman" w:eastAsia="宋体" w:cs="Times New Roman"/>
                <w:color w:val="auto"/>
                <w:kern w:val="0"/>
                <w:sz w:val="24"/>
                <w:szCs w:val="24"/>
                <w:lang w:val="en-US" w:eastAsia="zh-CN" w:bidi="ar"/>
              </w:rPr>
              <w:t>-</w:t>
            </w:r>
            <w:r>
              <w:rPr>
                <w:rFonts w:hint="eastAsia" w:cs="Times New Roman"/>
                <w:color w:val="auto"/>
                <w:kern w:val="0"/>
                <w:sz w:val="24"/>
                <w:szCs w:val="24"/>
                <w:lang w:val="en-US" w:eastAsia="zh-CN" w:bidi="ar"/>
              </w:rPr>
              <w:t>1996</w:t>
            </w:r>
            <w:r>
              <w:rPr>
                <w:rFonts w:hint="default" w:ascii="Times New Roman" w:hAnsi="Times New Roman" w:eastAsia="宋体" w:cs="Times New Roman"/>
                <w:color w:val="auto"/>
                <w:kern w:val="0"/>
                <w:sz w:val="24"/>
                <w:szCs w:val="24"/>
                <w:lang w:val="en-US" w:eastAsia="zh-CN" w:bidi="ar"/>
              </w:rPr>
              <w:t>）中对排气筒高度的规定：“排气筒高度</w:t>
            </w:r>
            <w:r>
              <w:rPr>
                <w:rFonts w:hint="eastAsia" w:cs="Times New Roman"/>
                <w:color w:val="auto"/>
                <w:kern w:val="0"/>
                <w:sz w:val="24"/>
                <w:szCs w:val="24"/>
                <w:lang w:val="en-US" w:eastAsia="zh-CN" w:bidi="ar"/>
              </w:rPr>
              <w:t>应高出周围200m半径范围的建筑5m以上</w:t>
            </w:r>
            <w:r>
              <w:rPr>
                <w:rFonts w:hint="default" w:ascii="Times New Roman" w:hAnsi="Times New Roman" w:eastAsia="宋体" w:cs="Times New Roman"/>
                <w:color w:val="auto"/>
                <w:kern w:val="0"/>
                <w:sz w:val="24"/>
                <w:szCs w:val="24"/>
                <w:lang w:val="en-US" w:eastAsia="zh-CN" w:bidi="ar"/>
              </w:rPr>
              <w:t>”。</w:t>
            </w:r>
          </w:p>
          <w:p w14:paraId="5F7D058E">
            <w:pPr>
              <w:keepNext w:val="0"/>
              <w:keepLines w:val="0"/>
              <w:pageBreakBefore w:val="0"/>
              <w:kinsoku/>
              <w:wordWrap/>
              <w:overflowPunct/>
              <w:topLinePunct w:val="0"/>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②项目排气筒高度要求</w:t>
            </w:r>
          </w:p>
          <w:p w14:paraId="56AE87FD">
            <w:pPr>
              <w:keepNext w:val="0"/>
              <w:keepLines w:val="0"/>
              <w:pageBreakBefore w:val="0"/>
              <w:kinsoku/>
              <w:wordWrap/>
              <w:overflowPunct/>
              <w:topLinePunct w:val="0"/>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本次评价中排气筒高度按照各标准的最严要求设置，项目周边建筑物最高为本项目的生产厂房，</w:t>
            </w:r>
            <w:r>
              <w:rPr>
                <w:rFonts w:hint="eastAsia" w:ascii="Times New Roman" w:hAnsi="Times New Roman" w:eastAsia="宋体" w:cs="Times New Roman"/>
                <w:color w:val="auto"/>
                <w:sz w:val="24"/>
                <w:szCs w:val="24"/>
                <w:lang w:val="en-US" w:eastAsia="zh-CN"/>
              </w:rPr>
              <w:t>总体</w:t>
            </w:r>
            <w:r>
              <w:rPr>
                <w:rFonts w:hint="default" w:ascii="Times New Roman" w:hAnsi="Times New Roman" w:eastAsia="宋体" w:cs="Times New Roman"/>
                <w:color w:val="auto"/>
                <w:sz w:val="24"/>
                <w:szCs w:val="24"/>
                <w:lang w:val="en-US" w:eastAsia="zh-CN"/>
              </w:rPr>
              <w:t>高度为</w:t>
            </w:r>
            <w:r>
              <w:rPr>
                <w:rFonts w:hint="eastAsia" w:ascii="Times New Roman" w:hAnsi="Times New Roman" w:eastAsia="宋体" w:cs="Times New Roman"/>
                <w:color w:val="auto"/>
                <w:sz w:val="24"/>
                <w:szCs w:val="24"/>
                <w:lang w:val="en-US" w:eastAsia="zh-CN"/>
              </w:rPr>
              <w:t>12.5</w:t>
            </w:r>
            <w:r>
              <w:rPr>
                <w:rFonts w:hint="default" w:ascii="Times New Roman" w:hAnsi="Times New Roman" w:eastAsia="宋体" w:cs="Times New Roman"/>
                <w:color w:val="auto"/>
                <w:sz w:val="24"/>
                <w:szCs w:val="24"/>
                <w:lang w:val="en-US" w:eastAsia="zh-CN"/>
              </w:rPr>
              <w:t>m，因此项目排气筒设计高度为</w:t>
            </w:r>
            <w:r>
              <w:rPr>
                <w:rFonts w:hint="eastAsia" w:ascii="Times New Roman" w:hAnsi="Times New Roman" w:eastAsia="宋体" w:cs="Times New Roman"/>
                <w:color w:val="auto"/>
                <w:sz w:val="24"/>
                <w:szCs w:val="24"/>
                <w:lang w:val="en-US" w:eastAsia="zh-CN"/>
              </w:rPr>
              <w:t>18</w:t>
            </w:r>
            <w:r>
              <w:rPr>
                <w:rFonts w:hint="default" w:ascii="Times New Roman" w:hAnsi="Times New Roman" w:eastAsia="宋体" w:cs="Times New Roman"/>
                <w:color w:val="auto"/>
                <w:sz w:val="24"/>
                <w:szCs w:val="24"/>
                <w:lang w:val="en-US" w:eastAsia="zh-CN"/>
              </w:rPr>
              <w:t>m。</w:t>
            </w:r>
          </w:p>
          <w:p w14:paraId="7ED0131A">
            <w:pPr>
              <w:tabs>
                <w:tab w:val="left" w:pos="1077"/>
              </w:tabs>
              <w:spacing w:line="360" w:lineRule="auto"/>
              <w:ind w:firstLine="482" w:firstLineChars="200"/>
              <w:rPr>
                <w:rFonts w:hint="default" w:ascii="Times New Roman" w:hAnsi="Times New Roman" w:cs="Times New Roman"/>
                <w:b/>
                <w:color w:val="auto"/>
                <w:kern w:val="0"/>
                <w:sz w:val="24"/>
              </w:rPr>
            </w:pPr>
            <w:r>
              <w:rPr>
                <w:rFonts w:hint="eastAsia" w:cs="Times New Roman"/>
                <w:b/>
                <w:color w:val="auto"/>
                <w:kern w:val="0"/>
                <w:sz w:val="24"/>
                <w:lang w:val="en-US" w:eastAsia="zh-CN"/>
              </w:rPr>
              <w:t>4</w:t>
            </w:r>
            <w:r>
              <w:rPr>
                <w:rFonts w:hint="default" w:ascii="Times New Roman" w:hAnsi="Times New Roman" w:cs="Times New Roman"/>
                <w:b/>
                <w:color w:val="auto"/>
                <w:kern w:val="0"/>
                <w:sz w:val="24"/>
              </w:rPr>
              <w:t>、运营期废气监控计划</w:t>
            </w:r>
          </w:p>
          <w:p w14:paraId="3CF97054">
            <w:pPr>
              <w:widowControl/>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根据</w:t>
            </w:r>
            <w:r>
              <w:rPr>
                <w:rFonts w:hint="default" w:ascii="Times New Roman" w:hAnsi="Times New Roman" w:cs="Times New Roman"/>
                <w:color w:val="auto"/>
                <w:sz w:val="24"/>
              </w:rPr>
              <w:t>《排污单位自行监测技术指南 总则》（HJ819-2017）、</w:t>
            </w:r>
            <w:r>
              <w:rPr>
                <w:rFonts w:hint="eastAsia" w:cs="Times New Roman"/>
                <w:color w:val="auto"/>
                <w:kern w:val="2"/>
                <w:sz w:val="24"/>
                <w:szCs w:val="24"/>
                <w:lang w:val="en-US" w:eastAsia="zh-CN" w:bidi="ar-SA"/>
              </w:rPr>
              <w:t>《排污单位自行监测技术指南 涂装》（HJ 1086-2020）、</w:t>
            </w:r>
            <w:r>
              <w:rPr>
                <w:rFonts w:hint="default" w:ascii="Times New Roman" w:hAnsi="Times New Roman" w:cs="Times New Roman"/>
                <w:color w:val="auto"/>
                <w:kern w:val="2"/>
                <w:sz w:val="24"/>
                <w:szCs w:val="24"/>
                <w:lang w:val="en-US" w:eastAsia="zh-CN" w:bidi="ar-SA"/>
              </w:rPr>
              <w:t>《</w:t>
            </w:r>
            <w:r>
              <w:rPr>
                <w:rFonts w:hint="default" w:ascii="Times New Roman" w:hAnsi="Times New Roman" w:eastAsia="宋体" w:cs="Times New Roman"/>
                <w:color w:val="auto"/>
                <w:kern w:val="0"/>
                <w:sz w:val="24"/>
                <w:szCs w:val="24"/>
                <w:lang w:bidi="ar"/>
              </w:rPr>
              <w:t>排污许可证申请与核发技术规范</w:t>
            </w:r>
            <w:r>
              <w:rPr>
                <w:rFonts w:hint="default" w:ascii="Times New Roman" w:hAnsi="Times New Roman" w:cs="Times New Roman"/>
                <w:color w:val="auto"/>
                <w:kern w:val="0"/>
                <w:sz w:val="24"/>
                <w:szCs w:val="24"/>
                <w:lang w:val="en-US" w:eastAsia="zh-CN" w:bidi="ar"/>
              </w:rPr>
              <w:t xml:space="preserve"> </w:t>
            </w:r>
            <w:r>
              <w:rPr>
                <w:rFonts w:hint="eastAsia" w:cs="Times New Roman"/>
                <w:color w:val="auto"/>
                <w:kern w:val="0"/>
                <w:sz w:val="24"/>
                <w:szCs w:val="24"/>
                <w:lang w:val="en-US" w:eastAsia="zh-CN" w:bidi="ar"/>
              </w:rPr>
              <w:t>铁路、船舶、航空航天和其他运输设备制造业</w:t>
            </w:r>
            <w:r>
              <w:rPr>
                <w:rFonts w:hint="default" w:ascii="Times New Roman" w:hAnsi="Times New Roman" w:cs="Times New Roman"/>
                <w:color w:val="auto"/>
                <w:kern w:val="0"/>
                <w:sz w:val="24"/>
                <w:szCs w:val="24"/>
                <w:lang w:val="en-US" w:eastAsia="zh-CN" w:bidi="ar"/>
              </w:rPr>
              <w:t>》</w:t>
            </w:r>
            <w:r>
              <w:rPr>
                <w:rFonts w:hint="default" w:ascii="Times New Roman" w:hAnsi="Times New Roman" w:eastAsia="宋体" w:cs="Times New Roman"/>
                <w:bCs/>
                <w:color w:val="auto"/>
                <w:kern w:val="2"/>
                <w:sz w:val="24"/>
                <w:szCs w:val="24"/>
                <w:lang w:val="en-US" w:eastAsia="zh-CN" w:bidi="ar-SA"/>
              </w:rPr>
              <w:t>（HJ 1124-2020）</w:t>
            </w:r>
            <w:r>
              <w:rPr>
                <w:rFonts w:hint="default" w:ascii="Times New Roman" w:hAnsi="Times New Roman" w:cs="Times New Roman"/>
                <w:color w:val="auto"/>
                <w:sz w:val="24"/>
              </w:rPr>
              <w:t>的相关要求</w:t>
            </w:r>
            <w:r>
              <w:rPr>
                <w:rFonts w:hint="default" w:ascii="Times New Roman" w:hAnsi="Times New Roman" w:cs="Times New Roman"/>
                <w:color w:val="auto"/>
                <w:kern w:val="0"/>
                <w:sz w:val="24"/>
              </w:rPr>
              <w:t>，项目大气污染物监测计划见下表。</w:t>
            </w:r>
          </w:p>
          <w:p w14:paraId="5DCD5DDF">
            <w:pPr>
              <w:keepNext w:val="0"/>
              <w:keepLines w:val="0"/>
              <w:pageBreakBefore w:val="0"/>
              <w:widowControl/>
              <w:kinsoku/>
              <w:wordWrap/>
              <w:overflowPunct/>
              <w:topLinePunct w:val="0"/>
              <w:autoSpaceDE/>
              <w:autoSpaceDN/>
              <w:bidi w:val="0"/>
              <w:adjustRightInd/>
              <w:snapToGrid/>
              <w:spacing w:beforeAutospacing="0"/>
              <w:ind w:left="-105" w:leftChars="-50"/>
              <w:jc w:val="center"/>
              <w:textAlignment w:val="auto"/>
              <w:rPr>
                <w:rFonts w:hint="default" w:ascii="Times New Roman" w:hAnsi="Times New Roman" w:eastAsia="宋体" w:cs="Times New Roman"/>
                <w:b/>
                <w:color w:val="auto"/>
                <w:kern w:val="0"/>
                <w:sz w:val="24"/>
                <w:lang w:val="zh-CN"/>
              </w:rPr>
            </w:pPr>
            <w:r>
              <w:rPr>
                <w:rFonts w:hint="default" w:ascii="Times New Roman" w:hAnsi="Times New Roman" w:eastAsia="宋体" w:cs="Times New Roman"/>
                <w:b/>
                <w:color w:val="auto"/>
                <w:kern w:val="0"/>
                <w:sz w:val="24"/>
                <w:lang w:val="zh-CN"/>
              </w:rPr>
              <w:t>表4-</w:t>
            </w:r>
            <w:r>
              <w:rPr>
                <w:rFonts w:hint="eastAsia" w:ascii="Times New Roman" w:hAnsi="Times New Roman" w:eastAsia="宋体" w:cs="Times New Roman"/>
                <w:b/>
                <w:color w:val="auto"/>
                <w:kern w:val="0"/>
                <w:sz w:val="24"/>
                <w:lang w:val="en-US" w:eastAsia="zh-CN"/>
              </w:rPr>
              <w:t>13</w:t>
            </w:r>
            <w:r>
              <w:rPr>
                <w:rFonts w:hint="default" w:ascii="Times New Roman" w:hAnsi="Times New Roman" w:eastAsia="宋体" w:cs="Times New Roman"/>
                <w:b/>
                <w:color w:val="auto"/>
                <w:kern w:val="0"/>
                <w:sz w:val="24"/>
                <w:lang w:val="zh-CN"/>
              </w:rPr>
              <w:t xml:space="preserve">  项目运营期废气监控计划一览表</w:t>
            </w:r>
          </w:p>
          <w:tbl>
            <w:tblPr>
              <w:tblStyle w:val="6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
              <w:gridCol w:w="974"/>
              <w:gridCol w:w="1700"/>
              <w:gridCol w:w="1017"/>
              <w:gridCol w:w="1287"/>
              <w:gridCol w:w="2907"/>
            </w:tblGrid>
            <w:tr w14:paraId="64D8B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494" w:type="dxa"/>
                  <w:shd w:val="clear" w:color="auto" w:fill="auto"/>
                  <w:vAlign w:val="center"/>
                </w:tcPr>
                <w:p w14:paraId="2A404F79">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类别</w:t>
                  </w:r>
                </w:p>
              </w:tc>
              <w:tc>
                <w:tcPr>
                  <w:tcW w:w="974" w:type="dxa"/>
                  <w:vAlign w:val="center"/>
                </w:tcPr>
                <w:p w14:paraId="4B7332B6">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排放口类型</w:t>
                  </w:r>
                </w:p>
              </w:tc>
              <w:tc>
                <w:tcPr>
                  <w:tcW w:w="1700" w:type="dxa"/>
                  <w:shd w:val="clear" w:color="auto" w:fill="auto"/>
                  <w:vAlign w:val="center"/>
                </w:tcPr>
                <w:p w14:paraId="1880D194">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监测点位</w:t>
                  </w:r>
                </w:p>
              </w:tc>
              <w:tc>
                <w:tcPr>
                  <w:tcW w:w="1017" w:type="dxa"/>
                  <w:shd w:val="clear" w:color="auto" w:fill="auto"/>
                  <w:vAlign w:val="center"/>
                </w:tcPr>
                <w:p w14:paraId="1D8C041E">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监测</w:t>
                  </w:r>
                </w:p>
                <w:p w14:paraId="0AEE316C">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项目</w:t>
                  </w:r>
                </w:p>
              </w:tc>
              <w:tc>
                <w:tcPr>
                  <w:tcW w:w="1287" w:type="dxa"/>
                  <w:shd w:val="clear" w:color="auto" w:fill="auto"/>
                  <w:vAlign w:val="center"/>
                </w:tcPr>
                <w:p w14:paraId="0ACC1EBD">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最低</w:t>
                  </w:r>
                </w:p>
                <w:p w14:paraId="7267B49F">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监测频次</w:t>
                  </w:r>
                </w:p>
              </w:tc>
              <w:tc>
                <w:tcPr>
                  <w:tcW w:w="2907" w:type="dxa"/>
                  <w:vAlign w:val="center"/>
                </w:tcPr>
                <w:p w14:paraId="04BA830D">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执行标准</w:t>
                  </w:r>
                </w:p>
              </w:tc>
            </w:tr>
            <w:tr w14:paraId="074FC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494" w:type="dxa"/>
                  <w:vMerge w:val="restart"/>
                  <w:shd w:val="clear" w:color="auto" w:fill="auto"/>
                  <w:vAlign w:val="center"/>
                </w:tcPr>
                <w:p w14:paraId="4D5202CF">
                  <w:pPr>
                    <w:widowControl/>
                    <w:autoSpaceDE w:val="0"/>
                    <w:autoSpaceDN w:val="0"/>
                    <w:adjustRightIn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废气</w:t>
                  </w:r>
                </w:p>
              </w:tc>
              <w:tc>
                <w:tcPr>
                  <w:tcW w:w="974" w:type="dxa"/>
                  <w:vAlign w:val="center"/>
                </w:tcPr>
                <w:p w14:paraId="0616F141">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一般排放口</w:t>
                  </w:r>
                </w:p>
              </w:tc>
              <w:tc>
                <w:tcPr>
                  <w:tcW w:w="1700" w:type="dxa"/>
                  <w:shd w:val="clear" w:color="auto" w:fill="auto"/>
                  <w:vAlign w:val="center"/>
                </w:tcPr>
                <w:p w14:paraId="3C094CDF">
                  <w:pPr>
                    <w:widowControl/>
                    <w:jc w:val="center"/>
                    <w:rPr>
                      <w:rFonts w:hint="default" w:ascii="Times New Roman" w:hAnsi="Times New Roman" w:eastAsia="宋体" w:cs="Times New Roman"/>
                      <w:color w:val="auto"/>
                      <w:szCs w:val="21"/>
                    </w:rPr>
                  </w:pPr>
                  <w:r>
                    <w:rPr>
                      <w:rFonts w:hint="eastAsia" w:cs="Times New Roman"/>
                      <w:color w:val="auto"/>
                      <w:szCs w:val="21"/>
                      <w:lang w:val="en-US" w:eastAsia="zh-CN"/>
                    </w:rPr>
                    <w:t>抛丸粉尘</w:t>
                  </w:r>
                  <w:r>
                    <w:rPr>
                      <w:rFonts w:hint="default" w:ascii="Times New Roman" w:hAnsi="Times New Roman" w:eastAsia="宋体" w:cs="Times New Roman"/>
                      <w:color w:val="auto"/>
                      <w:szCs w:val="21"/>
                    </w:rPr>
                    <w:t>排放口</w:t>
                  </w:r>
                </w:p>
                <w:p w14:paraId="0C690CDF">
                  <w:pPr>
                    <w:widowControl/>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szCs w:val="21"/>
                    </w:rPr>
                    <w:t>（DA00</w:t>
                  </w:r>
                  <w:r>
                    <w:rPr>
                      <w:rFonts w:hint="eastAsia" w:cs="Times New Roman"/>
                      <w:color w:val="auto"/>
                      <w:szCs w:val="21"/>
                      <w:lang w:val="en-US" w:eastAsia="zh-CN"/>
                    </w:rPr>
                    <w:t>1</w:t>
                  </w:r>
                  <w:r>
                    <w:rPr>
                      <w:rFonts w:hint="default" w:ascii="Times New Roman" w:hAnsi="Times New Roman" w:eastAsia="宋体" w:cs="Times New Roman"/>
                      <w:color w:val="auto"/>
                      <w:szCs w:val="21"/>
                    </w:rPr>
                    <w:t>）</w:t>
                  </w:r>
                </w:p>
              </w:tc>
              <w:tc>
                <w:tcPr>
                  <w:tcW w:w="1017" w:type="dxa"/>
                  <w:shd w:val="clear" w:color="auto" w:fill="auto"/>
                  <w:vAlign w:val="center"/>
                </w:tcPr>
                <w:p w14:paraId="57F8D3C9">
                  <w:pPr>
                    <w:widowControl/>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s="Times New Roman"/>
                      <w:i w:val="0"/>
                      <w:iCs w:val="0"/>
                      <w:color w:val="auto"/>
                      <w:kern w:val="0"/>
                      <w:sz w:val="21"/>
                      <w:szCs w:val="21"/>
                      <w:u w:val="none"/>
                      <w:lang w:val="en-US" w:eastAsia="zh-CN" w:bidi="ar"/>
                    </w:rPr>
                    <w:t>颗粒物</w:t>
                  </w:r>
                </w:p>
              </w:tc>
              <w:tc>
                <w:tcPr>
                  <w:tcW w:w="1287" w:type="dxa"/>
                  <w:shd w:val="clear" w:color="auto" w:fill="auto"/>
                  <w:vAlign w:val="center"/>
                </w:tcPr>
                <w:p w14:paraId="4DE15ABE">
                  <w:pPr>
                    <w:widowControl/>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1次/年</w:t>
                  </w:r>
                </w:p>
              </w:tc>
              <w:tc>
                <w:tcPr>
                  <w:tcW w:w="2907" w:type="dxa"/>
                  <w:shd w:val="clear" w:color="auto" w:fill="auto"/>
                  <w:vAlign w:val="center"/>
                </w:tcPr>
                <w:p w14:paraId="25BE819E">
                  <w:pPr>
                    <w:widowControl/>
                    <w:snapToGrid w:val="0"/>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color w:val="auto"/>
                      <w:kern w:val="0"/>
                      <w:sz w:val="21"/>
                      <w:szCs w:val="21"/>
                      <w:lang w:val="en-US" w:eastAsia="zh-CN" w:bidi="ar-SA"/>
                    </w:rPr>
                    <w:t>《大气污染物综合排放标准》（GB 1629-1996）表2</w:t>
                  </w:r>
                </w:p>
              </w:tc>
            </w:tr>
            <w:tr w14:paraId="67F63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494" w:type="dxa"/>
                  <w:vMerge w:val="continue"/>
                  <w:shd w:val="clear" w:color="auto" w:fill="auto"/>
                  <w:vAlign w:val="center"/>
                </w:tcPr>
                <w:p w14:paraId="7D4B11E0">
                  <w:pPr>
                    <w:widowControl/>
                    <w:autoSpaceDE w:val="0"/>
                    <w:autoSpaceDN w:val="0"/>
                    <w:adjustRightInd w:val="0"/>
                    <w:jc w:val="center"/>
                    <w:rPr>
                      <w:rFonts w:hint="default" w:ascii="Times New Roman" w:hAnsi="Times New Roman" w:cs="Times New Roman"/>
                      <w:color w:val="auto"/>
                      <w:kern w:val="0"/>
                      <w:szCs w:val="21"/>
                    </w:rPr>
                  </w:pPr>
                </w:p>
              </w:tc>
              <w:tc>
                <w:tcPr>
                  <w:tcW w:w="974" w:type="dxa"/>
                  <w:vAlign w:val="center"/>
                </w:tcPr>
                <w:p w14:paraId="7904BF2A">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一般排放口</w:t>
                  </w:r>
                </w:p>
              </w:tc>
              <w:tc>
                <w:tcPr>
                  <w:tcW w:w="1700" w:type="dxa"/>
                  <w:shd w:val="clear" w:color="auto" w:fill="auto"/>
                  <w:vAlign w:val="center"/>
                </w:tcPr>
                <w:p w14:paraId="486E575C">
                  <w:pPr>
                    <w:widowControl/>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锻造脱模废气排放口（DA002）</w:t>
                  </w:r>
                </w:p>
              </w:tc>
              <w:tc>
                <w:tcPr>
                  <w:tcW w:w="1017" w:type="dxa"/>
                  <w:shd w:val="clear" w:color="auto" w:fill="auto"/>
                  <w:vAlign w:val="center"/>
                </w:tcPr>
                <w:p w14:paraId="0068D930">
                  <w:pPr>
                    <w:widowControl/>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非甲烷总烃</w:t>
                  </w:r>
                </w:p>
              </w:tc>
              <w:tc>
                <w:tcPr>
                  <w:tcW w:w="1287" w:type="dxa"/>
                  <w:shd w:val="clear" w:color="auto" w:fill="auto"/>
                  <w:vAlign w:val="center"/>
                </w:tcPr>
                <w:p w14:paraId="4D2A9296">
                  <w:pPr>
                    <w:widowControl/>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1次/年</w:t>
                  </w:r>
                </w:p>
              </w:tc>
              <w:tc>
                <w:tcPr>
                  <w:tcW w:w="2907" w:type="dxa"/>
                  <w:shd w:val="clear" w:color="auto" w:fill="auto"/>
                  <w:vAlign w:val="center"/>
                </w:tcPr>
                <w:p w14:paraId="4726BC57">
                  <w:pPr>
                    <w:widowControl/>
                    <w:snapToGrid w:val="0"/>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《大气污染物综合排放标准》（GB 1629-1996）表2</w:t>
                  </w:r>
                </w:p>
              </w:tc>
            </w:tr>
            <w:tr w14:paraId="6ED06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494" w:type="dxa"/>
                  <w:vMerge w:val="continue"/>
                  <w:shd w:val="clear" w:color="auto" w:fill="auto"/>
                  <w:vAlign w:val="center"/>
                </w:tcPr>
                <w:p w14:paraId="5CA179F8">
                  <w:pPr>
                    <w:widowControl/>
                    <w:autoSpaceDE w:val="0"/>
                    <w:autoSpaceDN w:val="0"/>
                    <w:adjustRightInd w:val="0"/>
                    <w:jc w:val="center"/>
                    <w:rPr>
                      <w:rFonts w:hint="default" w:ascii="Times New Roman" w:hAnsi="Times New Roman" w:cs="Times New Roman"/>
                      <w:color w:val="auto"/>
                      <w:kern w:val="0"/>
                      <w:szCs w:val="21"/>
                    </w:rPr>
                  </w:pPr>
                </w:p>
              </w:tc>
              <w:tc>
                <w:tcPr>
                  <w:tcW w:w="974" w:type="dxa"/>
                  <w:vMerge w:val="restart"/>
                  <w:vAlign w:val="center"/>
                </w:tcPr>
                <w:p w14:paraId="1C12F94F">
                  <w:pPr>
                    <w:tabs>
                      <w:tab w:val="left" w:pos="3400"/>
                    </w:tabs>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无组织废气</w:t>
                  </w:r>
                </w:p>
              </w:tc>
              <w:tc>
                <w:tcPr>
                  <w:tcW w:w="1700" w:type="dxa"/>
                  <w:shd w:val="clear" w:color="auto" w:fill="auto"/>
                  <w:vAlign w:val="center"/>
                </w:tcPr>
                <w:p w14:paraId="6ACF6626">
                  <w:pPr>
                    <w:tabs>
                      <w:tab w:val="left" w:pos="3400"/>
                    </w:tabs>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厂界</w:t>
                  </w:r>
                </w:p>
              </w:tc>
              <w:tc>
                <w:tcPr>
                  <w:tcW w:w="1017" w:type="dxa"/>
                  <w:shd w:val="clear" w:color="auto" w:fill="auto"/>
                  <w:vAlign w:val="center"/>
                </w:tcPr>
                <w:p w14:paraId="63067FFC">
                  <w:pPr>
                    <w:widowControl/>
                    <w:jc w:val="center"/>
                    <w:rPr>
                      <w:rFonts w:hint="default" w:ascii="Times New Roman" w:hAnsi="Times New Roman" w:eastAsia="宋体" w:cs="Times New Roman"/>
                      <w:color w:val="auto"/>
                      <w:szCs w:val="21"/>
                      <w:lang w:val="en-US" w:eastAsia="zh-CN"/>
                    </w:rPr>
                  </w:pPr>
                  <w:r>
                    <w:rPr>
                      <w:color w:val="auto"/>
                      <w:szCs w:val="21"/>
                    </w:rPr>
                    <w:t>颗粒物</w:t>
                  </w:r>
                </w:p>
              </w:tc>
              <w:tc>
                <w:tcPr>
                  <w:tcW w:w="1287" w:type="dxa"/>
                  <w:shd w:val="clear" w:color="auto" w:fill="auto"/>
                  <w:vAlign w:val="center"/>
                </w:tcPr>
                <w:p w14:paraId="6E968A54">
                  <w:pPr>
                    <w:widowControl/>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1次/</w:t>
                  </w:r>
                  <w:r>
                    <w:rPr>
                      <w:rFonts w:hint="eastAsia" w:cs="Times New Roman"/>
                      <w:color w:val="auto"/>
                      <w:kern w:val="2"/>
                      <w:sz w:val="21"/>
                      <w:szCs w:val="21"/>
                      <w:lang w:val="en-US" w:eastAsia="zh-CN" w:bidi="ar-SA"/>
                    </w:rPr>
                    <w:t>半</w:t>
                  </w:r>
                  <w:r>
                    <w:rPr>
                      <w:rFonts w:hint="default" w:ascii="Times New Roman" w:hAnsi="Times New Roman" w:eastAsia="宋体" w:cs="Times New Roman"/>
                      <w:color w:val="auto"/>
                      <w:kern w:val="2"/>
                      <w:sz w:val="21"/>
                      <w:szCs w:val="21"/>
                      <w:lang w:val="en-US" w:eastAsia="zh-CN" w:bidi="ar-SA"/>
                    </w:rPr>
                    <w:t>年</w:t>
                  </w:r>
                </w:p>
              </w:tc>
              <w:tc>
                <w:tcPr>
                  <w:tcW w:w="2907" w:type="dxa"/>
                  <w:vAlign w:val="center"/>
                </w:tcPr>
                <w:p w14:paraId="3D4FF582">
                  <w:pPr>
                    <w:widowControl/>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kern w:val="0"/>
                      <w:sz w:val="21"/>
                      <w:szCs w:val="21"/>
                      <w:lang w:val="en-US" w:eastAsia="zh-CN" w:bidi="ar-SA"/>
                    </w:rPr>
                    <w:t>《大气污染物综合排放标准》（GB 1629-1996）表2</w:t>
                  </w:r>
                </w:p>
              </w:tc>
            </w:tr>
            <w:tr w14:paraId="5FF60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494" w:type="dxa"/>
                  <w:vMerge w:val="continue"/>
                  <w:shd w:val="clear" w:color="auto" w:fill="auto"/>
                  <w:vAlign w:val="center"/>
                </w:tcPr>
                <w:p w14:paraId="5A38B611">
                  <w:pPr>
                    <w:widowControl/>
                    <w:autoSpaceDE w:val="0"/>
                    <w:autoSpaceDN w:val="0"/>
                    <w:adjustRightInd w:val="0"/>
                    <w:jc w:val="center"/>
                    <w:rPr>
                      <w:rFonts w:hint="default" w:ascii="Times New Roman" w:hAnsi="Times New Roman" w:cs="Times New Roman"/>
                      <w:color w:val="auto"/>
                      <w:kern w:val="0"/>
                      <w:szCs w:val="21"/>
                    </w:rPr>
                  </w:pPr>
                </w:p>
              </w:tc>
              <w:tc>
                <w:tcPr>
                  <w:tcW w:w="974" w:type="dxa"/>
                  <w:vMerge w:val="continue"/>
                  <w:vAlign w:val="center"/>
                </w:tcPr>
                <w:p w14:paraId="6ACD6853">
                  <w:pPr>
                    <w:tabs>
                      <w:tab w:val="left" w:pos="3400"/>
                    </w:tabs>
                    <w:snapToGrid w:val="0"/>
                    <w:jc w:val="center"/>
                    <w:rPr>
                      <w:rFonts w:hint="default" w:ascii="Times New Roman" w:hAnsi="Times New Roman" w:cs="Times New Roman"/>
                      <w:color w:val="auto"/>
                      <w:szCs w:val="21"/>
                    </w:rPr>
                  </w:pPr>
                </w:p>
              </w:tc>
              <w:tc>
                <w:tcPr>
                  <w:tcW w:w="1700" w:type="dxa"/>
                  <w:shd w:val="clear" w:color="auto" w:fill="auto"/>
                  <w:vAlign w:val="center"/>
                </w:tcPr>
                <w:p w14:paraId="251CE71F">
                  <w:pPr>
                    <w:tabs>
                      <w:tab w:val="left" w:pos="3400"/>
                    </w:tabs>
                    <w:snapToGrid w:val="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Cs w:val="21"/>
                      <w:lang w:eastAsia="zh-CN"/>
                    </w:rPr>
                    <w:t>厂区内</w:t>
                  </w:r>
                </w:p>
              </w:tc>
              <w:tc>
                <w:tcPr>
                  <w:tcW w:w="1017" w:type="dxa"/>
                  <w:shd w:val="clear" w:color="auto" w:fill="auto"/>
                  <w:vAlign w:val="center"/>
                </w:tcPr>
                <w:p w14:paraId="3BDD1739">
                  <w:pPr>
                    <w:widowControl/>
                    <w:jc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非甲烷总烃</w:t>
                  </w:r>
                </w:p>
              </w:tc>
              <w:tc>
                <w:tcPr>
                  <w:tcW w:w="1287" w:type="dxa"/>
                  <w:shd w:val="clear" w:color="auto" w:fill="auto"/>
                  <w:vAlign w:val="center"/>
                </w:tcPr>
                <w:p w14:paraId="3BAD1469">
                  <w:pPr>
                    <w:widowControl/>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1次/年</w:t>
                  </w:r>
                </w:p>
              </w:tc>
              <w:tc>
                <w:tcPr>
                  <w:tcW w:w="2907" w:type="dxa"/>
                  <w:shd w:val="clear" w:color="auto" w:fill="auto"/>
                  <w:vAlign w:val="center"/>
                </w:tcPr>
                <w:p w14:paraId="23D715D4">
                  <w:pPr>
                    <w:widowControl/>
                    <w:jc w:val="center"/>
                    <w:rPr>
                      <w:rFonts w:hint="eastAsia" w:ascii="Times New Roman" w:hAnsi="Times New Roman" w:cs="Times New Roman" w:eastAsiaTheme="minorEastAsia"/>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w:t>
                  </w:r>
                  <w:r>
                    <w:rPr>
                      <w:rFonts w:hint="default" w:ascii="Times New Roman" w:hAnsi="Times New Roman" w:cs="Times New Roman"/>
                      <w:color w:val="auto"/>
                      <w:sz w:val="21"/>
                      <w:szCs w:val="21"/>
                      <w:lang w:val="en-US" w:eastAsia="zh-CN"/>
                    </w:rPr>
                    <w:t>固定源挥发性有机物综合排放标准</w:t>
                  </w:r>
                  <w:r>
                    <w:rPr>
                      <w:rFonts w:hint="default" w:ascii="Times New Roman" w:hAnsi="Times New Roman" w:eastAsia="宋体" w:cs="Times New Roman"/>
                      <w:color w:val="auto"/>
                      <w:sz w:val="21"/>
                      <w:szCs w:val="21"/>
                      <w:lang w:val="en-US" w:eastAsia="zh-CN"/>
                    </w:rPr>
                    <w:t>第6部分：其他行业》（DB34/4812.6-2024）表4</w:t>
                  </w:r>
                </w:p>
              </w:tc>
            </w:tr>
          </w:tbl>
          <w:p w14:paraId="28E8A51C">
            <w:pPr>
              <w:autoSpaceDE w:val="0"/>
              <w:spacing w:line="360" w:lineRule="auto"/>
              <w:ind w:firstLine="482" w:firstLineChars="200"/>
              <w:rPr>
                <w:rFonts w:hint="default" w:ascii="Times New Roman" w:hAnsi="Times New Roman" w:eastAsia="宋体" w:cs="Times New Roman"/>
                <w:b/>
                <w:bCs/>
                <w:color w:val="auto"/>
                <w:sz w:val="24"/>
                <w:szCs w:val="24"/>
                <w:lang w:bidi="ar"/>
              </w:rPr>
            </w:pPr>
            <w:r>
              <w:rPr>
                <w:rFonts w:hint="eastAsia" w:cs="Times New Roman"/>
                <w:b/>
                <w:bCs/>
                <w:color w:val="auto"/>
                <w:sz w:val="24"/>
                <w:szCs w:val="24"/>
                <w:lang w:val="en-US" w:eastAsia="zh-CN" w:bidi="ar"/>
              </w:rPr>
              <w:t>5</w:t>
            </w:r>
            <w:r>
              <w:rPr>
                <w:rFonts w:hint="default" w:ascii="Times New Roman" w:hAnsi="Times New Roman" w:eastAsia="宋体" w:cs="Times New Roman"/>
                <w:b/>
                <w:bCs/>
                <w:color w:val="auto"/>
                <w:sz w:val="24"/>
                <w:szCs w:val="24"/>
                <w:lang w:val="en-US" w:eastAsia="zh-CN" w:bidi="ar"/>
              </w:rPr>
              <w:t>、</w:t>
            </w:r>
            <w:r>
              <w:rPr>
                <w:rFonts w:hint="eastAsia" w:cs="Times New Roman"/>
                <w:b/>
                <w:bCs/>
                <w:color w:val="auto"/>
                <w:sz w:val="24"/>
                <w:szCs w:val="24"/>
                <w:lang w:val="en-US" w:eastAsia="zh-CN" w:bidi="ar"/>
              </w:rPr>
              <w:t>大气</w:t>
            </w:r>
            <w:r>
              <w:rPr>
                <w:rFonts w:hint="default" w:ascii="Times New Roman" w:hAnsi="Times New Roman" w:eastAsia="宋体" w:cs="Times New Roman"/>
                <w:b/>
                <w:bCs/>
                <w:color w:val="auto"/>
                <w:sz w:val="24"/>
                <w:szCs w:val="24"/>
                <w:lang w:bidi="ar"/>
              </w:rPr>
              <w:t>环境影响分析</w:t>
            </w:r>
          </w:p>
          <w:p w14:paraId="3DE268AC">
            <w:pPr>
              <w:autoSpaceDE w:val="0"/>
              <w:spacing w:line="360" w:lineRule="auto"/>
              <w:ind w:firstLine="480" w:firstLineChars="200"/>
              <w:rPr>
                <w:rFonts w:hint="default" w:ascii="Times New Roman" w:hAnsi="Times New Roman" w:eastAsia="宋体" w:cs="Times New Roman"/>
                <w:color w:val="auto"/>
                <w:sz w:val="24"/>
                <w:lang w:eastAsia="zh-CN"/>
              </w:rPr>
            </w:pPr>
            <w:r>
              <w:rPr>
                <w:rFonts w:hint="default" w:ascii="Times New Roman" w:hAnsi="Times New Roman" w:cs="Times New Roman"/>
                <w:color w:val="auto"/>
                <w:kern w:val="1"/>
                <w:sz w:val="24"/>
                <w:szCs w:val="24"/>
                <w:lang w:val="en-US" w:eastAsia="zh-CN"/>
              </w:rPr>
              <w:t>项目所在区域为环境空气“</w:t>
            </w:r>
            <w:r>
              <w:rPr>
                <w:rFonts w:hint="eastAsia" w:cs="Times New Roman"/>
                <w:color w:val="auto"/>
                <w:kern w:val="1"/>
                <w:sz w:val="24"/>
                <w:szCs w:val="24"/>
                <w:lang w:val="en-US" w:eastAsia="zh-CN"/>
              </w:rPr>
              <w:t>不</w:t>
            </w:r>
            <w:r>
              <w:rPr>
                <w:rFonts w:hint="default" w:ascii="Times New Roman" w:hAnsi="Times New Roman" w:cs="Times New Roman"/>
                <w:color w:val="auto"/>
                <w:kern w:val="1"/>
                <w:sz w:val="24"/>
                <w:szCs w:val="24"/>
                <w:lang w:val="en-US" w:eastAsia="zh-CN"/>
              </w:rPr>
              <w:t>达标区”。项目厂界外500米范围内无自然保护区、风景名胜区、文化区、居住区保护目标，外环境制约因素较小。本项目采取的废气治理措施可行，排放的各类污染物经采取有效的处理措施后，均能达标排放</w:t>
            </w:r>
            <w:r>
              <w:rPr>
                <w:rFonts w:hint="default" w:ascii="Times New Roman" w:hAnsi="Times New Roman" w:eastAsia="宋体" w:cs="Times New Roman"/>
                <w:color w:val="auto"/>
                <w:kern w:val="1"/>
                <w:sz w:val="24"/>
                <w:szCs w:val="24"/>
              </w:rPr>
              <w:t>。</w:t>
            </w:r>
            <w:r>
              <w:rPr>
                <w:rFonts w:hint="default" w:ascii="Times New Roman" w:hAnsi="Times New Roman" w:cs="Times New Roman"/>
                <w:color w:val="auto"/>
                <w:kern w:val="1"/>
                <w:sz w:val="24"/>
                <w:szCs w:val="24"/>
                <w:lang w:eastAsia="zh-CN"/>
              </w:rPr>
              <w:t>建设单位落实本次环评提出的废气防治措施后，外排废气对周围大气环境影响可以接受。</w:t>
            </w:r>
          </w:p>
        </w:tc>
      </w:tr>
      <w:tr w14:paraId="1DD00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2" w:type="dxa"/>
            <w:vMerge w:val="continue"/>
            <w:shd w:val="clear" w:color="auto" w:fill="auto"/>
          </w:tcPr>
          <w:p w14:paraId="70A1D6A2">
            <w:pPr>
              <w:tabs>
                <w:tab w:val="left" w:pos="1077"/>
              </w:tabs>
              <w:rPr>
                <w:rFonts w:hint="default" w:ascii="Times New Roman" w:hAnsi="Times New Roman" w:cs="Times New Roman"/>
                <w:color w:val="auto"/>
                <w:sz w:val="24"/>
              </w:rPr>
            </w:pPr>
          </w:p>
        </w:tc>
        <w:tc>
          <w:tcPr>
            <w:tcW w:w="8609" w:type="dxa"/>
            <w:shd w:val="clear" w:color="auto" w:fill="auto"/>
          </w:tcPr>
          <w:p w14:paraId="3CB5ED18">
            <w:pPr>
              <w:tabs>
                <w:tab w:val="left" w:pos="1077"/>
              </w:tabs>
              <w:spacing w:line="360" w:lineRule="auto"/>
              <w:ind w:firstLine="482" w:firstLineChars="200"/>
              <w:jc w:val="left"/>
              <w:rPr>
                <w:rFonts w:hint="default" w:ascii="Times New Roman" w:hAnsi="Times New Roman" w:cs="Times New Roman"/>
                <w:color w:val="auto"/>
                <w:kern w:val="0"/>
                <w:sz w:val="24"/>
              </w:rPr>
            </w:pPr>
            <w:r>
              <w:rPr>
                <w:rFonts w:hint="default" w:ascii="Times New Roman" w:hAnsi="Times New Roman" w:cs="Times New Roman"/>
                <w:b/>
                <w:bCs/>
                <w:color w:val="auto"/>
                <w:sz w:val="24"/>
              </w:rPr>
              <w:t>二、废水环境影响和保护措施</w:t>
            </w:r>
          </w:p>
          <w:p w14:paraId="3DFAB804">
            <w:pPr>
              <w:adjustRightInd w:val="0"/>
              <w:spacing w:line="360" w:lineRule="auto"/>
              <w:ind w:firstLine="482" w:firstLineChars="200"/>
              <w:rPr>
                <w:rFonts w:hint="default" w:ascii="Times New Roman" w:hAnsi="Times New Roman" w:cs="Times New Roman"/>
                <w:b/>
                <w:bCs/>
                <w:color w:val="auto"/>
                <w:kern w:val="0"/>
                <w:sz w:val="24"/>
                <w:szCs w:val="20"/>
                <w:lang w:val="en-US" w:eastAsia="zh-CN"/>
              </w:rPr>
            </w:pPr>
            <w:r>
              <w:rPr>
                <w:rFonts w:hint="default" w:ascii="Times New Roman" w:hAnsi="Times New Roman" w:cs="Times New Roman"/>
                <w:b/>
                <w:bCs/>
                <w:color w:val="auto"/>
                <w:kern w:val="0"/>
                <w:sz w:val="24"/>
                <w:szCs w:val="20"/>
                <w:lang w:val="en-US" w:eastAsia="zh-CN"/>
              </w:rPr>
              <w:t>1、废水污染物源强核算</w:t>
            </w:r>
          </w:p>
          <w:p w14:paraId="02F76AB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lang w:eastAsia="zh-CN"/>
              </w:rPr>
            </w:pPr>
            <w:r>
              <w:rPr>
                <w:rFonts w:hint="default" w:ascii="Times New Roman" w:hAnsi="Times New Roman" w:cs="Times New Roman"/>
                <w:color w:val="auto"/>
                <w:spacing w:val="0"/>
                <w:sz w:val="24"/>
                <w:szCs w:val="24"/>
              </w:rPr>
              <w:t>项目运营期污水产生情况详见下表</w:t>
            </w:r>
            <w:r>
              <w:rPr>
                <w:rFonts w:hint="eastAsia" w:cs="Times New Roman"/>
                <w:color w:val="auto"/>
                <w:spacing w:val="0"/>
                <w:sz w:val="24"/>
                <w:szCs w:val="24"/>
                <w:lang w:eastAsia="zh-CN"/>
              </w:rPr>
              <w:t>，</w:t>
            </w:r>
            <w:r>
              <w:rPr>
                <w:rFonts w:hint="eastAsia" w:cs="Times New Roman"/>
                <w:color w:val="auto"/>
                <w:spacing w:val="0"/>
                <w:sz w:val="24"/>
                <w:szCs w:val="24"/>
                <w:lang w:val="en-US" w:eastAsia="zh-CN"/>
              </w:rPr>
              <w:t>废水源强依据同行业类比</w:t>
            </w:r>
            <w:r>
              <w:rPr>
                <w:rFonts w:hint="eastAsia" w:cs="Times New Roman"/>
                <w:color w:val="auto"/>
                <w:spacing w:val="0"/>
                <w:sz w:val="24"/>
                <w:szCs w:val="24"/>
                <w:lang w:eastAsia="zh-CN"/>
              </w:rPr>
              <w:t>。</w:t>
            </w:r>
          </w:p>
          <w:p w14:paraId="16227D2A">
            <w:pPr>
              <w:keepNext w:val="0"/>
              <w:keepLines w:val="0"/>
              <w:pageBreakBefore w:val="0"/>
              <w:widowControl/>
              <w:kinsoku/>
              <w:wordWrap/>
              <w:overflowPunct/>
              <w:topLinePunct w:val="0"/>
              <w:autoSpaceDE/>
              <w:autoSpaceDN/>
              <w:bidi w:val="0"/>
              <w:adjustRightInd/>
              <w:snapToGrid/>
              <w:spacing w:beforeAutospacing="0"/>
              <w:ind w:left="-105" w:leftChars="-50"/>
              <w:jc w:val="center"/>
              <w:textAlignment w:val="auto"/>
              <w:rPr>
                <w:rFonts w:hint="default" w:ascii="Times New Roman" w:hAnsi="Times New Roman" w:eastAsia="宋体" w:cs="Times New Roman"/>
                <w:b/>
                <w:color w:val="auto"/>
                <w:kern w:val="0"/>
                <w:sz w:val="24"/>
                <w:lang w:val="zh-CN"/>
              </w:rPr>
            </w:pPr>
            <w:r>
              <w:rPr>
                <w:rFonts w:hint="default" w:ascii="Times New Roman" w:hAnsi="Times New Roman" w:eastAsia="宋体" w:cs="Times New Roman"/>
                <w:b/>
                <w:color w:val="auto"/>
                <w:kern w:val="0"/>
                <w:sz w:val="24"/>
                <w:lang w:val="zh-CN"/>
              </w:rPr>
              <w:t>表4-</w:t>
            </w:r>
            <w:r>
              <w:rPr>
                <w:rFonts w:hint="eastAsia" w:ascii="Times New Roman" w:hAnsi="Times New Roman" w:eastAsia="宋体" w:cs="Times New Roman"/>
                <w:b/>
                <w:color w:val="auto"/>
                <w:kern w:val="0"/>
                <w:sz w:val="24"/>
                <w:lang w:val="en-US" w:eastAsia="zh-CN"/>
              </w:rPr>
              <w:t>14</w:t>
            </w:r>
            <w:r>
              <w:rPr>
                <w:rFonts w:hint="default" w:ascii="Times New Roman" w:hAnsi="Times New Roman" w:eastAsia="宋体" w:cs="Times New Roman"/>
                <w:b/>
                <w:color w:val="auto"/>
                <w:kern w:val="0"/>
                <w:sz w:val="24"/>
                <w:lang w:val="zh-CN"/>
              </w:rPr>
              <w:t xml:space="preserve">  项目废水产生及排放情况一览表</w:t>
            </w:r>
          </w:p>
          <w:tbl>
            <w:tblPr>
              <w:tblStyle w:val="6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7"/>
              <w:gridCol w:w="952"/>
              <w:gridCol w:w="833"/>
              <w:gridCol w:w="823"/>
              <w:gridCol w:w="902"/>
              <w:gridCol w:w="830"/>
              <w:gridCol w:w="974"/>
              <w:gridCol w:w="783"/>
              <w:gridCol w:w="952"/>
            </w:tblGrid>
            <w:tr w14:paraId="355BB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pct"/>
                  <w:vMerge w:val="restart"/>
                  <w:vAlign w:val="center"/>
                </w:tcPr>
                <w:p w14:paraId="07633DFF">
                  <w:pPr>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污染源</w:t>
                  </w:r>
                </w:p>
              </w:tc>
              <w:tc>
                <w:tcPr>
                  <w:tcW w:w="568" w:type="pct"/>
                  <w:vMerge w:val="restart"/>
                  <w:vAlign w:val="center"/>
                </w:tcPr>
                <w:p w14:paraId="5DD80F9C">
                  <w:pPr>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污染物名称</w:t>
                  </w:r>
                </w:p>
              </w:tc>
              <w:tc>
                <w:tcPr>
                  <w:tcW w:w="988" w:type="pct"/>
                  <w:gridSpan w:val="2"/>
                  <w:vAlign w:val="center"/>
                </w:tcPr>
                <w:p w14:paraId="16AD6840">
                  <w:pPr>
                    <w:jc w:val="center"/>
                    <w:rPr>
                      <w:rFonts w:hint="default" w:ascii="Times New Roman" w:hAnsi="Times New Roman" w:eastAsia="宋体" w:cs="Times New Roman"/>
                      <w:b/>
                      <w:color w:val="auto"/>
                      <w:sz w:val="21"/>
                      <w:szCs w:val="21"/>
                      <w:lang w:val="en-US" w:eastAsia="zh-CN"/>
                    </w:rPr>
                  </w:pPr>
                  <w:r>
                    <w:rPr>
                      <w:rFonts w:hint="eastAsia" w:cs="Times New Roman"/>
                      <w:b/>
                      <w:color w:val="auto"/>
                      <w:sz w:val="21"/>
                      <w:szCs w:val="21"/>
                      <w:lang w:val="en-US" w:eastAsia="zh-CN"/>
                    </w:rPr>
                    <w:t>处理前</w:t>
                  </w:r>
                </w:p>
              </w:tc>
              <w:tc>
                <w:tcPr>
                  <w:tcW w:w="538" w:type="pct"/>
                  <w:vMerge w:val="restart"/>
                  <w:vAlign w:val="center"/>
                </w:tcPr>
                <w:p w14:paraId="1AC00065">
                  <w:pPr>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治理措施</w:t>
                  </w:r>
                </w:p>
              </w:tc>
              <w:tc>
                <w:tcPr>
                  <w:tcW w:w="1076" w:type="pct"/>
                  <w:gridSpan w:val="2"/>
                  <w:vAlign w:val="center"/>
                </w:tcPr>
                <w:p w14:paraId="0622101A">
                  <w:pPr>
                    <w:jc w:val="center"/>
                    <w:rPr>
                      <w:rFonts w:hint="default" w:ascii="Times New Roman" w:hAnsi="Times New Roman" w:eastAsia="宋体" w:cs="Times New Roman"/>
                      <w:b/>
                      <w:color w:val="auto"/>
                      <w:sz w:val="21"/>
                      <w:szCs w:val="21"/>
                      <w:lang w:val="en-US" w:eastAsia="zh-CN"/>
                    </w:rPr>
                  </w:pPr>
                  <w:r>
                    <w:rPr>
                      <w:rFonts w:hint="eastAsia" w:cs="Times New Roman"/>
                      <w:b/>
                      <w:color w:val="auto"/>
                      <w:sz w:val="21"/>
                      <w:szCs w:val="21"/>
                      <w:lang w:val="en-US" w:eastAsia="zh-CN"/>
                    </w:rPr>
                    <w:t>初步处理后</w:t>
                  </w:r>
                </w:p>
              </w:tc>
              <w:tc>
                <w:tcPr>
                  <w:tcW w:w="1035" w:type="pct"/>
                  <w:gridSpan w:val="2"/>
                  <w:vAlign w:val="center"/>
                </w:tcPr>
                <w:p w14:paraId="74F61FDF">
                  <w:pPr>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外排环境量</w:t>
                  </w:r>
                </w:p>
              </w:tc>
            </w:tr>
            <w:tr w14:paraId="4A4EA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pct"/>
                  <w:vMerge w:val="continue"/>
                  <w:vAlign w:val="center"/>
                </w:tcPr>
                <w:p w14:paraId="149250E6">
                  <w:pPr>
                    <w:jc w:val="center"/>
                    <w:rPr>
                      <w:rFonts w:hint="default" w:ascii="Times New Roman" w:hAnsi="Times New Roman" w:cs="Times New Roman"/>
                      <w:b/>
                      <w:color w:val="auto"/>
                      <w:sz w:val="21"/>
                      <w:szCs w:val="21"/>
                    </w:rPr>
                  </w:pPr>
                </w:p>
              </w:tc>
              <w:tc>
                <w:tcPr>
                  <w:tcW w:w="568" w:type="pct"/>
                  <w:vMerge w:val="continue"/>
                  <w:vAlign w:val="center"/>
                </w:tcPr>
                <w:p w14:paraId="62AF6CD0">
                  <w:pPr>
                    <w:jc w:val="center"/>
                    <w:rPr>
                      <w:rFonts w:hint="default" w:ascii="Times New Roman" w:hAnsi="Times New Roman" w:cs="Times New Roman"/>
                      <w:b/>
                      <w:color w:val="auto"/>
                      <w:sz w:val="21"/>
                      <w:szCs w:val="21"/>
                    </w:rPr>
                  </w:pPr>
                </w:p>
              </w:tc>
              <w:tc>
                <w:tcPr>
                  <w:tcW w:w="497" w:type="pct"/>
                  <w:vAlign w:val="center"/>
                </w:tcPr>
                <w:p w14:paraId="4031D3AF">
                  <w:pPr>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浓度mg/L</w:t>
                  </w:r>
                </w:p>
              </w:tc>
              <w:tc>
                <w:tcPr>
                  <w:tcW w:w="491" w:type="pct"/>
                  <w:vAlign w:val="center"/>
                </w:tcPr>
                <w:p w14:paraId="229DEA3E">
                  <w:pPr>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产生量t/a</w:t>
                  </w:r>
                </w:p>
              </w:tc>
              <w:tc>
                <w:tcPr>
                  <w:tcW w:w="538" w:type="pct"/>
                  <w:vMerge w:val="continue"/>
                  <w:vAlign w:val="center"/>
                </w:tcPr>
                <w:p w14:paraId="0AA78C5C">
                  <w:pPr>
                    <w:jc w:val="center"/>
                    <w:rPr>
                      <w:rFonts w:hint="default" w:ascii="Times New Roman" w:hAnsi="Times New Roman" w:cs="Times New Roman"/>
                      <w:b/>
                      <w:color w:val="auto"/>
                      <w:sz w:val="21"/>
                      <w:szCs w:val="21"/>
                    </w:rPr>
                  </w:pPr>
                </w:p>
              </w:tc>
              <w:tc>
                <w:tcPr>
                  <w:tcW w:w="495" w:type="pct"/>
                  <w:vAlign w:val="center"/>
                </w:tcPr>
                <w:p w14:paraId="3086357F">
                  <w:pPr>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浓度</w:t>
                  </w:r>
                </w:p>
                <w:p w14:paraId="66E7AD94">
                  <w:pPr>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mg/L</w:t>
                  </w:r>
                </w:p>
              </w:tc>
              <w:tc>
                <w:tcPr>
                  <w:tcW w:w="581" w:type="pct"/>
                  <w:vAlign w:val="center"/>
                </w:tcPr>
                <w:p w14:paraId="581B6D0E">
                  <w:pPr>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排放量</w:t>
                  </w:r>
                </w:p>
                <w:p w14:paraId="32D1B7D2">
                  <w:pPr>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t/a</w:t>
                  </w:r>
                </w:p>
              </w:tc>
              <w:tc>
                <w:tcPr>
                  <w:tcW w:w="467" w:type="pct"/>
                  <w:vAlign w:val="center"/>
                </w:tcPr>
                <w:p w14:paraId="0C6C1EF3">
                  <w:pPr>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浓度</w:t>
                  </w:r>
                </w:p>
                <w:p w14:paraId="15DDAABF">
                  <w:pPr>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mg/L</w:t>
                  </w:r>
                </w:p>
              </w:tc>
              <w:tc>
                <w:tcPr>
                  <w:tcW w:w="568" w:type="pct"/>
                  <w:vAlign w:val="center"/>
                </w:tcPr>
                <w:p w14:paraId="4932C02E">
                  <w:pPr>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排放量</w:t>
                  </w:r>
                </w:p>
                <w:p w14:paraId="4B0BDF38">
                  <w:pPr>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t/a</w:t>
                  </w:r>
                </w:p>
              </w:tc>
            </w:tr>
            <w:tr w14:paraId="5DE45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92" w:type="pct"/>
                  <w:vMerge w:val="restart"/>
                  <w:vAlign w:val="center"/>
                </w:tcPr>
                <w:p w14:paraId="63E5DF8A">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生活污水</w:t>
                  </w:r>
                  <w:r>
                    <w:rPr>
                      <w:rFonts w:hint="eastAsia" w:cs="Times New Roman"/>
                      <w:color w:val="auto"/>
                      <w:sz w:val="21"/>
                      <w:szCs w:val="21"/>
                      <w:lang w:val="en-US" w:eastAsia="zh-CN"/>
                    </w:rPr>
                    <w:t>1536</w:t>
                  </w:r>
                  <w:r>
                    <w:rPr>
                      <w:rFonts w:hint="default" w:ascii="Times New Roman" w:hAnsi="Times New Roman" w:cs="Times New Roman"/>
                      <w:color w:val="auto"/>
                      <w:sz w:val="21"/>
                      <w:szCs w:val="21"/>
                    </w:rPr>
                    <w:t>t/a</w:t>
                  </w:r>
                </w:p>
              </w:tc>
              <w:tc>
                <w:tcPr>
                  <w:tcW w:w="568" w:type="pct"/>
                  <w:vAlign w:val="center"/>
                </w:tcPr>
                <w:p w14:paraId="13C21251">
                  <w:pPr>
                    <w:widowControl/>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bidi="ar"/>
                    </w:rPr>
                    <w:t>pH</w:t>
                  </w:r>
                </w:p>
              </w:tc>
              <w:tc>
                <w:tcPr>
                  <w:tcW w:w="497" w:type="pct"/>
                  <w:vAlign w:val="center"/>
                </w:tcPr>
                <w:p w14:paraId="7CBDCC29">
                  <w:pPr>
                    <w:widowControl/>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bidi="ar"/>
                    </w:rPr>
                    <w:t>6~9</w:t>
                  </w:r>
                </w:p>
              </w:tc>
              <w:tc>
                <w:tcPr>
                  <w:tcW w:w="491" w:type="pct"/>
                  <w:vAlign w:val="center"/>
                </w:tcPr>
                <w:p w14:paraId="5AED6E7B">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val="en-US" w:eastAsia="zh-CN" w:bidi="ar"/>
                    </w:rPr>
                    <w:t>/</w:t>
                  </w:r>
                </w:p>
              </w:tc>
              <w:tc>
                <w:tcPr>
                  <w:tcW w:w="538" w:type="pct"/>
                  <w:vMerge w:val="restart"/>
                  <w:vAlign w:val="center"/>
                </w:tcPr>
                <w:p w14:paraId="0AC68BF5">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化粪池</w:t>
                  </w:r>
                </w:p>
              </w:tc>
              <w:tc>
                <w:tcPr>
                  <w:tcW w:w="495" w:type="pct"/>
                  <w:vAlign w:val="center"/>
                </w:tcPr>
                <w:p w14:paraId="24717995">
                  <w:pPr>
                    <w:widowControl/>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bidi="ar"/>
                    </w:rPr>
                    <w:t>6~9</w:t>
                  </w:r>
                </w:p>
              </w:tc>
              <w:tc>
                <w:tcPr>
                  <w:tcW w:w="581" w:type="pct"/>
                  <w:vAlign w:val="center"/>
                </w:tcPr>
                <w:p w14:paraId="792B51FE">
                  <w:pPr>
                    <w:widowControl/>
                    <w:jc w:val="center"/>
                    <w:textAlignment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kern w:val="0"/>
                      <w:sz w:val="21"/>
                      <w:szCs w:val="21"/>
                      <w:lang w:val="en-US" w:eastAsia="zh-CN" w:bidi="ar"/>
                    </w:rPr>
                    <w:t>/</w:t>
                  </w:r>
                </w:p>
              </w:tc>
              <w:tc>
                <w:tcPr>
                  <w:tcW w:w="467" w:type="pct"/>
                  <w:vAlign w:val="center"/>
                </w:tcPr>
                <w:p w14:paraId="04342E61">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bidi="ar"/>
                    </w:rPr>
                    <w:t>6~9</w:t>
                  </w:r>
                </w:p>
              </w:tc>
              <w:tc>
                <w:tcPr>
                  <w:tcW w:w="568" w:type="pct"/>
                  <w:vAlign w:val="center"/>
                </w:tcPr>
                <w:p w14:paraId="6DD16B47">
                  <w:pPr>
                    <w:widowControl/>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val="en-US" w:eastAsia="zh-CN" w:bidi="ar"/>
                    </w:rPr>
                    <w:t>/</w:t>
                  </w:r>
                </w:p>
              </w:tc>
            </w:tr>
            <w:tr w14:paraId="13B3E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trPr>
              <w:tc>
                <w:tcPr>
                  <w:tcW w:w="792" w:type="pct"/>
                  <w:vMerge w:val="continue"/>
                  <w:vAlign w:val="center"/>
                </w:tcPr>
                <w:p w14:paraId="12222BD1">
                  <w:pPr>
                    <w:jc w:val="center"/>
                    <w:rPr>
                      <w:rFonts w:hint="default" w:ascii="Times New Roman" w:hAnsi="Times New Roman" w:cs="Times New Roman"/>
                      <w:color w:val="auto"/>
                      <w:sz w:val="21"/>
                      <w:szCs w:val="21"/>
                    </w:rPr>
                  </w:pPr>
                </w:p>
              </w:tc>
              <w:tc>
                <w:tcPr>
                  <w:tcW w:w="568" w:type="pct"/>
                  <w:vAlign w:val="center"/>
                </w:tcPr>
                <w:p w14:paraId="001C211B">
                  <w:pPr>
                    <w:widowControl/>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COD</w:t>
                  </w:r>
                </w:p>
              </w:tc>
              <w:tc>
                <w:tcPr>
                  <w:tcW w:w="497" w:type="pct"/>
                  <w:vAlign w:val="center"/>
                </w:tcPr>
                <w:p w14:paraId="67073CC9">
                  <w:pPr>
                    <w:widowControl/>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340</w:t>
                  </w:r>
                </w:p>
              </w:tc>
              <w:tc>
                <w:tcPr>
                  <w:tcW w:w="491" w:type="pct"/>
                  <w:vAlign w:val="center"/>
                </w:tcPr>
                <w:p w14:paraId="16B093F0">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0.522 </w:t>
                  </w:r>
                </w:p>
              </w:tc>
              <w:tc>
                <w:tcPr>
                  <w:tcW w:w="538" w:type="pct"/>
                  <w:vMerge w:val="continue"/>
                  <w:vAlign w:val="center"/>
                </w:tcPr>
                <w:p w14:paraId="67323723">
                  <w:pPr>
                    <w:widowControl/>
                    <w:jc w:val="center"/>
                    <w:rPr>
                      <w:rFonts w:hint="default" w:ascii="Times New Roman" w:hAnsi="Times New Roman" w:eastAsia="宋体" w:cs="Times New Roman"/>
                      <w:color w:val="auto"/>
                      <w:sz w:val="21"/>
                      <w:szCs w:val="21"/>
                    </w:rPr>
                  </w:pPr>
                </w:p>
              </w:tc>
              <w:tc>
                <w:tcPr>
                  <w:tcW w:w="495" w:type="pct"/>
                  <w:vAlign w:val="center"/>
                </w:tcPr>
                <w:p w14:paraId="794B8EFB">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289</w:t>
                  </w:r>
                </w:p>
              </w:tc>
              <w:tc>
                <w:tcPr>
                  <w:tcW w:w="581" w:type="pct"/>
                  <w:vAlign w:val="center"/>
                </w:tcPr>
                <w:p w14:paraId="3A97FE45">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0.444 </w:t>
                  </w:r>
                </w:p>
              </w:tc>
              <w:tc>
                <w:tcPr>
                  <w:tcW w:w="467" w:type="pct"/>
                  <w:vAlign w:val="center"/>
                </w:tcPr>
                <w:p w14:paraId="10BA0B8E">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0</w:t>
                  </w:r>
                </w:p>
              </w:tc>
              <w:tc>
                <w:tcPr>
                  <w:tcW w:w="568" w:type="pct"/>
                  <w:vAlign w:val="center"/>
                </w:tcPr>
                <w:p w14:paraId="09725FB2">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0.077 </w:t>
                  </w:r>
                </w:p>
              </w:tc>
            </w:tr>
            <w:tr w14:paraId="57C1F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pct"/>
                  <w:vMerge w:val="continue"/>
                  <w:vAlign w:val="center"/>
                </w:tcPr>
                <w:p w14:paraId="68A943D6">
                  <w:pPr>
                    <w:jc w:val="center"/>
                    <w:rPr>
                      <w:rFonts w:hint="default" w:ascii="Times New Roman" w:hAnsi="Times New Roman" w:cs="Times New Roman"/>
                      <w:color w:val="auto"/>
                      <w:sz w:val="21"/>
                      <w:szCs w:val="21"/>
                    </w:rPr>
                  </w:pPr>
                </w:p>
              </w:tc>
              <w:tc>
                <w:tcPr>
                  <w:tcW w:w="568" w:type="pct"/>
                  <w:vAlign w:val="center"/>
                </w:tcPr>
                <w:p w14:paraId="6DDCBD00">
                  <w:pPr>
                    <w:widowControl/>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BOD</w:t>
                  </w:r>
                  <w:r>
                    <w:rPr>
                      <w:rFonts w:hint="default" w:ascii="Times New Roman" w:hAnsi="Times New Roman" w:eastAsia="宋体" w:cs="Times New Roman"/>
                      <w:color w:val="auto"/>
                      <w:sz w:val="21"/>
                      <w:szCs w:val="21"/>
                      <w:vertAlign w:val="subscript"/>
                    </w:rPr>
                    <w:t>5</w:t>
                  </w:r>
                </w:p>
              </w:tc>
              <w:tc>
                <w:tcPr>
                  <w:tcW w:w="497" w:type="pct"/>
                  <w:vAlign w:val="center"/>
                </w:tcPr>
                <w:p w14:paraId="53592439">
                  <w:pPr>
                    <w:widowControl/>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180</w:t>
                  </w:r>
                </w:p>
              </w:tc>
              <w:tc>
                <w:tcPr>
                  <w:tcW w:w="491" w:type="pct"/>
                  <w:vAlign w:val="center"/>
                </w:tcPr>
                <w:p w14:paraId="2F3CAE34">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0.276 </w:t>
                  </w:r>
                </w:p>
              </w:tc>
              <w:tc>
                <w:tcPr>
                  <w:tcW w:w="538" w:type="pct"/>
                  <w:vMerge w:val="continue"/>
                  <w:vAlign w:val="center"/>
                </w:tcPr>
                <w:p w14:paraId="7F1F8CC8">
                  <w:pPr>
                    <w:widowControl/>
                    <w:jc w:val="center"/>
                    <w:rPr>
                      <w:rFonts w:hint="default" w:ascii="Times New Roman" w:hAnsi="Times New Roman" w:eastAsia="宋体" w:cs="Times New Roman"/>
                      <w:color w:val="auto"/>
                      <w:sz w:val="21"/>
                      <w:szCs w:val="21"/>
                    </w:rPr>
                  </w:pPr>
                </w:p>
              </w:tc>
              <w:tc>
                <w:tcPr>
                  <w:tcW w:w="495" w:type="pct"/>
                  <w:vAlign w:val="center"/>
                </w:tcPr>
                <w:p w14:paraId="375B1474">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158.4</w:t>
                  </w:r>
                </w:p>
              </w:tc>
              <w:tc>
                <w:tcPr>
                  <w:tcW w:w="581" w:type="pct"/>
                  <w:vAlign w:val="center"/>
                </w:tcPr>
                <w:p w14:paraId="15E79B77">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0.243 </w:t>
                  </w:r>
                </w:p>
              </w:tc>
              <w:tc>
                <w:tcPr>
                  <w:tcW w:w="467" w:type="pct"/>
                  <w:vAlign w:val="center"/>
                </w:tcPr>
                <w:p w14:paraId="124A6EE5">
                  <w:pPr>
                    <w:widowControl/>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568" w:type="pct"/>
                  <w:vAlign w:val="center"/>
                </w:tcPr>
                <w:p w14:paraId="2327A7F1">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0.015 </w:t>
                  </w:r>
                </w:p>
              </w:tc>
            </w:tr>
            <w:tr w14:paraId="77B72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pct"/>
                  <w:vMerge w:val="continue"/>
                  <w:vAlign w:val="center"/>
                </w:tcPr>
                <w:p w14:paraId="2EBCDDA2">
                  <w:pPr>
                    <w:jc w:val="center"/>
                    <w:rPr>
                      <w:rFonts w:hint="default" w:ascii="Times New Roman" w:hAnsi="Times New Roman" w:cs="Times New Roman"/>
                      <w:color w:val="auto"/>
                      <w:sz w:val="21"/>
                      <w:szCs w:val="21"/>
                    </w:rPr>
                  </w:pPr>
                </w:p>
              </w:tc>
              <w:tc>
                <w:tcPr>
                  <w:tcW w:w="568" w:type="pct"/>
                  <w:vAlign w:val="center"/>
                </w:tcPr>
                <w:p w14:paraId="3BA90B47">
                  <w:pPr>
                    <w:widowControl/>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SS</w:t>
                  </w:r>
                </w:p>
              </w:tc>
              <w:tc>
                <w:tcPr>
                  <w:tcW w:w="497" w:type="pct"/>
                  <w:vAlign w:val="center"/>
                </w:tcPr>
                <w:p w14:paraId="18FB580B">
                  <w:pPr>
                    <w:widowControl/>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200</w:t>
                  </w:r>
                </w:p>
              </w:tc>
              <w:tc>
                <w:tcPr>
                  <w:tcW w:w="491" w:type="pct"/>
                  <w:vAlign w:val="center"/>
                </w:tcPr>
                <w:p w14:paraId="62A54685">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0.307 </w:t>
                  </w:r>
                </w:p>
              </w:tc>
              <w:tc>
                <w:tcPr>
                  <w:tcW w:w="538" w:type="pct"/>
                  <w:vMerge w:val="continue"/>
                  <w:vAlign w:val="center"/>
                </w:tcPr>
                <w:p w14:paraId="773BA187">
                  <w:pPr>
                    <w:widowControl/>
                    <w:jc w:val="center"/>
                    <w:rPr>
                      <w:rFonts w:hint="default" w:ascii="Times New Roman" w:hAnsi="Times New Roman" w:eastAsia="宋体" w:cs="Times New Roman"/>
                      <w:color w:val="auto"/>
                      <w:sz w:val="21"/>
                      <w:szCs w:val="21"/>
                    </w:rPr>
                  </w:pPr>
                </w:p>
              </w:tc>
              <w:tc>
                <w:tcPr>
                  <w:tcW w:w="495" w:type="pct"/>
                  <w:vAlign w:val="center"/>
                </w:tcPr>
                <w:p w14:paraId="5C099B59">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140</w:t>
                  </w:r>
                </w:p>
              </w:tc>
              <w:tc>
                <w:tcPr>
                  <w:tcW w:w="581" w:type="pct"/>
                  <w:vAlign w:val="center"/>
                </w:tcPr>
                <w:p w14:paraId="1A586009">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0.215 </w:t>
                  </w:r>
                </w:p>
              </w:tc>
              <w:tc>
                <w:tcPr>
                  <w:tcW w:w="467" w:type="pct"/>
                  <w:vAlign w:val="center"/>
                </w:tcPr>
                <w:p w14:paraId="4C6418D6">
                  <w:pPr>
                    <w:widowControl/>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568" w:type="pct"/>
                  <w:vAlign w:val="center"/>
                </w:tcPr>
                <w:p w14:paraId="79FA4102">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0.015 </w:t>
                  </w:r>
                </w:p>
              </w:tc>
            </w:tr>
            <w:tr w14:paraId="5A0C9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pct"/>
                  <w:vMerge w:val="continue"/>
                  <w:vAlign w:val="center"/>
                </w:tcPr>
                <w:p w14:paraId="75B4E559">
                  <w:pPr>
                    <w:jc w:val="center"/>
                    <w:rPr>
                      <w:rFonts w:hint="default" w:ascii="Times New Roman" w:hAnsi="Times New Roman" w:cs="Times New Roman"/>
                      <w:color w:val="auto"/>
                      <w:sz w:val="21"/>
                      <w:szCs w:val="21"/>
                    </w:rPr>
                  </w:pPr>
                </w:p>
              </w:tc>
              <w:tc>
                <w:tcPr>
                  <w:tcW w:w="568" w:type="pct"/>
                  <w:vAlign w:val="center"/>
                </w:tcPr>
                <w:p w14:paraId="76827A8D">
                  <w:pPr>
                    <w:widowControl/>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NH</w:t>
                  </w:r>
                  <w:r>
                    <w:rPr>
                      <w:rFonts w:hint="default" w:ascii="Times New Roman" w:hAnsi="Times New Roman" w:eastAsia="宋体" w:cs="Times New Roman"/>
                      <w:color w:val="auto"/>
                      <w:sz w:val="21"/>
                      <w:szCs w:val="21"/>
                      <w:vertAlign w:val="subscript"/>
                    </w:rPr>
                    <w:t>3</w:t>
                  </w:r>
                  <w:r>
                    <w:rPr>
                      <w:rFonts w:hint="default" w:ascii="Times New Roman" w:hAnsi="Times New Roman" w:eastAsia="宋体" w:cs="Times New Roman"/>
                      <w:color w:val="auto"/>
                      <w:sz w:val="21"/>
                      <w:szCs w:val="21"/>
                    </w:rPr>
                    <w:t>-N</w:t>
                  </w:r>
                </w:p>
              </w:tc>
              <w:tc>
                <w:tcPr>
                  <w:tcW w:w="497" w:type="pct"/>
                  <w:vAlign w:val="center"/>
                </w:tcPr>
                <w:p w14:paraId="57780630">
                  <w:pPr>
                    <w:widowControl/>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30</w:t>
                  </w:r>
                </w:p>
              </w:tc>
              <w:tc>
                <w:tcPr>
                  <w:tcW w:w="491" w:type="pct"/>
                  <w:vAlign w:val="center"/>
                </w:tcPr>
                <w:p w14:paraId="11BDDA91">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0.046 </w:t>
                  </w:r>
                </w:p>
              </w:tc>
              <w:tc>
                <w:tcPr>
                  <w:tcW w:w="538" w:type="pct"/>
                  <w:vMerge w:val="continue"/>
                  <w:vAlign w:val="center"/>
                </w:tcPr>
                <w:p w14:paraId="7DACD9BA">
                  <w:pPr>
                    <w:widowControl/>
                    <w:jc w:val="center"/>
                    <w:rPr>
                      <w:rFonts w:hint="default" w:ascii="Times New Roman" w:hAnsi="Times New Roman" w:eastAsia="宋体" w:cs="Times New Roman"/>
                      <w:color w:val="auto"/>
                      <w:sz w:val="21"/>
                      <w:szCs w:val="21"/>
                    </w:rPr>
                  </w:pPr>
                </w:p>
              </w:tc>
              <w:tc>
                <w:tcPr>
                  <w:tcW w:w="495" w:type="pct"/>
                  <w:vAlign w:val="center"/>
                </w:tcPr>
                <w:p w14:paraId="05E86F53">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29.1</w:t>
                  </w:r>
                </w:p>
              </w:tc>
              <w:tc>
                <w:tcPr>
                  <w:tcW w:w="581" w:type="pct"/>
                  <w:vAlign w:val="center"/>
                </w:tcPr>
                <w:p w14:paraId="3251FF66">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0.045 </w:t>
                  </w:r>
                </w:p>
              </w:tc>
              <w:tc>
                <w:tcPr>
                  <w:tcW w:w="467" w:type="pct"/>
                  <w:vAlign w:val="center"/>
                </w:tcPr>
                <w:p w14:paraId="33D8B010">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w:t>
                  </w:r>
                </w:p>
              </w:tc>
              <w:tc>
                <w:tcPr>
                  <w:tcW w:w="568" w:type="pct"/>
                  <w:vAlign w:val="center"/>
                </w:tcPr>
                <w:p w14:paraId="494FA51C">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0.008 </w:t>
                  </w:r>
                </w:p>
              </w:tc>
            </w:tr>
            <w:tr w14:paraId="334C3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pct"/>
                  <w:vMerge w:val="continue"/>
                  <w:vAlign w:val="center"/>
                </w:tcPr>
                <w:p w14:paraId="659E14E1">
                  <w:pPr>
                    <w:jc w:val="center"/>
                    <w:rPr>
                      <w:rFonts w:hint="default" w:ascii="Times New Roman" w:hAnsi="Times New Roman" w:cs="Times New Roman"/>
                      <w:color w:val="auto"/>
                      <w:sz w:val="21"/>
                      <w:szCs w:val="21"/>
                    </w:rPr>
                  </w:pPr>
                </w:p>
              </w:tc>
              <w:tc>
                <w:tcPr>
                  <w:tcW w:w="568" w:type="pct"/>
                  <w:vAlign w:val="center"/>
                </w:tcPr>
                <w:p w14:paraId="5F996C52">
                  <w:pPr>
                    <w:widowControl/>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TP</w:t>
                  </w:r>
                </w:p>
              </w:tc>
              <w:tc>
                <w:tcPr>
                  <w:tcW w:w="497" w:type="pct"/>
                  <w:vAlign w:val="center"/>
                </w:tcPr>
                <w:p w14:paraId="7D601C4E">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4</w:t>
                  </w:r>
                </w:p>
              </w:tc>
              <w:tc>
                <w:tcPr>
                  <w:tcW w:w="491" w:type="pct"/>
                  <w:vAlign w:val="center"/>
                </w:tcPr>
                <w:p w14:paraId="30EC2634">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0.006 </w:t>
                  </w:r>
                </w:p>
              </w:tc>
              <w:tc>
                <w:tcPr>
                  <w:tcW w:w="538" w:type="pct"/>
                  <w:vMerge w:val="continue"/>
                  <w:vAlign w:val="center"/>
                </w:tcPr>
                <w:p w14:paraId="6CA4038C">
                  <w:pPr>
                    <w:widowControl/>
                    <w:jc w:val="center"/>
                    <w:rPr>
                      <w:rFonts w:hint="default" w:ascii="Times New Roman" w:hAnsi="Times New Roman" w:eastAsia="宋体" w:cs="Times New Roman"/>
                      <w:color w:val="auto"/>
                      <w:sz w:val="21"/>
                      <w:szCs w:val="21"/>
                    </w:rPr>
                  </w:pPr>
                </w:p>
              </w:tc>
              <w:tc>
                <w:tcPr>
                  <w:tcW w:w="495" w:type="pct"/>
                  <w:vAlign w:val="center"/>
                </w:tcPr>
                <w:p w14:paraId="2B6DFDEA">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4</w:t>
                  </w:r>
                </w:p>
              </w:tc>
              <w:tc>
                <w:tcPr>
                  <w:tcW w:w="581" w:type="pct"/>
                  <w:vAlign w:val="center"/>
                </w:tcPr>
                <w:p w14:paraId="48AA1271">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0.006 </w:t>
                  </w:r>
                </w:p>
              </w:tc>
              <w:tc>
                <w:tcPr>
                  <w:tcW w:w="467" w:type="pct"/>
                  <w:vAlign w:val="center"/>
                </w:tcPr>
                <w:p w14:paraId="1A04F28D">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w:t>
                  </w:r>
                </w:p>
              </w:tc>
              <w:tc>
                <w:tcPr>
                  <w:tcW w:w="568" w:type="pct"/>
                  <w:vAlign w:val="center"/>
                </w:tcPr>
                <w:p w14:paraId="45DBB42F">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0.000 </w:t>
                  </w:r>
                </w:p>
              </w:tc>
            </w:tr>
            <w:tr w14:paraId="5CCB1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pct"/>
                  <w:vMerge w:val="continue"/>
                </w:tcPr>
                <w:p w14:paraId="6732D4E7">
                  <w:pPr>
                    <w:jc w:val="center"/>
                    <w:rPr>
                      <w:rFonts w:hint="default" w:ascii="Times New Roman" w:hAnsi="Times New Roman" w:cs="Times New Roman"/>
                      <w:color w:val="auto"/>
                      <w:sz w:val="21"/>
                      <w:szCs w:val="21"/>
                    </w:rPr>
                  </w:pPr>
                </w:p>
              </w:tc>
              <w:tc>
                <w:tcPr>
                  <w:tcW w:w="568" w:type="pct"/>
                  <w:vAlign w:val="center"/>
                </w:tcPr>
                <w:p w14:paraId="1FEFA90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TN</w:t>
                  </w:r>
                </w:p>
              </w:tc>
              <w:tc>
                <w:tcPr>
                  <w:tcW w:w="497" w:type="pct"/>
                  <w:vAlign w:val="center"/>
                </w:tcPr>
                <w:p w14:paraId="6C1AE530">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40</w:t>
                  </w:r>
                </w:p>
              </w:tc>
              <w:tc>
                <w:tcPr>
                  <w:tcW w:w="491" w:type="pct"/>
                  <w:vAlign w:val="center"/>
                </w:tcPr>
                <w:p w14:paraId="38F92F5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 xml:space="preserve">0.061 </w:t>
                  </w:r>
                </w:p>
              </w:tc>
              <w:tc>
                <w:tcPr>
                  <w:tcW w:w="538" w:type="pct"/>
                  <w:vMerge w:val="continue"/>
                </w:tcPr>
                <w:p w14:paraId="0F50BDA3">
                  <w:pPr>
                    <w:widowControl/>
                    <w:jc w:val="center"/>
                    <w:textAlignment w:val="center"/>
                    <w:rPr>
                      <w:rFonts w:hint="default" w:ascii="Times New Roman" w:hAnsi="Times New Roman" w:eastAsia="宋体" w:cs="Times New Roman"/>
                      <w:color w:val="auto"/>
                      <w:kern w:val="0"/>
                      <w:sz w:val="21"/>
                      <w:szCs w:val="21"/>
                      <w:lang w:val="en-US" w:eastAsia="zh-CN" w:bidi="ar"/>
                    </w:rPr>
                  </w:pPr>
                </w:p>
              </w:tc>
              <w:tc>
                <w:tcPr>
                  <w:tcW w:w="495" w:type="pct"/>
                  <w:vAlign w:val="center"/>
                </w:tcPr>
                <w:p w14:paraId="424ACA75">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40</w:t>
                  </w:r>
                </w:p>
              </w:tc>
              <w:tc>
                <w:tcPr>
                  <w:tcW w:w="581" w:type="pct"/>
                  <w:vAlign w:val="center"/>
                </w:tcPr>
                <w:p w14:paraId="736E0BDA">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0.061 </w:t>
                  </w:r>
                </w:p>
              </w:tc>
              <w:tc>
                <w:tcPr>
                  <w:tcW w:w="467" w:type="pct"/>
                </w:tcPr>
                <w:p w14:paraId="797670C3">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15</w:t>
                  </w:r>
                </w:p>
              </w:tc>
              <w:tc>
                <w:tcPr>
                  <w:tcW w:w="568" w:type="pct"/>
                  <w:vAlign w:val="center"/>
                </w:tcPr>
                <w:p w14:paraId="29EAAE89">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0.023 </w:t>
                  </w:r>
                </w:p>
              </w:tc>
            </w:tr>
            <w:tr w14:paraId="7098A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92" w:type="pct"/>
                  <w:vMerge w:val="restart"/>
                  <w:vAlign w:val="center"/>
                </w:tcPr>
                <w:p w14:paraId="3FE5D584">
                  <w:pPr>
                    <w:jc w:val="center"/>
                    <w:rPr>
                      <w:rFonts w:hint="eastAsia" w:cs="Times New Roman"/>
                      <w:color w:val="auto"/>
                      <w:sz w:val="21"/>
                      <w:szCs w:val="21"/>
                      <w:lang w:val="en-US" w:eastAsia="zh-CN"/>
                    </w:rPr>
                  </w:pPr>
                  <w:r>
                    <w:rPr>
                      <w:rFonts w:hint="eastAsia" w:cs="Times New Roman"/>
                      <w:color w:val="auto"/>
                      <w:sz w:val="21"/>
                      <w:szCs w:val="21"/>
                      <w:lang w:val="en-US" w:eastAsia="zh-CN"/>
                    </w:rPr>
                    <w:t>淬火</w:t>
                  </w:r>
                </w:p>
                <w:p w14:paraId="44ED1408">
                  <w:pPr>
                    <w:jc w:val="center"/>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废水22.68</w:t>
                  </w:r>
                  <w:r>
                    <w:rPr>
                      <w:rFonts w:hint="default" w:ascii="Times New Roman" w:hAnsi="Times New Roman" w:eastAsia="宋体" w:cs="Times New Roman"/>
                      <w:color w:val="auto"/>
                      <w:sz w:val="21"/>
                      <w:szCs w:val="21"/>
                    </w:rPr>
                    <w:t>t/a</w:t>
                  </w:r>
                </w:p>
              </w:tc>
              <w:tc>
                <w:tcPr>
                  <w:tcW w:w="568" w:type="pct"/>
                  <w:shd w:val="clear" w:color="auto" w:fill="auto"/>
                  <w:vAlign w:val="center"/>
                </w:tcPr>
                <w:p w14:paraId="0E5D62AA">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COD</w:t>
                  </w:r>
                </w:p>
              </w:tc>
              <w:tc>
                <w:tcPr>
                  <w:tcW w:w="497" w:type="pct"/>
                  <w:shd w:val="clear" w:color="auto" w:fill="auto"/>
                  <w:vAlign w:val="center"/>
                </w:tcPr>
                <w:p w14:paraId="5F633AA7">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600</w:t>
                  </w:r>
                </w:p>
              </w:tc>
              <w:tc>
                <w:tcPr>
                  <w:tcW w:w="491" w:type="pct"/>
                  <w:shd w:val="clear" w:color="auto" w:fill="auto"/>
                  <w:vAlign w:val="center"/>
                </w:tcPr>
                <w:p w14:paraId="15BE7614">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0.014 </w:t>
                  </w:r>
                </w:p>
              </w:tc>
              <w:tc>
                <w:tcPr>
                  <w:tcW w:w="538" w:type="pct"/>
                  <w:vMerge w:val="restart"/>
                  <w:shd w:val="clear" w:color="auto" w:fill="auto"/>
                  <w:vAlign w:val="center"/>
                </w:tcPr>
                <w:p w14:paraId="6BF2E7BA">
                  <w:pPr>
                    <w:adjustRightInd w:val="0"/>
                    <w:snapToGrid w:val="0"/>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cs="Times New Roman"/>
                      <w:bCs/>
                      <w:color w:val="auto"/>
                      <w:szCs w:val="21"/>
                      <w:lang w:val="en-US" w:eastAsia="zh-CN"/>
                    </w:rPr>
                    <w:t>设备配套淬火槽内循环使用，不外排</w:t>
                  </w:r>
                </w:p>
              </w:tc>
              <w:tc>
                <w:tcPr>
                  <w:tcW w:w="495" w:type="pct"/>
                  <w:vAlign w:val="center"/>
                </w:tcPr>
                <w:p w14:paraId="3F4FB235">
                  <w:pPr>
                    <w:widowControl/>
                    <w:jc w:val="center"/>
                    <w:textAlignment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sz w:val="21"/>
                      <w:szCs w:val="21"/>
                      <w:lang w:val="en-US" w:eastAsia="zh-CN"/>
                    </w:rPr>
                    <w:t>600</w:t>
                  </w:r>
                </w:p>
              </w:tc>
              <w:tc>
                <w:tcPr>
                  <w:tcW w:w="581" w:type="pct"/>
                  <w:shd w:val="clear" w:color="auto" w:fill="auto"/>
                  <w:vAlign w:val="center"/>
                </w:tcPr>
                <w:p w14:paraId="7A5FBFD3">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 xml:space="preserve">0.014 </w:t>
                  </w:r>
                </w:p>
              </w:tc>
              <w:tc>
                <w:tcPr>
                  <w:tcW w:w="467" w:type="pct"/>
                  <w:vAlign w:val="center"/>
                </w:tcPr>
                <w:p w14:paraId="314CFA01">
                  <w:pPr>
                    <w:widowControl/>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color w:val="auto"/>
                      <w:sz w:val="21"/>
                      <w:szCs w:val="21"/>
                    </w:rPr>
                    <w:t>/</w:t>
                  </w:r>
                </w:p>
              </w:tc>
              <w:tc>
                <w:tcPr>
                  <w:tcW w:w="568" w:type="pct"/>
                  <w:vAlign w:val="center"/>
                </w:tcPr>
                <w:p w14:paraId="3DA2011A">
                  <w:pPr>
                    <w:widowControl/>
                    <w:jc w:val="center"/>
                    <w:textAlignment w:val="center"/>
                    <w:rPr>
                      <w:rFonts w:hint="default" w:ascii="Times New Roman" w:hAnsi="Times New Roman" w:eastAsia="宋体" w:cs="Times New Roman"/>
                      <w:color w:val="auto"/>
                      <w:kern w:val="0"/>
                      <w:sz w:val="21"/>
                      <w:szCs w:val="21"/>
                      <w:lang w:eastAsia="zh-CN" w:bidi="ar"/>
                    </w:rPr>
                  </w:pPr>
                  <w:r>
                    <w:rPr>
                      <w:rFonts w:hint="default" w:ascii="Times New Roman" w:hAnsi="Times New Roman" w:eastAsia="宋体" w:cs="Times New Roman"/>
                      <w:color w:val="auto"/>
                      <w:sz w:val="21"/>
                      <w:szCs w:val="21"/>
                    </w:rPr>
                    <w:t>/</w:t>
                  </w:r>
                </w:p>
              </w:tc>
            </w:tr>
            <w:tr w14:paraId="16FD2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792" w:type="pct"/>
                  <w:vMerge w:val="continue"/>
                </w:tcPr>
                <w:p w14:paraId="3ED2D944">
                  <w:pPr>
                    <w:jc w:val="center"/>
                    <w:rPr>
                      <w:rFonts w:hint="default" w:ascii="Times New Roman" w:hAnsi="Times New Roman" w:eastAsia="宋体" w:cs="Times New Roman"/>
                      <w:color w:val="auto"/>
                      <w:sz w:val="21"/>
                      <w:szCs w:val="21"/>
                    </w:rPr>
                  </w:pPr>
                </w:p>
              </w:tc>
              <w:tc>
                <w:tcPr>
                  <w:tcW w:w="568" w:type="pct"/>
                  <w:vAlign w:val="center"/>
                </w:tcPr>
                <w:p w14:paraId="11E8FBD6">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SS</w:t>
                  </w:r>
                </w:p>
              </w:tc>
              <w:tc>
                <w:tcPr>
                  <w:tcW w:w="497" w:type="pct"/>
                  <w:vAlign w:val="center"/>
                </w:tcPr>
                <w:p w14:paraId="6DB5EC42">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500</w:t>
                  </w:r>
                </w:p>
              </w:tc>
              <w:tc>
                <w:tcPr>
                  <w:tcW w:w="491" w:type="pct"/>
                  <w:vAlign w:val="center"/>
                </w:tcPr>
                <w:p w14:paraId="3A10741D">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0.011 </w:t>
                  </w:r>
                </w:p>
              </w:tc>
              <w:tc>
                <w:tcPr>
                  <w:tcW w:w="538" w:type="pct"/>
                  <w:vMerge w:val="continue"/>
                </w:tcPr>
                <w:p w14:paraId="42865298">
                  <w:pPr>
                    <w:widowControl/>
                    <w:jc w:val="center"/>
                    <w:rPr>
                      <w:rFonts w:hint="default" w:ascii="Times New Roman" w:hAnsi="Times New Roman" w:eastAsia="宋体" w:cs="Times New Roman"/>
                      <w:color w:val="auto"/>
                      <w:sz w:val="21"/>
                      <w:szCs w:val="21"/>
                    </w:rPr>
                  </w:pPr>
                </w:p>
              </w:tc>
              <w:tc>
                <w:tcPr>
                  <w:tcW w:w="495" w:type="pct"/>
                  <w:vAlign w:val="center"/>
                </w:tcPr>
                <w:p w14:paraId="6CFCBB72">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500</w:t>
                  </w:r>
                </w:p>
              </w:tc>
              <w:tc>
                <w:tcPr>
                  <w:tcW w:w="581" w:type="pct"/>
                  <w:shd w:val="clear" w:color="auto" w:fill="auto"/>
                  <w:vAlign w:val="center"/>
                </w:tcPr>
                <w:p w14:paraId="0D488468">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 xml:space="preserve">0.011 </w:t>
                  </w:r>
                </w:p>
              </w:tc>
              <w:tc>
                <w:tcPr>
                  <w:tcW w:w="467" w:type="pct"/>
                  <w:vAlign w:val="center"/>
                </w:tcPr>
                <w:p w14:paraId="7B86F9C4">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p>
              </w:tc>
              <w:tc>
                <w:tcPr>
                  <w:tcW w:w="568" w:type="pct"/>
                  <w:vAlign w:val="center"/>
                </w:tcPr>
                <w:p w14:paraId="1DF9A8C8">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p>
              </w:tc>
            </w:tr>
            <w:tr w14:paraId="326B2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trPr>
              <w:tc>
                <w:tcPr>
                  <w:tcW w:w="792" w:type="pct"/>
                  <w:vMerge w:val="continue"/>
                </w:tcPr>
                <w:p w14:paraId="7F299946">
                  <w:pPr>
                    <w:jc w:val="center"/>
                    <w:rPr>
                      <w:rFonts w:hint="default" w:ascii="Times New Roman" w:hAnsi="Times New Roman" w:eastAsia="宋体" w:cs="Times New Roman"/>
                      <w:color w:val="auto"/>
                      <w:sz w:val="21"/>
                      <w:szCs w:val="21"/>
                    </w:rPr>
                  </w:pPr>
                </w:p>
              </w:tc>
              <w:tc>
                <w:tcPr>
                  <w:tcW w:w="568" w:type="pct"/>
                  <w:vAlign w:val="center"/>
                </w:tcPr>
                <w:p w14:paraId="3D668F73">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石油类</w:t>
                  </w:r>
                </w:p>
              </w:tc>
              <w:tc>
                <w:tcPr>
                  <w:tcW w:w="497" w:type="pct"/>
                  <w:vAlign w:val="center"/>
                </w:tcPr>
                <w:p w14:paraId="76094EF9">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w:t>
                  </w:r>
                </w:p>
              </w:tc>
              <w:tc>
                <w:tcPr>
                  <w:tcW w:w="491" w:type="pct"/>
                  <w:vAlign w:val="center"/>
                </w:tcPr>
                <w:p w14:paraId="58D6CD69">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0.0005 </w:t>
                  </w:r>
                </w:p>
              </w:tc>
              <w:tc>
                <w:tcPr>
                  <w:tcW w:w="538" w:type="pct"/>
                  <w:vMerge w:val="continue"/>
                </w:tcPr>
                <w:p w14:paraId="5D2619BA">
                  <w:pPr>
                    <w:widowControl/>
                    <w:jc w:val="center"/>
                    <w:rPr>
                      <w:rFonts w:hint="default" w:ascii="Times New Roman" w:hAnsi="Times New Roman" w:eastAsia="宋体" w:cs="Times New Roman"/>
                      <w:color w:val="auto"/>
                      <w:sz w:val="21"/>
                      <w:szCs w:val="21"/>
                    </w:rPr>
                  </w:pPr>
                </w:p>
              </w:tc>
              <w:tc>
                <w:tcPr>
                  <w:tcW w:w="495" w:type="pct"/>
                  <w:vAlign w:val="center"/>
                </w:tcPr>
                <w:p w14:paraId="1300F542">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20</w:t>
                  </w:r>
                </w:p>
              </w:tc>
              <w:tc>
                <w:tcPr>
                  <w:tcW w:w="581" w:type="pct"/>
                  <w:shd w:val="clear" w:color="auto" w:fill="auto"/>
                  <w:vAlign w:val="center"/>
                </w:tcPr>
                <w:p w14:paraId="739C7CE7">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 xml:space="preserve">0.0005 </w:t>
                  </w:r>
                </w:p>
              </w:tc>
              <w:tc>
                <w:tcPr>
                  <w:tcW w:w="467" w:type="pct"/>
                  <w:vAlign w:val="center"/>
                </w:tcPr>
                <w:p w14:paraId="5D037EE3">
                  <w:pPr>
                    <w:widowControl/>
                    <w:jc w:val="center"/>
                    <w:rPr>
                      <w:rFonts w:hint="default" w:ascii="Times New Roman" w:hAnsi="Times New Roman" w:eastAsia="宋体" w:cs="Times New Roman"/>
                      <w:color w:val="auto"/>
                      <w:sz w:val="21"/>
                      <w:szCs w:val="21"/>
                    </w:rPr>
                  </w:pPr>
                </w:p>
              </w:tc>
              <w:tc>
                <w:tcPr>
                  <w:tcW w:w="568" w:type="pct"/>
                  <w:vAlign w:val="center"/>
                </w:tcPr>
                <w:p w14:paraId="3B8FBA4D">
                  <w:pPr>
                    <w:widowControl/>
                    <w:jc w:val="center"/>
                    <w:rPr>
                      <w:rFonts w:hint="default" w:ascii="Times New Roman" w:hAnsi="Times New Roman" w:eastAsia="宋体" w:cs="Times New Roman"/>
                      <w:color w:val="auto"/>
                      <w:sz w:val="21"/>
                      <w:szCs w:val="21"/>
                    </w:rPr>
                  </w:pPr>
                </w:p>
              </w:tc>
            </w:tr>
            <w:tr w14:paraId="0D027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792" w:type="pct"/>
                  <w:vMerge w:val="restart"/>
                  <w:vAlign w:val="center"/>
                </w:tcPr>
                <w:p w14:paraId="0C4354ED">
                  <w:pPr>
                    <w:jc w:val="center"/>
                    <w:rPr>
                      <w:rFonts w:hint="default" w:ascii="Times New Roman" w:hAnsi="Times New Roman" w:eastAsia="宋体" w:cs="Times New Roman"/>
                      <w:color w:val="auto"/>
                      <w:sz w:val="21"/>
                      <w:szCs w:val="21"/>
                      <w:lang w:val="en-US" w:eastAsia="zh-CN"/>
                    </w:rPr>
                  </w:pPr>
                  <w:r>
                    <w:rPr>
                      <w:rStyle w:val="77"/>
                      <w:rFonts w:hint="eastAsia"/>
                      <w:color w:val="auto"/>
                      <w:kern w:val="0"/>
                      <w:sz w:val="21"/>
                      <w:szCs w:val="21"/>
                      <w:lang w:val="en-US" w:eastAsia="zh-CN"/>
                    </w:rPr>
                    <w:t>湿式磨削废水</w:t>
                  </w:r>
                  <w:r>
                    <w:rPr>
                      <w:rFonts w:hint="eastAsia" w:cs="Times New Roman"/>
                      <w:color w:val="auto"/>
                      <w:sz w:val="21"/>
                      <w:szCs w:val="21"/>
                      <w:lang w:val="en-US" w:eastAsia="zh-CN"/>
                    </w:rPr>
                    <w:t>204.12</w:t>
                  </w:r>
                  <w:r>
                    <w:rPr>
                      <w:rFonts w:hint="default" w:ascii="Times New Roman" w:hAnsi="Times New Roman" w:eastAsia="宋体" w:cs="Times New Roman"/>
                      <w:color w:val="auto"/>
                      <w:sz w:val="21"/>
                      <w:szCs w:val="21"/>
                    </w:rPr>
                    <w:t>t/a</w:t>
                  </w:r>
                </w:p>
              </w:tc>
              <w:tc>
                <w:tcPr>
                  <w:tcW w:w="568" w:type="pct"/>
                  <w:shd w:val="clear" w:color="auto" w:fill="auto"/>
                  <w:vAlign w:val="center"/>
                </w:tcPr>
                <w:p w14:paraId="6002080A">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SS</w:t>
                  </w:r>
                </w:p>
              </w:tc>
              <w:tc>
                <w:tcPr>
                  <w:tcW w:w="497" w:type="pct"/>
                  <w:shd w:val="clear" w:color="auto" w:fill="auto"/>
                  <w:vAlign w:val="center"/>
                </w:tcPr>
                <w:p w14:paraId="1A65768B">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400</w:t>
                  </w:r>
                </w:p>
              </w:tc>
              <w:tc>
                <w:tcPr>
                  <w:tcW w:w="491" w:type="pct"/>
                  <w:shd w:val="clear" w:color="auto" w:fill="auto"/>
                  <w:vAlign w:val="center"/>
                </w:tcPr>
                <w:p w14:paraId="15C50D3C">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w:t>
                  </w:r>
                  <w:r>
                    <w:rPr>
                      <w:rFonts w:hint="eastAsia" w:ascii="Times New Roman" w:hAnsi="Times New Roman" w:eastAsia="宋体" w:cs="Times New Roman"/>
                      <w:color w:val="auto"/>
                      <w:sz w:val="21"/>
                      <w:szCs w:val="21"/>
                      <w:lang w:val="en-US" w:eastAsia="zh-CN"/>
                    </w:rPr>
                    <w:t>82</w:t>
                  </w:r>
                </w:p>
              </w:tc>
              <w:tc>
                <w:tcPr>
                  <w:tcW w:w="538" w:type="pct"/>
                  <w:vMerge w:val="restart"/>
                  <w:shd w:val="clear" w:color="auto" w:fill="auto"/>
                  <w:vAlign w:val="center"/>
                </w:tcPr>
                <w:p w14:paraId="6D1A0A4F">
                  <w:pPr>
                    <w:adjustRightInd w:val="0"/>
                    <w:snapToGrid w:val="0"/>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cs="Times New Roman"/>
                      <w:bCs/>
                      <w:color w:val="auto"/>
                      <w:szCs w:val="21"/>
                      <w:lang w:val="en-US" w:eastAsia="zh-CN"/>
                    </w:rPr>
                    <w:t>经沉淀池沉淀处理后</w:t>
                  </w:r>
                  <w:r>
                    <w:rPr>
                      <w:rStyle w:val="77"/>
                      <w:rFonts w:hint="eastAsia"/>
                      <w:color w:val="auto"/>
                      <w:kern w:val="0"/>
                      <w:szCs w:val="20"/>
                      <w:lang w:val="en-US" w:eastAsia="zh-CN"/>
                    </w:rPr>
                    <w:t>循环使用，不外排</w:t>
                  </w:r>
                </w:p>
              </w:tc>
              <w:tc>
                <w:tcPr>
                  <w:tcW w:w="495" w:type="pct"/>
                  <w:shd w:val="clear" w:color="auto" w:fill="auto"/>
                  <w:vAlign w:val="center"/>
                </w:tcPr>
                <w:p w14:paraId="2B8EBEB7">
                  <w:pPr>
                    <w:widowControl/>
                    <w:jc w:val="center"/>
                    <w:textAlignment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sz w:val="21"/>
                      <w:szCs w:val="21"/>
                      <w:lang w:val="en-US" w:eastAsia="zh-CN"/>
                    </w:rPr>
                    <w:t>20</w:t>
                  </w:r>
                </w:p>
              </w:tc>
              <w:tc>
                <w:tcPr>
                  <w:tcW w:w="581" w:type="pct"/>
                  <w:shd w:val="clear" w:color="auto" w:fill="auto"/>
                  <w:vAlign w:val="center"/>
                </w:tcPr>
                <w:p w14:paraId="5E17045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sz w:val="21"/>
                      <w:szCs w:val="21"/>
                      <w:lang w:val="en-US" w:eastAsia="zh-CN"/>
                    </w:rPr>
                    <w:t>0.004</w:t>
                  </w:r>
                </w:p>
              </w:tc>
              <w:tc>
                <w:tcPr>
                  <w:tcW w:w="467" w:type="pct"/>
                  <w:shd w:val="clear" w:color="auto" w:fill="auto"/>
                  <w:vAlign w:val="center"/>
                </w:tcPr>
                <w:p w14:paraId="4054AF0D">
                  <w:pPr>
                    <w:widowControl/>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sz w:val="21"/>
                      <w:szCs w:val="21"/>
                    </w:rPr>
                    <w:t>/</w:t>
                  </w:r>
                </w:p>
              </w:tc>
              <w:tc>
                <w:tcPr>
                  <w:tcW w:w="568" w:type="pct"/>
                  <w:shd w:val="clear" w:color="auto" w:fill="auto"/>
                  <w:vAlign w:val="center"/>
                </w:tcPr>
                <w:p w14:paraId="735A62A8">
                  <w:pPr>
                    <w:widowControl/>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sz w:val="21"/>
                      <w:szCs w:val="21"/>
                    </w:rPr>
                    <w:t>/</w:t>
                  </w:r>
                </w:p>
              </w:tc>
            </w:tr>
            <w:tr w14:paraId="5CF5C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792" w:type="pct"/>
                  <w:vMerge w:val="continue"/>
                  <w:vAlign w:val="center"/>
                </w:tcPr>
                <w:p w14:paraId="1BB4F17C">
                  <w:pPr>
                    <w:jc w:val="center"/>
                    <w:rPr>
                      <w:rStyle w:val="77"/>
                      <w:rFonts w:hint="eastAsia"/>
                      <w:color w:val="auto"/>
                      <w:kern w:val="0"/>
                      <w:sz w:val="21"/>
                      <w:szCs w:val="21"/>
                      <w:lang w:val="en-US" w:eastAsia="zh-CN"/>
                    </w:rPr>
                  </w:pPr>
                </w:p>
              </w:tc>
              <w:tc>
                <w:tcPr>
                  <w:tcW w:w="568" w:type="pct"/>
                  <w:shd w:val="clear" w:color="auto" w:fill="auto"/>
                  <w:vAlign w:val="center"/>
                </w:tcPr>
                <w:p w14:paraId="7A293444">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石油类</w:t>
                  </w:r>
                </w:p>
              </w:tc>
              <w:tc>
                <w:tcPr>
                  <w:tcW w:w="497" w:type="pct"/>
                  <w:shd w:val="clear" w:color="auto" w:fill="auto"/>
                  <w:vAlign w:val="center"/>
                </w:tcPr>
                <w:p w14:paraId="2A1D50CC">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20</w:t>
                  </w:r>
                </w:p>
              </w:tc>
              <w:tc>
                <w:tcPr>
                  <w:tcW w:w="491" w:type="pct"/>
                  <w:shd w:val="clear" w:color="auto" w:fill="auto"/>
                  <w:vAlign w:val="center"/>
                </w:tcPr>
                <w:p w14:paraId="58BF64C2">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0.004</w:t>
                  </w:r>
                </w:p>
              </w:tc>
              <w:tc>
                <w:tcPr>
                  <w:tcW w:w="538" w:type="pct"/>
                  <w:vMerge w:val="continue"/>
                  <w:shd w:val="clear" w:color="auto" w:fill="auto"/>
                  <w:vAlign w:val="center"/>
                </w:tcPr>
                <w:p w14:paraId="36A64A11">
                  <w:pPr>
                    <w:adjustRightInd w:val="0"/>
                    <w:snapToGrid w:val="0"/>
                    <w:jc w:val="center"/>
                    <w:rPr>
                      <w:rFonts w:hint="eastAsia" w:ascii="Times New Roman" w:hAnsi="Times New Roman" w:cs="Times New Roman"/>
                      <w:bCs/>
                      <w:color w:val="auto"/>
                      <w:szCs w:val="21"/>
                      <w:lang w:val="en-US" w:eastAsia="zh-CN"/>
                    </w:rPr>
                  </w:pPr>
                </w:p>
              </w:tc>
              <w:tc>
                <w:tcPr>
                  <w:tcW w:w="495" w:type="pct"/>
                  <w:shd w:val="clear" w:color="auto" w:fill="auto"/>
                  <w:vAlign w:val="center"/>
                </w:tcPr>
                <w:p w14:paraId="6B672CF8">
                  <w:pPr>
                    <w:widowControl/>
                    <w:jc w:val="center"/>
                    <w:textAlignment w:val="center"/>
                    <w:rPr>
                      <w:rFonts w:hint="default" w:cs="Times New Roman"/>
                      <w:color w:val="auto"/>
                      <w:sz w:val="21"/>
                      <w:szCs w:val="21"/>
                      <w:lang w:val="en-US" w:eastAsia="zh-CN"/>
                    </w:rPr>
                  </w:pPr>
                  <w:r>
                    <w:rPr>
                      <w:rFonts w:hint="eastAsia" w:cs="Times New Roman"/>
                      <w:color w:val="auto"/>
                      <w:sz w:val="21"/>
                      <w:szCs w:val="21"/>
                      <w:lang w:val="en-US" w:eastAsia="zh-CN"/>
                    </w:rPr>
                    <w:t>2</w:t>
                  </w:r>
                </w:p>
              </w:tc>
              <w:tc>
                <w:tcPr>
                  <w:tcW w:w="581" w:type="pct"/>
                  <w:shd w:val="clear" w:color="auto" w:fill="auto"/>
                  <w:vAlign w:val="center"/>
                </w:tcPr>
                <w:p w14:paraId="3D1C7289">
                  <w:pPr>
                    <w:keepNext w:val="0"/>
                    <w:keepLines w:val="0"/>
                    <w:widowControl/>
                    <w:suppressLineNumbers w:val="0"/>
                    <w:jc w:val="center"/>
                    <w:textAlignment w:val="center"/>
                    <w:rPr>
                      <w:rFonts w:hint="default" w:cs="Times New Roman"/>
                      <w:color w:val="auto"/>
                      <w:sz w:val="21"/>
                      <w:szCs w:val="21"/>
                      <w:lang w:val="en-US" w:eastAsia="zh-CN"/>
                    </w:rPr>
                  </w:pPr>
                  <w:r>
                    <w:rPr>
                      <w:rFonts w:hint="eastAsia" w:cs="Times New Roman"/>
                      <w:color w:val="auto"/>
                      <w:sz w:val="21"/>
                      <w:szCs w:val="21"/>
                      <w:lang w:val="en-US" w:eastAsia="zh-CN"/>
                    </w:rPr>
                    <w:t>0.0004</w:t>
                  </w:r>
                </w:p>
              </w:tc>
              <w:tc>
                <w:tcPr>
                  <w:tcW w:w="783" w:type="dxa"/>
                  <w:shd w:val="clear" w:color="auto" w:fill="auto"/>
                  <w:vAlign w:val="center"/>
                </w:tcPr>
                <w:p w14:paraId="1A2DF514">
                  <w:pPr>
                    <w:widowControl/>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52" w:type="dxa"/>
                  <w:shd w:val="clear" w:color="auto" w:fill="auto"/>
                  <w:vAlign w:val="center"/>
                </w:tcPr>
                <w:p w14:paraId="5AEA4A79">
                  <w:pPr>
                    <w:widowControl/>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r>
          </w:tbl>
          <w:p w14:paraId="03D39CFD">
            <w:pPr>
              <w:autoSpaceDE w:val="0"/>
              <w:autoSpaceDN w:val="0"/>
              <w:adjustRightInd w:val="0"/>
              <w:spacing w:line="460" w:lineRule="exact"/>
              <w:ind w:firstLine="470" w:firstLineChars="196"/>
              <w:rPr>
                <w:rFonts w:hint="default" w:ascii="Times New Roman" w:hAnsi="Times New Roman" w:cs="Times New Roman"/>
                <w:color w:val="auto"/>
                <w:sz w:val="24"/>
                <w:szCs w:val="24"/>
                <w:lang w:eastAsia="zh-CN"/>
              </w:rPr>
            </w:pPr>
            <w:r>
              <w:rPr>
                <w:rFonts w:hint="eastAsia" w:ascii="Times New Roman" w:hAnsi="Times New Roman" w:eastAsia="宋体" w:cs="Times New Roman"/>
                <w:color w:val="auto"/>
                <w:kern w:val="0"/>
                <w:sz w:val="24"/>
                <w:szCs w:val="24"/>
                <w:lang w:val="en-US" w:eastAsia="zh-CN" w:bidi="ar-SA"/>
              </w:rPr>
              <w:t>项目无生产废水外排，</w:t>
            </w:r>
            <w:r>
              <w:rPr>
                <w:rFonts w:hint="default" w:ascii="Times New Roman" w:hAnsi="Times New Roman" w:eastAsia="宋体" w:cs="Times New Roman"/>
                <w:color w:val="auto"/>
                <w:kern w:val="0"/>
                <w:sz w:val="24"/>
                <w:szCs w:val="24"/>
                <w:lang w:val="en-US" w:eastAsia="zh-CN" w:bidi="ar-SA"/>
              </w:rPr>
              <w:t>项目</w:t>
            </w:r>
            <w:r>
              <w:rPr>
                <w:rFonts w:hint="eastAsia" w:cs="Times New Roman"/>
                <w:color w:val="auto"/>
                <w:kern w:val="0"/>
                <w:sz w:val="24"/>
                <w:szCs w:val="24"/>
                <w:lang w:val="en-US" w:eastAsia="zh-CN" w:bidi="ar-SA"/>
              </w:rPr>
              <w:t>水性脱模剂</w:t>
            </w:r>
            <w:r>
              <w:rPr>
                <w:rFonts w:hint="default" w:ascii="Times New Roman" w:hAnsi="Times New Roman" w:eastAsia="宋体" w:cs="Times New Roman"/>
                <w:color w:val="auto"/>
                <w:kern w:val="0"/>
                <w:sz w:val="24"/>
                <w:szCs w:val="24"/>
                <w:lang w:val="en-US" w:eastAsia="zh-CN" w:bidi="ar-SA"/>
              </w:rPr>
              <w:t>配比水、切削液配比水蒸发损耗不外排；</w:t>
            </w:r>
            <w:r>
              <w:rPr>
                <w:rFonts w:hint="eastAsia" w:ascii="Times New Roman" w:hAnsi="Times New Roman" w:eastAsia="宋体" w:cs="Times New Roman"/>
                <w:color w:val="auto"/>
                <w:kern w:val="0"/>
                <w:sz w:val="24"/>
                <w:szCs w:val="24"/>
                <w:lang w:val="en-US" w:eastAsia="zh-CN" w:bidi="ar-SA"/>
              </w:rPr>
              <w:t>淬火废水在淬火槽循环使用，不外排，定期补充，定期捞渣；湿式磨削废水经沉淀池处理后回用，不外排，定期补充，定期捞渣；循环冷却水循环使用，定期补充，不外排</w:t>
            </w:r>
            <w:r>
              <w:rPr>
                <w:rFonts w:hint="eastAsia"/>
                <w:color w:val="auto"/>
                <w:kern w:val="0"/>
                <w:sz w:val="24"/>
                <w:lang w:val="en-US" w:eastAsia="zh-CN"/>
              </w:rPr>
              <w:t>；</w:t>
            </w:r>
            <w:r>
              <w:rPr>
                <w:rFonts w:hint="default" w:ascii="Times New Roman" w:hAnsi="Times New Roman" w:cs="Times New Roman"/>
                <w:color w:val="auto"/>
                <w:sz w:val="24"/>
                <w:szCs w:val="24"/>
              </w:rPr>
              <w:t>生活污水经化粪池处理后经市政污水管网排入</w:t>
            </w:r>
            <w:r>
              <w:rPr>
                <w:rFonts w:hint="eastAsia" w:cs="Times New Roman"/>
                <w:color w:val="auto"/>
                <w:sz w:val="24"/>
                <w:szCs w:val="24"/>
                <w:lang w:eastAsia="zh-CN"/>
              </w:rPr>
              <w:t>芜湖县新芜开发区城东污水处理厂</w:t>
            </w:r>
            <w:r>
              <w:rPr>
                <w:rFonts w:hint="default" w:ascii="Times New Roman" w:hAnsi="Times New Roman" w:cs="Times New Roman"/>
                <w:color w:val="auto"/>
                <w:sz w:val="24"/>
                <w:szCs w:val="24"/>
              </w:rPr>
              <w:t>，达标后排入</w:t>
            </w:r>
            <w:r>
              <w:rPr>
                <w:rFonts w:hint="eastAsia" w:cs="Times New Roman"/>
                <w:color w:val="auto"/>
                <w:sz w:val="24"/>
                <w:szCs w:val="24"/>
                <w:lang w:eastAsia="zh-CN"/>
              </w:rPr>
              <w:t>汪溪坝撇洪沟后汇入裘公河</w:t>
            </w:r>
            <w:r>
              <w:rPr>
                <w:rFonts w:hint="default" w:ascii="Times New Roman" w:hAnsi="Times New Roman" w:cs="Times New Roman"/>
                <w:color w:val="auto"/>
                <w:sz w:val="24"/>
                <w:szCs w:val="24"/>
                <w:lang w:eastAsia="zh-CN"/>
              </w:rPr>
              <w:t>。</w:t>
            </w:r>
          </w:p>
          <w:p w14:paraId="3304B9C2">
            <w:pPr>
              <w:autoSpaceDE w:val="0"/>
              <w:autoSpaceDN w:val="0"/>
              <w:adjustRightInd w:val="0"/>
              <w:spacing w:line="460" w:lineRule="exact"/>
              <w:ind w:firstLine="472" w:firstLineChars="196"/>
              <w:rPr>
                <w:rFonts w:hint="default" w:ascii="Times New Roman" w:hAnsi="Times New Roman" w:eastAsia="宋体" w:cs="Times New Roman"/>
                <w:b/>
                <w:bCs/>
                <w:caps w:val="0"/>
                <w:color w:val="auto"/>
                <w:sz w:val="24"/>
              </w:rPr>
            </w:pPr>
            <w:r>
              <w:rPr>
                <w:rFonts w:hint="default" w:ascii="Times New Roman" w:hAnsi="Times New Roman" w:eastAsia="宋体" w:cs="Times New Roman"/>
                <w:b/>
                <w:bCs/>
                <w:caps w:val="0"/>
                <w:color w:val="auto"/>
                <w:sz w:val="24"/>
              </w:rPr>
              <w:t>2、水环境影响分析</w:t>
            </w:r>
          </w:p>
          <w:p w14:paraId="7B0FAF9E">
            <w:pPr>
              <w:adjustRightInd w:val="0"/>
              <w:spacing w:line="460" w:lineRule="exact"/>
              <w:ind w:firstLine="482"/>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（1）污水排放去向</w:t>
            </w:r>
          </w:p>
          <w:p w14:paraId="3D728B64">
            <w:pPr>
              <w:adjustRightInd w:val="0"/>
              <w:spacing w:line="460" w:lineRule="exact"/>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项目所在区域污水属于</w:t>
            </w:r>
            <w:r>
              <w:rPr>
                <w:rFonts w:hint="eastAsia" w:cs="Times New Roman"/>
                <w:color w:val="auto"/>
                <w:sz w:val="24"/>
                <w:szCs w:val="24"/>
                <w:lang w:eastAsia="zh-CN"/>
              </w:rPr>
              <w:t>芜湖县新芜开发区城东污水处理厂</w:t>
            </w:r>
            <w:r>
              <w:rPr>
                <w:rFonts w:hint="default" w:ascii="Times New Roman" w:hAnsi="Times New Roman" w:eastAsia="宋体" w:cs="Times New Roman"/>
                <w:color w:val="auto"/>
                <w:sz w:val="24"/>
              </w:rPr>
              <w:t>收水范围，项目污水排入</w:t>
            </w:r>
            <w:r>
              <w:rPr>
                <w:rFonts w:hint="eastAsia" w:cs="Times New Roman"/>
                <w:color w:val="auto"/>
                <w:sz w:val="24"/>
                <w:szCs w:val="24"/>
                <w:lang w:eastAsia="zh-CN"/>
              </w:rPr>
              <w:t>芜湖县新芜开发区城东污水处理厂</w:t>
            </w:r>
            <w:r>
              <w:rPr>
                <w:rFonts w:hint="default" w:ascii="Times New Roman" w:hAnsi="Times New Roman" w:eastAsia="宋体" w:cs="Times New Roman"/>
                <w:color w:val="auto"/>
                <w:sz w:val="24"/>
              </w:rPr>
              <w:t xml:space="preserve">。 </w:t>
            </w:r>
          </w:p>
          <w:p w14:paraId="7BD9EF31">
            <w:pPr>
              <w:adjustRightInd w:val="0"/>
              <w:spacing w:line="460" w:lineRule="exact"/>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项目产生的生活污水</w:t>
            </w:r>
            <w:r>
              <w:rPr>
                <w:rFonts w:hint="eastAsia" w:cs="Times New Roman"/>
                <w:color w:val="auto"/>
                <w:sz w:val="24"/>
                <w:lang w:val="en-US" w:eastAsia="zh-CN"/>
              </w:rPr>
              <w:t>经</w:t>
            </w:r>
            <w:r>
              <w:rPr>
                <w:rFonts w:hint="default" w:ascii="Times New Roman" w:hAnsi="Times New Roman" w:eastAsia="宋体" w:cs="Times New Roman"/>
                <w:color w:val="auto"/>
                <w:sz w:val="24"/>
              </w:rPr>
              <w:t>化粪池预处理后经由规范化污水接管口，排入开发区污水管网，进入</w:t>
            </w:r>
            <w:r>
              <w:rPr>
                <w:rFonts w:hint="eastAsia" w:cs="Times New Roman"/>
                <w:color w:val="auto"/>
                <w:sz w:val="24"/>
                <w:szCs w:val="24"/>
                <w:lang w:eastAsia="zh-CN"/>
              </w:rPr>
              <w:t>芜湖县新芜开发区城东污水处理厂</w:t>
            </w:r>
            <w:r>
              <w:rPr>
                <w:rFonts w:hint="default" w:ascii="Times New Roman" w:hAnsi="Times New Roman" w:eastAsia="宋体" w:cs="Times New Roman"/>
                <w:color w:val="auto"/>
                <w:sz w:val="24"/>
              </w:rPr>
              <w:t>进行处理，</w:t>
            </w:r>
            <w:r>
              <w:rPr>
                <w:rFonts w:hint="default" w:ascii="Times New Roman" w:hAnsi="Times New Roman" w:cs="Times New Roman"/>
                <w:color w:val="auto"/>
                <w:sz w:val="24"/>
                <w:szCs w:val="24"/>
              </w:rPr>
              <w:t>达标后排入</w:t>
            </w:r>
            <w:r>
              <w:rPr>
                <w:rFonts w:hint="eastAsia" w:cs="Times New Roman"/>
                <w:color w:val="auto"/>
                <w:sz w:val="24"/>
                <w:szCs w:val="24"/>
                <w:lang w:eastAsia="zh-CN"/>
              </w:rPr>
              <w:t>汪溪坝撇洪沟后汇入裘公河</w:t>
            </w:r>
            <w:r>
              <w:rPr>
                <w:rFonts w:hint="default" w:ascii="Times New Roman" w:hAnsi="Times New Roman" w:eastAsia="宋体" w:cs="Times New Roman"/>
                <w:color w:val="auto"/>
                <w:sz w:val="24"/>
              </w:rPr>
              <w:t>。</w:t>
            </w:r>
          </w:p>
          <w:p w14:paraId="57B79558">
            <w:pPr>
              <w:keepNext w:val="0"/>
              <w:keepLines w:val="0"/>
              <w:pageBreakBefore w:val="0"/>
              <w:widowControl/>
              <w:kinsoku/>
              <w:wordWrap/>
              <w:overflowPunct/>
              <w:topLinePunct w:val="0"/>
              <w:autoSpaceDE/>
              <w:autoSpaceDN/>
              <w:bidi w:val="0"/>
              <w:adjustRightInd/>
              <w:snapToGrid/>
              <w:spacing w:beforeAutospacing="0"/>
              <w:ind w:left="-105" w:leftChars="-50"/>
              <w:jc w:val="center"/>
              <w:textAlignment w:val="auto"/>
              <w:rPr>
                <w:rFonts w:hint="default" w:ascii="Times New Roman" w:hAnsi="Times New Roman" w:eastAsia="宋体" w:cs="Times New Roman"/>
                <w:b/>
                <w:color w:val="auto"/>
                <w:kern w:val="0"/>
                <w:sz w:val="24"/>
                <w:lang w:val="en-US" w:eastAsia="zh-CN"/>
              </w:rPr>
            </w:pPr>
            <w:r>
              <w:rPr>
                <w:rFonts w:hint="default" w:ascii="Times New Roman" w:hAnsi="Times New Roman" w:eastAsia="宋体" w:cs="Times New Roman"/>
                <w:b/>
                <w:color w:val="auto"/>
                <w:kern w:val="0"/>
                <w:sz w:val="24"/>
                <w:lang w:val="en-US" w:eastAsia="zh-CN"/>
              </w:rPr>
              <w:t>表4-</w:t>
            </w:r>
            <w:r>
              <w:rPr>
                <w:rFonts w:hint="eastAsia" w:ascii="Times New Roman" w:hAnsi="Times New Roman" w:eastAsia="宋体" w:cs="Times New Roman"/>
                <w:b/>
                <w:color w:val="auto"/>
                <w:kern w:val="0"/>
                <w:sz w:val="24"/>
                <w:lang w:val="en-US" w:eastAsia="zh-CN"/>
              </w:rPr>
              <w:t xml:space="preserve">15 </w:t>
            </w:r>
            <w:r>
              <w:rPr>
                <w:rFonts w:hint="default" w:ascii="Times New Roman" w:hAnsi="Times New Roman" w:eastAsia="宋体" w:cs="Times New Roman"/>
                <w:b/>
                <w:color w:val="auto"/>
                <w:kern w:val="0"/>
                <w:sz w:val="24"/>
                <w:lang w:val="en-US" w:eastAsia="zh-CN"/>
              </w:rPr>
              <w:t xml:space="preserve"> 废水类别、污染物及污染治理设施信息表</w:t>
            </w:r>
          </w:p>
          <w:tbl>
            <w:tblPr>
              <w:tblStyle w:val="63"/>
              <w:tblW w:w="4997" w:type="pct"/>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Layout w:type="autofit"/>
              <w:tblCellMar>
                <w:top w:w="15" w:type="dxa"/>
                <w:left w:w="15" w:type="dxa"/>
                <w:bottom w:w="15" w:type="dxa"/>
                <w:right w:w="15" w:type="dxa"/>
              </w:tblCellMar>
            </w:tblPr>
            <w:tblGrid>
              <w:gridCol w:w="546"/>
              <w:gridCol w:w="949"/>
              <w:gridCol w:w="1202"/>
              <w:gridCol w:w="846"/>
              <w:gridCol w:w="992"/>
              <w:gridCol w:w="727"/>
              <w:gridCol w:w="726"/>
              <w:gridCol w:w="768"/>
              <w:gridCol w:w="928"/>
              <w:gridCol w:w="690"/>
            </w:tblGrid>
            <w:tr w14:paraId="063C9465">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332" w:hRule="atLeast"/>
                <w:jc w:val="center"/>
              </w:trPr>
              <w:tc>
                <w:tcPr>
                  <w:tcW w:w="326" w:type="pct"/>
                  <w:vMerge w:val="restart"/>
                  <w:tcBorders>
                    <w:tl2br w:val="nil"/>
                    <w:tr2bl w:val="nil"/>
                  </w:tcBorders>
                  <w:shd w:val="clear" w:color="auto" w:fill="auto"/>
                  <w:tcMar>
                    <w:top w:w="36" w:type="dxa"/>
                    <w:left w:w="60" w:type="dxa"/>
                    <w:bottom w:w="36" w:type="dxa"/>
                    <w:right w:w="60" w:type="dxa"/>
                  </w:tcMar>
                  <w:vAlign w:val="center"/>
                </w:tcPr>
                <w:p w14:paraId="5B0A41FA">
                  <w:pPr>
                    <w:adjustRightInd w:val="0"/>
                    <w:spacing w:line="320" w:lineRule="exact"/>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废水类别</w:t>
                  </w:r>
                </w:p>
              </w:tc>
              <w:tc>
                <w:tcPr>
                  <w:tcW w:w="566" w:type="pct"/>
                  <w:vMerge w:val="restart"/>
                  <w:tcBorders>
                    <w:tl2br w:val="nil"/>
                    <w:tr2bl w:val="nil"/>
                  </w:tcBorders>
                  <w:shd w:val="clear" w:color="auto" w:fill="auto"/>
                  <w:tcMar>
                    <w:top w:w="36" w:type="dxa"/>
                    <w:left w:w="60" w:type="dxa"/>
                    <w:bottom w:w="36" w:type="dxa"/>
                    <w:right w:w="60" w:type="dxa"/>
                  </w:tcMar>
                  <w:vAlign w:val="center"/>
                </w:tcPr>
                <w:p w14:paraId="1753D2E8">
                  <w:pPr>
                    <w:adjustRightInd w:val="0"/>
                    <w:spacing w:line="320" w:lineRule="exact"/>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lang w:val="en-US" w:eastAsia="zh-CN"/>
                    </w:rPr>
                    <w:t>污染物种类</w:t>
                  </w:r>
                </w:p>
              </w:tc>
              <w:tc>
                <w:tcPr>
                  <w:tcW w:w="1814" w:type="pct"/>
                  <w:gridSpan w:val="3"/>
                  <w:tcBorders>
                    <w:tl2br w:val="nil"/>
                    <w:tr2bl w:val="nil"/>
                  </w:tcBorders>
                  <w:shd w:val="clear" w:color="auto" w:fill="auto"/>
                  <w:tcMar>
                    <w:top w:w="36" w:type="dxa"/>
                    <w:left w:w="60" w:type="dxa"/>
                    <w:bottom w:w="36" w:type="dxa"/>
                    <w:right w:w="60" w:type="dxa"/>
                  </w:tcMar>
                  <w:vAlign w:val="center"/>
                </w:tcPr>
                <w:p w14:paraId="4C76140A">
                  <w:pPr>
                    <w:adjustRightInd w:val="0"/>
                    <w:spacing w:line="320" w:lineRule="exact"/>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污染治理设施</w:t>
                  </w:r>
                </w:p>
              </w:tc>
              <w:tc>
                <w:tcPr>
                  <w:tcW w:w="434" w:type="pct"/>
                  <w:vMerge w:val="restart"/>
                  <w:tcBorders>
                    <w:tl2br w:val="nil"/>
                    <w:tr2bl w:val="nil"/>
                  </w:tcBorders>
                  <w:shd w:val="clear" w:color="auto" w:fill="auto"/>
                  <w:tcMar>
                    <w:top w:w="36" w:type="dxa"/>
                    <w:left w:w="60" w:type="dxa"/>
                    <w:bottom w:w="36" w:type="dxa"/>
                    <w:right w:w="60" w:type="dxa"/>
                  </w:tcMar>
                  <w:vAlign w:val="center"/>
                </w:tcPr>
                <w:p w14:paraId="7A63676D">
                  <w:pPr>
                    <w:adjustRightInd w:val="0"/>
                    <w:spacing w:line="320" w:lineRule="exact"/>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shd w:val="clear" w:color="auto" w:fill="auto"/>
                      <w:lang w:val="en-US" w:eastAsia="zh-CN"/>
                    </w:rPr>
                    <w:t>是否为可行技术</w:t>
                  </w:r>
                </w:p>
              </w:tc>
              <w:tc>
                <w:tcPr>
                  <w:tcW w:w="433" w:type="pct"/>
                  <w:vMerge w:val="restart"/>
                  <w:tcBorders>
                    <w:tl2br w:val="nil"/>
                    <w:tr2bl w:val="nil"/>
                  </w:tcBorders>
                  <w:shd w:val="clear" w:color="auto" w:fill="auto"/>
                  <w:tcMar>
                    <w:top w:w="36" w:type="dxa"/>
                    <w:left w:w="60" w:type="dxa"/>
                    <w:bottom w:w="36" w:type="dxa"/>
                    <w:right w:w="60" w:type="dxa"/>
                  </w:tcMar>
                  <w:vAlign w:val="center"/>
                </w:tcPr>
                <w:p w14:paraId="5AD36B05">
                  <w:pPr>
                    <w:adjustRightInd w:val="0"/>
                    <w:spacing w:line="320" w:lineRule="exact"/>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lang w:val="en-US" w:eastAsia="zh-CN"/>
                    </w:rPr>
                    <w:t>排放去向</w:t>
                  </w:r>
                </w:p>
              </w:tc>
              <w:tc>
                <w:tcPr>
                  <w:tcW w:w="458" w:type="pct"/>
                  <w:vMerge w:val="restart"/>
                  <w:tcBorders>
                    <w:tl2br w:val="nil"/>
                    <w:tr2bl w:val="nil"/>
                  </w:tcBorders>
                  <w:shd w:val="clear" w:color="auto" w:fill="auto"/>
                  <w:tcMar>
                    <w:top w:w="36" w:type="dxa"/>
                    <w:left w:w="60" w:type="dxa"/>
                    <w:bottom w:w="36" w:type="dxa"/>
                    <w:right w:w="60" w:type="dxa"/>
                  </w:tcMar>
                  <w:vAlign w:val="center"/>
                </w:tcPr>
                <w:p w14:paraId="30A2E7B0">
                  <w:pPr>
                    <w:adjustRightInd w:val="0"/>
                    <w:spacing w:line="320" w:lineRule="exact"/>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lang w:val="en-US" w:eastAsia="zh-CN"/>
                    </w:rPr>
                    <w:t>排放方式</w:t>
                  </w:r>
                </w:p>
              </w:tc>
              <w:tc>
                <w:tcPr>
                  <w:tcW w:w="554" w:type="pct"/>
                  <w:vMerge w:val="restart"/>
                  <w:tcBorders>
                    <w:tl2br w:val="nil"/>
                    <w:tr2bl w:val="nil"/>
                  </w:tcBorders>
                  <w:shd w:val="clear" w:color="auto" w:fill="auto"/>
                  <w:tcMar>
                    <w:top w:w="36" w:type="dxa"/>
                    <w:left w:w="60" w:type="dxa"/>
                    <w:bottom w:w="36" w:type="dxa"/>
                    <w:right w:w="60" w:type="dxa"/>
                  </w:tcMar>
                  <w:vAlign w:val="center"/>
                </w:tcPr>
                <w:p w14:paraId="31E31CBC">
                  <w:pPr>
                    <w:adjustRightInd w:val="0"/>
                    <w:spacing w:line="320" w:lineRule="exact"/>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lang w:val="en-US" w:eastAsia="zh-CN"/>
                    </w:rPr>
                    <w:t>排放口设置是否符合要求</w:t>
                  </w:r>
                </w:p>
              </w:tc>
              <w:tc>
                <w:tcPr>
                  <w:tcW w:w="412" w:type="pct"/>
                  <w:vMerge w:val="restart"/>
                  <w:tcBorders>
                    <w:tl2br w:val="nil"/>
                    <w:tr2bl w:val="nil"/>
                  </w:tcBorders>
                  <w:shd w:val="clear" w:color="auto" w:fill="auto"/>
                  <w:tcMar>
                    <w:top w:w="36" w:type="dxa"/>
                    <w:left w:w="60" w:type="dxa"/>
                    <w:bottom w:w="36" w:type="dxa"/>
                    <w:right w:w="60" w:type="dxa"/>
                  </w:tcMar>
                  <w:vAlign w:val="center"/>
                </w:tcPr>
                <w:p w14:paraId="331A0BF0">
                  <w:pPr>
                    <w:adjustRightInd w:val="0"/>
                    <w:spacing w:line="320" w:lineRule="exact"/>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lang w:val="en-US" w:eastAsia="zh-CN"/>
                    </w:rPr>
                    <w:t>排放口类型</w:t>
                  </w:r>
                </w:p>
              </w:tc>
            </w:tr>
            <w:tr w14:paraId="6E68BB67">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436" w:hRule="atLeast"/>
                <w:jc w:val="center"/>
              </w:trPr>
              <w:tc>
                <w:tcPr>
                  <w:tcW w:w="326" w:type="pct"/>
                  <w:vMerge w:val="continue"/>
                  <w:tcBorders>
                    <w:tl2br w:val="nil"/>
                    <w:tr2bl w:val="nil"/>
                  </w:tcBorders>
                  <w:shd w:val="clear" w:color="auto" w:fill="auto"/>
                  <w:tcMar>
                    <w:top w:w="36" w:type="dxa"/>
                    <w:left w:w="60" w:type="dxa"/>
                    <w:bottom w:w="36" w:type="dxa"/>
                    <w:right w:w="60" w:type="dxa"/>
                  </w:tcMar>
                  <w:vAlign w:val="center"/>
                </w:tcPr>
                <w:p w14:paraId="5F423697">
                  <w:pPr>
                    <w:adjustRightInd w:val="0"/>
                    <w:spacing w:line="320" w:lineRule="exact"/>
                    <w:jc w:val="center"/>
                    <w:rPr>
                      <w:rFonts w:hint="default" w:ascii="Times New Roman" w:hAnsi="Times New Roman" w:eastAsia="宋体" w:cs="Times New Roman"/>
                      <w:color w:val="auto"/>
                      <w:sz w:val="21"/>
                      <w:szCs w:val="21"/>
                    </w:rPr>
                  </w:pPr>
                </w:p>
              </w:tc>
              <w:tc>
                <w:tcPr>
                  <w:tcW w:w="566" w:type="pct"/>
                  <w:vMerge w:val="continue"/>
                  <w:tcBorders>
                    <w:tl2br w:val="nil"/>
                    <w:tr2bl w:val="nil"/>
                  </w:tcBorders>
                  <w:shd w:val="clear" w:color="auto" w:fill="F5F3F4"/>
                  <w:tcMar>
                    <w:top w:w="36" w:type="dxa"/>
                    <w:left w:w="60" w:type="dxa"/>
                    <w:bottom w:w="36" w:type="dxa"/>
                    <w:right w:w="60" w:type="dxa"/>
                  </w:tcMar>
                  <w:vAlign w:val="center"/>
                </w:tcPr>
                <w:p w14:paraId="0AD133BB">
                  <w:pPr>
                    <w:adjustRightInd w:val="0"/>
                    <w:spacing w:line="320" w:lineRule="exact"/>
                    <w:jc w:val="center"/>
                    <w:rPr>
                      <w:rFonts w:hint="default" w:ascii="Times New Roman" w:hAnsi="Times New Roman" w:eastAsia="宋体" w:cs="Times New Roman"/>
                      <w:color w:val="auto"/>
                      <w:sz w:val="21"/>
                      <w:szCs w:val="21"/>
                    </w:rPr>
                  </w:pPr>
                </w:p>
              </w:tc>
              <w:tc>
                <w:tcPr>
                  <w:tcW w:w="717" w:type="pct"/>
                  <w:tcBorders>
                    <w:tl2br w:val="nil"/>
                    <w:tr2bl w:val="nil"/>
                  </w:tcBorders>
                  <w:shd w:val="clear" w:color="auto" w:fill="auto"/>
                  <w:tcMar>
                    <w:top w:w="36" w:type="dxa"/>
                    <w:left w:w="60" w:type="dxa"/>
                    <w:bottom w:w="36" w:type="dxa"/>
                    <w:right w:w="60" w:type="dxa"/>
                  </w:tcMar>
                  <w:vAlign w:val="center"/>
                </w:tcPr>
                <w:p w14:paraId="3B7C9CF2">
                  <w:pPr>
                    <w:adjustRightInd w:val="0"/>
                    <w:spacing w:line="320" w:lineRule="exact"/>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污染治理设施工艺</w:t>
                  </w:r>
                </w:p>
              </w:tc>
              <w:tc>
                <w:tcPr>
                  <w:tcW w:w="505" w:type="pct"/>
                  <w:tcBorders>
                    <w:tl2br w:val="nil"/>
                    <w:tr2bl w:val="nil"/>
                  </w:tcBorders>
                  <w:shd w:val="clear" w:color="auto" w:fill="auto"/>
                  <w:tcMar>
                    <w:top w:w="36" w:type="dxa"/>
                    <w:left w:w="60" w:type="dxa"/>
                    <w:bottom w:w="36" w:type="dxa"/>
                    <w:right w:w="60" w:type="dxa"/>
                  </w:tcMar>
                  <w:vAlign w:val="center"/>
                </w:tcPr>
                <w:p w14:paraId="6082D653">
                  <w:pPr>
                    <w:adjustRightInd w:val="0"/>
                    <w:spacing w:line="320" w:lineRule="exact"/>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治理效率</w:t>
                  </w:r>
                </w:p>
              </w:tc>
              <w:tc>
                <w:tcPr>
                  <w:tcW w:w="591" w:type="pct"/>
                  <w:tcBorders>
                    <w:tl2br w:val="nil"/>
                    <w:tr2bl w:val="nil"/>
                  </w:tcBorders>
                  <w:shd w:val="clear" w:color="auto" w:fill="auto"/>
                  <w:tcMar>
                    <w:top w:w="36" w:type="dxa"/>
                    <w:left w:w="60" w:type="dxa"/>
                    <w:bottom w:w="36" w:type="dxa"/>
                    <w:right w:w="60" w:type="dxa"/>
                  </w:tcMar>
                  <w:vAlign w:val="center"/>
                </w:tcPr>
                <w:p w14:paraId="13834F65">
                  <w:pPr>
                    <w:adjustRightInd w:val="0"/>
                    <w:spacing w:line="320" w:lineRule="exact"/>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处理能力</w:t>
                  </w:r>
                </w:p>
              </w:tc>
              <w:tc>
                <w:tcPr>
                  <w:tcW w:w="434" w:type="pct"/>
                  <w:vMerge w:val="continue"/>
                  <w:tcBorders>
                    <w:tl2br w:val="nil"/>
                    <w:tr2bl w:val="nil"/>
                  </w:tcBorders>
                  <w:shd w:val="clear" w:color="auto" w:fill="F5F3F4"/>
                  <w:tcMar>
                    <w:top w:w="36" w:type="dxa"/>
                    <w:left w:w="60" w:type="dxa"/>
                    <w:bottom w:w="36" w:type="dxa"/>
                    <w:right w:w="60" w:type="dxa"/>
                  </w:tcMar>
                  <w:vAlign w:val="center"/>
                </w:tcPr>
                <w:p w14:paraId="1B228D71">
                  <w:pPr>
                    <w:adjustRightInd w:val="0"/>
                    <w:spacing w:line="320" w:lineRule="exact"/>
                    <w:jc w:val="center"/>
                    <w:rPr>
                      <w:rFonts w:hint="default" w:ascii="Times New Roman" w:hAnsi="Times New Roman" w:eastAsia="宋体" w:cs="Times New Roman"/>
                      <w:b/>
                      <w:bCs/>
                      <w:color w:val="auto"/>
                      <w:sz w:val="21"/>
                      <w:szCs w:val="21"/>
                      <w:lang w:val="en-US" w:eastAsia="zh-CN"/>
                    </w:rPr>
                  </w:pPr>
                </w:p>
              </w:tc>
              <w:tc>
                <w:tcPr>
                  <w:tcW w:w="433" w:type="pct"/>
                  <w:vMerge w:val="continue"/>
                  <w:tcBorders>
                    <w:tl2br w:val="nil"/>
                    <w:tr2bl w:val="nil"/>
                  </w:tcBorders>
                  <w:shd w:val="clear" w:color="auto" w:fill="F5F3F4"/>
                  <w:tcMar>
                    <w:top w:w="36" w:type="dxa"/>
                    <w:left w:w="60" w:type="dxa"/>
                    <w:bottom w:w="36" w:type="dxa"/>
                    <w:right w:w="60" w:type="dxa"/>
                  </w:tcMar>
                  <w:vAlign w:val="center"/>
                </w:tcPr>
                <w:p w14:paraId="57CAE58B">
                  <w:pPr>
                    <w:adjustRightInd w:val="0"/>
                    <w:spacing w:line="320" w:lineRule="exact"/>
                    <w:jc w:val="center"/>
                    <w:rPr>
                      <w:rFonts w:hint="default" w:ascii="Times New Roman" w:hAnsi="Times New Roman" w:eastAsia="宋体" w:cs="Times New Roman"/>
                      <w:color w:val="auto"/>
                      <w:sz w:val="21"/>
                      <w:szCs w:val="21"/>
                    </w:rPr>
                  </w:pPr>
                </w:p>
              </w:tc>
              <w:tc>
                <w:tcPr>
                  <w:tcW w:w="458" w:type="pct"/>
                  <w:vMerge w:val="continue"/>
                  <w:tcBorders>
                    <w:tl2br w:val="nil"/>
                    <w:tr2bl w:val="nil"/>
                  </w:tcBorders>
                  <w:shd w:val="clear" w:color="auto" w:fill="F5F3F4"/>
                  <w:tcMar>
                    <w:top w:w="36" w:type="dxa"/>
                    <w:left w:w="60" w:type="dxa"/>
                    <w:bottom w:w="36" w:type="dxa"/>
                    <w:right w:w="60" w:type="dxa"/>
                  </w:tcMar>
                  <w:vAlign w:val="center"/>
                </w:tcPr>
                <w:p w14:paraId="1A48491A">
                  <w:pPr>
                    <w:adjustRightInd w:val="0"/>
                    <w:spacing w:line="320" w:lineRule="exact"/>
                    <w:jc w:val="center"/>
                    <w:rPr>
                      <w:rFonts w:hint="default" w:ascii="Times New Roman" w:hAnsi="Times New Roman" w:eastAsia="宋体" w:cs="Times New Roman"/>
                      <w:color w:val="auto"/>
                      <w:sz w:val="21"/>
                      <w:szCs w:val="21"/>
                    </w:rPr>
                  </w:pPr>
                </w:p>
              </w:tc>
              <w:tc>
                <w:tcPr>
                  <w:tcW w:w="554" w:type="pct"/>
                  <w:vMerge w:val="continue"/>
                  <w:tcBorders>
                    <w:tl2br w:val="nil"/>
                    <w:tr2bl w:val="nil"/>
                  </w:tcBorders>
                  <w:shd w:val="clear" w:color="auto" w:fill="F5F3F4"/>
                  <w:tcMar>
                    <w:top w:w="36" w:type="dxa"/>
                    <w:left w:w="60" w:type="dxa"/>
                    <w:bottom w:w="36" w:type="dxa"/>
                    <w:right w:w="60" w:type="dxa"/>
                  </w:tcMar>
                  <w:vAlign w:val="center"/>
                </w:tcPr>
                <w:p w14:paraId="4D5E3270">
                  <w:pPr>
                    <w:adjustRightInd w:val="0"/>
                    <w:spacing w:line="320" w:lineRule="exact"/>
                    <w:jc w:val="center"/>
                    <w:rPr>
                      <w:rFonts w:hint="default" w:ascii="Times New Roman" w:hAnsi="Times New Roman" w:eastAsia="宋体" w:cs="Times New Roman"/>
                      <w:color w:val="auto"/>
                      <w:sz w:val="21"/>
                      <w:szCs w:val="21"/>
                    </w:rPr>
                  </w:pPr>
                </w:p>
              </w:tc>
              <w:tc>
                <w:tcPr>
                  <w:tcW w:w="412" w:type="pct"/>
                  <w:vMerge w:val="continue"/>
                  <w:tcBorders>
                    <w:tl2br w:val="nil"/>
                    <w:tr2bl w:val="nil"/>
                  </w:tcBorders>
                  <w:shd w:val="clear" w:color="auto" w:fill="F5F3F4"/>
                  <w:tcMar>
                    <w:top w:w="36" w:type="dxa"/>
                    <w:left w:w="60" w:type="dxa"/>
                    <w:bottom w:w="36" w:type="dxa"/>
                    <w:right w:w="60" w:type="dxa"/>
                  </w:tcMar>
                  <w:vAlign w:val="center"/>
                </w:tcPr>
                <w:p w14:paraId="5CBF042D">
                  <w:pPr>
                    <w:adjustRightInd w:val="0"/>
                    <w:spacing w:line="320" w:lineRule="exact"/>
                    <w:jc w:val="center"/>
                    <w:rPr>
                      <w:rFonts w:hint="default" w:ascii="Times New Roman" w:hAnsi="Times New Roman" w:eastAsia="宋体" w:cs="Times New Roman"/>
                      <w:color w:val="auto"/>
                      <w:sz w:val="21"/>
                      <w:szCs w:val="21"/>
                    </w:rPr>
                  </w:pPr>
                </w:p>
              </w:tc>
            </w:tr>
            <w:tr w14:paraId="26D4B491">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PrEx>
              <w:trPr>
                <w:trHeight w:val="295" w:hRule="atLeast"/>
                <w:jc w:val="center"/>
              </w:trPr>
              <w:tc>
                <w:tcPr>
                  <w:tcW w:w="326" w:type="pct"/>
                  <w:vMerge w:val="restart"/>
                  <w:tcBorders>
                    <w:tl2br w:val="nil"/>
                    <w:tr2bl w:val="nil"/>
                  </w:tcBorders>
                  <w:shd w:val="clear" w:color="auto" w:fill="FFFFFF"/>
                  <w:tcMar>
                    <w:top w:w="36" w:type="dxa"/>
                    <w:left w:w="60" w:type="dxa"/>
                    <w:bottom w:w="36" w:type="dxa"/>
                    <w:right w:w="60" w:type="dxa"/>
                  </w:tcMar>
                  <w:vAlign w:val="center"/>
                </w:tcPr>
                <w:p w14:paraId="2B517EB5">
                  <w:pPr>
                    <w:adjustRightInd w:val="0"/>
                    <w:spacing w:line="32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生活污水</w:t>
                  </w:r>
                </w:p>
              </w:tc>
              <w:tc>
                <w:tcPr>
                  <w:tcW w:w="566" w:type="pct"/>
                  <w:tcBorders>
                    <w:tl2br w:val="nil"/>
                    <w:tr2bl w:val="nil"/>
                  </w:tcBorders>
                  <w:shd w:val="clear" w:color="auto" w:fill="FFFFFF"/>
                  <w:tcMar>
                    <w:top w:w="36" w:type="dxa"/>
                    <w:left w:w="60" w:type="dxa"/>
                    <w:bottom w:w="36" w:type="dxa"/>
                    <w:right w:w="60" w:type="dxa"/>
                  </w:tcMar>
                  <w:vAlign w:val="center"/>
                </w:tcPr>
                <w:p w14:paraId="05AEB155">
                  <w:pPr>
                    <w:widowControl/>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COD</w:t>
                  </w:r>
                </w:p>
              </w:tc>
              <w:tc>
                <w:tcPr>
                  <w:tcW w:w="717" w:type="pct"/>
                  <w:vMerge w:val="restart"/>
                  <w:tcBorders>
                    <w:tl2br w:val="nil"/>
                    <w:tr2bl w:val="nil"/>
                  </w:tcBorders>
                  <w:shd w:val="clear" w:color="auto" w:fill="FFFFFF"/>
                  <w:tcMar>
                    <w:top w:w="36" w:type="dxa"/>
                    <w:left w:w="60" w:type="dxa"/>
                    <w:bottom w:w="36" w:type="dxa"/>
                    <w:right w:w="60" w:type="dxa"/>
                  </w:tcMar>
                  <w:vAlign w:val="center"/>
                </w:tcPr>
                <w:p w14:paraId="708ED322">
                  <w:pPr>
                    <w:adjustRightInd w:val="0"/>
                    <w:spacing w:line="320" w:lineRule="exact"/>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生活污水处理设施：</w:t>
                  </w:r>
                </w:p>
                <w:p w14:paraId="58628E5B">
                  <w:pPr>
                    <w:adjustRightInd w:val="0"/>
                    <w:spacing w:line="32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化粪池</w:t>
                  </w:r>
                </w:p>
              </w:tc>
              <w:tc>
                <w:tcPr>
                  <w:tcW w:w="505" w:type="pct"/>
                  <w:tcBorders>
                    <w:tl2br w:val="nil"/>
                    <w:tr2bl w:val="nil"/>
                  </w:tcBorders>
                  <w:shd w:val="clear" w:color="auto" w:fill="FFFFFF"/>
                  <w:tcMar>
                    <w:top w:w="36" w:type="dxa"/>
                    <w:left w:w="60" w:type="dxa"/>
                    <w:bottom w:w="36" w:type="dxa"/>
                    <w:right w:w="60" w:type="dxa"/>
                  </w:tcMar>
                  <w:vAlign w:val="center"/>
                </w:tcPr>
                <w:p w14:paraId="52617676">
                  <w:pPr>
                    <w:adjustRightInd w:val="0"/>
                    <w:spacing w:line="32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15%</w:t>
                  </w:r>
                </w:p>
              </w:tc>
              <w:tc>
                <w:tcPr>
                  <w:tcW w:w="591" w:type="pct"/>
                  <w:vMerge w:val="restart"/>
                  <w:tcBorders>
                    <w:tl2br w:val="nil"/>
                    <w:tr2bl w:val="nil"/>
                  </w:tcBorders>
                  <w:shd w:val="clear" w:color="auto" w:fill="FFFFFF"/>
                  <w:tcMar>
                    <w:top w:w="36" w:type="dxa"/>
                    <w:left w:w="60" w:type="dxa"/>
                    <w:bottom w:w="36" w:type="dxa"/>
                    <w:right w:w="60" w:type="dxa"/>
                  </w:tcMar>
                  <w:vAlign w:val="center"/>
                </w:tcPr>
                <w:p w14:paraId="3D4A5B7C">
                  <w:pPr>
                    <w:adjustRightInd w:val="0"/>
                    <w:spacing w:line="320" w:lineRule="exact"/>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w:t>
                  </w:r>
                </w:p>
              </w:tc>
              <w:tc>
                <w:tcPr>
                  <w:tcW w:w="434" w:type="pct"/>
                  <w:vMerge w:val="restart"/>
                  <w:tcBorders>
                    <w:tl2br w:val="nil"/>
                    <w:tr2bl w:val="nil"/>
                  </w:tcBorders>
                  <w:shd w:val="clear" w:color="auto" w:fill="FFFFFF"/>
                  <w:tcMar>
                    <w:top w:w="36" w:type="dxa"/>
                    <w:left w:w="60" w:type="dxa"/>
                    <w:bottom w:w="36" w:type="dxa"/>
                    <w:right w:w="60" w:type="dxa"/>
                  </w:tcMar>
                  <w:vAlign w:val="center"/>
                </w:tcPr>
                <w:p w14:paraId="35270A5C">
                  <w:pPr>
                    <w:adjustRightInd w:val="0"/>
                    <w:spacing w:line="32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是</w:t>
                  </w:r>
                </w:p>
              </w:tc>
              <w:tc>
                <w:tcPr>
                  <w:tcW w:w="433" w:type="pct"/>
                  <w:vMerge w:val="restart"/>
                  <w:tcBorders>
                    <w:tl2br w:val="nil"/>
                    <w:tr2bl w:val="nil"/>
                  </w:tcBorders>
                  <w:shd w:val="clear" w:color="auto" w:fill="FFFFFF"/>
                  <w:tcMar>
                    <w:top w:w="36" w:type="dxa"/>
                    <w:left w:w="60" w:type="dxa"/>
                    <w:bottom w:w="36" w:type="dxa"/>
                    <w:right w:w="60" w:type="dxa"/>
                  </w:tcMar>
                  <w:vAlign w:val="center"/>
                </w:tcPr>
                <w:p w14:paraId="51A13CAC">
                  <w:pPr>
                    <w:adjustRightInd w:val="0"/>
                    <w:spacing w:line="32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进入</w:t>
                  </w:r>
                  <w:r>
                    <w:rPr>
                      <w:rFonts w:hint="eastAsia" w:cs="Times New Roman"/>
                      <w:color w:val="auto"/>
                      <w:sz w:val="21"/>
                      <w:szCs w:val="21"/>
                      <w:lang w:val="en-US" w:eastAsia="zh-CN"/>
                    </w:rPr>
                    <w:t>芜湖县新芜开发区城东污水处理厂</w:t>
                  </w:r>
                </w:p>
              </w:tc>
              <w:tc>
                <w:tcPr>
                  <w:tcW w:w="458" w:type="pct"/>
                  <w:vMerge w:val="restart"/>
                  <w:tcBorders>
                    <w:tl2br w:val="nil"/>
                    <w:tr2bl w:val="nil"/>
                  </w:tcBorders>
                  <w:shd w:val="clear" w:color="auto" w:fill="FFFFFF"/>
                  <w:tcMar>
                    <w:top w:w="36" w:type="dxa"/>
                    <w:left w:w="60" w:type="dxa"/>
                    <w:bottom w:w="36" w:type="dxa"/>
                    <w:right w:w="60" w:type="dxa"/>
                  </w:tcMar>
                  <w:vAlign w:val="center"/>
                </w:tcPr>
                <w:p w14:paraId="5E2CF5BF">
                  <w:pPr>
                    <w:adjustRightInd w:val="0"/>
                    <w:spacing w:line="32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间接</w:t>
                  </w:r>
                </w:p>
                <w:p w14:paraId="74F08CB1">
                  <w:pPr>
                    <w:adjustRightInd w:val="0"/>
                    <w:spacing w:line="32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排放</w:t>
                  </w:r>
                </w:p>
              </w:tc>
              <w:tc>
                <w:tcPr>
                  <w:tcW w:w="554" w:type="pct"/>
                  <w:vMerge w:val="restart"/>
                  <w:tcBorders>
                    <w:tl2br w:val="nil"/>
                    <w:tr2bl w:val="nil"/>
                  </w:tcBorders>
                  <w:shd w:val="clear" w:color="auto" w:fill="FFFFFF"/>
                  <w:tcMar>
                    <w:top w:w="36" w:type="dxa"/>
                    <w:left w:w="60" w:type="dxa"/>
                    <w:bottom w:w="36" w:type="dxa"/>
                    <w:right w:w="60" w:type="dxa"/>
                  </w:tcMar>
                  <w:vAlign w:val="center"/>
                </w:tcPr>
                <w:p w14:paraId="4D4C4E93">
                  <w:pPr>
                    <w:adjustRightInd w:val="0"/>
                    <w:spacing w:line="32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是</w:t>
                  </w:r>
                </w:p>
              </w:tc>
              <w:tc>
                <w:tcPr>
                  <w:tcW w:w="412" w:type="pct"/>
                  <w:vMerge w:val="restart"/>
                  <w:tcBorders>
                    <w:tl2br w:val="nil"/>
                    <w:tr2bl w:val="nil"/>
                  </w:tcBorders>
                  <w:shd w:val="clear" w:color="auto" w:fill="FFFFFF"/>
                  <w:tcMar>
                    <w:top w:w="36" w:type="dxa"/>
                    <w:left w:w="60" w:type="dxa"/>
                    <w:bottom w:w="36" w:type="dxa"/>
                    <w:right w:w="60" w:type="dxa"/>
                  </w:tcMar>
                  <w:vAlign w:val="center"/>
                </w:tcPr>
                <w:p w14:paraId="108812F4">
                  <w:pPr>
                    <w:adjustRightInd w:val="0"/>
                    <w:spacing w:line="32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一般排放口</w:t>
                  </w:r>
                </w:p>
              </w:tc>
            </w:tr>
            <w:tr w14:paraId="6309DFBF">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261" w:hRule="atLeast"/>
                <w:jc w:val="center"/>
              </w:trPr>
              <w:tc>
                <w:tcPr>
                  <w:tcW w:w="326" w:type="pct"/>
                  <w:vMerge w:val="continue"/>
                  <w:tcBorders>
                    <w:tl2br w:val="nil"/>
                    <w:tr2bl w:val="nil"/>
                  </w:tcBorders>
                  <w:shd w:val="clear" w:color="auto" w:fill="FFFFFF"/>
                  <w:tcMar>
                    <w:top w:w="36" w:type="dxa"/>
                    <w:left w:w="60" w:type="dxa"/>
                    <w:bottom w:w="36" w:type="dxa"/>
                    <w:right w:w="60" w:type="dxa"/>
                  </w:tcMar>
                  <w:vAlign w:val="center"/>
                </w:tcPr>
                <w:p w14:paraId="68E46B78">
                  <w:pPr>
                    <w:adjustRightInd w:val="0"/>
                    <w:spacing w:line="320" w:lineRule="exact"/>
                    <w:jc w:val="center"/>
                    <w:rPr>
                      <w:rFonts w:hint="default" w:ascii="Times New Roman" w:hAnsi="Times New Roman" w:cs="Times New Roman"/>
                      <w:color w:val="auto"/>
                    </w:rPr>
                  </w:pPr>
                </w:p>
              </w:tc>
              <w:tc>
                <w:tcPr>
                  <w:tcW w:w="566" w:type="pct"/>
                  <w:tcBorders>
                    <w:tl2br w:val="nil"/>
                    <w:tr2bl w:val="nil"/>
                  </w:tcBorders>
                  <w:shd w:val="clear" w:color="auto" w:fill="FFFFFF"/>
                  <w:tcMar>
                    <w:top w:w="36" w:type="dxa"/>
                    <w:left w:w="60" w:type="dxa"/>
                    <w:bottom w:w="36" w:type="dxa"/>
                    <w:right w:w="60" w:type="dxa"/>
                  </w:tcMar>
                  <w:vAlign w:val="center"/>
                </w:tcPr>
                <w:p w14:paraId="3234FC8D">
                  <w:pPr>
                    <w:widowControl/>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BOD</w:t>
                  </w:r>
                  <w:r>
                    <w:rPr>
                      <w:rFonts w:hint="default" w:ascii="Times New Roman" w:hAnsi="Times New Roman" w:eastAsia="宋体" w:cs="Times New Roman"/>
                      <w:color w:val="auto"/>
                      <w:sz w:val="21"/>
                      <w:szCs w:val="21"/>
                      <w:vertAlign w:val="subscript"/>
                    </w:rPr>
                    <w:t>5</w:t>
                  </w:r>
                </w:p>
              </w:tc>
              <w:tc>
                <w:tcPr>
                  <w:tcW w:w="717" w:type="pct"/>
                  <w:vMerge w:val="continue"/>
                  <w:tcBorders>
                    <w:tl2br w:val="nil"/>
                    <w:tr2bl w:val="nil"/>
                  </w:tcBorders>
                  <w:shd w:val="clear" w:color="auto" w:fill="FFFFFF"/>
                  <w:tcMar>
                    <w:top w:w="36" w:type="dxa"/>
                    <w:left w:w="60" w:type="dxa"/>
                    <w:bottom w:w="36" w:type="dxa"/>
                    <w:right w:w="60" w:type="dxa"/>
                  </w:tcMar>
                  <w:vAlign w:val="center"/>
                </w:tcPr>
                <w:p w14:paraId="58B49621">
                  <w:pPr>
                    <w:adjustRightInd w:val="0"/>
                    <w:spacing w:line="320" w:lineRule="exact"/>
                    <w:jc w:val="center"/>
                    <w:rPr>
                      <w:rFonts w:hint="default" w:ascii="Times New Roman" w:hAnsi="Times New Roman" w:eastAsia="宋体" w:cs="Times New Roman"/>
                      <w:color w:val="auto"/>
                      <w:sz w:val="21"/>
                      <w:szCs w:val="21"/>
                    </w:rPr>
                  </w:pPr>
                </w:p>
              </w:tc>
              <w:tc>
                <w:tcPr>
                  <w:tcW w:w="505" w:type="pct"/>
                  <w:tcBorders>
                    <w:tl2br w:val="nil"/>
                    <w:tr2bl w:val="nil"/>
                  </w:tcBorders>
                  <w:shd w:val="clear" w:color="auto" w:fill="FFFFFF"/>
                  <w:tcMar>
                    <w:top w:w="36" w:type="dxa"/>
                    <w:left w:w="60" w:type="dxa"/>
                    <w:bottom w:w="36" w:type="dxa"/>
                    <w:right w:w="60" w:type="dxa"/>
                  </w:tcMar>
                  <w:vAlign w:val="center"/>
                </w:tcPr>
                <w:p w14:paraId="6E1A7CC6">
                  <w:pPr>
                    <w:adjustRightInd w:val="0"/>
                    <w:spacing w:line="32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12</w:t>
                  </w:r>
                  <w:r>
                    <w:rPr>
                      <w:rFonts w:hint="default" w:ascii="Times New Roman" w:hAnsi="Times New Roman" w:eastAsia="宋体" w:cs="Times New Roman"/>
                      <w:color w:val="auto"/>
                      <w:sz w:val="21"/>
                      <w:szCs w:val="21"/>
                      <w:lang w:val="en-US" w:eastAsia="zh-CN"/>
                    </w:rPr>
                    <w:t>%</w:t>
                  </w:r>
                </w:p>
              </w:tc>
              <w:tc>
                <w:tcPr>
                  <w:tcW w:w="591" w:type="pct"/>
                  <w:vMerge w:val="continue"/>
                  <w:tcBorders>
                    <w:tl2br w:val="nil"/>
                    <w:tr2bl w:val="nil"/>
                  </w:tcBorders>
                  <w:shd w:val="clear" w:color="auto" w:fill="FFFFFF"/>
                  <w:tcMar>
                    <w:top w:w="36" w:type="dxa"/>
                    <w:left w:w="60" w:type="dxa"/>
                    <w:bottom w:w="36" w:type="dxa"/>
                    <w:right w:w="60" w:type="dxa"/>
                  </w:tcMar>
                  <w:vAlign w:val="center"/>
                </w:tcPr>
                <w:p w14:paraId="7FC3558B">
                  <w:pPr>
                    <w:adjustRightInd w:val="0"/>
                    <w:spacing w:line="320" w:lineRule="exact"/>
                    <w:jc w:val="center"/>
                    <w:rPr>
                      <w:rFonts w:hint="default" w:ascii="Times New Roman" w:hAnsi="Times New Roman" w:eastAsia="宋体" w:cs="Times New Roman"/>
                      <w:color w:val="auto"/>
                      <w:sz w:val="21"/>
                      <w:szCs w:val="21"/>
                    </w:rPr>
                  </w:pPr>
                </w:p>
              </w:tc>
              <w:tc>
                <w:tcPr>
                  <w:tcW w:w="434" w:type="pct"/>
                  <w:vMerge w:val="continue"/>
                  <w:tcBorders>
                    <w:tl2br w:val="nil"/>
                    <w:tr2bl w:val="nil"/>
                  </w:tcBorders>
                  <w:shd w:val="clear" w:color="auto" w:fill="FFFFFF"/>
                  <w:tcMar>
                    <w:top w:w="36" w:type="dxa"/>
                    <w:left w:w="60" w:type="dxa"/>
                    <w:bottom w:w="36" w:type="dxa"/>
                    <w:right w:w="60" w:type="dxa"/>
                  </w:tcMar>
                  <w:vAlign w:val="center"/>
                </w:tcPr>
                <w:p w14:paraId="119B1139">
                  <w:pPr>
                    <w:adjustRightInd w:val="0"/>
                    <w:spacing w:line="320" w:lineRule="exact"/>
                    <w:jc w:val="center"/>
                    <w:rPr>
                      <w:rFonts w:hint="default" w:ascii="Times New Roman" w:hAnsi="Times New Roman" w:eastAsia="宋体" w:cs="Times New Roman"/>
                      <w:color w:val="auto"/>
                      <w:sz w:val="21"/>
                      <w:szCs w:val="21"/>
                    </w:rPr>
                  </w:pPr>
                </w:p>
              </w:tc>
              <w:tc>
                <w:tcPr>
                  <w:tcW w:w="433" w:type="pct"/>
                  <w:vMerge w:val="continue"/>
                  <w:tcBorders>
                    <w:tl2br w:val="nil"/>
                    <w:tr2bl w:val="nil"/>
                  </w:tcBorders>
                  <w:shd w:val="clear" w:color="auto" w:fill="FFFFFF"/>
                  <w:tcMar>
                    <w:top w:w="36" w:type="dxa"/>
                    <w:left w:w="60" w:type="dxa"/>
                    <w:bottom w:w="36" w:type="dxa"/>
                    <w:right w:w="60" w:type="dxa"/>
                  </w:tcMar>
                  <w:vAlign w:val="center"/>
                </w:tcPr>
                <w:p w14:paraId="6BCC19EE">
                  <w:pPr>
                    <w:adjustRightInd w:val="0"/>
                    <w:spacing w:line="320" w:lineRule="exact"/>
                    <w:jc w:val="center"/>
                    <w:rPr>
                      <w:rFonts w:hint="default" w:ascii="Times New Roman" w:hAnsi="Times New Roman" w:eastAsia="宋体" w:cs="Times New Roman"/>
                      <w:color w:val="auto"/>
                      <w:sz w:val="21"/>
                      <w:szCs w:val="21"/>
                    </w:rPr>
                  </w:pPr>
                </w:p>
              </w:tc>
              <w:tc>
                <w:tcPr>
                  <w:tcW w:w="458" w:type="pct"/>
                  <w:vMerge w:val="continue"/>
                  <w:tcBorders>
                    <w:tl2br w:val="nil"/>
                    <w:tr2bl w:val="nil"/>
                  </w:tcBorders>
                  <w:shd w:val="clear" w:color="auto" w:fill="FFFFFF"/>
                  <w:tcMar>
                    <w:top w:w="36" w:type="dxa"/>
                    <w:left w:w="60" w:type="dxa"/>
                    <w:bottom w:w="36" w:type="dxa"/>
                    <w:right w:w="60" w:type="dxa"/>
                  </w:tcMar>
                  <w:vAlign w:val="center"/>
                </w:tcPr>
                <w:p w14:paraId="08C0A665">
                  <w:pPr>
                    <w:adjustRightInd w:val="0"/>
                    <w:spacing w:line="320" w:lineRule="exact"/>
                    <w:jc w:val="center"/>
                    <w:rPr>
                      <w:rFonts w:hint="default" w:ascii="Times New Roman" w:hAnsi="Times New Roman" w:eastAsia="宋体" w:cs="Times New Roman"/>
                      <w:color w:val="auto"/>
                      <w:sz w:val="21"/>
                      <w:szCs w:val="21"/>
                    </w:rPr>
                  </w:pPr>
                </w:p>
              </w:tc>
              <w:tc>
                <w:tcPr>
                  <w:tcW w:w="554" w:type="pct"/>
                  <w:vMerge w:val="continue"/>
                  <w:tcBorders>
                    <w:tl2br w:val="nil"/>
                    <w:tr2bl w:val="nil"/>
                  </w:tcBorders>
                  <w:shd w:val="clear" w:color="auto" w:fill="FFFFFF"/>
                  <w:tcMar>
                    <w:top w:w="36" w:type="dxa"/>
                    <w:left w:w="60" w:type="dxa"/>
                    <w:bottom w:w="36" w:type="dxa"/>
                    <w:right w:w="60" w:type="dxa"/>
                  </w:tcMar>
                  <w:vAlign w:val="center"/>
                </w:tcPr>
                <w:p w14:paraId="0F74EC14">
                  <w:pPr>
                    <w:adjustRightInd w:val="0"/>
                    <w:spacing w:line="320" w:lineRule="exact"/>
                    <w:jc w:val="center"/>
                    <w:rPr>
                      <w:rFonts w:hint="default" w:ascii="Times New Roman" w:hAnsi="Times New Roman" w:eastAsia="宋体" w:cs="Times New Roman"/>
                      <w:color w:val="auto"/>
                      <w:sz w:val="21"/>
                      <w:szCs w:val="21"/>
                    </w:rPr>
                  </w:pPr>
                </w:p>
              </w:tc>
              <w:tc>
                <w:tcPr>
                  <w:tcW w:w="412" w:type="pct"/>
                  <w:vMerge w:val="continue"/>
                  <w:tcBorders>
                    <w:tl2br w:val="nil"/>
                    <w:tr2bl w:val="nil"/>
                  </w:tcBorders>
                  <w:shd w:val="clear" w:color="auto" w:fill="FFFFFF"/>
                  <w:tcMar>
                    <w:top w:w="36" w:type="dxa"/>
                    <w:left w:w="60" w:type="dxa"/>
                    <w:bottom w:w="36" w:type="dxa"/>
                    <w:right w:w="60" w:type="dxa"/>
                  </w:tcMar>
                  <w:vAlign w:val="center"/>
                </w:tcPr>
                <w:p w14:paraId="6EB9C5FB">
                  <w:pPr>
                    <w:adjustRightInd w:val="0"/>
                    <w:spacing w:line="320" w:lineRule="exact"/>
                    <w:jc w:val="center"/>
                    <w:rPr>
                      <w:rFonts w:hint="default" w:ascii="Times New Roman" w:hAnsi="Times New Roman" w:eastAsia="宋体" w:cs="Times New Roman"/>
                      <w:color w:val="auto"/>
                      <w:sz w:val="21"/>
                      <w:szCs w:val="21"/>
                    </w:rPr>
                  </w:pPr>
                </w:p>
              </w:tc>
            </w:tr>
            <w:tr w14:paraId="79C5FEFC">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299" w:hRule="atLeast"/>
                <w:jc w:val="center"/>
              </w:trPr>
              <w:tc>
                <w:tcPr>
                  <w:tcW w:w="326" w:type="pct"/>
                  <w:vMerge w:val="continue"/>
                  <w:tcBorders>
                    <w:tl2br w:val="nil"/>
                    <w:tr2bl w:val="nil"/>
                  </w:tcBorders>
                  <w:shd w:val="clear" w:color="auto" w:fill="FFFFFF"/>
                  <w:tcMar>
                    <w:top w:w="36" w:type="dxa"/>
                    <w:left w:w="60" w:type="dxa"/>
                    <w:bottom w:w="36" w:type="dxa"/>
                    <w:right w:w="60" w:type="dxa"/>
                  </w:tcMar>
                  <w:vAlign w:val="center"/>
                </w:tcPr>
                <w:p w14:paraId="56671BCA">
                  <w:pPr>
                    <w:adjustRightInd w:val="0"/>
                    <w:spacing w:line="320" w:lineRule="exact"/>
                    <w:jc w:val="center"/>
                    <w:rPr>
                      <w:rFonts w:hint="default" w:ascii="Times New Roman" w:hAnsi="Times New Roman" w:eastAsia="宋体" w:cs="Times New Roman"/>
                      <w:color w:val="auto"/>
                      <w:sz w:val="21"/>
                      <w:szCs w:val="21"/>
                    </w:rPr>
                  </w:pPr>
                </w:p>
              </w:tc>
              <w:tc>
                <w:tcPr>
                  <w:tcW w:w="566" w:type="pct"/>
                  <w:tcBorders>
                    <w:tl2br w:val="nil"/>
                    <w:tr2bl w:val="nil"/>
                  </w:tcBorders>
                  <w:shd w:val="clear" w:color="auto" w:fill="FFFFFF"/>
                  <w:tcMar>
                    <w:top w:w="36" w:type="dxa"/>
                    <w:left w:w="60" w:type="dxa"/>
                    <w:bottom w:w="36" w:type="dxa"/>
                    <w:right w:w="60" w:type="dxa"/>
                  </w:tcMar>
                  <w:vAlign w:val="center"/>
                </w:tcPr>
                <w:p w14:paraId="115CF86C">
                  <w:pPr>
                    <w:widowControl/>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SS</w:t>
                  </w:r>
                </w:p>
              </w:tc>
              <w:tc>
                <w:tcPr>
                  <w:tcW w:w="717" w:type="pct"/>
                  <w:vMerge w:val="continue"/>
                  <w:tcBorders>
                    <w:tl2br w:val="nil"/>
                    <w:tr2bl w:val="nil"/>
                  </w:tcBorders>
                  <w:shd w:val="clear" w:color="auto" w:fill="FFFFFF"/>
                  <w:tcMar>
                    <w:top w:w="36" w:type="dxa"/>
                    <w:left w:w="60" w:type="dxa"/>
                    <w:bottom w:w="36" w:type="dxa"/>
                    <w:right w:w="60" w:type="dxa"/>
                  </w:tcMar>
                  <w:vAlign w:val="center"/>
                </w:tcPr>
                <w:p w14:paraId="003E8D1D">
                  <w:pPr>
                    <w:adjustRightInd w:val="0"/>
                    <w:spacing w:line="320" w:lineRule="exact"/>
                    <w:jc w:val="center"/>
                    <w:rPr>
                      <w:rFonts w:hint="default" w:ascii="Times New Roman" w:hAnsi="Times New Roman" w:eastAsia="宋体" w:cs="Times New Roman"/>
                      <w:color w:val="auto"/>
                      <w:sz w:val="21"/>
                      <w:szCs w:val="21"/>
                    </w:rPr>
                  </w:pPr>
                </w:p>
              </w:tc>
              <w:tc>
                <w:tcPr>
                  <w:tcW w:w="505" w:type="pct"/>
                  <w:tcBorders>
                    <w:tl2br w:val="nil"/>
                    <w:tr2bl w:val="nil"/>
                  </w:tcBorders>
                  <w:shd w:val="clear" w:color="auto" w:fill="FFFFFF"/>
                  <w:tcMar>
                    <w:top w:w="36" w:type="dxa"/>
                    <w:left w:w="60" w:type="dxa"/>
                    <w:bottom w:w="36" w:type="dxa"/>
                    <w:right w:w="60" w:type="dxa"/>
                  </w:tcMar>
                  <w:vAlign w:val="center"/>
                </w:tcPr>
                <w:p w14:paraId="0C07057D">
                  <w:pPr>
                    <w:adjustRightInd w:val="0"/>
                    <w:spacing w:line="32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30%</w:t>
                  </w:r>
                </w:p>
              </w:tc>
              <w:tc>
                <w:tcPr>
                  <w:tcW w:w="591" w:type="pct"/>
                  <w:vMerge w:val="continue"/>
                  <w:tcBorders>
                    <w:tl2br w:val="nil"/>
                    <w:tr2bl w:val="nil"/>
                  </w:tcBorders>
                  <w:shd w:val="clear" w:color="auto" w:fill="FFFFFF"/>
                  <w:tcMar>
                    <w:top w:w="36" w:type="dxa"/>
                    <w:left w:w="60" w:type="dxa"/>
                    <w:bottom w:w="36" w:type="dxa"/>
                    <w:right w:w="60" w:type="dxa"/>
                  </w:tcMar>
                  <w:vAlign w:val="center"/>
                </w:tcPr>
                <w:p w14:paraId="300C0C2A">
                  <w:pPr>
                    <w:adjustRightInd w:val="0"/>
                    <w:spacing w:line="320" w:lineRule="exact"/>
                    <w:jc w:val="center"/>
                    <w:rPr>
                      <w:rFonts w:hint="default" w:ascii="Times New Roman" w:hAnsi="Times New Roman" w:eastAsia="宋体" w:cs="Times New Roman"/>
                      <w:color w:val="auto"/>
                      <w:sz w:val="21"/>
                      <w:szCs w:val="21"/>
                    </w:rPr>
                  </w:pPr>
                </w:p>
              </w:tc>
              <w:tc>
                <w:tcPr>
                  <w:tcW w:w="434" w:type="pct"/>
                  <w:vMerge w:val="continue"/>
                  <w:tcBorders>
                    <w:tl2br w:val="nil"/>
                    <w:tr2bl w:val="nil"/>
                  </w:tcBorders>
                  <w:shd w:val="clear" w:color="auto" w:fill="FFFFFF"/>
                  <w:tcMar>
                    <w:top w:w="36" w:type="dxa"/>
                    <w:left w:w="60" w:type="dxa"/>
                    <w:bottom w:w="36" w:type="dxa"/>
                    <w:right w:w="60" w:type="dxa"/>
                  </w:tcMar>
                  <w:vAlign w:val="center"/>
                </w:tcPr>
                <w:p w14:paraId="294E1149">
                  <w:pPr>
                    <w:adjustRightInd w:val="0"/>
                    <w:spacing w:line="320" w:lineRule="exact"/>
                    <w:jc w:val="center"/>
                    <w:rPr>
                      <w:rFonts w:hint="default" w:ascii="Times New Roman" w:hAnsi="Times New Roman" w:eastAsia="宋体" w:cs="Times New Roman"/>
                      <w:color w:val="auto"/>
                      <w:sz w:val="21"/>
                      <w:szCs w:val="21"/>
                    </w:rPr>
                  </w:pPr>
                </w:p>
              </w:tc>
              <w:tc>
                <w:tcPr>
                  <w:tcW w:w="433" w:type="pct"/>
                  <w:vMerge w:val="continue"/>
                  <w:tcBorders>
                    <w:tl2br w:val="nil"/>
                    <w:tr2bl w:val="nil"/>
                  </w:tcBorders>
                  <w:shd w:val="clear" w:color="auto" w:fill="FFFFFF"/>
                  <w:tcMar>
                    <w:top w:w="36" w:type="dxa"/>
                    <w:left w:w="60" w:type="dxa"/>
                    <w:bottom w:w="36" w:type="dxa"/>
                    <w:right w:w="60" w:type="dxa"/>
                  </w:tcMar>
                  <w:vAlign w:val="center"/>
                </w:tcPr>
                <w:p w14:paraId="789F3F64">
                  <w:pPr>
                    <w:adjustRightInd w:val="0"/>
                    <w:spacing w:line="320" w:lineRule="exact"/>
                    <w:jc w:val="center"/>
                    <w:rPr>
                      <w:rFonts w:hint="default" w:ascii="Times New Roman" w:hAnsi="Times New Roman" w:eastAsia="宋体" w:cs="Times New Roman"/>
                      <w:color w:val="auto"/>
                      <w:sz w:val="21"/>
                      <w:szCs w:val="21"/>
                    </w:rPr>
                  </w:pPr>
                </w:p>
              </w:tc>
              <w:tc>
                <w:tcPr>
                  <w:tcW w:w="458" w:type="pct"/>
                  <w:vMerge w:val="continue"/>
                  <w:tcBorders>
                    <w:tl2br w:val="nil"/>
                    <w:tr2bl w:val="nil"/>
                  </w:tcBorders>
                  <w:shd w:val="clear" w:color="auto" w:fill="FFFFFF"/>
                  <w:tcMar>
                    <w:top w:w="36" w:type="dxa"/>
                    <w:left w:w="60" w:type="dxa"/>
                    <w:bottom w:w="36" w:type="dxa"/>
                    <w:right w:w="60" w:type="dxa"/>
                  </w:tcMar>
                  <w:vAlign w:val="center"/>
                </w:tcPr>
                <w:p w14:paraId="33C1E731">
                  <w:pPr>
                    <w:adjustRightInd w:val="0"/>
                    <w:spacing w:line="320" w:lineRule="exact"/>
                    <w:jc w:val="center"/>
                    <w:rPr>
                      <w:rFonts w:hint="default" w:ascii="Times New Roman" w:hAnsi="Times New Roman" w:eastAsia="宋体" w:cs="Times New Roman"/>
                      <w:color w:val="auto"/>
                      <w:sz w:val="21"/>
                      <w:szCs w:val="21"/>
                    </w:rPr>
                  </w:pPr>
                </w:p>
              </w:tc>
              <w:tc>
                <w:tcPr>
                  <w:tcW w:w="554" w:type="pct"/>
                  <w:vMerge w:val="continue"/>
                  <w:tcBorders>
                    <w:tl2br w:val="nil"/>
                    <w:tr2bl w:val="nil"/>
                  </w:tcBorders>
                  <w:shd w:val="clear" w:color="auto" w:fill="FFFFFF"/>
                  <w:tcMar>
                    <w:top w:w="36" w:type="dxa"/>
                    <w:left w:w="60" w:type="dxa"/>
                    <w:bottom w:w="36" w:type="dxa"/>
                    <w:right w:w="60" w:type="dxa"/>
                  </w:tcMar>
                  <w:vAlign w:val="center"/>
                </w:tcPr>
                <w:p w14:paraId="0ACE8B60">
                  <w:pPr>
                    <w:adjustRightInd w:val="0"/>
                    <w:spacing w:line="320" w:lineRule="exact"/>
                    <w:jc w:val="center"/>
                    <w:rPr>
                      <w:rFonts w:hint="default" w:ascii="Times New Roman" w:hAnsi="Times New Roman" w:eastAsia="宋体" w:cs="Times New Roman"/>
                      <w:color w:val="auto"/>
                      <w:sz w:val="21"/>
                      <w:szCs w:val="21"/>
                    </w:rPr>
                  </w:pPr>
                </w:p>
              </w:tc>
              <w:tc>
                <w:tcPr>
                  <w:tcW w:w="412" w:type="pct"/>
                  <w:vMerge w:val="continue"/>
                  <w:tcBorders>
                    <w:tl2br w:val="nil"/>
                    <w:tr2bl w:val="nil"/>
                  </w:tcBorders>
                  <w:shd w:val="clear" w:color="auto" w:fill="FFFFFF"/>
                  <w:tcMar>
                    <w:top w:w="36" w:type="dxa"/>
                    <w:left w:w="60" w:type="dxa"/>
                    <w:bottom w:w="36" w:type="dxa"/>
                    <w:right w:w="60" w:type="dxa"/>
                  </w:tcMar>
                  <w:vAlign w:val="center"/>
                </w:tcPr>
                <w:p w14:paraId="5ACC19D9">
                  <w:pPr>
                    <w:adjustRightInd w:val="0"/>
                    <w:spacing w:line="320" w:lineRule="exact"/>
                    <w:jc w:val="center"/>
                    <w:rPr>
                      <w:rFonts w:hint="default" w:ascii="Times New Roman" w:hAnsi="Times New Roman" w:eastAsia="宋体" w:cs="Times New Roman"/>
                      <w:color w:val="auto"/>
                      <w:sz w:val="21"/>
                      <w:szCs w:val="21"/>
                    </w:rPr>
                  </w:pPr>
                </w:p>
              </w:tc>
            </w:tr>
            <w:tr w14:paraId="688A9EDF">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226" w:hRule="atLeast"/>
                <w:jc w:val="center"/>
              </w:trPr>
              <w:tc>
                <w:tcPr>
                  <w:tcW w:w="326" w:type="pct"/>
                  <w:vMerge w:val="continue"/>
                  <w:tcBorders>
                    <w:tl2br w:val="nil"/>
                    <w:tr2bl w:val="nil"/>
                  </w:tcBorders>
                  <w:shd w:val="clear" w:color="auto" w:fill="FFFFFF"/>
                  <w:tcMar>
                    <w:top w:w="36" w:type="dxa"/>
                    <w:left w:w="60" w:type="dxa"/>
                    <w:bottom w:w="36" w:type="dxa"/>
                    <w:right w:w="60" w:type="dxa"/>
                  </w:tcMar>
                  <w:vAlign w:val="center"/>
                </w:tcPr>
                <w:p w14:paraId="55C13ADA">
                  <w:pPr>
                    <w:adjustRightInd w:val="0"/>
                    <w:spacing w:line="320" w:lineRule="exact"/>
                    <w:jc w:val="center"/>
                    <w:rPr>
                      <w:rFonts w:hint="default" w:ascii="Times New Roman" w:hAnsi="Times New Roman" w:eastAsia="宋体" w:cs="Times New Roman"/>
                      <w:color w:val="auto"/>
                      <w:sz w:val="21"/>
                      <w:szCs w:val="21"/>
                    </w:rPr>
                  </w:pPr>
                </w:p>
              </w:tc>
              <w:tc>
                <w:tcPr>
                  <w:tcW w:w="566" w:type="pct"/>
                  <w:tcBorders>
                    <w:tl2br w:val="nil"/>
                    <w:tr2bl w:val="nil"/>
                  </w:tcBorders>
                  <w:shd w:val="clear" w:color="auto" w:fill="FFFFFF"/>
                  <w:tcMar>
                    <w:top w:w="36" w:type="dxa"/>
                    <w:left w:w="60" w:type="dxa"/>
                    <w:bottom w:w="36" w:type="dxa"/>
                    <w:right w:w="60" w:type="dxa"/>
                  </w:tcMar>
                  <w:vAlign w:val="center"/>
                </w:tcPr>
                <w:p w14:paraId="75734D76">
                  <w:pPr>
                    <w:widowControl/>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NH</w:t>
                  </w:r>
                  <w:r>
                    <w:rPr>
                      <w:rFonts w:hint="default" w:ascii="Times New Roman" w:hAnsi="Times New Roman" w:eastAsia="宋体" w:cs="Times New Roman"/>
                      <w:color w:val="auto"/>
                      <w:sz w:val="21"/>
                      <w:szCs w:val="21"/>
                      <w:vertAlign w:val="subscript"/>
                    </w:rPr>
                    <w:t>3</w:t>
                  </w:r>
                  <w:r>
                    <w:rPr>
                      <w:rFonts w:hint="default" w:ascii="Times New Roman" w:hAnsi="Times New Roman" w:eastAsia="宋体" w:cs="Times New Roman"/>
                      <w:color w:val="auto"/>
                      <w:sz w:val="21"/>
                      <w:szCs w:val="21"/>
                    </w:rPr>
                    <w:t>-N</w:t>
                  </w:r>
                </w:p>
              </w:tc>
              <w:tc>
                <w:tcPr>
                  <w:tcW w:w="717" w:type="pct"/>
                  <w:vMerge w:val="continue"/>
                  <w:tcBorders>
                    <w:tl2br w:val="nil"/>
                    <w:tr2bl w:val="nil"/>
                  </w:tcBorders>
                  <w:shd w:val="clear" w:color="auto" w:fill="FFFFFF"/>
                  <w:tcMar>
                    <w:top w:w="36" w:type="dxa"/>
                    <w:left w:w="60" w:type="dxa"/>
                    <w:bottom w:w="36" w:type="dxa"/>
                    <w:right w:w="60" w:type="dxa"/>
                  </w:tcMar>
                  <w:vAlign w:val="center"/>
                </w:tcPr>
                <w:p w14:paraId="79BF6121">
                  <w:pPr>
                    <w:adjustRightInd w:val="0"/>
                    <w:spacing w:line="320" w:lineRule="exact"/>
                    <w:jc w:val="center"/>
                    <w:rPr>
                      <w:rFonts w:hint="default" w:ascii="Times New Roman" w:hAnsi="Times New Roman" w:eastAsia="宋体" w:cs="Times New Roman"/>
                      <w:color w:val="auto"/>
                      <w:sz w:val="21"/>
                      <w:szCs w:val="21"/>
                    </w:rPr>
                  </w:pPr>
                </w:p>
              </w:tc>
              <w:tc>
                <w:tcPr>
                  <w:tcW w:w="505" w:type="pct"/>
                  <w:tcBorders>
                    <w:tl2br w:val="nil"/>
                    <w:tr2bl w:val="nil"/>
                  </w:tcBorders>
                  <w:shd w:val="clear" w:color="auto" w:fill="FFFFFF"/>
                  <w:tcMar>
                    <w:top w:w="36" w:type="dxa"/>
                    <w:left w:w="60" w:type="dxa"/>
                    <w:bottom w:w="36" w:type="dxa"/>
                    <w:right w:w="60" w:type="dxa"/>
                  </w:tcMar>
                  <w:vAlign w:val="center"/>
                </w:tcPr>
                <w:p w14:paraId="6837A8E1">
                  <w:pPr>
                    <w:adjustRightInd w:val="0"/>
                    <w:spacing w:line="32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591" w:type="pct"/>
                  <w:vMerge w:val="continue"/>
                  <w:tcBorders>
                    <w:tl2br w:val="nil"/>
                    <w:tr2bl w:val="nil"/>
                  </w:tcBorders>
                  <w:shd w:val="clear" w:color="auto" w:fill="FFFFFF"/>
                  <w:tcMar>
                    <w:top w:w="36" w:type="dxa"/>
                    <w:left w:w="60" w:type="dxa"/>
                    <w:bottom w:w="36" w:type="dxa"/>
                    <w:right w:w="60" w:type="dxa"/>
                  </w:tcMar>
                  <w:vAlign w:val="center"/>
                </w:tcPr>
                <w:p w14:paraId="1B107AA0">
                  <w:pPr>
                    <w:adjustRightInd w:val="0"/>
                    <w:spacing w:line="320" w:lineRule="exact"/>
                    <w:jc w:val="center"/>
                    <w:rPr>
                      <w:rFonts w:hint="default" w:ascii="Times New Roman" w:hAnsi="Times New Roman" w:eastAsia="宋体" w:cs="Times New Roman"/>
                      <w:color w:val="auto"/>
                      <w:sz w:val="21"/>
                      <w:szCs w:val="21"/>
                    </w:rPr>
                  </w:pPr>
                </w:p>
              </w:tc>
              <w:tc>
                <w:tcPr>
                  <w:tcW w:w="434" w:type="pct"/>
                  <w:vMerge w:val="continue"/>
                  <w:tcBorders>
                    <w:tl2br w:val="nil"/>
                    <w:tr2bl w:val="nil"/>
                  </w:tcBorders>
                  <w:shd w:val="clear" w:color="auto" w:fill="FFFFFF"/>
                  <w:tcMar>
                    <w:top w:w="36" w:type="dxa"/>
                    <w:left w:w="60" w:type="dxa"/>
                    <w:bottom w:w="36" w:type="dxa"/>
                    <w:right w:w="60" w:type="dxa"/>
                  </w:tcMar>
                  <w:vAlign w:val="center"/>
                </w:tcPr>
                <w:p w14:paraId="4EEDE5B5">
                  <w:pPr>
                    <w:adjustRightInd w:val="0"/>
                    <w:spacing w:line="320" w:lineRule="exact"/>
                    <w:jc w:val="center"/>
                    <w:rPr>
                      <w:rFonts w:hint="default" w:ascii="Times New Roman" w:hAnsi="Times New Roman" w:eastAsia="宋体" w:cs="Times New Roman"/>
                      <w:color w:val="auto"/>
                      <w:sz w:val="21"/>
                      <w:szCs w:val="21"/>
                    </w:rPr>
                  </w:pPr>
                </w:p>
              </w:tc>
              <w:tc>
                <w:tcPr>
                  <w:tcW w:w="433" w:type="pct"/>
                  <w:vMerge w:val="continue"/>
                  <w:tcBorders>
                    <w:tl2br w:val="nil"/>
                    <w:tr2bl w:val="nil"/>
                  </w:tcBorders>
                  <w:shd w:val="clear" w:color="auto" w:fill="FFFFFF"/>
                  <w:tcMar>
                    <w:top w:w="36" w:type="dxa"/>
                    <w:left w:w="60" w:type="dxa"/>
                    <w:bottom w:w="36" w:type="dxa"/>
                    <w:right w:w="60" w:type="dxa"/>
                  </w:tcMar>
                  <w:vAlign w:val="center"/>
                </w:tcPr>
                <w:p w14:paraId="14BBD64E">
                  <w:pPr>
                    <w:adjustRightInd w:val="0"/>
                    <w:spacing w:line="320" w:lineRule="exact"/>
                    <w:jc w:val="center"/>
                    <w:rPr>
                      <w:rFonts w:hint="default" w:ascii="Times New Roman" w:hAnsi="Times New Roman" w:eastAsia="宋体" w:cs="Times New Roman"/>
                      <w:color w:val="auto"/>
                      <w:sz w:val="21"/>
                      <w:szCs w:val="21"/>
                    </w:rPr>
                  </w:pPr>
                </w:p>
              </w:tc>
              <w:tc>
                <w:tcPr>
                  <w:tcW w:w="458" w:type="pct"/>
                  <w:vMerge w:val="continue"/>
                  <w:tcBorders>
                    <w:tl2br w:val="nil"/>
                    <w:tr2bl w:val="nil"/>
                  </w:tcBorders>
                  <w:shd w:val="clear" w:color="auto" w:fill="FFFFFF"/>
                  <w:tcMar>
                    <w:top w:w="36" w:type="dxa"/>
                    <w:left w:w="60" w:type="dxa"/>
                    <w:bottom w:w="36" w:type="dxa"/>
                    <w:right w:w="60" w:type="dxa"/>
                  </w:tcMar>
                  <w:vAlign w:val="center"/>
                </w:tcPr>
                <w:p w14:paraId="033228C3">
                  <w:pPr>
                    <w:adjustRightInd w:val="0"/>
                    <w:spacing w:line="320" w:lineRule="exact"/>
                    <w:jc w:val="center"/>
                    <w:rPr>
                      <w:rFonts w:hint="default" w:ascii="Times New Roman" w:hAnsi="Times New Roman" w:eastAsia="宋体" w:cs="Times New Roman"/>
                      <w:color w:val="auto"/>
                      <w:sz w:val="21"/>
                      <w:szCs w:val="21"/>
                    </w:rPr>
                  </w:pPr>
                </w:p>
              </w:tc>
              <w:tc>
                <w:tcPr>
                  <w:tcW w:w="554" w:type="pct"/>
                  <w:vMerge w:val="continue"/>
                  <w:tcBorders>
                    <w:tl2br w:val="nil"/>
                    <w:tr2bl w:val="nil"/>
                  </w:tcBorders>
                  <w:shd w:val="clear" w:color="auto" w:fill="FFFFFF"/>
                  <w:tcMar>
                    <w:top w:w="36" w:type="dxa"/>
                    <w:left w:w="60" w:type="dxa"/>
                    <w:bottom w:w="36" w:type="dxa"/>
                    <w:right w:w="60" w:type="dxa"/>
                  </w:tcMar>
                  <w:vAlign w:val="center"/>
                </w:tcPr>
                <w:p w14:paraId="33B8DC01">
                  <w:pPr>
                    <w:adjustRightInd w:val="0"/>
                    <w:spacing w:line="320" w:lineRule="exact"/>
                    <w:jc w:val="center"/>
                    <w:rPr>
                      <w:rFonts w:hint="default" w:ascii="Times New Roman" w:hAnsi="Times New Roman" w:eastAsia="宋体" w:cs="Times New Roman"/>
                      <w:color w:val="auto"/>
                      <w:sz w:val="21"/>
                      <w:szCs w:val="21"/>
                    </w:rPr>
                  </w:pPr>
                </w:p>
              </w:tc>
              <w:tc>
                <w:tcPr>
                  <w:tcW w:w="412" w:type="pct"/>
                  <w:vMerge w:val="continue"/>
                  <w:tcBorders>
                    <w:tl2br w:val="nil"/>
                    <w:tr2bl w:val="nil"/>
                  </w:tcBorders>
                  <w:shd w:val="clear" w:color="auto" w:fill="FFFFFF"/>
                  <w:tcMar>
                    <w:top w:w="36" w:type="dxa"/>
                    <w:left w:w="60" w:type="dxa"/>
                    <w:bottom w:w="36" w:type="dxa"/>
                    <w:right w:w="60" w:type="dxa"/>
                  </w:tcMar>
                  <w:vAlign w:val="center"/>
                </w:tcPr>
                <w:p w14:paraId="22C8AE84">
                  <w:pPr>
                    <w:adjustRightInd w:val="0"/>
                    <w:spacing w:line="320" w:lineRule="exact"/>
                    <w:jc w:val="center"/>
                    <w:rPr>
                      <w:rFonts w:hint="default" w:ascii="Times New Roman" w:hAnsi="Times New Roman" w:eastAsia="宋体" w:cs="Times New Roman"/>
                      <w:color w:val="auto"/>
                      <w:sz w:val="21"/>
                      <w:szCs w:val="21"/>
                    </w:rPr>
                  </w:pPr>
                </w:p>
              </w:tc>
            </w:tr>
            <w:tr w14:paraId="4226A0C9">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226" w:hRule="atLeast"/>
                <w:jc w:val="center"/>
              </w:trPr>
              <w:tc>
                <w:tcPr>
                  <w:tcW w:w="326" w:type="pct"/>
                  <w:vMerge w:val="continue"/>
                  <w:tcBorders>
                    <w:tl2br w:val="nil"/>
                    <w:tr2bl w:val="nil"/>
                  </w:tcBorders>
                  <w:shd w:val="clear" w:color="auto" w:fill="FFFFFF"/>
                  <w:tcMar>
                    <w:top w:w="36" w:type="dxa"/>
                    <w:left w:w="60" w:type="dxa"/>
                    <w:bottom w:w="36" w:type="dxa"/>
                    <w:right w:w="60" w:type="dxa"/>
                  </w:tcMar>
                  <w:vAlign w:val="center"/>
                </w:tcPr>
                <w:p w14:paraId="7E14F653">
                  <w:pPr>
                    <w:adjustRightInd w:val="0"/>
                    <w:spacing w:line="320" w:lineRule="exact"/>
                    <w:jc w:val="center"/>
                    <w:rPr>
                      <w:rFonts w:hint="default" w:ascii="Times New Roman" w:hAnsi="Times New Roman" w:eastAsia="宋体" w:cs="Times New Roman"/>
                      <w:color w:val="auto"/>
                      <w:sz w:val="21"/>
                      <w:szCs w:val="21"/>
                    </w:rPr>
                  </w:pPr>
                </w:p>
              </w:tc>
              <w:tc>
                <w:tcPr>
                  <w:tcW w:w="566" w:type="pct"/>
                  <w:tcBorders>
                    <w:tl2br w:val="nil"/>
                    <w:tr2bl w:val="nil"/>
                  </w:tcBorders>
                  <w:shd w:val="clear" w:color="auto" w:fill="FFFFFF"/>
                  <w:tcMar>
                    <w:top w:w="36" w:type="dxa"/>
                    <w:left w:w="60" w:type="dxa"/>
                    <w:bottom w:w="36" w:type="dxa"/>
                    <w:right w:w="60" w:type="dxa"/>
                  </w:tcMar>
                  <w:vAlign w:val="center"/>
                </w:tcPr>
                <w:p w14:paraId="5BE2BD45">
                  <w:pPr>
                    <w:widowControl/>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TP</w:t>
                  </w:r>
                </w:p>
              </w:tc>
              <w:tc>
                <w:tcPr>
                  <w:tcW w:w="717" w:type="pct"/>
                  <w:vMerge w:val="continue"/>
                  <w:tcBorders>
                    <w:tl2br w:val="nil"/>
                    <w:tr2bl w:val="nil"/>
                  </w:tcBorders>
                  <w:shd w:val="clear" w:color="auto" w:fill="FFFFFF"/>
                  <w:tcMar>
                    <w:top w:w="36" w:type="dxa"/>
                    <w:left w:w="60" w:type="dxa"/>
                    <w:bottom w:w="36" w:type="dxa"/>
                    <w:right w:w="60" w:type="dxa"/>
                  </w:tcMar>
                  <w:vAlign w:val="center"/>
                </w:tcPr>
                <w:p w14:paraId="39CD0224">
                  <w:pPr>
                    <w:adjustRightInd w:val="0"/>
                    <w:spacing w:line="320" w:lineRule="exact"/>
                    <w:jc w:val="center"/>
                    <w:rPr>
                      <w:rFonts w:hint="default" w:ascii="Times New Roman" w:hAnsi="Times New Roman" w:eastAsia="宋体" w:cs="Times New Roman"/>
                      <w:color w:val="auto"/>
                      <w:sz w:val="21"/>
                      <w:szCs w:val="21"/>
                    </w:rPr>
                  </w:pPr>
                </w:p>
              </w:tc>
              <w:tc>
                <w:tcPr>
                  <w:tcW w:w="505" w:type="pct"/>
                  <w:tcBorders>
                    <w:tl2br w:val="nil"/>
                    <w:tr2bl w:val="nil"/>
                  </w:tcBorders>
                  <w:shd w:val="clear" w:color="auto" w:fill="FFFFFF"/>
                  <w:tcMar>
                    <w:top w:w="36" w:type="dxa"/>
                    <w:left w:w="60" w:type="dxa"/>
                    <w:bottom w:w="36" w:type="dxa"/>
                    <w:right w:w="60" w:type="dxa"/>
                  </w:tcMar>
                  <w:vAlign w:val="center"/>
                </w:tcPr>
                <w:p w14:paraId="64B04C0C">
                  <w:pPr>
                    <w:adjustRightInd w:val="0"/>
                    <w:spacing w:line="32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591" w:type="pct"/>
                  <w:vMerge w:val="continue"/>
                  <w:tcBorders>
                    <w:tl2br w:val="nil"/>
                    <w:tr2bl w:val="nil"/>
                  </w:tcBorders>
                  <w:shd w:val="clear" w:color="auto" w:fill="FFFFFF"/>
                  <w:tcMar>
                    <w:top w:w="36" w:type="dxa"/>
                    <w:left w:w="60" w:type="dxa"/>
                    <w:bottom w:w="36" w:type="dxa"/>
                    <w:right w:w="60" w:type="dxa"/>
                  </w:tcMar>
                  <w:vAlign w:val="center"/>
                </w:tcPr>
                <w:p w14:paraId="3A3AE388">
                  <w:pPr>
                    <w:adjustRightInd w:val="0"/>
                    <w:spacing w:line="320" w:lineRule="exact"/>
                    <w:jc w:val="center"/>
                    <w:rPr>
                      <w:rFonts w:hint="default" w:ascii="Times New Roman" w:hAnsi="Times New Roman" w:eastAsia="宋体" w:cs="Times New Roman"/>
                      <w:color w:val="auto"/>
                      <w:sz w:val="21"/>
                      <w:szCs w:val="21"/>
                    </w:rPr>
                  </w:pPr>
                </w:p>
              </w:tc>
              <w:tc>
                <w:tcPr>
                  <w:tcW w:w="434" w:type="pct"/>
                  <w:vMerge w:val="continue"/>
                  <w:tcBorders>
                    <w:tl2br w:val="nil"/>
                    <w:tr2bl w:val="nil"/>
                  </w:tcBorders>
                  <w:shd w:val="clear" w:color="auto" w:fill="FFFFFF"/>
                  <w:tcMar>
                    <w:top w:w="36" w:type="dxa"/>
                    <w:left w:w="60" w:type="dxa"/>
                    <w:bottom w:w="36" w:type="dxa"/>
                    <w:right w:w="60" w:type="dxa"/>
                  </w:tcMar>
                  <w:vAlign w:val="center"/>
                </w:tcPr>
                <w:p w14:paraId="12FADBCB">
                  <w:pPr>
                    <w:adjustRightInd w:val="0"/>
                    <w:spacing w:line="320" w:lineRule="exact"/>
                    <w:jc w:val="center"/>
                    <w:rPr>
                      <w:rFonts w:hint="default" w:ascii="Times New Roman" w:hAnsi="Times New Roman" w:eastAsia="宋体" w:cs="Times New Roman"/>
                      <w:color w:val="auto"/>
                      <w:sz w:val="21"/>
                      <w:szCs w:val="21"/>
                    </w:rPr>
                  </w:pPr>
                </w:p>
              </w:tc>
              <w:tc>
                <w:tcPr>
                  <w:tcW w:w="433" w:type="pct"/>
                  <w:vMerge w:val="continue"/>
                  <w:tcBorders>
                    <w:tl2br w:val="nil"/>
                    <w:tr2bl w:val="nil"/>
                  </w:tcBorders>
                  <w:shd w:val="clear" w:color="auto" w:fill="FFFFFF"/>
                  <w:tcMar>
                    <w:top w:w="36" w:type="dxa"/>
                    <w:left w:w="60" w:type="dxa"/>
                    <w:bottom w:w="36" w:type="dxa"/>
                    <w:right w:w="60" w:type="dxa"/>
                  </w:tcMar>
                  <w:vAlign w:val="center"/>
                </w:tcPr>
                <w:p w14:paraId="1454C3AC">
                  <w:pPr>
                    <w:adjustRightInd w:val="0"/>
                    <w:spacing w:line="320" w:lineRule="exact"/>
                    <w:jc w:val="center"/>
                    <w:rPr>
                      <w:rFonts w:hint="default" w:ascii="Times New Roman" w:hAnsi="Times New Roman" w:eastAsia="宋体" w:cs="Times New Roman"/>
                      <w:color w:val="auto"/>
                      <w:sz w:val="21"/>
                      <w:szCs w:val="21"/>
                    </w:rPr>
                  </w:pPr>
                </w:p>
              </w:tc>
              <w:tc>
                <w:tcPr>
                  <w:tcW w:w="458" w:type="pct"/>
                  <w:vMerge w:val="continue"/>
                  <w:tcBorders>
                    <w:tl2br w:val="nil"/>
                    <w:tr2bl w:val="nil"/>
                  </w:tcBorders>
                  <w:shd w:val="clear" w:color="auto" w:fill="FFFFFF"/>
                  <w:tcMar>
                    <w:top w:w="36" w:type="dxa"/>
                    <w:left w:w="60" w:type="dxa"/>
                    <w:bottom w:w="36" w:type="dxa"/>
                    <w:right w:w="60" w:type="dxa"/>
                  </w:tcMar>
                  <w:vAlign w:val="center"/>
                </w:tcPr>
                <w:p w14:paraId="38E6C4C1">
                  <w:pPr>
                    <w:adjustRightInd w:val="0"/>
                    <w:spacing w:line="320" w:lineRule="exact"/>
                    <w:jc w:val="center"/>
                    <w:rPr>
                      <w:rFonts w:hint="default" w:ascii="Times New Roman" w:hAnsi="Times New Roman" w:eastAsia="宋体" w:cs="Times New Roman"/>
                      <w:color w:val="auto"/>
                      <w:sz w:val="21"/>
                      <w:szCs w:val="21"/>
                    </w:rPr>
                  </w:pPr>
                </w:p>
              </w:tc>
              <w:tc>
                <w:tcPr>
                  <w:tcW w:w="554" w:type="pct"/>
                  <w:vMerge w:val="continue"/>
                  <w:tcBorders>
                    <w:tl2br w:val="nil"/>
                    <w:tr2bl w:val="nil"/>
                  </w:tcBorders>
                  <w:shd w:val="clear" w:color="auto" w:fill="FFFFFF"/>
                  <w:tcMar>
                    <w:top w:w="36" w:type="dxa"/>
                    <w:left w:w="60" w:type="dxa"/>
                    <w:bottom w:w="36" w:type="dxa"/>
                    <w:right w:w="60" w:type="dxa"/>
                  </w:tcMar>
                  <w:vAlign w:val="center"/>
                </w:tcPr>
                <w:p w14:paraId="57AAB6E7">
                  <w:pPr>
                    <w:adjustRightInd w:val="0"/>
                    <w:spacing w:line="320" w:lineRule="exact"/>
                    <w:jc w:val="center"/>
                    <w:rPr>
                      <w:rFonts w:hint="default" w:ascii="Times New Roman" w:hAnsi="Times New Roman" w:eastAsia="宋体" w:cs="Times New Roman"/>
                      <w:color w:val="auto"/>
                      <w:sz w:val="21"/>
                      <w:szCs w:val="21"/>
                    </w:rPr>
                  </w:pPr>
                </w:p>
              </w:tc>
              <w:tc>
                <w:tcPr>
                  <w:tcW w:w="412" w:type="pct"/>
                  <w:vMerge w:val="continue"/>
                  <w:tcBorders>
                    <w:tl2br w:val="nil"/>
                    <w:tr2bl w:val="nil"/>
                  </w:tcBorders>
                  <w:shd w:val="clear" w:color="auto" w:fill="FFFFFF"/>
                  <w:tcMar>
                    <w:top w:w="36" w:type="dxa"/>
                    <w:left w:w="60" w:type="dxa"/>
                    <w:bottom w:w="36" w:type="dxa"/>
                    <w:right w:w="60" w:type="dxa"/>
                  </w:tcMar>
                  <w:vAlign w:val="center"/>
                </w:tcPr>
                <w:p w14:paraId="3E81AE25">
                  <w:pPr>
                    <w:adjustRightInd w:val="0"/>
                    <w:spacing w:line="320" w:lineRule="exact"/>
                    <w:jc w:val="center"/>
                    <w:rPr>
                      <w:rFonts w:hint="default" w:ascii="Times New Roman" w:hAnsi="Times New Roman" w:eastAsia="宋体" w:cs="Times New Roman"/>
                      <w:color w:val="auto"/>
                      <w:sz w:val="21"/>
                      <w:szCs w:val="21"/>
                    </w:rPr>
                  </w:pPr>
                </w:p>
              </w:tc>
            </w:tr>
            <w:tr w14:paraId="3F6EAFAD">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15" w:type="dxa"/>
                  <w:left w:w="15" w:type="dxa"/>
                  <w:bottom w:w="15" w:type="dxa"/>
                  <w:right w:w="15" w:type="dxa"/>
                </w:tblCellMar>
              </w:tblPrEx>
              <w:trPr>
                <w:trHeight w:val="226" w:hRule="atLeast"/>
                <w:jc w:val="center"/>
              </w:trPr>
              <w:tc>
                <w:tcPr>
                  <w:tcW w:w="326" w:type="pct"/>
                  <w:vMerge w:val="continue"/>
                  <w:tcBorders>
                    <w:tl2br w:val="nil"/>
                    <w:tr2bl w:val="nil"/>
                  </w:tcBorders>
                  <w:shd w:val="clear" w:color="auto" w:fill="FFFFFF"/>
                  <w:tcMar>
                    <w:top w:w="36" w:type="dxa"/>
                    <w:left w:w="60" w:type="dxa"/>
                    <w:bottom w:w="36" w:type="dxa"/>
                    <w:right w:w="60" w:type="dxa"/>
                  </w:tcMar>
                  <w:vAlign w:val="center"/>
                </w:tcPr>
                <w:p w14:paraId="07DB4DD3">
                  <w:pPr>
                    <w:adjustRightInd w:val="0"/>
                    <w:spacing w:line="320" w:lineRule="exact"/>
                    <w:jc w:val="center"/>
                    <w:rPr>
                      <w:rFonts w:hint="default" w:ascii="Times New Roman" w:hAnsi="Times New Roman" w:eastAsia="宋体" w:cs="Times New Roman"/>
                      <w:color w:val="auto"/>
                      <w:sz w:val="21"/>
                      <w:szCs w:val="21"/>
                    </w:rPr>
                  </w:pPr>
                </w:p>
              </w:tc>
              <w:tc>
                <w:tcPr>
                  <w:tcW w:w="566" w:type="pct"/>
                  <w:tcBorders>
                    <w:tl2br w:val="nil"/>
                    <w:tr2bl w:val="nil"/>
                  </w:tcBorders>
                  <w:shd w:val="clear" w:color="auto" w:fill="FFFFFF"/>
                  <w:tcMar>
                    <w:top w:w="36" w:type="dxa"/>
                    <w:left w:w="60" w:type="dxa"/>
                    <w:bottom w:w="36" w:type="dxa"/>
                    <w:right w:w="60" w:type="dxa"/>
                  </w:tcMar>
                  <w:vAlign w:val="center"/>
                </w:tcPr>
                <w:p w14:paraId="1E05721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TN</w:t>
                  </w:r>
                </w:p>
              </w:tc>
              <w:tc>
                <w:tcPr>
                  <w:tcW w:w="717" w:type="pct"/>
                  <w:vMerge w:val="continue"/>
                  <w:tcBorders>
                    <w:tl2br w:val="nil"/>
                    <w:tr2bl w:val="nil"/>
                  </w:tcBorders>
                  <w:shd w:val="clear" w:color="auto" w:fill="FFFFFF"/>
                  <w:tcMar>
                    <w:top w:w="36" w:type="dxa"/>
                    <w:left w:w="60" w:type="dxa"/>
                    <w:bottom w:w="36" w:type="dxa"/>
                    <w:right w:w="60" w:type="dxa"/>
                  </w:tcMar>
                  <w:vAlign w:val="center"/>
                </w:tcPr>
                <w:p w14:paraId="189942F5">
                  <w:pPr>
                    <w:adjustRightInd w:val="0"/>
                    <w:spacing w:line="320" w:lineRule="exact"/>
                    <w:jc w:val="center"/>
                    <w:rPr>
                      <w:rFonts w:hint="default" w:ascii="Times New Roman" w:hAnsi="Times New Roman" w:eastAsia="宋体" w:cs="Times New Roman"/>
                      <w:color w:val="auto"/>
                      <w:sz w:val="21"/>
                      <w:szCs w:val="21"/>
                    </w:rPr>
                  </w:pPr>
                </w:p>
              </w:tc>
              <w:tc>
                <w:tcPr>
                  <w:tcW w:w="505" w:type="pct"/>
                  <w:tcBorders>
                    <w:tl2br w:val="nil"/>
                    <w:tr2bl w:val="nil"/>
                  </w:tcBorders>
                  <w:shd w:val="clear" w:color="auto" w:fill="FFFFFF"/>
                  <w:tcMar>
                    <w:top w:w="36" w:type="dxa"/>
                    <w:left w:w="60" w:type="dxa"/>
                    <w:bottom w:w="36" w:type="dxa"/>
                    <w:right w:w="60" w:type="dxa"/>
                  </w:tcMar>
                  <w:vAlign w:val="center"/>
                </w:tcPr>
                <w:p w14:paraId="4F93EC3D">
                  <w:pPr>
                    <w:adjustRightInd w:val="0"/>
                    <w:spacing w:line="32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591" w:type="pct"/>
                  <w:vMerge w:val="continue"/>
                  <w:tcBorders>
                    <w:tl2br w:val="nil"/>
                    <w:tr2bl w:val="nil"/>
                  </w:tcBorders>
                  <w:shd w:val="clear" w:color="auto" w:fill="FFFFFF"/>
                  <w:tcMar>
                    <w:top w:w="36" w:type="dxa"/>
                    <w:left w:w="60" w:type="dxa"/>
                    <w:bottom w:w="36" w:type="dxa"/>
                    <w:right w:w="60" w:type="dxa"/>
                  </w:tcMar>
                  <w:vAlign w:val="center"/>
                </w:tcPr>
                <w:p w14:paraId="687D5415">
                  <w:pPr>
                    <w:adjustRightInd w:val="0"/>
                    <w:spacing w:line="320" w:lineRule="exact"/>
                    <w:jc w:val="center"/>
                    <w:rPr>
                      <w:rFonts w:hint="default" w:ascii="Times New Roman" w:hAnsi="Times New Roman" w:eastAsia="宋体" w:cs="Times New Roman"/>
                      <w:color w:val="auto"/>
                      <w:sz w:val="21"/>
                      <w:szCs w:val="21"/>
                    </w:rPr>
                  </w:pPr>
                </w:p>
              </w:tc>
              <w:tc>
                <w:tcPr>
                  <w:tcW w:w="434" w:type="pct"/>
                  <w:vMerge w:val="continue"/>
                  <w:tcBorders>
                    <w:tl2br w:val="nil"/>
                    <w:tr2bl w:val="nil"/>
                  </w:tcBorders>
                  <w:shd w:val="clear" w:color="auto" w:fill="FFFFFF"/>
                  <w:tcMar>
                    <w:top w:w="36" w:type="dxa"/>
                    <w:left w:w="60" w:type="dxa"/>
                    <w:bottom w:w="36" w:type="dxa"/>
                    <w:right w:w="60" w:type="dxa"/>
                  </w:tcMar>
                  <w:vAlign w:val="center"/>
                </w:tcPr>
                <w:p w14:paraId="63CAC166">
                  <w:pPr>
                    <w:adjustRightInd w:val="0"/>
                    <w:spacing w:line="320" w:lineRule="exact"/>
                    <w:jc w:val="center"/>
                    <w:rPr>
                      <w:rFonts w:hint="default" w:ascii="Times New Roman" w:hAnsi="Times New Roman" w:eastAsia="宋体" w:cs="Times New Roman"/>
                      <w:color w:val="auto"/>
                      <w:sz w:val="21"/>
                      <w:szCs w:val="21"/>
                    </w:rPr>
                  </w:pPr>
                </w:p>
              </w:tc>
              <w:tc>
                <w:tcPr>
                  <w:tcW w:w="433" w:type="pct"/>
                  <w:vMerge w:val="continue"/>
                  <w:tcBorders>
                    <w:tl2br w:val="nil"/>
                    <w:tr2bl w:val="nil"/>
                  </w:tcBorders>
                  <w:shd w:val="clear" w:color="auto" w:fill="FFFFFF"/>
                  <w:tcMar>
                    <w:top w:w="36" w:type="dxa"/>
                    <w:left w:w="60" w:type="dxa"/>
                    <w:bottom w:w="36" w:type="dxa"/>
                    <w:right w:w="60" w:type="dxa"/>
                  </w:tcMar>
                  <w:vAlign w:val="center"/>
                </w:tcPr>
                <w:p w14:paraId="439F289D">
                  <w:pPr>
                    <w:adjustRightInd w:val="0"/>
                    <w:spacing w:line="320" w:lineRule="exact"/>
                    <w:jc w:val="center"/>
                    <w:rPr>
                      <w:rFonts w:hint="default" w:ascii="Times New Roman" w:hAnsi="Times New Roman" w:eastAsia="宋体" w:cs="Times New Roman"/>
                      <w:color w:val="auto"/>
                      <w:sz w:val="21"/>
                      <w:szCs w:val="21"/>
                    </w:rPr>
                  </w:pPr>
                </w:p>
              </w:tc>
              <w:tc>
                <w:tcPr>
                  <w:tcW w:w="458" w:type="pct"/>
                  <w:vMerge w:val="continue"/>
                  <w:tcBorders>
                    <w:tl2br w:val="nil"/>
                    <w:tr2bl w:val="nil"/>
                  </w:tcBorders>
                  <w:shd w:val="clear" w:color="auto" w:fill="FFFFFF"/>
                  <w:tcMar>
                    <w:top w:w="36" w:type="dxa"/>
                    <w:left w:w="60" w:type="dxa"/>
                    <w:bottom w:w="36" w:type="dxa"/>
                    <w:right w:w="60" w:type="dxa"/>
                  </w:tcMar>
                  <w:vAlign w:val="center"/>
                </w:tcPr>
                <w:p w14:paraId="12CBF90E">
                  <w:pPr>
                    <w:adjustRightInd w:val="0"/>
                    <w:spacing w:line="320" w:lineRule="exact"/>
                    <w:jc w:val="center"/>
                    <w:rPr>
                      <w:rFonts w:hint="default" w:ascii="Times New Roman" w:hAnsi="Times New Roman" w:eastAsia="宋体" w:cs="Times New Roman"/>
                      <w:color w:val="auto"/>
                      <w:sz w:val="21"/>
                      <w:szCs w:val="21"/>
                    </w:rPr>
                  </w:pPr>
                </w:p>
              </w:tc>
              <w:tc>
                <w:tcPr>
                  <w:tcW w:w="554" w:type="pct"/>
                  <w:vMerge w:val="continue"/>
                  <w:tcBorders>
                    <w:tl2br w:val="nil"/>
                    <w:tr2bl w:val="nil"/>
                  </w:tcBorders>
                  <w:shd w:val="clear" w:color="auto" w:fill="FFFFFF"/>
                  <w:tcMar>
                    <w:top w:w="36" w:type="dxa"/>
                    <w:left w:w="60" w:type="dxa"/>
                    <w:bottom w:w="36" w:type="dxa"/>
                    <w:right w:w="60" w:type="dxa"/>
                  </w:tcMar>
                  <w:vAlign w:val="center"/>
                </w:tcPr>
                <w:p w14:paraId="7F19631E">
                  <w:pPr>
                    <w:adjustRightInd w:val="0"/>
                    <w:spacing w:line="320" w:lineRule="exact"/>
                    <w:jc w:val="center"/>
                    <w:rPr>
                      <w:rFonts w:hint="default" w:ascii="Times New Roman" w:hAnsi="Times New Roman" w:eastAsia="宋体" w:cs="Times New Roman"/>
                      <w:color w:val="auto"/>
                      <w:sz w:val="21"/>
                      <w:szCs w:val="21"/>
                    </w:rPr>
                  </w:pPr>
                </w:p>
              </w:tc>
              <w:tc>
                <w:tcPr>
                  <w:tcW w:w="412" w:type="pct"/>
                  <w:vMerge w:val="continue"/>
                  <w:tcBorders>
                    <w:tl2br w:val="nil"/>
                    <w:tr2bl w:val="nil"/>
                  </w:tcBorders>
                  <w:shd w:val="clear" w:color="auto" w:fill="FFFFFF"/>
                  <w:tcMar>
                    <w:top w:w="36" w:type="dxa"/>
                    <w:left w:w="60" w:type="dxa"/>
                    <w:bottom w:w="36" w:type="dxa"/>
                    <w:right w:w="60" w:type="dxa"/>
                  </w:tcMar>
                  <w:vAlign w:val="center"/>
                </w:tcPr>
                <w:p w14:paraId="248D9A50">
                  <w:pPr>
                    <w:adjustRightInd w:val="0"/>
                    <w:spacing w:line="320" w:lineRule="exact"/>
                    <w:jc w:val="center"/>
                    <w:rPr>
                      <w:rFonts w:hint="default" w:ascii="Times New Roman" w:hAnsi="Times New Roman" w:eastAsia="宋体" w:cs="Times New Roman"/>
                      <w:color w:val="auto"/>
                      <w:sz w:val="21"/>
                      <w:szCs w:val="21"/>
                    </w:rPr>
                  </w:pPr>
                </w:p>
              </w:tc>
            </w:tr>
          </w:tbl>
          <w:p w14:paraId="1126C8D7">
            <w:pPr>
              <w:keepNext w:val="0"/>
              <w:keepLines w:val="0"/>
              <w:pageBreakBefore w:val="0"/>
              <w:widowControl/>
              <w:kinsoku/>
              <w:wordWrap/>
              <w:overflowPunct/>
              <w:topLinePunct w:val="0"/>
              <w:autoSpaceDE/>
              <w:autoSpaceDN/>
              <w:bidi w:val="0"/>
              <w:adjustRightInd/>
              <w:snapToGrid/>
              <w:spacing w:before="157" w:beforeLines="50" w:beforeAutospacing="0"/>
              <w:ind w:left="-105" w:leftChars="-50"/>
              <w:jc w:val="center"/>
              <w:textAlignment w:val="auto"/>
              <w:rPr>
                <w:rFonts w:hint="default" w:ascii="Times New Roman" w:hAnsi="Times New Roman" w:eastAsia="宋体" w:cs="Times New Roman"/>
                <w:b/>
                <w:color w:val="auto"/>
                <w:kern w:val="0"/>
                <w:sz w:val="24"/>
                <w:lang w:val="en-US" w:eastAsia="zh-CN"/>
              </w:rPr>
            </w:pPr>
            <w:r>
              <w:rPr>
                <w:rFonts w:hint="default" w:ascii="Times New Roman" w:hAnsi="Times New Roman" w:eastAsia="宋体" w:cs="Times New Roman"/>
                <w:b/>
                <w:color w:val="auto"/>
                <w:kern w:val="0"/>
                <w:sz w:val="24"/>
                <w:lang w:val="en-US" w:eastAsia="zh-CN"/>
              </w:rPr>
              <w:t>表4-</w:t>
            </w:r>
            <w:r>
              <w:rPr>
                <w:rFonts w:hint="eastAsia" w:ascii="Times New Roman" w:hAnsi="Times New Roman" w:eastAsia="宋体" w:cs="Times New Roman"/>
                <w:b/>
                <w:color w:val="auto"/>
                <w:kern w:val="0"/>
                <w:sz w:val="24"/>
                <w:lang w:val="en-US" w:eastAsia="zh-CN"/>
              </w:rPr>
              <w:t>16</w:t>
            </w:r>
            <w:r>
              <w:rPr>
                <w:rFonts w:hint="default" w:ascii="Times New Roman" w:hAnsi="Times New Roman" w:eastAsia="宋体" w:cs="Times New Roman"/>
                <w:b/>
                <w:color w:val="auto"/>
                <w:kern w:val="0"/>
                <w:sz w:val="24"/>
                <w:lang w:val="en-US" w:eastAsia="zh-CN"/>
              </w:rPr>
              <w:t xml:space="preserve">  废水间接排放口基本情况</w:t>
            </w:r>
          </w:p>
          <w:tbl>
            <w:tblPr>
              <w:tblStyle w:val="63"/>
              <w:tblW w:w="8389" w:type="dxa"/>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shd w:val="clear" w:color="auto" w:fill="FFFFFF"/>
              <w:tblLayout w:type="autofit"/>
              <w:tblCellMar>
                <w:top w:w="15" w:type="dxa"/>
                <w:left w:w="15" w:type="dxa"/>
                <w:bottom w:w="15" w:type="dxa"/>
                <w:right w:w="15" w:type="dxa"/>
              </w:tblCellMar>
            </w:tblPr>
            <w:tblGrid>
              <w:gridCol w:w="814"/>
              <w:gridCol w:w="680"/>
              <w:gridCol w:w="1460"/>
              <w:gridCol w:w="1381"/>
              <w:gridCol w:w="590"/>
              <w:gridCol w:w="997"/>
              <w:gridCol w:w="725"/>
              <w:gridCol w:w="1742"/>
            </w:tblGrid>
            <w:tr w14:paraId="7A6CEAC8">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313" w:hRule="atLeast"/>
                <w:jc w:val="center"/>
              </w:trPr>
              <w:tc>
                <w:tcPr>
                  <w:tcW w:w="814" w:type="dxa"/>
                  <w:vMerge w:val="restart"/>
                  <w:tcBorders>
                    <w:top w:val="single" w:color="auto" w:sz="4" w:space="0"/>
                    <w:left w:val="single" w:color="auto" w:sz="0" w:space="0"/>
                    <w:tl2br w:val="nil"/>
                    <w:tr2bl w:val="nil"/>
                  </w:tcBorders>
                  <w:shd w:val="clear" w:color="auto" w:fill="auto"/>
                  <w:tcMar>
                    <w:top w:w="36" w:type="dxa"/>
                    <w:left w:w="60" w:type="dxa"/>
                    <w:bottom w:w="36" w:type="dxa"/>
                    <w:right w:w="60" w:type="dxa"/>
                  </w:tcMar>
                  <w:vAlign w:val="center"/>
                </w:tcPr>
                <w:p w14:paraId="0DA6F778">
                  <w:pPr>
                    <w:adjustRightInd w:val="0"/>
                    <w:spacing w:line="320" w:lineRule="exact"/>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排放口编号</w:t>
                  </w:r>
                </w:p>
              </w:tc>
              <w:tc>
                <w:tcPr>
                  <w:tcW w:w="680" w:type="dxa"/>
                  <w:vMerge w:val="restart"/>
                  <w:tcBorders>
                    <w:top w:val="single" w:color="auto" w:sz="4" w:space="0"/>
                    <w:tl2br w:val="nil"/>
                    <w:tr2bl w:val="nil"/>
                  </w:tcBorders>
                  <w:shd w:val="clear" w:color="auto" w:fill="auto"/>
                  <w:tcMar>
                    <w:top w:w="36" w:type="dxa"/>
                    <w:left w:w="60" w:type="dxa"/>
                    <w:bottom w:w="36" w:type="dxa"/>
                    <w:right w:w="60" w:type="dxa"/>
                  </w:tcMar>
                  <w:vAlign w:val="center"/>
                </w:tcPr>
                <w:p w14:paraId="34738F63">
                  <w:pPr>
                    <w:adjustRightInd w:val="0"/>
                    <w:spacing w:line="320" w:lineRule="exact"/>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排放口名称</w:t>
                  </w:r>
                </w:p>
              </w:tc>
              <w:tc>
                <w:tcPr>
                  <w:tcW w:w="2841" w:type="dxa"/>
                  <w:gridSpan w:val="2"/>
                  <w:tcBorders>
                    <w:top w:val="single" w:color="auto" w:sz="4" w:space="0"/>
                    <w:tl2br w:val="nil"/>
                    <w:tr2bl w:val="nil"/>
                  </w:tcBorders>
                  <w:shd w:val="clear" w:color="auto" w:fill="auto"/>
                  <w:tcMar>
                    <w:top w:w="36" w:type="dxa"/>
                    <w:left w:w="60" w:type="dxa"/>
                    <w:bottom w:w="36" w:type="dxa"/>
                    <w:right w:w="60" w:type="dxa"/>
                  </w:tcMar>
                  <w:vAlign w:val="center"/>
                </w:tcPr>
                <w:p w14:paraId="6102E8C6">
                  <w:pPr>
                    <w:adjustRightInd w:val="0"/>
                    <w:spacing w:line="320" w:lineRule="exact"/>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排放口地理坐标</w:t>
                  </w:r>
                </w:p>
              </w:tc>
              <w:tc>
                <w:tcPr>
                  <w:tcW w:w="590" w:type="dxa"/>
                  <w:vMerge w:val="restart"/>
                  <w:tcBorders>
                    <w:top w:val="single" w:color="auto" w:sz="4" w:space="0"/>
                    <w:tl2br w:val="nil"/>
                    <w:tr2bl w:val="nil"/>
                  </w:tcBorders>
                  <w:shd w:val="clear" w:color="auto" w:fill="auto"/>
                  <w:tcMar>
                    <w:top w:w="36" w:type="dxa"/>
                    <w:left w:w="60" w:type="dxa"/>
                    <w:bottom w:w="36" w:type="dxa"/>
                    <w:right w:w="60" w:type="dxa"/>
                  </w:tcMar>
                  <w:vAlign w:val="center"/>
                </w:tcPr>
                <w:p w14:paraId="0FC6153A">
                  <w:pPr>
                    <w:adjustRightInd w:val="0"/>
                    <w:spacing w:line="320" w:lineRule="exact"/>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排放去向</w:t>
                  </w:r>
                </w:p>
              </w:tc>
              <w:tc>
                <w:tcPr>
                  <w:tcW w:w="997" w:type="dxa"/>
                  <w:vMerge w:val="restart"/>
                  <w:tcBorders>
                    <w:top w:val="single" w:color="auto" w:sz="4" w:space="0"/>
                    <w:tl2br w:val="nil"/>
                    <w:tr2bl w:val="nil"/>
                  </w:tcBorders>
                  <w:shd w:val="clear" w:color="auto" w:fill="auto"/>
                  <w:tcMar>
                    <w:top w:w="36" w:type="dxa"/>
                    <w:left w:w="60" w:type="dxa"/>
                    <w:bottom w:w="36" w:type="dxa"/>
                    <w:right w:w="60" w:type="dxa"/>
                  </w:tcMar>
                  <w:vAlign w:val="center"/>
                </w:tcPr>
                <w:p w14:paraId="22FAD4AC">
                  <w:pPr>
                    <w:adjustRightInd w:val="0"/>
                    <w:spacing w:line="320" w:lineRule="exact"/>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排放</w:t>
                  </w:r>
                </w:p>
                <w:p w14:paraId="45A4F207">
                  <w:pPr>
                    <w:adjustRightInd w:val="0"/>
                    <w:spacing w:line="320" w:lineRule="exact"/>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规律</w:t>
                  </w:r>
                </w:p>
              </w:tc>
              <w:tc>
                <w:tcPr>
                  <w:tcW w:w="725" w:type="dxa"/>
                  <w:vMerge w:val="restart"/>
                  <w:tcBorders>
                    <w:top w:val="single" w:color="auto" w:sz="4" w:space="0"/>
                    <w:tl2br w:val="nil"/>
                    <w:tr2bl w:val="nil"/>
                  </w:tcBorders>
                  <w:shd w:val="clear" w:color="auto" w:fill="auto"/>
                  <w:tcMar>
                    <w:top w:w="36" w:type="dxa"/>
                    <w:left w:w="60" w:type="dxa"/>
                    <w:bottom w:w="36" w:type="dxa"/>
                    <w:right w:w="60" w:type="dxa"/>
                  </w:tcMar>
                  <w:vAlign w:val="center"/>
                </w:tcPr>
                <w:p w14:paraId="7F149638">
                  <w:pPr>
                    <w:adjustRightInd w:val="0"/>
                    <w:spacing w:line="320" w:lineRule="exact"/>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间歇排放时段</w:t>
                  </w:r>
                </w:p>
              </w:tc>
              <w:tc>
                <w:tcPr>
                  <w:tcW w:w="1742" w:type="dxa"/>
                  <w:vMerge w:val="restart"/>
                  <w:tcBorders>
                    <w:top w:val="single" w:color="auto" w:sz="4" w:space="0"/>
                    <w:right w:val="single" w:color="auto" w:sz="4" w:space="0"/>
                    <w:tl2br w:val="nil"/>
                    <w:tr2bl w:val="nil"/>
                  </w:tcBorders>
                  <w:shd w:val="clear" w:color="auto" w:fill="auto"/>
                  <w:tcMar>
                    <w:top w:w="36" w:type="dxa"/>
                    <w:left w:w="60" w:type="dxa"/>
                    <w:bottom w:w="36" w:type="dxa"/>
                    <w:right w:w="60" w:type="dxa"/>
                  </w:tcMar>
                  <w:vAlign w:val="center"/>
                </w:tcPr>
                <w:p w14:paraId="3171E107">
                  <w:pPr>
                    <w:adjustRightInd w:val="0"/>
                    <w:spacing w:line="320" w:lineRule="exact"/>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排放标准</w:t>
                  </w:r>
                </w:p>
              </w:tc>
            </w:tr>
            <w:tr w14:paraId="46EB3F7F">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282" w:hRule="atLeast"/>
                <w:jc w:val="center"/>
              </w:trPr>
              <w:tc>
                <w:tcPr>
                  <w:tcW w:w="814" w:type="dxa"/>
                  <w:vMerge w:val="continue"/>
                  <w:tcBorders>
                    <w:left w:val="single" w:color="auto" w:sz="4" w:space="0"/>
                    <w:tl2br w:val="nil"/>
                    <w:tr2bl w:val="nil"/>
                  </w:tcBorders>
                  <w:shd w:val="clear" w:color="auto" w:fill="auto"/>
                  <w:tcMar>
                    <w:top w:w="36" w:type="dxa"/>
                    <w:left w:w="60" w:type="dxa"/>
                    <w:bottom w:w="36" w:type="dxa"/>
                    <w:right w:w="60" w:type="dxa"/>
                  </w:tcMar>
                  <w:vAlign w:val="center"/>
                </w:tcPr>
                <w:p w14:paraId="5A8FAD2F">
                  <w:pPr>
                    <w:adjustRightInd w:val="0"/>
                    <w:spacing w:line="320" w:lineRule="exact"/>
                    <w:jc w:val="center"/>
                    <w:rPr>
                      <w:rFonts w:hint="default" w:ascii="Times New Roman" w:hAnsi="Times New Roman" w:eastAsia="宋体" w:cs="Times New Roman"/>
                      <w:color w:val="auto"/>
                      <w:sz w:val="21"/>
                      <w:szCs w:val="21"/>
                    </w:rPr>
                  </w:pPr>
                </w:p>
              </w:tc>
              <w:tc>
                <w:tcPr>
                  <w:tcW w:w="680" w:type="dxa"/>
                  <w:vMerge w:val="continue"/>
                  <w:tcBorders>
                    <w:tl2br w:val="nil"/>
                    <w:tr2bl w:val="nil"/>
                  </w:tcBorders>
                  <w:shd w:val="clear" w:color="auto" w:fill="auto"/>
                  <w:tcMar>
                    <w:top w:w="36" w:type="dxa"/>
                    <w:left w:w="60" w:type="dxa"/>
                    <w:bottom w:w="36" w:type="dxa"/>
                    <w:right w:w="60" w:type="dxa"/>
                  </w:tcMar>
                  <w:vAlign w:val="center"/>
                </w:tcPr>
                <w:p w14:paraId="14ED9D23">
                  <w:pPr>
                    <w:adjustRightInd w:val="0"/>
                    <w:spacing w:line="320" w:lineRule="exact"/>
                    <w:jc w:val="center"/>
                    <w:rPr>
                      <w:rFonts w:hint="default" w:ascii="Times New Roman" w:hAnsi="Times New Roman" w:eastAsia="宋体" w:cs="Times New Roman"/>
                      <w:color w:val="auto"/>
                      <w:sz w:val="21"/>
                      <w:szCs w:val="21"/>
                    </w:rPr>
                  </w:pPr>
                </w:p>
              </w:tc>
              <w:tc>
                <w:tcPr>
                  <w:tcW w:w="1460" w:type="dxa"/>
                  <w:tcBorders>
                    <w:tl2br w:val="nil"/>
                    <w:tr2bl w:val="nil"/>
                  </w:tcBorders>
                  <w:shd w:val="clear" w:color="auto" w:fill="auto"/>
                  <w:tcMar>
                    <w:top w:w="36" w:type="dxa"/>
                    <w:left w:w="60" w:type="dxa"/>
                    <w:bottom w:w="36" w:type="dxa"/>
                    <w:right w:w="60" w:type="dxa"/>
                  </w:tcMar>
                  <w:vAlign w:val="center"/>
                </w:tcPr>
                <w:p w14:paraId="7661E639">
                  <w:pPr>
                    <w:adjustRightInd w:val="0"/>
                    <w:spacing w:line="320" w:lineRule="exact"/>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经度</w:t>
                  </w:r>
                </w:p>
              </w:tc>
              <w:tc>
                <w:tcPr>
                  <w:tcW w:w="1381" w:type="dxa"/>
                  <w:tcBorders>
                    <w:tl2br w:val="nil"/>
                    <w:tr2bl w:val="nil"/>
                  </w:tcBorders>
                  <w:shd w:val="clear" w:color="auto" w:fill="auto"/>
                  <w:tcMar>
                    <w:top w:w="36" w:type="dxa"/>
                    <w:left w:w="60" w:type="dxa"/>
                    <w:bottom w:w="36" w:type="dxa"/>
                    <w:right w:w="60" w:type="dxa"/>
                  </w:tcMar>
                  <w:vAlign w:val="center"/>
                </w:tcPr>
                <w:p w14:paraId="474946E9">
                  <w:pPr>
                    <w:adjustRightInd w:val="0"/>
                    <w:spacing w:line="320" w:lineRule="exact"/>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纬度</w:t>
                  </w:r>
                </w:p>
              </w:tc>
              <w:tc>
                <w:tcPr>
                  <w:tcW w:w="590" w:type="dxa"/>
                  <w:vMerge w:val="continue"/>
                  <w:tcBorders>
                    <w:tl2br w:val="nil"/>
                    <w:tr2bl w:val="nil"/>
                  </w:tcBorders>
                  <w:shd w:val="clear" w:color="auto" w:fill="auto"/>
                  <w:tcMar>
                    <w:top w:w="36" w:type="dxa"/>
                    <w:left w:w="60" w:type="dxa"/>
                    <w:bottom w:w="36" w:type="dxa"/>
                    <w:right w:w="60" w:type="dxa"/>
                  </w:tcMar>
                  <w:vAlign w:val="center"/>
                </w:tcPr>
                <w:p w14:paraId="39137EE5">
                  <w:pPr>
                    <w:adjustRightInd w:val="0"/>
                    <w:spacing w:line="320" w:lineRule="exact"/>
                    <w:jc w:val="center"/>
                    <w:rPr>
                      <w:rFonts w:hint="default" w:ascii="Times New Roman" w:hAnsi="Times New Roman" w:eastAsia="宋体" w:cs="Times New Roman"/>
                      <w:color w:val="auto"/>
                      <w:sz w:val="21"/>
                      <w:szCs w:val="21"/>
                      <w:lang w:val="en-US" w:eastAsia="zh-CN"/>
                    </w:rPr>
                  </w:pPr>
                </w:p>
              </w:tc>
              <w:tc>
                <w:tcPr>
                  <w:tcW w:w="997" w:type="dxa"/>
                  <w:vMerge w:val="continue"/>
                  <w:tcBorders>
                    <w:tl2br w:val="nil"/>
                    <w:tr2bl w:val="nil"/>
                  </w:tcBorders>
                  <w:shd w:val="clear" w:color="auto" w:fill="auto"/>
                  <w:tcMar>
                    <w:top w:w="36" w:type="dxa"/>
                    <w:left w:w="60" w:type="dxa"/>
                    <w:bottom w:w="36" w:type="dxa"/>
                    <w:right w:w="60" w:type="dxa"/>
                  </w:tcMar>
                  <w:vAlign w:val="center"/>
                </w:tcPr>
                <w:p w14:paraId="132F310B">
                  <w:pPr>
                    <w:adjustRightInd w:val="0"/>
                    <w:spacing w:line="320" w:lineRule="exact"/>
                    <w:jc w:val="center"/>
                    <w:rPr>
                      <w:rFonts w:hint="default" w:ascii="Times New Roman" w:hAnsi="Times New Roman" w:eastAsia="宋体" w:cs="Times New Roman"/>
                      <w:color w:val="auto"/>
                      <w:sz w:val="21"/>
                      <w:szCs w:val="21"/>
                      <w:lang w:val="en-US" w:eastAsia="zh-CN"/>
                    </w:rPr>
                  </w:pPr>
                </w:p>
              </w:tc>
              <w:tc>
                <w:tcPr>
                  <w:tcW w:w="725" w:type="dxa"/>
                  <w:vMerge w:val="continue"/>
                  <w:tcBorders>
                    <w:tl2br w:val="nil"/>
                    <w:tr2bl w:val="nil"/>
                  </w:tcBorders>
                  <w:shd w:val="clear" w:color="auto" w:fill="auto"/>
                  <w:tcMar>
                    <w:top w:w="36" w:type="dxa"/>
                    <w:left w:w="60" w:type="dxa"/>
                    <w:bottom w:w="36" w:type="dxa"/>
                    <w:right w:w="60" w:type="dxa"/>
                  </w:tcMar>
                  <w:vAlign w:val="center"/>
                </w:tcPr>
                <w:p w14:paraId="1E91821C">
                  <w:pPr>
                    <w:adjustRightInd w:val="0"/>
                    <w:spacing w:line="320" w:lineRule="exact"/>
                    <w:jc w:val="center"/>
                    <w:rPr>
                      <w:rFonts w:hint="default" w:ascii="Times New Roman" w:hAnsi="Times New Roman" w:eastAsia="宋体" w:cs="Times New Roman"/>
                      <w:color w:val="auto"/>
                      <w:sz w:val="21"/>
                      <w:szCs w:val="21"/>
                      <w:lang w:val="en-US" w:eastAsia="zh-CN"/>
                    </w:rPr>
                  </w:pPr>
                </w:p>
              </w:tc>
              <w:tc>
                <w:tcPr>
                  <w:tcW w:w="1742" w:type="dxa"/>
                  <w:vMerge w:val="continue"/>
                  <w:tcBorders>
                    <w:right w:val="single" w:color="auto" w:sz="4" w:space="0"/>
                    <w:tl2br w:val="nil"/>
                    <w:tr2bl w:val="nil"/>
                  </w:tcBorders>
                  <w:shd w:val="clear" w:color="auto" w:fill="auto"/>
                  <w:tcMar>
                    <w:top w:w="36" w:type="dxa"/>
                    <w:left w:w="60" w:type="dxa"/>
                    <w:bottom w:w="36" w:type="dxa"/>
                    <w:right w:w="60" w:type="dxa"/>
                  </w:tcMar>
                  <w:vAlign w:val="center"/>
                </w:tcPr>
                <w:p w14:paraId="68F0DB2B">
                  <w:pPr>
                    <w:adjustRightInd w:val="0"/>
                    <w:spacing w:line="320" w:lineRule="exact"/>
                    <w:jc w:val="center"/>
                    <w:rPr>
                      <w:rFonts w:hint="default" w:ascii="Times New Roman" w:hAnsi="Times New Roman" w:eastAsia="宋体" w:cs="Times New Roman"/>
                      <w:color w:val="auto"/>
                      <w:sz w:val="21"/>
                      <w:szCs w:val="21"/>
                      <w:lang w:val="en-US" w:eastAsia="zh-CN"/>
                    </w:rPr>
                  </w:pPr>
                </w:p>
              </w:tc>
            </w:tr>
            <w:tr w14:paraId="4125A4FD">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950" w:hRule="atLeast"/>
                <w:jc w:val="center"/>
              </w:trPr>
              <w:tc>
                <w:tcPr>
                  <w:tcW w:w="814" w:type="dxa"/>
                  <w:tcBorders>
                    <w:left w:val="single" w:color="auto" w:sz="4" w:space="0"/>
                    <w:bottom w:val="single" w:color="auto" w:sz="4" w:space="0"/>
                    <w:tl2br w:val="nil"/>
                    <w:tr2bl w:val="nil"/>
                  </w:tcBorders>
                  <w:shd w:val="clear" w:color="auto" w:fill="FFFFFF"/>
                  <w:tcMar>
                    <w:top w:w="36" w:type="dxa"/>
                    <w:left w:w="60" w:type="dxa"/>
                    <w:bottom w:w="36" w:type="dxa"/>
                    <w:right w:w="60" w:type="dxa"/>
                  </w:tcMar>
                  <w:vAlign w:val="center"/>
                </w:tcPr>
                <w:p w14:paraId="3A49A90F">
                  <w:pPr>
                    <w:adjustRightInd w:val="0"/>
                    <w:spacing w:line="320" w:lineRule="exact"/>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DW001</w:t>
                  </w:r>
                </w:p>
              </w:tc>
              <w:tc>
                <w:tcPr>
                  <w:tcW w:w="680" w:type="dxa"/>
                  <w:tcBorders>
                    <w:bottom w:val="single" w:color="auto" w:sz="4" w:space="0"/>
                    <w:tl2br w:val="nil"/>
                    <w:tr2bl w:val="nil"/>
                  </w:tcBorders>
                  <w:shd w:val="clear" w:color="auto" w:fill="FFFFFF"/>
                  <w:tcMar>
                    <w:top w:w="36" w:type="dxa"/>
                    <w:left w:w="60" w:type="dxa"/>
                    <w:bottom w:w="36" w:type="dxa"/>
                    <w:right w:w="60" w:type="dxa"/>
                  </w:tcMar>
                  <w:vAlign w:val="center"/>
                </w:tcPr>
                <w:p w14:paraId="79854277">
                  <w:pPr>
                    <w:adjustRightInd w:val="0"/>
                    <w:spacing w:line="320" w:lineRule="exact"/>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污水排放口</w:t>
                  </w:r>
                </w:p>
              </w:tc>
              <w:tc>
                <w:tcPr>
                  <w:tcW w:w="1460" w:type="dxa"/>
                  <w:tcBorders>
                    <w:bottom w:val="single" w:color="auto" w:sz="4" w:space="0"/>
                    <w:tl2br w:val="nil"/>
                    <w:tr2bl w:val="nil"/>
                  </w:tcBorders>
                  <w:shd w:val="clear" w:color="auto" w:fill="FFFFFF"/>
                  <w:tcMar>
                    <w:top w:w="36" w:type="dxa"/>
                    <w:left w:w="60" w:type="dxa"/>
                    <w:bottom w:w="36" w:type="dxa"/>
                    <w:right w:w="60" w:type="dxa"/>
                  </w:tcMar>
                  <w:vAlign w:val="center"/>
                </w:tcPr>
                <w:p w14:paraId="2BC0315B">
                  <w:pPr>
                    <w:adjustRightInd w:val="0"/>
                    <w:spacing w:line="32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118°36.55564″</w:t>
                  </w:r>
                </w:p>
              </w:tc>
              <w:tc>
                <w:tcPr>
                  <w:tcW w:w="1381" w:type="dxa"/>
                  <w:tcBorders>
                    <w:bottom w:val="single" w:color="auto" w:sz="4" w:space="0"/>
                    <w:tl2br w:val="nil"/>
                    <w:tr2bl w:val="nil"/>
                  </w:tcBorders>
                  <w:shd w:val="clear" w:color="auto" w:fill="FFFFFF"/>
                  <w:tcMar>
                    <w:top w:w="36" w:type="dxa"/>
                    <w:left w:w="60" w:type="dxa"/>
                    <w:bottom w:w="36" w:type="dxa"/>
                    <w:right w:w="60" w:type="dxa"/>
                  </w:tcMar>
                  <w:vAlign w:val="center"/>
                </w:tcPr>
                <w:p w14:paraId="2105EA52">
                  <w:pPr>
                    <w:adjustRightInd w:val="0"/>
                    <w:spacing w:line="32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31°08.13898″</w:t>
                  </w:r>
                </w:p>
              </w:tc>
              <w:tc>
                <w:tcPr>
                  <w:tcW w:w="590" w:type="dxa"/>
                  <w:tcBorders>
                    <w:bottom w:val="single" w:color="auto" w:sz="4" w:space="0"/>
                    <w:tl2br w:val="nil"/>
                    <w:tr2bl w:val="nil"/>
                  </w:tcBorders>
                  <w:shd w:val="clear" w:color="auto" w:fill="FFFFFF"/>
                  <w:tcMar>
                    <w:top w:w="36" w:type="dxa"/>
                    <w:left w:w="60" w:type="dxa"/>
                    <w:bottom w:w="36" w:type="dxa"/>
                    <w:right w:w="60" w:type="dxa"/>
                  </w:tcMar>
                  <w:vAlign w:val="center"/>
                </w:tcPr>
                <w:p w14:paraId="695F614E">
                  <w:pPr>
                    <w:adjustRightInd w:val="0"/>
                    <w:spacing w:line="320" w:lineRule="exact"/>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进入</w:t>
                  </w:r>
                  <w:r>
                    <w:rPr>
                      <w:rFonts w:hint="eastAsia" w:cs="Times New Roman"/>
                      <w:color w:val="auto"/>
                      <w:sz w:val="21"/>
                      <w:szCs w:val="21"/>
                      <w:lang w:val="en-US" w:eastAsia="zh-CN"/>
                    </w:rPr>
                    <w:t>芜湖县新芜开发区城东污水处理厂</w:t>
                  </w:r>
                </w:p>
              </w:tc>
              <w:tc>
                <w:tcPr>
                  <w:tcW w:w="997" w:type="dxa"/>
                  <w:tcBorders>
                    <w:bottom w:val="single" w:color="auto" w:sz="4" w:space="0"/>
                    <w:tl2br w:val="nil"/>
                    <w:tr2bl w:val="nil"/>
                  </w:tcBorders>
                  <w:shd w:val="clear" w:color="auto" w:fill="FFFFFF"/>
                  <w:tcMar>
                    <w:top w:w="36" w:type="dxa"/>
                    <w:left w:w="60" w:type="dxa"/>
                    <w:bottom w:w="36" w:type="dxa"/>
                    <w:right w:w="60" w:type="dxa"/>
                  </w:tcMar>
                  <w:vAlign w:val="center"/>
                </w:tcPr>
                <w:p w14:paraId="43A36FAC">
                  <w:pPr>
                    <w:adjustRightInd w:val="0"/>
                    <w:spacing w:line="320" w:lineRule="exact"/>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间断排放，排放期间流量不稳定且无规律，但不属于冲击型排放</w:t>
                  </w:r>
                </w:p>
              </w:tc>
              <w:tc>
                <w:tcPr>
                  <w:tcW w:w="725" w:type="dxa"/>
                  <w:tcBorders>
                    <w:bottom w:val="single" w:color="auto" w:sz="4" w:space="0"/>
                    <w:tl2br w:val="nil"/>
                    <w:tr2bl w:val="nil"/>
                  </w:tcBorders>
                  <w:shd w:val="clear" w:color="auto" w:fill="FFFFFF"/>
                  <w:tcMar>
                    <w:top w:w="36" w:type="dxa"/>
                    <w:left w:w="60" w:type="dxa"/>
                    <w:bottom w:w="36" w:type="dxa"/>
                    <w:right w:w="60" w:type="dxa"/>
                  </w:tcMar>
                  <w:vAlign w:val="center"/>
                </w:tcPr>
                <w:p w14:paraId="5BC11C20">
                  <w:pPr>
                    <w:adjustRightInd w:val="0"/>
                    <w:spacing w:line="320" w:lineRule="exact"/>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生产时</w:t>
                  </w:r>
                </w:p>
              </w:tc>
              <w:tc>
                <w:tcPr>
                  <w:tcW w:w="1742" w:type="dxa"/>
                  <w:tcBorders>
                    <w:bottom w:val="single" w:color="auto" w:sz="4" w:space="0"/>
                    <w:right w:val="single" w:color="auto" w:sz="4" w:space="0"/>
                    <w:tl2br w:val="nil"/>
                    <w:tr2bl w:val="nil"/>
                  </w:tcBorders>
                  <w:shd w:val="clear" w:color="auto" w:fill="FFFFFF"/>
                  <w:tcMar>
                    <w:top w:w="36" w:type="dxa"/>
                    <w:left w:w="60" w:type="dxa"/>
                    <w:bottom w:w="36" w:type="dxa"/>
                    <w:right w:w="60" w:type="dxa"/>
                  </w:tcMar>
                  <w:vAlign w:val="center"/>
                </w:tcPr>
                <w:p w14:paraId="49A1668A">
                  <w:pPr>
                    <w:adjustRightInd w:val="0"/>
                    <w:spacing w:line="32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Cs/>
                      <w:color w:val="auto"/>
                      <w:sz w:val="21"/>
                      <w:szCs w:val="21"/>
                    </w:rPr>
                    <w:t>《污水综合排放标准》（GB8978-1996）表4三级标准</w:t>
                  </w:r>
                  <w:r>
                    <w:rPr>
                      <w:rFonts w:hint="default" w:ascii="Times New Roman" w:hAnsi="Times New Roman" w:cs="Times New Roman"/>
                      <w:bCs/>
                      <w:color w:val="auto"/>
                      <w:sz w:val="21"/>
                      <w:szCs w:val="21"/>
                      <w:lang w:val="en-US" w:eastAsia="zh-CN"/>
                    </w:rPr>
                    <w:t>及</w:t>
                  </w:r>
                  <w:r>
                    <w:rPr>
                      <w:rFonts w:hint="eastAsia" w:cs="Times New Roman"/>
                      <w:bCs/>
                      <w:color w:val="auto"/>
                      <w:sz w:val="21"/>
                      <w:szCs w:val="21"/>
                      <w:lang w:eastAsia="zh-CN"/>
                    </w:rPr>
                    <w:t>芜湖县新芜开发区城东污水处理厂</w:t>
                  </w:r>
                  <w:r>
                    <w:rPr>
                      <w:rFonts w:hint="default" w:ascii="Times New Roman" w:hAnsi="Times New Roman" w:eastAsia="宋体" w:cs="Times New Roman"/>
                      <w:bCs/>
                      <w:color w:val="auto"/>
                      <w:sz w:val="21"/>
                      <w:szCs w:val="21"/>
                    </w:rPr>
                    <w:t>接管要求</w:t>
                  </w:r>
                </w:p>
              </w:tc>
            </w:tr>
          </w:tbl>
          <w:p w14:paraId="7EED86E3">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rFonts w:hint="default" w:ascii="Times New Roman" w:hAnsi="Times New Roman" w:cs="Times New Roman"/>
                <w:b/>
                <w:color w:val="auto"/>
                <w:sz w:val="24"/>
                <w:lang w:bidi="ar"/>
              </w:rPr>
            </w:pPr>
            <w:r>
              <w:rPr>
                <w:rFonts w:hint="default" w:ascii="Times New Roman" w:hAnsi="Times New Roman" w:eastAsia="宋体" w:cs="Times New Roman"/>
                <w:b/>
                <w:color w:val="auto"/>
                <w:kern w:val="0"/>
                <w:sz w:val="24"/>
              </w:rPr>
              <w:t>表4-</w:t>
            </w:r>
            <w:r>
              <w:rPr>
                <w:rFonts w:hint="eastAsia" w:cs="Times New Roman"/>
                <w:b/>
                <w:color w:val="auto"/>
                <w:kern w:val="0"/>
                <w:sz w:val="24"/>
                <w:lang w:val="en-US" w:eastAsia="zh-CN"/>
              </w:rPr>
              <w:t>17</w:t>
            </w:r>
            <w:r>
              <w:rPr>
                <w:rFonts w:hint="default" w:ascii="Times New Roman" w:hAnsi="Times New Roman" w:eastAsia="宋体" w:cs="Times New Roman"/>
                <w:b/>
                <w:color w:val="auto"/>
                <w:kern w:val="0"/>
                <w:sz w:val="24"/>
              </w:rPr>
              <w:t xml:space="preserve"> </w:t>
            </w:r>
            <w:r>
              <w:rPr>
                <w:rFonts w:hint="default" w:ascii="Times New Roman" w:hAnsi="Times New Roman" w:eastAsia="宋体" w:cs="Times New Roman"/>
                <w:b/>
                <w:color w:val="auto"/>
                <w:kern w:val="0"/>
                <w:sz w:val="24"/>
                <w:lang w:val="en-US" w:eastAsia="zh-CN"/>
              </w:rPr>
              <w:t xml:space="preserve"> </w:t>
            </w:r>
            <w:r>
              <w:rPr>
                <w:rFonts w:hint="default" w:ascii="Times New Roman" w:hAnsi="Times New Roman" w:eastAsia="宋体" w:cs="Times New Roman"/>
                <w:b/>
                <w:color w:val="auto"/>
                <w:kern w:val="0"/>
                <w:sz w:val="24"/>
              </w:rPr>
              <w:t>废水排放达标分析表  单位：mg/m</w:t>
            </w:r>
            <w:r>
              <w:rPr>
                <w:rFonts w:hint="default" w:ascii="Times New Roman" w:hAnsi="Times New Roman" w:cs="Times New Roman"/>
                <w:b/>
                <w:color w:val="auto"/>
                <w:sz w:val="24"/>
                <w:vertAlign w:val="superscript"/>
                <w:lang w:bidi="ar"/>
              </w:rPr>
              <w:t>3</w:t>
            </w:r>
          </w:p>
          <w:tbl>
            <w:tblPr>
              <w:tblStyle w:val="6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4"/>
              <w:gridCol w:w="1323"/>
              <w:gridCol w:w="1152"/>
              <w:gridCol w:w="3515"/>
              <w:gridCol w:w="1272"/>
            </w:tblGrid>
            <w:tr w14:paraId="059C2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665" w:type="pct"/>
                  <w:noWrap w:val="0"/>
                  <w:vAlign w:val="center"/>
                </w:tcPr>
                <w:p w14:paraId="184DF055">
                  <w:pPr>
                    <w:spacing w:line="36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lang w:bidi="ar"/>
                    </w:rPr>
                    <w:t>排放口</w:t>
                  </w:r>
                </w:p>
              </w:tc>
              <w:tc>
                <w:tcPr>
                  <w:tcW w:w="789" w:type="pct"/>
                  <w:noWrap w:val="0"/>
                  <w:vAlign w:val="center"/>
                </w:tcPr>
                <w:p w14:paraId="607CF2CC">
                  <w:pPr>
                    <w:spacing w:line="36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lang w:bidi="ar"/>
                    </w:rPr>
                    <w:t>污染物</w:t>
                  </w:r>
                </w:p>
              </w:tc>
              <w:tc>
                <w:tcPr>
                  <w:tcW w:w="687" w:type="pct"/>
                  <w:noWrap w:val="0"/>
                  <w:vAlign w:val="center"/>
                </w:tcPr>
                <w:p w14:paraId="084E8664">
                  <w:pPr>
                    <w:spacing w:line="360" w:lineRule="exact"/>
                    <w:jc w:val="center"/>
                    <w:rPr>
                      <w:rFonts w:hint="default" w:ascii="Times New Roman" w:hAnsi="Times New Roman" w:cs="Times New Roman"/>
                      <w:b/>
                      <w:color w:val="auto"/>
                      <w:szCs w:val="21"/>
                      <w:lang w:bidi="ar"/>
                    </w:rPr>
                  </w:pPr>
                  <w:r>
                    <w:rPr>
                      <w:rFonts w:hint="default" w:ascii="Times New Roman" w:hAnsi="Times New Roman" w:cs="Times New Roman"/>
                      <w:b/>
                      <w:color w:val="auto"/>
                      <w:szCs w:val="21"/>
                      <w:lang w:bidi="ar"/>
                    </w:rPr>
                    <w:t>预测排放浓度</w:t>
                  </w:r>
                </w:p>
              </w:tc>
              <w:tc>
                <w:tcPr>
                  <w:tcW w:w="2097" w:type="pct"/>
                  <w:noWrap w:val="0"/>
                  <w:vAlign w:val="center"/>
                </w:tcPr>
                <w:p w14:paraId="50BCD8B6">
                  <w:pPr>
                    <w:spacing w:line="360" w:lineRule="exact"/>
                    <w:jc w:val="center"/>
                    <w:rPr>
                      <w:rFonts w:hint="default" w:ascii="Times New Roman" w:hAnsi="Times New Roman" w:cs="Times New Roman"/>
                      <w:b/>
                      <w:color w:val="auto"/>
                      <w:szCs w:val="21"/>
                    </w:rPr>
                  </w:pPr>
                  <w:r>
                    <w:rPr>
                      <w:rFonts w:hint="default" w:ascii="Times New Roman" w:hAnsi="Times New Roman" w:eastAsia="宋体" w:cs="Times New Roman"/>
                      <w:b/>
                      <w:color w:val="auto"/>
                      <w:szCs w:val="21"/>
                    </w:rPr>
                    <w:t>《污水综合排放标准》(GB8978-1996)表4中三级排放标准</w:t>
                  </w:r>
                </w:p>
              </w:tc>
              <w:tc>
                <w:tcPr>
                  <w:tcW w:w="759" w:type="pct"/>
                  <w:noWrap w:val="0"/>
                  <w:vAlign w:val="center"/>
                </w:tcPr>
                <w:p w14:paraId="7E91E063">
                  <w:pPr>
                    <w:spacing w:line="360" w:lineRule="exact"/>
                    <w:jc w:val="center"/>
                    <w:rPr>
                      <w:rFonts w:hint="default" w:ascii="Times New Roman" w:hAnsi="Times New Roman" w:cs="Times New Roman"/>
                      <w:b/>
                      <w:color w:val="auto"/>
                      <w:szCs w:val="21"/>
                      <w:lang w:bidi="ar"/>
                    </w:rPr>
                  </w:pPr>
                  <w:r>
                    <w:rPr>
                      <w:rFonts w:hint="default" w:ascii="Times New Roman" w:hAnsi="Times New Roman" w:cs="Times New Roman"/>
                      <w:b/>
                      <w:color w:val="auto"/>
                      <w:szCs w:val="21"/>
                      <w:lang w:bidi="ar"/>
                    </w:rPr>
                    <w:t>达标</w:t>
                  </w:r>
                </w:p>
                <w:p w14:paraId="0E75ED77">
                  <w:pPr>
                    <w:spacing w:line="36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lang w:bidi="ar"/>
                    </w:rPr>
                    <w:t>情况</w:t>
                  </w:r>
                </w:p>
              </w:tc>
            </w:tr>
            <w:tr w14:paraId="70F78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665" w:type="pct"/>
                  <w:vMerge w:val="restart"/>
                  <w:noWrap w:val="0"/>
                  <w:vAlign w:val="center"/>
                </w:tcPr>
                <w:p w14:paraId="0FAFFD18">
                  <w:pPr>
                    <w:spacing w:line="36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DW001</w:t>
                  </w:r>
                </w:p>
              </w:tc>
              <w:tc>
                <w:tcPr>
                  <w:tcW w:w="789" w:type="pct"/>
                  <w:noWrap w:val="0"/>
                  <w:vAlign w:val="center"/>
                </w:tcPr>
                <w:p w14:paraId="3F83D02A">
                  <w:pPr>
                    <w:pStyle w:val="59"/>
                    <w:widowControl w:val="0"/>
                    <w:spacing w:before="0" w:beforeAutospacing="0" w:after="0" w:afterAutospacing="0" w:line="360" w:lineRule="exact"/>
                    <w:jc w:val="center"/>
                    <w:rPr>
                      <w:rFonts w:hint="default" w:ascii="Times New Roman" w:hAnsi="Times New Roman" w:cs="Times New Roman"/>
                      <w:bCs/>
                      <w:color w:val="auto"/>
                      <w:kern w:val="2"/>
                      <w:sz w:val="21"/>
                      <w:szCs w:val="21"/>
                      <w:lang w:bidi="ar"/>
                    </w:rPr>
                  </w:pPr>
                  <w:r>
                    <w:rPr>
                      <w:rFonts w:hint="default" w:ascii="Times New Roman" w:hAnsi="Times New Roman" w:cs="Times New Roman"/>
                      <w:bCs/>
                      <w:color w:val="auto"/>
                      <w:kern w:val="2"/>
                      <w:sz w:val="21"/>
                      <w:szCs w:val="21"/>
                      <w:lang w:bidi="ar"/>
                    </w:rPr>
                    <w:t>pH</w:t>
                  </w:r>
                </w:p>
              </w:tc>
              <w:tc>
                <w:tcPr>
                  <w:tcW w:w="687" w:type="pct"/>
                  <w:noWrap w:val="0"/>
                  <w:vAlign w:val="center"/>
                </w:tcPr>
                <w:p w14:paraId="5417FE3E">
                  <w:pPr>
                    <w:widowControl/>
                    <w:spacing w:line="360" w:lineRule="exact"/>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lang w:bidi="ar"/>
                    </w:rPr>
                    <w:t>6~9</w:t>
                  </w:r>
                </w:p>
              </w:tc>
              <w:tc>
                <w:tcPr>
                  <w:tcW w:w="2097" w:type="pct"/>
                  <w:noWrap w:val="0"/>
                  <w:vAlign w:val="center"/>
                </w:tcPr>
                <w:p w14:paraId="6CC64F0C">
                  <w:pPr>
                    <w:autoSpaceDE w:val="0"/>
                    <w:spacing w:line="360" w:lineRule="exact"/>
                    <w:jc w:val="center"/>
                    <w:rPr>
                      <w:rFonts w:hint="default" w:ascii="Times New Roman" w:hAnsi="Times New Roman" w:cs="Times New Roman"/>
                      <w:bCs/>
                      <w:color w:val="auto"/>
                      <w:szCs w:val="21"/>
                      <w:lang w:bidi="ar"/>
                    </w:rPr>
                  </w:pPr>
                  <w:r>
                    <w:rPr>
                      <w:rFonts w:hint="default" w:ascii="Times New Roman" w:hAnsi="Times New Roman" w:cs="Times New Roman"/>
                      <w:bCs/>
                      <w:color w:val="auto"/>
                      <w:szCs w:val="21"/>
                      <w:lang w:bidi="ar"/>
                    </w:rPr>
                    <w:t>≤6~9</w:t>
                  </w:r>
                </w:p>
              </w:tc>
              <w:tc>
                <w:tcPr>
                  <w:tcW w:w="759" w:type="pct"/>
                  <w:noWrap w:val="0"/>
                  <w:vAlign w:val="center"/>
                </w:tcPr>
                <w:p w14:paraId="0B22FFDB">
                  <w:pPr>
                    <w:autoSpaceDE w:val="0"/>
                    <w:spacing w:line="360" w:lineRule="exact"/>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达标</w:t>
                  </w:r>
                </w:p>
              </w:tc>
            </w:tr>
            <w:tr w14:paraId="0122E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665" w:type="pct"/>
                  <w:vMerge w:val="continue"/>
                  <w:noWrap w:val="0"/>
                  <w:vAlign w:val="center"/>
                </w:tcPr>
                <w:p w14:paraId="486BC64D">
                  <w:pPr>
                    <w:spacing w:line="360" w:lineRule="exact"/>
                    <w:jc w:val="center"/>
                    <w:rPr>
                      <w:rFonts w:hint="default" w:ascii="Times New Roman" w:hAnsi="Times New Roman" w:cs="Times New Roman"/>
                      <w:color w:val="auto"/>
                      <w:szCs w:val="21"/>
                    </w:rPr>
                  </w:pPr>
                </w:p>
              </w:tc>
              <w:tc>
                <w:tcPr>
                  <w:tcW w:w="789" w:type="pct"/>
                  <w:noWrap w:val="0"/>
                  <w:vAlign w:val="center"/>
                </w:tcPr>
                <w:p w14:paraId="0045349E">
                  <w:pPr>
                    <w:widowControl/>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COD</w:t>
                  </w:r>
                </w:p>
              </w:tc>
              <w:tc>
                <w:tcPr>
                  <w:tcW w:w="687" w:type="pct"/>
                  <w:shd w:val="clear" w:color="auto" w:fill="auto"/>
                  <w:noWrap w:val="0"/>
                  <w:vAlign w:val="center"/>
                </w:tcPr>
                <w:p w14:paraId="6B4B05F2">
                  <w:pPr>
                    <w:autoSpaceDE w:val="0"/>
                    <w:spacing w:line="360" w:lineRule="exact"/>
                    <w:jc w:val="center"/>
                    <w:rPr>
                      <w:rFonts w:hint="default" w:ascii="Times New Roman" w:hAnsi="Times New Roman" w:eastAsia="宋体" w:cs="Times New Roman"/>
                      <w:bCs/>
                      <w:color w:val="auto"/>
                      <w:szCs w:val="21"/>
                      <w:lang w:val="en-US" w:eastAsia="zh-CN" w:bidi="ar"/>
                    </w:rPr>
                  </w:pPr>
                  <w:r>
                    <w:rPr>
                      <w:rFonts w:hint="default" w:ascii="Times New Roman" w:hAnsi="Times New Roman" w:eastAsia="宋体" w:cs="Times New Roman"/>
                      <w:bCs/>
                      <w:color w:val="auto"/>
                      <w:szCs w:val="21"/>
                      <w:lang w:bidi="ar"/>
                    </w:rPr>
                    <w:t>289</w:t>
                  </w:r>
                </w:p>
              </w:tc>
              <w:tc>
                <w:tcPr>
                  <w:tcW w:w="2097" w:type="pct"/>
                  <w:noWrap w:val="0"/>
                  <w:vAlign w:val="center"/>
                </w:tcPr>
                <w:p w14:paraId="19591A32">
                  <w:pPr>
                    <w:autoSpaceDE w:val="0"/>
                    <w:spacing w:line="360" w:lineRule="exact"/>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bCs/>
                      <w:color w:val="auto"/>
                      <w:szCs w:val="21"/>
                      <w:lang w:bidi="ar"/>
                    </w:rPr>
                    <w:t>≤3</w:t>
                  </w:r>
                  <w:r>
                    <w:rPr>
                      <w:rFonts w:hint="eastAsia" w:cs="Times New Roman"/>
                      <w:bCs/>
                      <w:color w:val="auto"/>
                      <w:szCs w:val="21"/>
                      <w:lang w:val="en-US" w:eastAsia="zh-CN" w:bidi="ar"/>
                    </w:rPr>
                    <w:t>00</w:t>
                  </w:r>
                </w:p>
              </w:tc>
              <w:tc>
                <w:tcPr>
                  <w:tcW w:w="759" w:type="pct"/>
                  <w:noWrap w:val="0"/>
                  <w:vAlign w:val="center"/>
                </w:tcPr>
                <w:p w14:paraId="04537048">
                  <w:pPr>
                    <w:autoSpaceDE w:val="0"/>
                    <w:spacing w:line="360" w:lineRule="exact"/>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达标</w:t>
                  </w:r>
                </w:p>
              </w:tc>
            </w:tr>
            <w:tr w14:paraId="3E236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665" w:type="pct"/>
                  <w:vMerge w:val="continue"/>
                  <w:noWrap w:val="0"/>
                  <w:vAlign w:val="center"/>
                </w:tcPr>
                <w:p w14:paraId="1A5F3093">
                  <w:pPr>
                    <w:spacing w:line="360" w:lineRule="exact"/>
                    <w:jc w:val="center"/>
                    <w:rPr>
                      <w:rFonts w:hint="default" w:ascii="Times New Roman" w:hAnsi="Times New Roman" w:cs="Times New Roman"/>
                      <w:color w:val="auto"/>
                      <w:szCs w:val="21"/>
                    </w:rPr>
                  </w:pPr>
                </w:p>
              </w:tc>
              <w:tc>
                <w:tcPr>
                  <w:tcW w:w="789" w:type="pct"/>
                  <w:noWrap w:val="0"/>
                  <w:vAlign w:val="center"/>
                </w:tcPr>
                <w:p w14:paraId="7CCB03B5">
                  <w:pPr>
                    <w:widowControl/>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BOD</w:t>
                  </w:r>
                  <w:r>
                    <w:rPr>
                      <w:rFonts w:hint="default" w:ascii="Times New Roman" w:hAnsi="Times New Roman" w:eastAsia="宋体" w:cs="Times New Roman"/>
                      <w:color w:val="auto"/>
                      <w:sz w:val="21"/>
                      <w:szCs w:val="21"/>
                      <w:vertAlign w:val="subscript"/>
                    </w:rPr>
                    <w:t>5</w:t>
                  </w:r>
                </w:p>
              </w:tc>
              <w:tc>
                <w:tcPr>
                  <w:tcW w:w="687" w:type="pct"/>
                  <w:shd w:val="clear" w:color="auto" w:fill="auto"/>
                  <w:noWrap w:val="0"/>
                  <w:vAlign w:val="center"/>
                </w:tcPr>
                <w:p w14:paraId="32213D23">
                  <w:pPr>
                    <w:autoSpaceDE w:val="0"/>
                    <w:spacing w:line="360" w:lineRule="exact"/>
                    <w:jc w:val="center"/>
                    <w:rPr>
                      <w:rFonts w:hint="default" w:ascii="Times New Roman" w:hAnsi="Times New Roman" w:eastAsia="宋体" w:cs="Times New Roman"/>
                      <w:bCs/>
                      <w:color w:val="auto"/>
                      <w:szCs w:val="21"/>
                      <w:lang w:val="en-US" w:eastAsia="zh-CN" w:bidi="ar"/>
                    </w:rPr>
                  </w:pPr>
                  <w:r>
                    <w:rPr>
                      <w:rFonts w:hint="default" w:ascii="Times New Roman" w:hAnsi="Times New Roman" w:eastAsia="宋体" w:cs="Times New Roman"/>
                      <w:bCs/>
                      <w:color w:val="auto"/>
                      <w:szCs w:val="21"/>
                      <w:lang w:bidi="ar"/>
                    </w:rPr>
                    <w:t>158.4</w:t>
                  </w:r>
                </w:p>
              </w:tc>
              <w:tc>
                <w:tcPr>
                  <w:tcW w:w="2097" w:type="pct"/>
                  <w:noWrap w:val="0"/>
                  <w:vAlign w:val="center"/>
                </w:tcPr>
                <w:p w14:paraId="0EC5CDC4">
                  <w:pPr>
                    <w:autoSpaceDE w:val="0"/>
                    <w:spacing w:line="360" w:lineRule="exact"/>
                    <w:jc w:val="center"/>
                    <w:rPr>
                      <w:rFonts w:hint="default" w:ascii="Times New Roman" w:hAnsi="Times New Roman" w:cs="Times New Roman"/>
                      <w:color w:val="auto"/>
                      <w:szCs w:val="21"/>
                    </w:rPr>
                  </w:pPr>
                  <w:r>
                    <w:rPr>
                      <w:rFonts w:hint="default" w:ascii="Times New Roman" w:hAnsi="Times New Roman" w:cs="Times New Roman"/>
                      <w:bCs/>
                      <w:color w:val="auto"/>
                      <w:szCs w:val="21"/>
                      <w:lang w:bidi="ar"/>
                    </w:rPr>
                    <w:t>≤</w:t>
                  </w:r>
                  <w:r>
                    <w:rPr>
                      <w:rFonts w:hint="default" w:ascii="Times New Roman" w:hAnsi="Times New Roman" w:cs="Times New Roman"/>
                      <w:color w:val="auto"/>
                      <w:szCs w:val="21"/>
                    </w:rPr>
                    <w:t>180</w:t>
                  </w:r>
                </w:p>
              </w:tc>
              <w:tc>
                <w:tcPr>
                  <w:tcW w:w="759" w:type="pct"/>
                  <w:noWrap w:val="0"/>
                  <w:vAlign w:val="center"/>
                </w:tcPr>
                <w:p w14:paraId="410D8341">
                  <w:pPr>
                    <w:autoSpaceDE w:val="0"/>
                    <w:spacing w:line="360" w:lineRule="exact"/>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达标</w:t>
                  </w:r>
                </w:p>
              </w:tc>
            </w:tr>
            <w:tr w14:paraId="381DA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665" w:type="pct"/>
                  <w:vMerge w:val="continue"/>
                  <w:noWrap w:val="0"/>
                  <w:vAlign w:val="center"/>
                </w:tcPr>
                <w:p w14:paraId="69C396D5">
                  <w:pPr>
                    <w:spacing w:line="360" w:lineRule="exact"/>
                    <w:jc w:val="center"/>
                    <w:rPr>
                      <w:rFonts w:hint="default" w:ascii="Times New Roman" w:hAnsi="Times New Roman" w:cs="Times New Roman"/>
                      <w:color w:val="auto"/>
                      <w:szCs w:val="21"/>
                    </w:rPr>
                  </w:pPr>
                </w:p>
              </w:tc>
              <w:tc>
                <w:tcPr>
                  <w:tcW w:w="789" w:type="pct"/>
                  <w:noWrap w:val="0"/>
                  <w:vAlign w:val="center"/>
                </w:tcPr>
                <w:p w14:paraId="0B8B77A7">
                  <w:pPr>
                    <w:widowControl/>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SS</w:t>
                  </w:r>
                </w:p>
              </w:tc>
              <w:tc>
                <w:tcPr>
                  <w:tcW w:w="687" w:type="pct"/>
                  <w:shd w:val="clear" w:color="auto" w:fill="auto"/>
                  <w:noWrap w:val="0"/>
                  <w:vAlign w:val="center"/>
                </w:tcPr>
                <w:p w14:paraId="05BD760D">
                  <w:pPr>
                    <w:autoSpaceDE w:val="0"/>
                    <w:spacing w:line="360" w:lineRule="exact"/>
                    <w:jc w:val="center"/>
                    <w:rPr>
                      <w:rFonts w:hint="default" w:ascii="Times New Roman" w:hAnsi="Times New Roman" w:eastAsia="宋体" w:cs="Times New Roman"/>
                      <w:bCs/>
                      <w:color w:val="auto"/>
                      <w:szCs w:val="21"/>
                      <w:lang w:val="en-US" w:eastAsia="zh-CN" w:bidi="ar"/>
                    </w:rPr>
                  </w:pPr>
                  <w:r>
                    <w:rPr>
                      <w:rFonts w:hint="default" w:ascii="Times New Roman" w:hAnsi="Times New Roman" w:eastAsia="宋体" w:cs="Times New Roman"/>
                      <w:bCs/>
                      <w:color w:val="auto"/>
                      <w:szCs w:val="21"/>
                      <w:lang w:bidi="ar"/>
                    </w:rPr>
                    <w:t>140</w:t>
                  </w:r>
                </w:p>
              </w:tc>
              <w:tc>
                <w:tcPr>
                  <w:tcW w:w="2097" w:type="pct"/>
                  <w:noWrap w:val="0"/>
                  <w:vAlign w:val="center"/>
                </w:tcPr>
                <w:p w14:paraId="708E88C6">
                  <w:pPr>
                    <w:autoSpaceDE w:val="0"/>
                    <w:spacing w:line="360" w:lineRule="exact"/>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bCs/>
                      <w:color w:val="auto"/>
                      <w:szCs w:val="21"/>
                      <w:lang w:bidi="ar"/>
                    </w:rPr>
                    <w:t>≤</w:t>
                  </w:r>
                  <w:r>
                    <w:rPr>
                      <w:rFonts w:hint="default" w:ascii="Times New Roman" w:hAnsi="Times New Roman" w:cs="Times New Roman"/>
                      <w:bCs/>
                      <w:color w:val="auto"/>
                      <w:szCs w:val="21"/>
                      <w:lang w:val="en-US" w:eastAsia="zh-CN" w:bidi="ar"/>
                    </w:rPr>
                    <w:t>2</w:t>
                  </w:r>
                  <w:r>
                    <w:rPr>
                      <w:rFonts w:hint="eastAsia" w:cs="Times New Roman"/>
                      <w:bCs/>
                      <w:color w:val="auto"/>
                      <w:szCs w:val="21"/>
                      <w:lang w:val="en-US" w:eastAsia="zh-CN" w:bidi="ar"/>
                    </w:rPr>
                    <w:t>00</w:t>
                  </w:r>
                </w:p>
              </w:tc>
              <w:tc>
                <w:tcPr>
                  <w:tcW w:w="759" w:type="pct"/>
                  <w:noWrap w:val="0"/>
                  <w:vAlign w:val="center"/>
                </w:tcPr>
                <w:p w14:paraId="72B41805">
                  <w:pPr>
                    <w:autoSpaceDE w:val="0"/>
                    <w:spacing w:line="360" w:lineRule="exact"/>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达标</w:t>
                  </w:r>
                </w:p>
              </w:tc>
            </w:tr>
            <w:tr w14:paraId="6B4D1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665" w:type="pct"/>
                  <w:vMerge w:val="continue"/>
                  <w:noWrap w:val="0"/>
                  <w:vAlign w:val="center"/>
                </w:tcPr>
                <w:p w14:paraId="206EDECB">
                  <w:pPr>
                    <w:spacing w:line="360" w:lineRule="exact"/>
                    <w:jc w:val="center"/>
                    <w:rPr>
                      <w:rFonts w:hint="default" w:ascii="Times New Roman" w:hAnsi="Times New Roman" w:cs="Times New Roman"/>
                      <w:color w:val="auto"/>
                      <w:szCs w:val="21"/>
                    </w:rPr>
                  </w:pPr>
                </w:p>
              </w:tc>
              <w:tc>
                <w:tcPr>
                  <w:tcW w:w="789" w:type="pct"/>
                  <w:noWrap w:val="0"/>
                  <w:vAlign w:val="center"/>
                </w:tcPr>
                <w:p w14:paraId="2A2EB884">
                  <w:pPr>
                    <w:widowControl/>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NH</w:t>
                  </w:r>
                  <w:r>
                    <w:rPr>
                      <w:rFonts w:hint="default" w:ascii="Times New Roman" w:hAnsi="Times New Roman" w:eastAsia="宋体" w:cs="Times New Roman"/>
                      <w:color w:val="auto"/>
                      <w:sz w:val="21"/>
                      <w:szCs w:val="21"/>
                      <w:vertAlign w:val="subscript"/>
                    </w:rPr>
                    <w:t>3</w:t>
                  </w:r>
                  <w:r>
                    <w:rPr>
                      <w:rFonts w:hint="default" w:ascii="Times New Roman" w:hAnsi="Times New Roman" w:eastAsia="宋体" w:cs="Times New Roman"/>
                      <w:color w:val="auto"/>
                      <w:sz w:val="21"/>
                      <w:szCs w:val="21"/>
                    </w:rPr>
                    <w:t>-N</w:t>
                  </w:r>
                </w:p>
              </w:tc>
              <w:tc>
                <w:tcPr>
                  <w:tcW w:w="687" w:type="pct"/>
                  <w:shd w:val="clear" w:color="auto" w:fill="auto"/>
                  <w:noWrap w:val="0"/>
                  <w:vAlign w:val="center"/>
                </w:tcPr>
                <w:p w14:paraId="0D395E47">
                  <w:pPr>
                    <w:autoSpaceDE w:val="0"/>
                    <w:spacing w:line="360" w:lineRule="exact"/>
                    <w:jc w:val="center"/>
                    <w:rPr>
                      <w:rFonts w:hint="default" w:ascii="Times New Roman" w:hAnsi="Times New Roman" w:eastAsia="宋体" w:cs="Times New Roman"/>
                      <w:bCs/>
                      <w:color w:val="auto"/>
                      <w:szCs w:val="21"/>
                      <w:lang w:val="en-US" w:eastAsia="zh-CN" w:bidi="ar"/>
                    </w:rPr>
                  </w:pPr>
                  <w:r>
                    <w:rPr>
                      <w:rFonts w:hint="default" w:ascii="Times New Roman" w:hAnsi="Times New Roman" w:eastAsia="宋体" w:cs="Times New Roman"/>
                      <w:bCs/>
                      <w:color w:val="auto"/>
                      <w:szCs w:val="21"/>
                      <w:lang w:bidi="ar"/>
                    </w:rPr>
                    <w:t>29.1</w:t>
                  </w:r>
                </w:p>
              </w:tc>
              <w:tc>
                <w:tcPr>
                  <w:tcW w:w="2097" w:type="pct"/>
                  <w:noWrap w:val="0"/>
                  <w:vAlign w:val="center"/>
                </w:tcPr>
                <w:p w14:paraId="05A66BCA">
                  <w:pPr>
                    <w:autoSpaceDE w:val="0"/>
                    <w:spacing w:line="360" w:lineRule="exact"/>
                    <w:jc w:val="center"/>
                    <w:rPr>
                      <w:rFonts w:hint="default" w:ascii="Times New Roman" w:hAnsi="Times New Roman" w:cs="Times New Roman"/>
                      <w:color w:val="auto"/>
                      <w:szCs w:val="21"/>
                    </w:rPr>
                  </w:pPr>
                  <w:r>
                    <w:rPr>
                      <w:rFonts w:hint="default" w:ascii="Times New Roman" w:hAnsi="Times New Roman" w:cs="Times New Roman"/>
                      <w:bCs/>
                      <w:color w:val="auto"/>
                      <w:szCs w:val="21"/>
                      <w:lang w:bidi="ar"/>
                    </w:rPr>
                    <w:t>≤30</w:t>
                  </w:r>
                </w:p>
              </w:tc>
              <w:tc>
                <w:tcPr>
                  <w:tcW w:w="759" w:type="pct"/>
                  <w:noWrap w:val="0"/>
                  <w:vAlign w:val="center"/>
                </w:tcPr>
                <w:p w14:paraId="531C65AB">
                  <w:pPr>
                    <w:autoSpaceDE w:val="0"/>
                    <w:spacing w:line="360" w:lineRule="exact"/>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达标</w:t>
                  </w:r>
                </w:p>
              </w:tc>
            </w:tr>
            <w:tr w14:paraId="2CDB5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665" w:type="pct"/>
                  <w:vMerge w:val="continue"/>
                  <w:noWrap w:val="0"/>
                  <w:vAlign w:val="center"/>
                </w:tcPr>
                <w:p w14:paraId="146BB014">
                  <w:pPr>
                    <w:spacing w:line="360" w:lineRule="exact"/>
                    <w:jc w:val="center"/>
                    <w:rPr>
                      <w:rFonts w:hint="default" w:ascii="Times New Roman" w:hAnsi="Times New Roman" w:cs="Times New Roman"/>
                      <w:color w:val="auto"/>
                      <w:szCs w:val="21"/>
                    </w:rPr>
                  </w:pPr>
                </w:p>
              </w:tc>
              <w:tc>
                <w:tcPr>
                  <w:tcW w:w="789" w:type="pct"/>
                  <w:noWrap w:val="0"/>
                  <w:vAlign w:val="center"/>
                </w:tcPr>
                <w:p w14:paraId="35BB3773">
                  <w:pPr>
                    <w:widowControl/>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TP</w:t>
                  </w:r>
                </w:p>
              </w:tc>
              <w:tc>
                <w:tcPr>
                  <w:tcW w:w="687" w:type="pct"/>
                  <w:shd w:val="clear" w:color="auto" w:fill="auto"/>
                  <w:noWrap w:val="0"/>
                  <w:vAlign w:val="center"/>
                </w:tcPr>
                <w:p w14:paraId="3DC5D7AE">
                  <w:pPr>
                    <w:autoSpaceDE w:val="0"/>
                    <w:spacing w:line="360" w:lineRule="exact"/>
                    <w:jc w:val="center"/>
                    <w:rPr>
                      <w:rFonts w:hint="default" w:ascii="Times New Roman" w:hAnsi="Times New Roman" w:eastAsia="宋体" w:cs="Times New Roman"/>
                      <w:bCs/>
                      <w:color w:val="auto"/>
                      <w:szCs w:val="21"/>
                      <w:lang w:val="en-US" w:eastAsia="zh-CN" w:bidi="ar"/>
                    </w:rPr>
                  </w:pPr>
                  <w:r>
                    <w:rPr>
                      <w:rFonts w:hint="default" w:ascii="Times New Roman" w:hAnsi="Times New Roman" w:eastAsia="宋体" w:cs="Times New Roman"/>
                      <w:bCs/>
                      <w:color w:val="auto"/>
                      <w:szCs w:val="21"/>
                      <w:lang w:bidi="ar"/>
                    </w:rPr>
                    <w:t>4</w:t>
                  </w:r>
                </w:p>
              </w:tc>
              <w:tc>
                <w:tcPr>
                  <w:tcW w:w="2097" w:type="pct"/>
                  <w:noWrap w:val="0"/>
                  <w:vAlign w:val="center"/>
                </w:tcPr>
                <w:p w14:paraId="50939F4A">
                  <w:pPr>
                    <w:autoSpaceDE w:val="0"/>
                    <w:spacing w:line="360" w:lineRule="exact"/>
                    <w:jc w:val="center"/>
                    <w:rPr>
                      <w:rFonts w:hint="default" w:ascii="Times New Roman" w:hAnsi="Times New Roman" w:cs="Times New Roman"/>
                      <w:color w:val="auto"/>
                      <w:szCs w:val="21"/>
                    </w:rPr>
                  </w:pPr>
                  <w:r>
                    <w:rPr>
                      <w:rFonts w:hint="default" w:ascii="Times New Roman" w:hAnsi="Times New Roman" w:cs="Times New Roman"/>
                      <w:bCs/>
                      <w:color w:val="auto"/>
                      <w:szCs w:val="21"/>
                      <w:lang w:bidi="ar"/>
                    </w:rPr>
                    <w:t>≤4.0</w:t>
                  </w:r>
                </w:p>
              </w:tc>
              <w:tc>
                <w:tcPr>
                  <w:tcW w:w="759" w:type="pct"/>
                  <w:noWrap w:val="0"/>
                  <w:vAlign w:val="center"/>
                </w:tcPr>
                <w:p w14:paraId="2FF089E2">
                  <w:pPr>
                    <w:autoSpaceDE w:val="0"/>
                    <w:spacing w:line="360" w:lineRule="exact"/>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达标</w:t>
                  </w:r>
                </w:p>
              </w:tc>
            </w:tr>
            <w:tr w14:paraId="517B7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665" w:type="pct"/>
                  <w:vMerge w:val="continue"/>
                  <w:noWrap w:val="0"/>
                  <w:vAlign w:val="center"/>
                </w:tcPr>
                <w:p w14:paraId="6516A9CD">
                  <w:pPr>
                    <w:spacing w:line="360" w:lineRule="exact"/>
                    <w:jc w:val="center"/>
                    <w:rPr>
                      <w:rFonts w:hint="default" w:ascii="Times New Roman" w:hAnsi="Times New Roman" w:cs="Times New Roman"/>
                      <w:color w:val="auto"/>
                      <w:szCs w:val="21"/>
                    </w:rPr>
                  </w:pPr>
                </w:p>
              </w:tc>
              <w:tc>
                <w:tcPr>
                  <w:tcW w:w="789" w:type="pct"/>
                  <w:noWrap w:val="0"/>
                  <w:vAlign w:val="center"/>
                </w:tcPr>
                <w:p w14:paraId="201E0BD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TN</w:t>
                  </w:r>
                </w:p>
              </w:tc>
              <w:tc>
                <w:tcPr>
                  <w:tcW w:w="687" w:type="pct"/>
                  <w:shd w:val="clear" w:color="auto" w:fill="auto"/>
                  <w:noWrap w:val="0"/>
                  <w:vAlign w:val="center"/>
                </w:tcPr>
                <w:p w14:paraId="60A25432">
                  <w:pPr>
                    <w:autoSpaceDE w:val="0"/>
                    <w:spacing w:line="360" w:lineRule="exact"/>
                    <w:jc w:val="center"/>
                    <w:rPr>
                      <w:rFonts w:hint="default" w:ascii="Times New Roman" w:hAnsi="Times New Roman" w:eastAsia="宋体" w:cs="Times New Roman"/>
                      <w:bCs/>
                      <w:color w:val="auto"/>
                      <w:szCs w:val="21"/>
                      <w:lang w:val="en-US" w:eastAsia="zh-CN" w:bidi="ar"/>
                    </w:rPr>
                  </w:pPr>
                  <w:r>
                    <w:rPr>
                      <w:rFonts w:hint="default" w:ascii="Times New Roman" w:hAnsi="Times New Roman" w:eastAsia="宋体" w:cs="Times New Roman"/>
                      <w:bCs/>
                      <w:color w:val="auto"/>
                      <w:szCs w:val="21"/>
                      <w:lang w:val="en-US" w:eastAsia="zh-CN" w:bidi="ar"/>
                    </w:rPr>
                    <w:t>40</w:t>
                  </w:r>
                </w:p>
              </w:tc>
              <w:tc>
                <w:tcPr>
                  <w:tcW w:w="2097" w:type="pct"/>
                  <w:noWrap w:val="0"/>
                  <w:vAlign w:val="center"/>
                </w:tcPr>
                <w:p w14:paraId="76065C40">
                  <w:pPr>
                    <w:autoSpaceDE w:val="0"/>
                    <w:spacing w:line="360" w:lineRule="exact"/>
                    <w:jc w:val="center"/>
                    <w:rPr>
                      <w:rFonts w:hint="default" w:ascii="Times New Roman" w:hAnsi="Times New Roman" w:eastAsia="宋体" w:cs="Times New Roman"/>
                      <w:bCs/>
                      <w:color w:val="auto"/>
                      <w:sz w:val="21"/>
                      <w:szCs w:val="21"/>
                      <w:lang w:val="en-US" w:eastAsia="zh-CN" w:bidi="ar"/>
                    </w:rPr>
                  </w:pPr>
                  <w:r>
                    <w:rPr>
                      <w:rFonts w:hint="default" w:ascii="Times New Roman" w:hAnsi="Times New Roman" w:cs="Times New Roman"/>
                      <w:bCs/>
                      <w:color w:val="auto"/>
                      <w:sz w:val="21"/>
                      <w:szCs w:val="21"/>
                      <w:lang w:bidi="ar"/>
                    </w:rPr>
                    <w:t>≤</w:t>
                  </w:r>
                  <w:r>
                    <w:rPr>
                      <w:rFonts w:hint="eastAsia" w:cs="Times New Roman"/>
                      <w:color w:val="auto"/>
                      <w:sz w:val="21"/>
                      <w:szCs w:val="21"/>
                      <w:lang w:val="en-US" w:eastAsia="zh-CN"/>
                    </w:rPr>
                    <w:t>40</w:t>
                  </w:r>
                </w:p>
              </w:tc>
              <w:tc>
                <w:tcPr>
                  <w:tcW w:w="759" w:type="pct"/>
                  <w:noWrap w:val="0"/>
                  <w:vAlign w:val="center"/>
                </w:tcPr>
                <w:p w14:paraId="362295F5">
                  <w:pPr>
                    <w:autoSpaceDE w:val="0"/>
                    <w:spacing w:line="360" w:lineRule="exact"/>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达标</w:t>
                  </w:r>
                </w:p>
              </w:tc>
            </w:tr>
          </w:tbl>
          <w:p w14:paraId="0BA09895">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由上表可知：项目</w:t>
            </w:r>
            <w:r>
              <w:rPr>
                <w:rFonts w:hint="default" w:ascii="Times New Roman" w:hAnsi="Times New Roman" w:cs="Times New Roman"/>
                <w:color w:val="auto"/>
                <w:sz w:val="24"/>
                <w:lang w:val="en-US" w:eastAsia="zh-CN"/>
              </w:rPr>
              <w:t>市政</w:t>
            </w:r>
            <w:r>
              <w:rPr>
                <w:rFonts w:hint="default" w:ascii="Times New Roman" w:hAnsi="Times New Roman" w:cs="Times New Roman"/>
                <w:color w:val="auto"/>
                <w:sz w:val="24"/>
                <w:lang w:eastAsia="zh-CN"/>
              </w:rPr>
              <w:t>污水管网接管后，</w:t>
            </w:r>
            <w:r>
              <w:rPr>
                <w:rFonts w:hint="default" w:ascii="Times New Roman" w:hAnsi="Times New Roman" w:cs="Times New Roman"/>
                <w:color w:val="auto"/>
                <w:sz w:val="24"/>
              </w:rPr>
              <w:t>外排废水水质能满足</w:t>
            </w:r>
            <w:r>
              <w:rPr>
                <w:rFonts w:hint="default" w:ascii="Times New Roman" w:hAnsi="Times New Roman" w:cs="Times New Roman"/>
                <w:bCs/>
                <w:color w:val="auto"/>
                <w:sz w:val="24"/>
                <w:lang w:bidi="ar"/>
              </w:rPr>
              <w:t>《污水综合排放标准》（GB</w:t>
            </w:r>
            <w:r>
              <w:rPr>
                <w:rFonts w:hint="default" w:ascii="Times New Roman" w:hAnsi="Times New Roman" w:eastAsia="宋体" w:cs="Times New Roman"/>
                <w:bCs/>
                <w:color w:val="auto"/>
                <w:sz w:val="24"/>
                <w:lang w:bidi="ar"/>
              </w:rPr>
              <w:t>8978-1996）表4中三级标准。</w:t>
            </w:r>
          </w:p>
          <w:p w14:paraId="561BEC67">
            <w:pPr>
              <w:autoSpaceDE w:val="0"/>
              <w:spacing w:line="360" w:lineRule="auto"/>
              <w:ind w:firstLine="482" w:firstLineChars="200"/>
              <w:rPr>
                <w:rFonts w:hint="default" w:ascii="Times New Roman" w:hAnsi="Times New Roman" w:cs="Times New Roman"/>
                <w:b/>
                <w:bCs/>
                <w:color w:val="auto"/>
                <w:kern w:val="0"/>
                <w:sz w:val="24"/>
                <w:lang w:bidi="ar"/>
              </w:rPr>
            </w:pPr>
            <w:r>
              <w:rPr>
                <w:rFonts w:hint="default" w:ascii="Times New Roman" w:hAnsi="Times New Roman" w:cs="Times New Roman"/>
                <w:b/>
                <w:bCs/>
                <w:color w:val="auto"/>
                <w:kern w:val="0"/>
                <w:sz w:val="24"/>
                <w:lang w:bidi="ar"/>
              </w:rPr>
              <w:t>（</w:t>
            </w:r>
            <w:r>
              <w:rPr>
                <w:rFonts w:hint="default" w:ascii="Times New Roman" w:hAnsi="Times New Roman" w:cs="Times New Roman"/>
                <w:b/>
                <w:bCs/>
                <w:color w:val="auto"/>
                <w:kern w:val="0"/>
                <w:sz w:val="24"/>
                <w:lang w:val="en-US" w:eastAsia="zh-CN" w:bidi="ar"/>
              </w:rPr>
              <w:t>2</w:t>
            </w:r>
            <w:r>
              <w:rPr>
                <w:rFonts w:hint="default" w:ascii="Times New Roman" w:hAnsi="Times New Roman" w:cs="Times New Roman"/>
                <w:b/>
                <w:bCs/>
                <w:color w:val="auto"/>
                <w:kern w:val="0"/>
                <w:sz w:val="24"/>
                <w:lang w:bidi="ar"/>
              </w:rPr>
              <w:t>）污染防治措施可行性分析</w:t>
            </w:r>
          </w:p>
          <w:p w14:paraId="01EB7C53">
            <w:pPr>
              <w:autoSpaceDE w:val="0"/>
              <w:spacing w:line="360" w:lineRule="auto"/>
              <w:ind w:firstLine="480" w:firstLineChars="200"/>
              <w:rPr>
                <w:rFonts w:hint="default" w:ascii="Times New Roman" w:hAnsi="Times New Roman" w:cs="Times New Roman"/>
                <w:color w:val="auto"/>
                <w:kern w:val="0"/>
                <w:sz w:val="24"/>
                <w:lang w:bidi="ar"/>
              </w:rPr>
            </w:pPr>
            <w:r>
              <w:rPr>
                <w:rFonts w:hint="default" w:ascii="Times New Roman" w:hAnsi="Times New Roman" w:cs="Times New Roman"/>
                <w:b w:val="0"/>
                <w:bCs w:val="0"/>
                <w:color w:val="auto"/>
                <w:spacing w:val="0"/>
                <w:sz w:val="24"/>
                <w:szCs w:val="24"/>
                <w:lang w:val="en-US" w:eastAsia="zh-CN"/>
              </w:rPr>
              <w:t>1）厂区</w:t>
            </w:r>
            <w:r>
              <w:rPr>
                <w:rFonts w:hint="default" w:ascii="Times New Roman" w:hAnsi="Times New Roman" w:cs="Times New Roman"/>
                <w:color w:val="auto"/>
                <w:sz w:val="24"/>
              </w:rPr>
              <w:t>生活污水处理工艺及可行性分析</w:t>
            </w:r>
          </w:p>
          <w:p w14:paraId="0C5535B2">
            <w:pPr>
              <w:spacing w:line="360" w:lineRule="auto"/>
              <w:ind w:firstLine="480" w:firstLineChars="200"/>
              <w:jc w:val="left"/>
              <w:rPr>
                <w:rFonts w:hint="default" w:ascii="Times New Roman" w:hAnsi="Times New Roman" w:cs="Times New Roman"/>
                <w:color w:val="auto"/>
                <w:kern w:val="0"/>
                <w:sz w:val="24"/>
                <w:lang w:bidi="ar"/>
              </w:rPr>
            </w:pPr>
            <w:r>
              <w:rPr>
                <w:rFonts w:hint="default" w:ascii="Times New Roman" w:hAnsi="Times New Roman" w:cs="Times New Roman"/>
                <w:color w:val="auto"/>
                <w:kern w:val="1"/>
                <w:sz w:val="24"/>
                <w:szCs w:val="24"/>
                <w:highlight w:val="none"/>
                <w:lang w:val="en-US" w:eastAsia="zh-CN" w:bidi="ar"/>
              </w:rPr>
              <w:t>市政</w:t>
            </w:r>
            <w:r>
              <w:rPr>
                <w:rFonts w:hint="default" w:ascii="Times New Roman" w:hAnsi="Times New Roman" w:cs="Times New Roman"/>
                <w:b w:val="0"/>
                <w:bCs w:val="0"/>
                <w:color w:val="auto"/>
                <w:spacing w:val="0"/>
                <w:kern w:val="0"/>
                <w:sz w:val="24"/>
                <w:szCs w:val="24"/>
                <w:lang w:val="en-US" w:eastAsia="zh-CN" w:bidi="ar"/>
              </w:rPr>
              <w:t>污水管网接管后：</w:t>
            </w:r>
            <w:r>
              <w:rPr>
                <w:rFonts w:hint="default" w:ascii="Times New Roman" w:hAnsi="Times New Roman" w:eastAsia="宋体" w:cs="Times New Roman"/>
                <w:b w:val="0"/>
                <w:bCs w:val="0"/>
                <w:color w:val="auto"/>
                <w:spacing w:val="0"/>
                <w:kern w:val="0"/>
                <w:sz w:val="24"/>
                <w:szCs w:val="24"/>
                <w:lang w:val="en-US" w:eastAsia="zh-CN" w:bidi="ar"/>
              </w:rPr>
              <w:t>根据《排污许可证申请与核发技术规范 总则》（HJ942—2018）</w:t>
            </w:r>
            <w:r>
              <w:rPr>
                <w:rFonts w:hint="default" w:ascii="Times New Roman" w:hAnsi="Times New Roman" w:cs="Times New Roman"/>
                <w:color w:val="auto"/>
                <w:kern w:val="0"/>
                <w:sz w:val="24"/>
                <w:lang w:bidi="ar"/>
              </w:rPr>
              <w:t>，生活污水治理可行技术为“化粪池、调节池、厌氧-好氧、兼性-好氧、好氧生物处理”。</w:t>
            </w:r>
          </w:p>
          <w:p w14:paraId="70E76204">
            <w:pPr>
              <w:spacing w:line="360" w:lineRule="auto"/>
              <w:ind w:firstLine="480" w:firstLineChars="200"/>
              <w:jc w:val="left"/>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本项目</w:t>
            </w:r>
            <w:r>
              <w:rPr>
                <w:rFonts w:hint="eastAsia" w:cs="Times New Roman"/>
                <w:color w:val="auto"/>
                <w:kern w:val="0"/>
                <w:sz w:val="24"/>
                <w:lang w:eastAsia="zh-CN" w:bidi="ar"/>
              </w:rPr>
              <w:t>不设置食堂，生活污水中无动植物油产生，无需设置隔油池，项目依托</w:t>
            </w:r>
            <w:r>
              <w:rPr>
                <w:rFonts w:hint="default" w:ascii="Times New Roman" w:hAnsi="Times New Roman" w:cs="Times New Roman"/>
                <w:color w:val="auto"/>
                <w:sz w:val="24"/>
                <w:lang w:eastAsia="zh-CN"/>
              </w:rPr>
              <w:t>依托租赁厂房</w:t>
            </w:r>
            <w:r>
              <w:rPr>
                <w:rFonts w:hint="eastAsia" w:cs="Times New Roman"/>
                <w:color w:val="auto"/>
                <w:kern w:val="0"/>
                <w:sz w:val="24"/>
                <w:lang w:eastAsia="zh-CN" w:bidi="ar"/>
              </w:rPr>
              <w:t>化粪池处理</w:t>
            </w:r>
            <w:r>
              <w:rPr>
                <w:rFonts w:hint="default" w:ascii="Times New Roman" w:hAnsi="Times New Roman" w:cs="Times New Roman"/>
                <w:color w:val="auto"/>
                <w:kern w:val="0"/>
                <w:sz w:val="24"/>
                <w:lang w:bidi="ar"/>
              </w:rPr>
              <w:t>生活污水，属于可行技术。</w:t>
            </w:r>
            <w:r>
              <w:rPr>
                <w:rFonts w:hint="eastAsia" w:cs="Times New Roman"/>
                <w:color w:val="auto"/>
                <w:kern w:val="0"/>
                <w:sz w:val="24"/>
                <w:lang w:eastAsia="zh-CN" w:bidi="ar"/>
              </w:rPr>
              <w:t>且项目</w:t>
            </w:r>
            <w:r>
              <w:rPr>
                <w:rFonts w:hint="default" w:ascii="Times New Roman" w:hAnsi="Times New Roman" w:cs="Times New Roman"/>
                <w:color w:val="auto"/>
                <w:sz w:val="24"/>
              </w:rPr>
              <w:t>生活污水产生量为</w:t>
            </w:r>
            <w:r>
              <w:rPr>
                <w:rFonts w:hint="eastAsia" w:cs="Times New Roman"/>
                <w:color w:val="auto"/>
                <w:sz w:val="24"/>
                <w:lang w:val="en-US" w:eastAsia="zh-CN"/>
              </w:rPr>
              <w:t>4.8</w:t>
            </w:r>
            <w:r>
              <w:rPr>
                <w:rFonts w:hint="default" w:ascii="Times New Roman" w:hAnsi="Times New Roman" w:cs="Times New Roman"/>
                <w:color w:val="auto"/>
                <w:sz w:val="24"/>
                <w:lang w:eastAsia="zh-CN"/>
              </w:rPr>
              <w:t>m</w:t>
            </w:r>
            <w:r>
              <w:rPr>
                <w:rFonts w:hint="default" w:ascii="Times New Roman" w:hAnsi="Times New Roman" w:cs="Times New Roman"/>
                <w:color w:val="auto"/>
                <w:sz w:val="24"/>
                <w:vertAlign w:val="superscript"/>
                <w:lang w:eastAsia="zh-CN"/>
              </w:rPr>
              <w:t>3</w:t>
            </w:r>
            <w:r>
              <w:rPr>
                <w:rFonts w:hint="default" w:ascii="Times New Roman" w:hAnsi="Times New Roman" w:cs="Times New Roman"/>
                <w:color w:val="auto"/>
                <w:sz w:val="24"/>
                <w:lang w:eastAsia="zh-CN"/>
              </w:rPr>
              <w:t>/d</w:t>
            </w:r>
            <w:r>
              <w:rPr>
                <w:rFonts w:hint="default" w:ascii="Times New Roman" w:hAnsi="Times New Roman" w:cs="Times New Roman"/>
                <w:color w:val="auto"/>
                <w:sz w:val="24"/>
              </w:rPr>
              <w:t>，外排废水量较小，</w:t>
            </w:r>
            <w:r>
              <w:rPr>
                <w:rFonts w:hint="eastAsia" w:cs="Times New Roman"/>
                <w:color w:val="auto"/>
                <w:sz w:val="24"/>
                <w:lang w:eastAsia="zh-CN"/>
              </w:rPr>
              <w:t>项目化粪池</w:t>
            </w:r>
            <w:r>
              <w:rPr>
                <w:rFonts w:hint="default" w:ascii="Times New Roman" w:hAnsi="Times New Roman" w:cs="Times New Roman"/>
                <w:color w:val="auto"/>
                <w:sz w:val="24"/>
              </w:rPr>
              <w:t>设计之初已充分考虑</w:t>
            </w:r>
            <w:r>
              <w:rPr>
                <w:rFonts w:hint="default" w:ascii="Times New Roman" w:hAnsi="Times New Roman" w:cs="Times New Roman"/>
                <w:color w:val="auto"/>
                <w:sz w:val="24"/>
                <w:lang w:val="en-US" w:eastAsia="zh-CN"/>
              </w:rPr>
              <w:t>项目</w:t>
            </w:r>
            <w:r>
              <w:rPr>
                <w:rFonts w:hint="default" w:ascii="Times New Roman" w:hAnsi="Times New Roman" w:cs="Times New Roman"/>
                <w:color w:val="auto"/>
                <w:sz w:val="24"/>
              </w:rPr>
              <w:t>废</w:t>
            </w:r>
            <w:r>
              <w:rPr>
                <w:rFonts w:hint="default" w:ascii="Times New Roman" w:hAnsi="Times New Roman" w:cs="Times New Roman"/>
                <w:color w:val="auto"/>
                <w:kern w:val="0"/>
                <w:sz w:val="24"/>
                <w:lang w:bidi="ar"/>
              </w:rPr>
              <w:t>水量及停留时间24h要求，完全可以接纳本项目产生的生活污水。</w:t>
            </w:r>
          </w:p>
          <w:p w14:paraId="410BBAEC">
            <w:pPr>
              <w:autoSpaceDE w:val="0"/>
              <w:spacing w:line="360" w:lineRule="auto"/>
              <w:ind w:firstLine="480" w:firstLineChars="200"/>
              <w:rPr>
                <w:rFonts w:hint="default" w:ascii="Times New Roman" w:hAnsi="Times New Roman" w:cs="Times New Roman"/>
                <w:b/>
                <w:bCs/>
                <w:color w:val="auto"/>
                <w:sz w:val="24"/>
              </w:rPr>
            </w:pPr>
            <w:r>
              <w:rPr>
                <w:rFonts w:hint="eastAsia" w:cs="Times New Roman"/>
                <w:color w:val="auto"/>
                <w:sz w:val="24"/>
                <w:lang w:val="en-US" w:eastAsia="zh-CN" w:bidi="ar"/>
              </w:rPr>
              <w:t>2</w:t>
            </w:r>
            <w:r>
              <w:rPr>
                <w:rFonts w:hint="eastAsia" w:cs="Times New Roman"/>
                <w:color w:val="auto"/>
                <w:sz w:val="24"/>
                <w:lang w:eastAsia="zh-CN" w:bidi="ar"/>
              </w:rPr>
              <w:t>）</w:t>
            </w:r>
            <w:r>
              <w:rPr>
                <w:rFonts w:hint="default" w:ascii="Times New Roman" w:hAnsi="Times New Roman" w:cs="Times New Roman"/>
                <w:color w:val="auto"/>
                <w:sz w:val="24"/>
                <w:lang w:bidi="ar"/>
              </w:rPr>
              <w:t>依托区域污水处理设施的可行性分析</w:t>
            </w:r>
          </w:p>
          <w:p w14:paraId="7EAE708C">
            <w:pPr>
              <w:spacing w:line="360" w:lineRule="auto"/>
              <w:ind w:firstLine="482"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Ⅰ、</w:t>
            </w:r>
            <w:r>
              <w:rPr>
                <w:rFonts w:hint="eastAsia" w:cs="Times New Roman"/>
                <w:b/>
                <w:bCs/>
                <w:color w:val="auto"/>
                <w:sz w:val="24"/>
                <w:szCs w:val="24"/>
                <w:lang w:eastAsia="zh-CN"/>
              </w:rPr>
              <w:t>芜湖县新芜开发区城东污水处理厂</w:t>
            </w:r>
            <w:r>
              <w:rPr>
                <w:rFonts w:hint="default" w:ascii="Times New Roman" w:hAnsi="Times New Roman" w:eastAsia="宋体" w:cs="Times New Roman"/>
                <w:b/>
                <w:bCs/>
                <w:color w:val="auto"/>
                <w:sz w:val="24"/>
                <w:szCs w:val="24"/>
              </w:rPr>
              <w:t>处理工艺</w:t>
            </w:r>
          </w:p>
          <w:p w14:paraId="2EF9D661">
            <w:pPr>
              <w:snapToGrid w:val="0"/>
              <w:spacing w:line="360" w:lineRule="auto"/>
              <w:ind w:firstLine="480" w:firstLineChars="200"/>
              <w:textAlignment w:val="baseline"/>
              <w:rPr>
                <w:color w:val="auto"/>
                <w:sz w:val="24"/>
              </w:rPr>
            </w:pPr>
            <w:r>
              <w:rPr>
                <w:rFonts w:hint="eastAsia"/>
                <w:color w:val="auto"/>
                <w:sz w:val="24"/>
                <w:lang w:eastAsia="zh-CN"/>
              </w:rPr>
              <w:t>芜湖县</w:t>
            </w:r>
            <w:r>
              <w:rPr>
                <w:rFonts w:hint="eastAsia"/>
                <w:color w:val="auto"/>
                <w:sz w:val="24"/>
              </w:rPr>
              <w:t>新芜开发区城东污水处理厂设计污水处理总规模为6万m</w:t>
            </w:r>
            <w:r>
              <w:rPr>
                <w:rFonts w:hint="eastAsia"/>
                <w:color w:val="auto"/>
                <w:sz w:val="24"/>
                <w:vertAlign w:val="superscript"/>
              </w:rPr>
              <w:t>3</w:t>
            </w:r>
            <w:r>
              <w:rPr>
                <w:rFonts w:hint="eastAsia"/>
                <w:color w:val="auto"/>
                <w:sz w:val="24"/>
              </w:rPr>
              <w:t>/d，一期污水处理规模为3万m</w:t>
            </w:r>
            <w:r>
              <w:rPr>
                <w:rFonts w:hint="eastAsia"/>
                <w:color w:val="auto"/>
                <w:sz w:val="24"/>
                <w:vertAlign w:val="superscript"/>
              </w:rPr>
              <w:t>3</w:t>
            </w:r>
            <w:r>
              <w:rPr>
                <w:rFonts w:hint="eastAsia"/>
                <w:color w:val="auto"/>
                <w:sz w:val="24"/>
              </w:rPr>
              <w:t>/d，处理工艺采用AAO 生物池+二沉池脱氮除磷生物处理，设计管径为D500～D1200，收集管网长度约为2.3km。</w:t>
            </w:r>
          </w:p>
          <w:p w14:paraId="64AC31E9">
            <w:pPr>
              <w:snapToGrid w:val="0"/>
              <w:spacing w:line="360" w:lineRule="auto"/>
              <w:ind w:firstLine="480" w:firstLineChars="200"/>
              <w:jc w:val="center"/>
              <w:rPr>
                <w:rFonts w:hint="eastAsia" w:eastAsia="宋体"/>
                <w:color w:val="auto"/>
                <w:sz w:val="24"/>
                <w:lang w:eastAsia="zh-CN"/>
              </w:rPr>
            </w:pPr>
            <w:r>
              <w:rPr>
                <w:rFonts w:hint="eastAsia" w:eastAsia="宋体"/>
                <w:color w:val="auto"/>
                <w:sz w:val="24"/>
                <w:lang w:eastAsia="zh-CN"/>
              </w:rPr>
              <w:drawing>
                <wp:inline distT="0" distB="0" distL="114300" distR="114300">
                  <wp:extent cx="3585210" cy="5604510"/>
                  <wp:effectExtent l="0" t="0" r="15240" b="15240"/>
                  <wp:docPr id="6" name="图片 6" descr="QQ截图20220120214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QQ截图20220120214421"/>
                          <pic:cNvPicPr>
                            <a:picLocks noChangeAspect="1"/>
                          </pic:cNvPicPr>
                        </pic:nvPicPr>
                        <pic:blipFill>
                          <a:blip r:embed="rId16"/>
                          <a:stretch>
                            <a:fillRect/>
                          </a:stretch>
                        </pic:blipFill>
                        <pic:spPr>
                          <a:xfrm>
                            <a:off x="0" y="0"/>
                            <a:ext cx="3585210" cy="5604510"/>
                          </a:xfrm>
                          <a:prstGeom prst="rect">
                            <a:avLst/>
                          </a:prstGeom>
                          <a:noFill/>
                          <a:ln>
                            <a:noFill/>
                          </a:ln>
                        </pic:spPr>
                      </pic:pic>
                    </a:graphicData>
                  </a:graphic>
                </wp:inline>
              </w:drawing>
            </w:r>
          </w:p>
          <w:p w14:paraId="51916521">
            <w:pPr>
              <w:pStyle w:val="6"/>
              <w:jc w:val="center"/>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图4-</w:t>
            </w:r>
            <w:r>
              <w:rPr>
                <w:rFonts w:hint="eastAsia" w:ascii="Times New Roman" w:hAnsi="Times New Roman" w:eastAsia="宋体" w:cs="Times New Roman"/>
                <w:color w:val="auto"/>
                <w:sz w:val="24"/>
                <w:lang w:val="en-US" w:eastAsia="zh-CN"/>
              </w:rPr>
              <w:t>2</w:t>
            </w:r>
            <w:r>
              <w:rPr>
                <w:rFonts w:hint="default" w:ascii="Times New Roman" w:hAnsi="Times New Roman" w:eastAsia="宋体" w:cs="Times New Roman"/>
                <w:color w:val="auto"/>
                <w:sz w:val="24"/>
                <w:lang w:val="en-US" w:eastAsia="zh-CN"/>
              </w:rPr>
              <w:t xml:space="preserve"> 芜湖县新芜开发区城东污水处理厂</w:t>
            </w:r>
            <w:r>
              <w:rPr>
                <w:rFonts w:hint="eastAsia" w:ascii="Times New Roman" w:hAnsi="Times New Roman" w:eastAsia="宋体" w:cs="Times New Roman"/>
                <w:color w:val="auto"/>
                <w:sz w:val="24"/>
                <w:lang w:val="en-US" w:eastAsia="zh-CN"/>
              </w:rPr>
              <w:t>污水处理工艺流程简图</w:t>
            </w:r>
          </w:p>
          <w:p w14:paraId="02A58587">
            <w:pPr>
              <w:spacing w:line="360" w:lineRule="auto"/>
              <w:ind w:firstLine="482"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Ⅱ、接管可行性分析</w:t>
            </w:r>
          </w:p>
          <w:p w14:paraId="28804BAD">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接管水质：项目</w:t>
            </w:r>
            <w:r>
              <w:rPr>
                <w:rFonts w:hint="default" w:ascii="Times New Roman" w:hAnsi="Times New Roman" w:eastAsia="宋体" w:cs="Times New Roman"/>
                <w:color w:val="auto"/>
                <w:sz w:val="24"/>
                <w:szCs w:val="24"/>
                <w:lang w:eastAsia="zh-CN"/>
              </w:rPr>
              <w:t>外排废水主要为</w:t>
            </w:r>
            <w:r>
              <w:rPr>
                <w:rFonts w:hint="default" w:ascii="Times New Roman" w:hAnsi="Times New Roman" w:eastAsia="宋体" w:cs="Times New Roman"/>
                <w:color w:val="auto"/>
                <w:sz w:val="24"/>
                <w:szCs w:val="24"/>
              </w:rPr>
              <w:t>生活污水，其主要污染物为COD、BOD</w:t>
            </w:r>
            <w:r>
              <w:rPr>
                <w:rFonts w:hint="default" w:ascii="Times New Roman" w:hAnsi="Times New Roman" w:eastAsia="宋体" w:cs="Times New Roman"/>
                <w:color w:val="auto"/>
                <w:sz w:val="24"/>
                <w:szCs w:val="24"/>
                <w:vertAlign w:val="subscript"/>
              </w:rPr>
              <w:t>5</w:t>
            </w:r>
            <w:r>
              <w:rPr>
                <w:rFonts w:hint="default" w:ascii="Times New Roman" w:hAnsi="Times New Roman" w:eastAsia="宋体" w:cs="Times New Roman"/>
                <w:color w:val="auto"/>
                <w:sz w:val="24"/>
                <w:szCs w:val="24"/>
              </w:rPr>
              <w:t>、SS、NH</w:t>
            </w:r>
            <w:r>
              <w:rPr>
                <w:rFonts w:hint="default" w:ascii="Times New Roman" w:hAnsi="Times New Roman" w:eastAsia="宋体" w:cs="Times New Roman"/>
                <w:color w:val="auto"/>
                <w:sz w:val="24"/>
                <w:szCs w:val="24"/>
                <w:vertAlign w:val="subscript"/>
              </w:rPr>
              <w:t>3</w:t>
            </w:r>
            <w:r>
              <w:rPr>
                <w:rFonts w:hint="default" w:ascii="Times New Roman" w:hAnsi="Times New Roman" w:eastAsia="宋体" w:cs="Times New Roman"/>
                <w:color w:val="auto"/>
                <w:sz w:val="24"/>
                <w:szCs w:val="24"/>
              </w:rPr>
              <w:t>-N、TP</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i w:val="0"/>
                <w:iCs w:val="0"/>
                <w:color w:val="auto"/>
                <w:kern w:val="0"/>
                <w:sz w:val="24"/>
                <w:szCs w:val="24"/>
                <w:u w:val="none"/>
                <w:lang w:val="en-US" w:eastAsia="zh-CN" w:bidi="ar"/>
              </w:rPr>
              <w:t>TN</w:t>
            </w:r>
            <w:r>
              <w:rPr>
                <w:rFonts w:hint="default" w:ascii="Times New Roman" w:hAnsi="Times New Roman" w:eastAsia="宋体" w:cs="Times New Roman"/>
                <w:color w:val="auto"/>
                <w:sz w:val="24"/>
                <w:szCs w:val="24"/>
              </w:rPr>
              <w:t>等，水质</w:t>
            </w:r>
            <w:r>
              <w:rPr>
                <w:rFonts w:hint="default" w:ascii="Times New Roman" w:hAnsi="Times New Roman" w:eastAsia="宋体" w:cs="Times New Roman"/>
                <w:color w:val="auto"/>
                <w:sz w:val="24"/>
                <w:szCs w:val="24"/>
                <w:lang w:eastAsia="zh-CN"/>
              </w:rPr>
              <w:t>简单</w:t>
            </w:r>
            <w:r>
              <w:rPr>
                <w:rFonts w:hint="default" w:ascii="Times New Roman" w:hAnsi="Times New Roman" w:cs="Times New Roman"/>
                <w:color w:val="auto"/>
                <w:sz w:val="24"/>
                <w:szCs w:val="24"/>
                <w:lang w:eastAsia="zh-CN"/>
              </w:rPr>
              <w:t>，</w:t>
            </w:r>
            <w:r>
              <w:rPr>
                <w:rFonts w:hint="default" w:ascii="Times New Roman" w:hAnsi="Times New Roman" w:eastAsia="宋体" w:cs="Times New Roman"/>
                <w:color w:val="auto"/>
                <w:sz w:val="24"/>
                <w:szCs w:val="24"/>
              </w:rPr>
              <w:t>生活污水</w:t>
            </w:r>
            <w:r>
              <w:rPr>
                <w:rFonts w:hint="default" w:ascii="Times New Roman" w:hAnsi="Times New Roman" w:eastAsia="宋体" w:cs="Times New Roman"/>
                <w:color w:val="auto"/>
                <w:sz w:val="24"/>
                <w:szCs w:val="24"/>
                <w:lang w:eastAsia="zh-CN"/>
              </w:rPr>
              <w:t>经</w:t>
            </w:r>
            <w:r>
              <w:rPr>
                <w:rFonts w:hint="default" w:ascii="Times New Roman" w:hAnsi="Times New Roman" w:eastAsia="宋体" w:cs="Times New Roman"/>
                <w:color w:val="auto"/>
                <w:sz w:val="24"/>
                <w:szCs w:val="24"/>
                <w:lang w:val="en-US" w:eastAsia="zh-CN"/>
              </w:rPr>
              <w:t>化粪池预处理后</w:t>
            </w:r>
            <w:r>
              <w:rPr>
                <w:rFonts w:hint="default" w:ascii="Times New Roman" w:hAnsi="Times New Roman" w:eastAsia="宋体" w:cs="Times New Roman"/>
                <w:color w:val="auto"/>
                <w:sz w:val="24"/>
                <w:szCs w:val="24"/>
              </w:rPr>
              <w:t>，各污染物浓度满足《污水综合排放标准》</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GB8978-1996</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表4中三级排放标准及</w:t>
            </w:r>
            <w:r>
              <w:rPr>
                <w:rFonts w:hint="eastAsia" w:cs="Times New Roman"/>
                <w:color w:val="auto"/>
                <w:sz w:val="24"/>
                <w:szCs w:val="24"/>
                <w:lang w:eastAsia="zh-CN"/>
              </w:rPr>
              <w:t>芜湖县新芜开发区城东污水处理厂</w:t>
            </w:r>
            <w:r>
              <w:rPr>
                <w:rFonts w:hint="default" w:ascii="Times New Roman" w:hAnsi="Times New Roman" w:eastAsia="宋体" w:cs="Times New Roman"/>
                <w:color w:val="auto"/>
                <w:sz w:val="24"/>
                <w:szCs w:val="24"/>
              </w:rPr>
              <w:t>接管要求。</w:t>
            </w:r>
          </w:p>
          <w:p w14:paraId="08225052">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接管水量：</w:t>
            </w:r>
            <w:r>
              <w:rPr>
                <w:rFonts w:hint="eastAsia"/>
                <w:color w:val="auto"/>
                <w:sz w:val="24"/>
              </w:rPr>
              <w:t>新芜开发区城东污水处理厂现阶段处理能力约为3万m</w:t>
            </w:r>
            <w:r>
              <w:rPr>
                <w:rFonts w:hint="eastAsia"/>
                <w:color w:val="auto"/>
                <w:sz w:val="24"/>
                <w:vertAlign w:val="superscript"/>
              </w:rPr>
              <w:t>3</w:t>
            </w:r>
            <w:r>
              <w:rPr>
                <w:rFonts w:hint="eastAsia"/>
                <w:color w:val="auto"/>
                <w:sz w:val="24"/>
              </w:rPr>
              <w:t>/d</w:t>
            </w:r>
            <w:r>
              <w:rPr>
                <w:rFonts w:hint="default" w:ascii="Times New Roman" w:hAnsi="Times New Roman" w:eastAsia="宋体" w:cs="Times New Roman"/>
                <w:color w:val="auto"/>
                <w:sz w:val="24"/>
                <w:szCs w:val="24"/>
              </w:rPr>
              <w:t>，</w:t>
            </w:r>
            <w:r>
              <w:rPr>
                <w:rFonts w:eastAsiaTheme="majorEastAsia"/>
                <w:color w:val="auto"/>
                <w:sz w:val="24"/>
              </w:rPr>
              <w:t>目前湾沚区城东污水处理厂日处理量约为</w:t>
            </w:r>
            <w:r>
              <w:rPr>
                <w:rFonts w:hint="eastAsia" w:eastAsiaTheme="majorEastAsia"/>
                <w:color w:val="auto"/>
                <w:sz w:val="24"/>
                <w:lang w:val="en-US" w:eastAsia="zh-CN"/>
              </w:rPr>
              <w:t>1.8</w:t>
            </w:r>
            <w:r>
              <w:rPr>
                <w:rFonts w:eastAsiaTheme="majorEastAsia"/>
                <w:color w:val="auto"/>
                <w:sz w:val="24"/>
              </w:rPr>
              <w:t>万吨，尚有1.</w:t>
            </w:r>
            <w:r>
              <w:rPr>
                <w:rFonts w:hint="eastAsia" w:eastAsiaTheme="majorEastAsia"/>
                <w:color w:val="auto"/>
                <w:sz w:val="24"/>
                <w:lang w:val="en-US" w:eastAsia="zh-CN"/>
              </w:rPr>
              <w:t>2</w:t>
            </w:r>
            <w:r>
              <w:rPr>
                <w:rFonts w:eastAsiaTheme="majorEastAsia"/>
                <w:color w:val="auto"/>
                <w:sz w:val="24"/>
              </w:rPr>
              <w:t>万t/d的余</w:t>
            </w:r>
            <w:r>
              <w:rPr>
                <w:rFonts w:hint="eastAsia" w:ascii="Times New Roman" w:hAnsi="Times New Roman" w:eastAsia="宋体" w:cs="Times New Roman"/>
                <w:color w:val="auto"/>
                <w:sz w:val="24"/>
              </w:rPr>
              <w:t>量，</w:t>
            </w:r>
            <w:r>
              <w:rPr>
                <w:rFonts w:hint="default" w:ascii="Times New Roman" w:hAnsi="Times New Roman" w:eastAsia="宋体" w:cs="Times New Roman"/>
                <w:color w:val="auto"/>
                <w:sz w:val="24"/>
              </w:rPr>
              <w:t>本项目建成正常运行后的废水排放水量为</w:t>
            </w:r>
            <w:r>
              <w:rPr>
                <w:rFonts w:hint="eastAsia" w:ascii="Times New Roman" w:hAnsi="Times New Roman" w:eastAsia="宋体" w:cs="Times New Roman"/>
                <w:color w:val="auto"/>
                <w:sz w:val="24"/>
                <w:lang w:val="en-US" w:eastAsia="zh-CN"/>
              </w:rPr>
              <w:t>4.8</w:t>
            </w:r>
            <w:r>
              <w:rPr>
                <w:rFonts w:hint="default" w:ascii="Times New Roman" w:hAnsi="Times New Roman" w:eastAsia="宋体" w:cs="Times New Roman"/>
                <w:color w:val="auto"/>
                <w:sz w:val="24"/>
              </w:rPr>
              <w:t>t/d，</w:t>
            </w:r>
            <w:r>
              <w:rPr>
                <w:rFonts w:hint="eastAsia" w:ascii="Times New Roman" w:hAnsi="Times New Roman" w:eastAsia="宋体" w:cs="Times New Roman"/>
                <w:color w:val="auto"/>
                <w:sz w:val="24"/>
              </w:rPr>
              <w:t>仅占污水处理厂剩余处理量的0.04%，</w:t>
            </w:r>
            <w:r>
              <w:rPr>
                <w:rFonts w:hint="default" w:ascii="Times New Roman" w:hAnsi="Times New Roman" w:eastAsia="宋体" w:cs="Times New Roman"/>
                <w:color w:val="auto"/>
                <w:sz w:val="24"/>
                <w:szCs w:val="24"/>
              </w:rPr>
              <w:t>废水排放量很小，</w:t>
            </w:r>
            <w:r>
              <w:rPr>
                <w:rFonts w:eastAsiaTheme="majorEastAsia"/>
                <w:color w:val="auto"/>
                <w:sz w:val="24"/>
              </w:rPr>
              <w:t>而且废水水质简单，</w:t>
            </w:r>
            <w:r>
              <w:rPr>
                <w:rFonts w:hint="default" w:ascii="Times New Roman" w:hAnsi="Times New Roman" w:eastAsia="宋体" w:cs="Times New Roman"/>
                <w:color w:val="auto"/>
                <w:sz w:val="24"/>
                <w:szCs w:val="24"/>
              </w:rPr>
              <w:t>不会对其处理能力造成较大的冲击，因在其设计考虑处理范围内，因此接管水量是可行的。</w:t>
            </w:r>
          </w:p>
          <w:p w14:paraId="301A0697">
            <w:pPr>
              <w:snapToGrid w:val="0"/>
              <w:spacing w:line="360" w:lineRule="auto"/>
              <w:ind w:firstLine="480" w:firstLineChars="200"/>
              <w:textAlignment w:val="baseline"/>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接管路径：</w:t>
            </w:r>
            <w:r>
              <w:rPr>
                <w:rFonts w:hint="eastAsia"/>
                <w:color w:val="auto"/>
                <w:sz w:val="24"/>
                <w:lang w:eastAsia="zh-CN"/>
              </w:rPr>
              <w:t>芜湖县</w:t>
            </w:r>
            <w:r>
              <w:rPr>
                <w:rFonts w:hint="eastAsia"/>
                <w:color w:val="auto"/>
                <w:sz w:val="24"/>
              </w:rPr>
              <w:t>新芜开发区城东污水处理厂服务范围：主要为新芜开发区城东新城区和航空产业园服务，服务面积31.15km</w:t>
            </w:r>
            <w:r>
              <w:rPr>
                <w:rFonts w:hint="eastAsia"/>
                <w:color w:val="auto"/>
                <w:sz w:val="24"/>
                <w:vertAlign w:val="superscript"/>
              </w:rPr>
              <w:t>2</w:t>
            </w:r>
            <w:r>
              <w:rPr>
                <w:rFonts w:hint="eastAsia"/>
                <w:color w:val="auto"/>
                <w:sz w:val="24"/>
              </w:rPr>
              <w:t>，服务人口约13.5万人。收水范围为新芜开发区城东新城区、航空产业园内的企业的生产废水及工业园区通勤人员的生活污水。</w:t>
            </w:r>
            <w:r>
              <w:rPr>
                <w:rFonts w:hint="default" w:ascii="Times New Roman" w:hAnsi="Times New Roman" w:eastAsia="宋体" w:cs="Times New Roman"/>
                <w:color w:val="auto"/>
                <w:sz w:val="24"/>
                <w:szCs w:val="24"/>
              </w:rPr>
              <w:t>本项目位于</w:t>
            </w:r>
            <w:r>
              <w:rPr>
                <w:rFonts w:hint="eastAsia" w:cs="Times New Roman"/>
                <w:color w:val="auto"/>
                <w:sz w:val="24"/>
                <w:szCs w:val="24"/>
                <w:lang w:eastAsia="zh-CN"/>
              </w:rPr>
              <w:t>芜湖市湾沚区安徽新芜经济开发区西支六路222号</w:t>
            </w:r>
            <w:r>
              <w:rPr>
                <w:rFonts w:hint="default" w:ascii="Times New Roman" w:hAnsi="Times New Roman" w:eastAsia="宋体" w:cs="Times New Roman"/>
                <w:bCs/>
                <w:color w:val="auto"/>
                <w:sz w:val="24"/>
                <w:szCs w:val="24"/>
              </w:rPr>
              <w:t>，</w:t>
            </w:r>
            <w:r>
              <w:rPr>
                <w:rFonts w:hint="default" w:ascii="Times New Roman" w:hAnsi="Times New Roman" w:eastAsia="宋体" w:cs="Times New Roman"/>
                <w:color w:val="auto"/>
                <w:sz w:val="24"/>
                <w:szCs w:val="24"/>
              </w:rPr>
              <w:t>项目区域属于</w:t>
            </w:r>
            <w:r>
              <w:rPr>
                <w:rFonts w:hint="eastAsia" w:cs="Times New Roman"/>
                <w:color w:val="auto"/>
                <w:sz w:val="24"/>
                <w:szCs w:val="24"/>
                <w:lang w:eastAsia="zh-CN"/>
              </w:rPr>
              <w:t>芜湖县新芜开发区城东污水处理厂</w:t>
            </w:r>
            <w:r>
              <w:rPr>
                <w:rFonts w:hint="default" w:ascii="Times New Roman" w:hAnsi="Times New Roman" w:eastAsia="宋体" w:cs="Times New Roman"/>
                <w:color w:val="auto"/>
                <w:sz w:val="24"/>
                <w:szCs w:val="24"/>
              </w:rPr>
              <w:t>收水范围，项目产生的生活污水经预处理后接入市政污水管网，最终进入</w:t>
            </w:r>
            <w:r>
              <w:rPr>
                <w:rFonts w:hint="eastAsia" w:cs="Times New Roman"/>
                <w:color w:val="auto"/>
                <w:sz w:val="24"/>
                <w:szCs w:val="24"/>
                <w:lang w:eastAsia="zh-CN"/>
              </w:rPr>
              <w:t>芜湖县新芜开发区城东污水处理厂</w:t>
            </w:r>
            <w:r>
              <w:rPr>
                <w:rFonts w:hint="default" w:ascii="Times New Roman" w:hAnsi="Times New Roman" w:eastAsia="宋体" w:cs="Times New Roman"/>
                <w:color w:val="auto"/>
                <w:sz w:val="24"/>
                <w:szCs w:val="24"/>
              </w:rPr>
              <w:t>处理达标后排放。</w:t>
            </w:r>
          </w:p>
          <w:p w14:paraId="7194000B">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综上所述，本项目外排废水排入</w:t>
            </w:r>
            <w:r>
              <w:rPr>
                <w:rFonts w:hint="eastAsia" w:cs="Times New Roman"/>
                <w:color w:val="auto"/>
                <w:sz w:val="24"/>
                <w:szCs w:val="24"/>
                <w:lang w:val="en-US" w:eastAsia="zh-CN"/>
              </w:rPr>
              <w:t>芜湖县新芜开发区城东污水处理厂</w:t>
            </w:r>
            <w:r>
              <w:rPr>
                <w:rFonts w:hint="default" w:ascii="Times New Roman" w:hAnsi="Times New Roman" w:eastAsia="宋体" w:cs="Times New Roman"/>
                <w:color w:val="auto"/>
                <w:sz w:val="24"/>
                <w:szCs w:val="24"/>
              </w:rPr>
              <w:t>是可行的。</w:t>
            </w:r>
          </w:p>
          <w:p w14:paraId="564B9916">
            <w:pPr>
              <w:widowControl/>
              <w:adjustRightInd w:val="0"/>
              <w:snapToGrid w:val="0"/>
              <w:spacing w:line="360" w:lineRule="auto"/>
              <w:ind w:firstLine="482" w:firstLineChars="200"/>
              <w:jc w:val="left"/>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3、运营期废水监控计划</w:t>
            </w:r>
          </w:p>
          <w:p w14:paraId="126284A7">
            <w:pPr>
              <w:widowControl/>
              <w:adjustRightInd w:val="0"/>
              <w:snapToGrid w:val="0"/>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根据</w:t>
            </w:r>
            <w:r>
              <w:rPr>
                <w:rFonts w:hint="default" w:ascii="Times New Roman" w:hAnsi="Times New Roman" w:cs="Times New Roman"/>
                <w:color w:val="auto"/>
                <w:sz w:val="24"/>
              </w:rPr>
              <w:t>《排污单位自行监测技术指南 总则》（HJ819-2017）</w:t>
            </w:r>
            <w:r>
              <w:rPr>
                <w:rFonts w:hint="eastAsia" w:cs="Times New Roman"/>
                <w:color w:val="auto"/>
                <w:kern w:val="2"/>
                <w:sz w:val="24"/>
                <w:szCs w:val="24"/>
                <w:lang w:val="en-US" w:eastAsia="zh-CN" w:bidi="ar-SA"/>
              </w:rPr>
              <w:t>《排污单位自行监测技术指南 涂装》（HJ 1086-2020）、</w:t>
            </w:r>
            <w:r>
              <w:rPr>
                <w:rFonts w:hint="default" w:ascii="Times New Roman" w:hAnsi="Times New Roman" w:cs="Times New Roman"/>
                <w:color w:val="auto"/>
                <w:kern w:val="2"/>
                <w:sz w:val="24"/>
                <w:szCs w:val="24"/>
                <w:lang w:val="en-US" w:eastAsia="zh-CN" w:bidi="ar-SA"/>
              </w:rPr>
              <w:t>《</w:t>
            </w:r>
            <w:r>
              <w:rPr>
                <w:rFonts w:hint="default" w:ascii="Times New Roman" w:hAnsi="Times New Roman" w:eastAsia="宋体" w:cs="Times New Roman"/>
                <w:color w:val="auto"/>
                <w:kern w:val="0"/>
                <w:sz w:val="24"/>
                <w:szCs w:val="24"/>
                <w:lang w:bidi="ar"/>
              </w:rPr>
              <w:t>排污许可证申请与核发技术规范</w:t>
            </w:r>
            <w:r>
              <w:rPr>
                <w:rFonts w:hint="default" w:ascii="Times New Roman" w:hAnsi="Times New Roman" w:cs="Times New Roman"/>
                <w:color w:val="auto"/>
                <w:kern w:val="0"/>
                <w:sz w:val="24"/>
                <w:szCs w:val="24"/>
                <w:lang w:val="en-US" w:eastAsia="zh-CN" w:bidi="ar"/>
              </w:rPr>
              <w:t xml:space="preserve"> </w:t>
            </w:r>
            <w:r>
              <w:rPr>
                <w:rFonts w:hint="eastAsia" w:cs="Times New Roman"/>
                <w:color w:val="auto"/>
                <w:kern w:val="0"/>
                <w:sz w:val="24"/>
                <w:szCs w:val="24"/>
                <w:lang w:val="en-US" w:eastAsia="zh-CN" w:bidi="ar"/>
              </w:rPr>
              <w:t>铁路、船舶、航空航天和其他运输设备制造业</w:t>
            </w:r>
            <w:r>
              <w:rPr>
                <w:rFonts w:hint="default" w:ascii="Times New Roman" w:hAnsi="Times New Roman" w:cs="Times New Roman"/>
                <w:color w:val="auto"/>
                <w:kern w:val="0"/>
                <w:sz w:val="24"/>
                <w:szCs w:val="24"/>
                <w:lang w:val="en-US" w:eastAsia="zh-CN" w:bidi="ar"/>
              </w:rPr>
              <w:t>》</w:t>
            </w:r>
            <w:r>
              <w:rPr>
                <w:rFonts w:hint="default" w:ascii="Times New Roman" w:hAnsi="Times New Roman" w:eastAsia="宋体" w:cs="Times New Roman"/>
                <w:bCs/>
                <w:color w:val="auto"/>
                <w:kern w:val="2"/>
                <w:sz w:val="24"/>
                <w:szCs w:val="24"/>
                <w:lang w:val="en-US" w:eastAsia="zh-CN" w:bidi="ar-SA"/>
              </w:rPr>
              <w:t>（HJ 1124-2020）</w:t>
            </w:r>
            <w:r>
              <w:rPr>
                <w:rFonts w:hint="default" w:ascii="Times New Roman" w:hAnsi="Times New Roman" w:cs="Times New Roman"/>
                <w:color w:val="auto"/>
                <w:sz w:val="24"/>
              </w:rPr>
              <w:t>的相关要求</w:t>
            </w:r>
            <w:r>
              <w:rPr>
                <w:rFonts w:hint="default" w:ascii="Times New Roman" w:hAnsi="Times New Roman" w:cs="Times New Roman"/>
                <w:color w:val="auto"/>
                <w:kern w:val="0"/>
                <w:sz w:val="24"/>
              </w:rPr>
              <w:t>，项目废水监测计划见下表。</w:t>
            </w:r>
          </w:p>
          <w:p w14:paraId="67000FF5">
            <w:pPr>
              <w:keepNext w:val="0"/>
              <w:keepLines w:val="0"/>
              <w:pageBreakBefore w:val="0"/>
              <w:widowControl/>
              <w:kinsoku/>
              <w:wordWrap/>
              <w:overflowPunct/>
              <w:topLinePunct w:val="0"/>
              <w:autoSpaceDE/>
              <w:autoSpaceDN/>
              <w:bidi w:val="0"/>
              <w:adjustRightInd w:val="0"/>
              <w:snapToGrid w:val="0"/>
              <w:spacing w:beforeAutospacing="0"/>
              <w:jc w:val="center"/>
              <w:textAlignment w:val="baseline"/>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表4-</w:t>
            </w:r>
            <w:r>
              <w:rPr>
                <w:rFonts w:hint="eastAsia" w:cs="Times New Roman"/>
                <w:b/>
                <w:color w:val="auto"/>
                <w:kern w:val="0"/>
                <w:sz w:val="24"/>
                <w:lang w:val="en-US" w:eastAsia="zh-CN"/>
              </w:rPr>
              <w:t>18</w:t>
            </w:r>
            <w:r>
              <w:rPr>
                <w:rFonts w:hint="default" w:ascii="Times New Roman" w:hAnsi="Times New Roman" w:cs="Times New Roman"/>
                <w:b/>
                <w:color w:val="auto"/>
                <w:kern w:val="0"/>
                <w:sz w:val="24"/>
              </w:rPr>
              <w:t xml:space="preserve">  项目运营期废水监控计划一览表</w:t>
            </w:r>
          </w:p>
          <w:tbl>
            <w:tblPr>
              <w:tblStyle w:val="6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8"/>
              <w:gridCol w:w="1275"/>
              <w:gridCol w:w="1842"/>
              <w:gridCol w:w="1558"/>
              <w:gridCol w:w="2316"/>
            </w:tblGrid>
            <w:tr w14:paraId="7E228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828" w:type="pct"/>
                  <w:vAlign w:val="center"/>
                </w:tcPr>
                <w:p w14:paraId="19FA25FA">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监测点位</w:t>
                  </w:r>
                </w:p>
              </w:tc>
              <w:tc>
                <w:tcPr>
                  <w:tcW w:w="761" w:type="pct"/>
                  <w:vAlign w:val="center"/>
                </w:tcPr>
                <w:p w14:paraId="48D0611D">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排放口类型</w:t>
                  </w:r>
                </w:p>
              </w:tc>
              <w:tc>
                <w:tcPr>
                  <w:tcW w:w="1099" w:type="pct"/>
                  <w:shd w:val="clear" w:color="auto" w:fill="auto"/>
                  <w:vAlign w:val="center"/>
                </w:tcPr>
                <w:p w14:paraId="74705E5B">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监测项目</w:t>
                  </w:r>
                </w:p>
              </w:tc>
              <w:tc>
                <w:tcPr>
                  <w:tcW w:w="930" w:type="pct"/>
                  <w:shd w:val="clear" w:color="auto" w:fill="auto"/>
                  <w:vAlign w:val="center"/>
                </w:tcPr>
                <w:p w14:paraId="47673773">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最低监测频次</w:t>
                  </w:r>
                </w:p>
              </w:tc>
              <w:tc>
                <w:tcPr>
                  <w:tcW w:w="1382" w:type="pct"/>
                  <w:vAlign w:val="center"/>
                </w:tcPr>
                <w:p w14:paraId="031366E2">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执行标准</w:t>
                  </w:r>
                </w:p>
              </w:tc>
            </w:tr>
            <w:tr w14:paraId="1C27C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28" w:type="pct"/>
                  <w:vAlign w:val="center"/>
                </w:tcPr>
                <w:p w14:paraId="26F6AB2D">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废水总排口（DW001）</w:t>
                  </w:r>
                </w:p>
              </w:tc>
              <w:tc>
                <w:tcPr>
                  <w:tcW w:w="761" w:type="pct"/>
                  <w:vAlign w:val="center"/>
                </w:tcPr>
                <w:p w14:paraId="4C1CCDFF">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一般排放口</w:t>
                  </w:r>
                </w:p>
              </w:tc>
              <w:tc>
                <w:tcPr>
                  <w:tcW w:w="1099" w:type="pct"/>
                  <w:shd w:val="clear" w:color="auto" w:fill="auto"/>
                  <w:vAlign w:val="center"/>
                </w:tcPr>
                <w:p w14:paraId="288250F8">
                  <w:pPr>
                    <w:widowControl/>
                    <w:jc w:val="center"/>
                    <w:rPr>
                      <w:rFonts w:hint="default" w:ascii="Times New Roman" w:hAnsi="Times New Roman" w:cs="Times New Roman"/>
                      <w:color w:val="auto"/>
                      <w:kern w:val="0"/>
                      <w:szCs w:val="21"/>
                    </w:rPr>
                  </w:pPr>
                  <w:r>
                    <w:rPr>
                      <w:rFonts w:hint="default" w:ascii="Times New Roman" w:hAnsi="Times New Roman" w:eastAsia="宋体" w:cs="Times New Roman"/>
                      <w:color w:val="auto"/>
                      <w:sz w:val="21"/>
                      <w:szCs w:val="21"/>
                    </w:rPr>
                    <w:t>pH、</w:t>
                  </w:r>
                  <w:r>
                    <w:rPr>
                      <w:rFonts w:hint="default" w:ascii="Times New Roman" w:hAnsi="Times New Roman" w:cs="Times New Roman"/>
                      <w:color w:val="auto"/>
                      <w:sz w:val="21"/>
                      <w:szCs w:val="21"/>
                      <w:lang w:val="en-US" w:eastAsia="zh-CN"/>
                    </w:rPr>
                    <w:t>COD</w:t>
                  </w:r>
                  <w:r>
                    <w:rPr>
                      <w:rFonts w:hint="default" w:ascii="Times New Roman" w:hAnsi="Times New Roman" w:eastAsia="宋体" w:cs="Times New Roman"/>
                      <w:color w:val="auto"/>
                      <w:sz w:val="21"/>
                      <w:szCs w:val="21"/>
                    </w:rPr>
                    <w:t>、</w:t>
                  </w:r>
                  <w:r>
                    <w:rPr>
                      <w:rFonts w:hint="default" w:ascii="Times New Roman" w:hAnsi="Times New Roman" w:cs="Times New Roman"/>
                      <w:color w:val="auto"/>
                      <w:sz w:val="21"/>
                      <w:szCs w:val="21"/>
                      <w:lang w:val="en-US" w:eastAsia="zh-CN"/>
                    </w:rPr>
                    <w:t>BOD</w:t>
                  </w:r>
                  <w:r>
                    <w:rPr>
                      <w:rFonts w:hint="default" w:ascii="Times New Roman" w:hAnsi="Times New Roman" w:cs="Times New Roman"/>
                      <w:color w:val="auto"/>
                      <w:sz w:val="21"/>
                      <w:szCs w:val="21"/>
                      <w:vertAlign w:val="subscript"/>
                      <w:lang w:val="en-US" w:eastAsia="zh-CN"/>
                    </w:rPr>
                    <w:t>5</w:t>
                  </w:r>
                  <w:r>
                    <w:rPr>
                      <w:rFonts w:hint="default" w:ascii="Times New Roman" w:hAnsi="Times New Roman" w:eastAsia="宋体" w:cs="Times New Roman"/>
                      <w:color w:val="auto"/>
                      <w:sz w:val="21"/>
                      <w:szCs w:val="21"/>
                    </w:rPr>
                    <w:t>、SS、NH</w:t>
                  </w:r>
                  <w:r>
                    <w:rPr>
                      <w:rFonts w:hint="default" w:ascii="Times New Roman" w:hAnsi="Times New Roman" w:eastAsia="宋体" w:cs="Times New Roman"/>
                      <w:color w:val="auto"/>
                      <w:sz w:val="21"/>
                      <w:szCs w:val="21"/>
                      <w:vertAlign w:val="subscript"/>
                    </w:rPr>
                    <w:t>3</w:t>
                  </w:r>
                  <w:r>
                    <w:rPr>
                      <w:rFonts w:hint="default" w:ascii="Times New Roman" w:hAnsi="Times New Roman" w:eastAsia="宋体" w:cs="Times New Roman"/>
                      <w:color w:val="auto"/>
                      <w:sz w:val="21"/>
                      <w:szCs w:val="21"/>
                    </w:rPr>
                    <w:t>-N</w:t>
                  </w:r>
                  <w:r>
                    <w:rPr>
                      <w:rFonts w:hint="default" w:ascii="Times New Roman" w:hAnsi="Times New Roman" w:eastAsia="宋体" w:cs="Times New Roman"/>
                      <w:i w:val="0"/>
                      <w:iCs w:val="0"/>
                      <w:color w:val="auto"/>
                      <w:kern w:val="0"/>
                      <w:sz w:val="21"/>
                      <w:szCs w:val="21"/>
                      <w:u w:val="none"/>
                      <w:lang w:val="en-US" w:eastAsia="zh-CN" w:bidi="ar"/>
                    </w:rPr>
                    <w:t>、</w:t>
                  </w:r>
                  <w:r>
                    <w:rPr>
                      <w:rFonts w:hint="default" w:ascii="Times New Roman" w:hAnsi="Times New Roman" w:eastAsia="宋体" w:cs="Times New Roman"/>
                      <w:color w:val="auto"/>
                      <w:sz w:val="21"/>
                      <w:szCs w:val="21"/>
                    </w:rPr>
                    <w:t>TP、</w:t>
                  </w:r>
                  <w:r>
                    <w:rPr>
                      <w:rFonts w:hint="default" w:ascii="Times New Roman" w:hAnsi="Times New Roman" w:eastAsia="宋体" w:cs="Times New Roman"/>
                      <w:i w:val="0"/>
                      <w:iCs w:val="0"/>
                      <w:color w:val="auto"/>
                      <w:kern w:val="0"/>
                      <w:sz w:val="21"/>
                      <w:szCs w:val="21"/>
                      <w:u w:val="none"/>
                      <w:lang w:val="en-US" w:eastAsia="zh-CN" w:bidi="ar"/>
                    </w:rPr>
                    <w:t>TN</w:t>
                  </w:r>
                </w:p>
              </w:tc>
              <w:tc>
                <w:tcPr>
                  <w:tcW w:w="930" w:type="pct"/>
                  <w:shd w:val="clear" w:color="auto" w:fill="auto"/>
                  <w:vAlign w:val="center"/>
                </w:tcPr>
                <w:p w14:paraId="6EA60046">
                  <w:pPr>
                    <w:widowControl/>
                    <w:jc w:val="center"/>
                    <w:rPr>
                      <w:rFonts w:hint="eastAsia" w:ascii="Times New Roman" w:hAnsi="Times New Roman" w:eastAsia="宋体" w:cs="Times New Roman"/>
                      <w:color w:val="auto"/>
                      <w:kern w:val="0"/>
                      <w:szCs w:val="21"/>
                      <w:lang w:val="en-US" w:eastAsia="zh-CN"/>
                    </w:rPr>
                  </w:pPr>
                  <w:r>
                    <w:rPr>
                      <w:rFonts w:hint="eastAsia" w:cs="Times New Roman"/>
                      <w:color w:val="auto"/>
                      <w:kern w:val="0"/>
                      <w:szCs w:val="21"/>
                      <w:lang w:val="en-US" w:eastAsia="zh-CN"/>
                    </w:rPr>
                    <w:t>/</w:t>
                  </w:r>
                </w:p>
              </w:tc>
              <w:tc>
                <w:tcPr>
                  <w:tcW w:w="1382" w:type="pct"/>
                  <w:vAlign w:val="center"/>
                </w:tcPr>
                <w:p w14:paraId="332A1617">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《污水综合排放标准》（GB8978-1996）表4三级标</w:t>
                  </w:r>
                  <w:r>
                    <w:rPr>
                      <w:rFonts w:hint="default" w:ascii="Times New Roman" w:hAnsi="Times New Roman" w:eastAsia="宋体" w:cs="Times New Roman"/>
                      <w:color w:val="auto"/>
                      <w:szCs w:val="21"/>
                    </w:rPr>
                    <w:t>准及</w:t>
                  </w:r>
                  <w:r>
                    <w:rPr>
                      <w:rFonts w:hint="eastAsia" w:cs="Times New Roman"/>
                      <w:color w:val="auto"/>
                      <w:szCs w:val="21"/>
                      <w:lang w:eastAsia="zh-CN"/>
                    </w:rPr>
                    <w:t>芜湖县新芜开发区城东污水处理厂</w:t>
                  </w:r>
                  <w:r>
                    <w:rPr>
                      <w:rFonts w:hint="default" w:ascii="Times New Roman" w:hAnsi="Times New Roman" w:eastAsia="宋体" w:cs="Times New Roman"/>
                      <w:color w:val="auto"/>
                      <w:szCs w:val="21"/>
                    </w:rPr>
                    <w:t>接管要求</w:t>
                  </w:r>
                </w:p>
              </w:tc>
            </w:tr>
          </w:tbl>
          <w:p w14:paraId="08A999F9">
            <w:pPr>
              <w:spacing w:line="360" w:lineRule="auto"/>
              <w:ind w:firstLine="480" w:firstLineChars="200"/>
              <w:jc w:val="left"/>
              <w:rPr>
                <w:rFonts w:hint="default" w:ascii="Times New Roman" w:hAnsi="Times New Roman" w:cs="Times New Roman"/>
                <w:color w:val="auto"/>
                <w:sz w:val="24"/>
              </w:rPr>
            </w:pPr>
          </w:p>
        </w:tc>
      </w:tr>
      <w:tr w14:paraId="6DE6C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452" w:type="dxa"/>
            <w:vMerge w:val="continue"/>
            <w:shd w:val="clear" w:color="auto" w:fill="auto"/>
          </w:tcPr>
          <w:p w14:paraId="38195F04">
            <w:pPr>
              <w:tabs>
                <w:tab w:val="left" w:pos="1077"/>
              </w:tabs>
              <w:rPr>
                <w:rFonts w:hint="default" w:ascii="Times New Roman" w:hAnsi="Times New Roman" w:cs="Times New Roman"/>
                <w:color w:val="auto"/>
                <w:sz w:val="24"/>
              </w:rPr>
            </w:pPr>
          </w:p>
        </w:tc>
        <w:tc>
          <w:tcPr>
            <w:tcW w:w="8609" w:type="dxa"/>
            <w:shd w:val="clear" w:color="auto" w:fill="auto"/>
          </w:tcPr>
          <w:p w14:paraId="10DA3615">
            <w:pPr>
              <w:keepNext/>
              <w:keepLines/>
              <w:spacing w:line="360" w:lineRule="auto"/>
              <w:ind w:firstLine="354" w:firstLineChars="147"/>
              <w:outlineLvl w:val="2"/>
              <w:rPr>
                <w:rFonts w:hint="default" w:ascii="Times New Roman" w:hAnsi="Times New Roman" w:cs="Times New Roman"/>
                <w:b/>
                <w:bCs/>
                <w:color w:val="auto"/>
                <w:sz w:val="24"/>
                <w:szCs w:val="32"/>
              </w:rPr>
            </w:pPr>
            <w:r>
              <w:rPr>
                <w:rFonts w:hint="default" w:ascii="Times New Roman" w:hAnsi="Times New Roman" w:cs="Times New Roman"/>
                <w:b/>
                <w:bCs/>
                <w:color w:val="auto"/>
                <w:sz w:val="24"/>
                <w:szCs w:val="32"/>
              </w:rPr>
              <w:t>三、噪声环境影响和保护措施</w:t>
            </w:r>
          </w:p>
          <w:p w14:paraId="63B431E2">
            <w:pPr>
              <w:keepNext/>
              <w:keepLines/>
              <w:spacing w:line="360" w:lineRule="auto"/>
              <w:ind w:firstLine="472" w:firstLineChars="196"/>
              <w:outlineLvl w:val="2"/>
              <w:rPr>
                <w:rFonts w:hint="default" w:ascii="Times New Roman" w:hAnsi="Times New Roman" w:cs="Times New Roman"/>
                <w:b/>
                <w:bCs/>
                <w:color w:val="auto"/>
                <w:sz w:val="24"/>
                <w:szCs w:val="32"/>
              </w:rPr>
            </w:pPr>
            <w:r>
              <w:rPr>
                <w:rFonts w:hint="default" w:ascii="Times New Roman" w:hAnsi="Times New Roman" w:cs="Times New Roman"/>
                <w:b/>
                <w:bCs/>
                <w:color w:val="auto"/>
                <w:sz w:val="24"/>
                <w:szCs w:val="32"/>
              </w:rPr>
              <w:t>1、噪声源强</w:t>
            </w:r>
          </w:p>
          <w:p w14:paraId="0365D2A1">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kern w:val="0"/>
                <w:sz w:val="24"/>
              </w:rPr>
              <w:t>本项目主要设备</w:t>
            </w:r>
            <w:r>
              <w:rPr>
                <w:rFonts w:hint="default" w:ascii="Times New Roman" w:hAnsi="Times New Roman" w:eastAsia="宋体" w:cs="Times New Roman"/>
                <w:color w:val="auto"/>
                <w:kern w:val="0"/>
                <w:sz w:val="24"/>
              </w:rPr>
              <w:t>有</w:t>
            </w:r>
            <w:r>
              <w:rPr>
                <w:rFonts w:hint="eastAsia" w:cs="Times New Roman"/>
                <w:color w:val="auto"/>
                <w:kern w:val="0"/>
                <w:sz w:val="24"/>
                <w:lang w:val="en-US" w:eastAsia="zh-CN"/>
              </w:rPr>
              <w:t>抛丸机</w:t>
            </w:r>
            <w:r>
              <w:rPr>
                <w:rFonts w:hint="eastAsia" w:ascii="Times New Roman" w:hAnsi="Times New Roman" w:eastAsia="宋体" w:cs="Times New Roman"/>
                <w:color w:val="auto"/>
                <w:kern w:val="0"/>
                <w:sz w:val="24"/>
                <w:lang w:val="en-US" w:eastAsia="zh-CN"/>
              </w:rPr>
              <w:t>、</w:t>
            </w:r>
            <w:r>
              <w:rPr>
                <w:rFonts w:hint="eastAsia" w:cs="Times New Roman"/>
                <w:color w:val="auto"/>
                <w:kern w:val="0"/>
                <w:sz w:val="24"/>
                <w:lang w:val="en-US" w:eastAsia="zh-CN"/>
              </w:rPr>
              <w:t>数控车床</w:t>
            </w:r>
            <w:r>
              <w:rPr>
                <w:rFonts w:hint="eastAsia" w:ascii="Times New Roman" w:hAnsi="Times New Roman" w:eastAsia="宋体" w:cs="Times New Roman"/>
                <w:color w:val="auto"/>
                <w:kern w:val="0"/>
                <w:sz w:val="24"/>
                <w:lang w:val="en-US" w:eastAsia="zh-CN"/>
              </w:rPr>
              <w:t>、</w:t>
            </w:r>
            <w:r>
              <w:rPr>
                <w:rFonts w:hint="eastAsia" w:cs="Times New Roman"/>
                <w:color w:val="auto"/>
                <w:kern w:val="0"/>
                <w:sz w:val="24"/>
                <w:lang w:val="en-US" w:eastAsia="zh-CN"/>
              </w:rPr>
              <w:t>磨床</w:t>
            </w:r>
            <w:r>
              <w:rPr>
                <w:rFonts w:hint="eastAsia" w:ascii="Times New Roman" w:hAnsi="Times New Roman" w:eastAsia="宋体" w:cs="Times New Roman"/>
                <w:color w:val="auto"/>
                <w:kern w:val="0"/>
                <w:sz w:val="24"/>
                <w:lang w:val="en-US" w:eastAsia="zh-CN"/>
              </w:rPr>
              <w:t>、</w:t>
            </w:r>
            <w:r>
              <w:rPr>
                <w:rFonts w:hint="eastAsia" w:cs="Times New Roman"/>
                <w:color w:val="auto"/>
                <w:kern w:val="0"/>
                <w:sz w:val="24"/>
                <w:lang w:val="en-US" w:eastAsia="zh-CN"/>
              </w:rPr>
              <w:t>低温回火炉</w:t>
            </w:r>
            <w:r>
              <w:rPr>
                <w:rFonts w:hint="default" w:ascii="Times New Roman" w:hAnsi="Times New Roman" w:eastAsia="宋体" w:cs="Times New Roman"/>
                <w:color w:val="auto"/>
                <w:kern w:val="0"/>
                <w:sz w:val="24"/>
              </w:rPr>
              <w:t>等，</w:t>
            </w:r>
            <w:r>
              <w:rPr>
                <w:rFonts w:hint="default" w:ascii="Times New Roman" w:hAnsi="Times New Roman" w:cs="Times New Roman"/>
                <w:color w:val="auto"/>
                <w:kern w:val="0"/>
                <w:sz w:val="24"/>
              </w:rPr>
              <w:t>企业选用低噪声设备，通过厂房隔声、减振等降噪措施，可有效控制噪声影响。</w:t>
            </w:r>
            <w:r>
              <w:rPr>
                <w:rFonts w:hint="default" w:ascii="Times New Roman" w:hAnsi="Times New Roman" w:cs="Times New Roman"/>
                <w:color w:val="auto"/>
                <w:sz w:val="24"/>
              </w:rPr>
              <w:t>经类比《环境噪声与振动控制工程技术导则》（HJ 2034-2013）附录A常见噪声源及其声功率级，本项目主要生产设备声功率级约为75~</w:t>
            </w:r>
            <w:r>
              <w:rPr>
                <w:rFonts w:hint="default" w:ascii="Times New Roman" w:hAnsi="Times New Roman" w:cs="Times New Roman"/>
                <w:color w:val="auto"/>
                <w:sz w:val="24"/>
                <w:lang w:val="en-US" w:eastAsia="zh-CN"/>
              </w:rPr>
              <w:t>90</w:t>
            </w:r>
            <w:r>
              <w:rPr>
                <w:rFonts w:hint="default" w:ascii="Times New Roman" w:hAnsi="Times New Roman" w:cs="Times New Roman"/>
                <w:color w:val="auto"/>
                <w:sz w:val="24"/>
              </w:rPr>
              <w:t>dB(A)，采取消声、隔声、减振等降噪措施。主要声源划分为室内声源和室外声源两类。</w:t>
            </w:r>
          </w:p>
          <w:p w14:paraId="65BB6AFA">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（1）室内和室外声级差的计算</w:t>
            </w:r>
          </w:p>
          <w:p w14:paraId="5C2076BC">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当声源位于室内，设靠近开口处（或窗户）室内和室外的声级分别为L</w:t>
            </w:r>
            <w:r>
              <w:rPr>
                <w:rFonts w:hint="default" w:ascii="Times New Roman" w:hAnsi="Times New Roman" w:cs="Times New Roman"/>
                <w:color w:val="auto"/>
                <w:sz w:val="24"/>
                <w:vertAlign w:val="subscript"/>
              </w:rPr>
              <w:t>1</w:t>
            </w:r>
            <w:r>
              <w:rPr>
                <w:rFonts w:hint="default" w:ascii="Times New Roman" w:hAnsi="Times New Roman" w:cs="Times New Roman"/>
                <w:color w:val="auto"/>
                <w:sz w:val="24"/>
              </w:rPr>
              <w:t>和L</w:t>
            </w:r>
            <w:r>
              <w:rPr>
                <w:rFonts w:hint="default" w:ascii="Times New Roman" w:hAnsi="Times New Roman" w:cs="Times New Roman"/>
                <w:color w:val="auto"/>
                <w:sz w:val="24"/>
                <w:vertAlign w:val="subscript"/>
              </w:rPr>
              <w:t>2</w:t>
            </w:r>
            <w:r>
              <w:rPr>
                <w:rFonts w:hint="default" w:ascii="Times New Roman" w:hAnsi="Times New Roman" w:cs="Times New Roman"/>
                <w:color w:val="auto"/>
                <w:sz w:val="24"/>
              </w:rPr>
              <w:t>，若声源所在室内声场近似扩散声场，且墙的隔声量远大于窗的隔声量，则室内和室外的声级差为：</w:t>
            </w:r>
          </w:p>
          <w:p w14:paraId="1715A8EC">
            <w:pPr>
              <w:spacing w:line="360" w:lineRule="auto"/>
              <w:ind w:firstLine="480" w:firstLineChars="200"/>
              <w:jc w:val="right"/>
              <w:rPr>
                <w:rFonts w:hint="default" w:ascii="Times New Roman" w:hAnsi="Times New Roman" w:cs="Times New Roman"/>
                <w:color w:val="auto"/>
                <w:sz w:val="24"/>
              </w:rPr>
            </w:pPr>
            <w:r>
              <w:rPr>
                <w:rFonts w:hint="default" w:ascii="Times New Roman" w:hAnsi="Times New Roman" w:cs="Times New Roman"/>
                <w:color w:val="auto"/>
                <w:sz w:val="24"/>
              </w:rPr>
              <w:t>NR=L</w:t>
            </w:r>
            <w:r>
              <w:rPr>
                <w:rFonts w:hint="default" w:ascii="Times New Roman" w:hAnsi="Times New Roman" w:cs="Times New Roman"/>
                <w:color w:val="auto"/>
                <w:sz w:val="24"/>
                <w:vertAlign w:val="subscript"/>
              </w:rPr>
              <w:t>1</w:t>
            </w:r>
            <w:r>
              <w:rPr>
                <w:rFonts w:hint="default" w:ascii="Times New Roman" w:hAnsi="Times New Roman" w:cs="Times New Roman"/>
                <w:color w:val="auto"/>
                <w:sz w:val="24"/>
              </w:rPr>
              <w:t>-L</w:t>
            </w:r>
            <w:r>
              <w:rPr>
                <w:rFonts w:hint="default" w:ascii="Times New Roman" w:hAnsi="Times New Roman" w:cs="Times New Roman"/>
                <w:color w:val="auto"/>
                <w:sz w:val="24"/>
                <w:vertAlign w:val="subscript"/>
              </w:rPr>
              <w:t>2</w:t>
            </w:r>
            <w:r>
              <w:rPr>
                <w:rFonts w:hint="default" w:ascii="Times New Roman" w:hAnsi="Times New Roman" w:cs="Times New Roman"/>
                <w:color w:val="auto"/>
                <w:sz w:val="24"/>
              </w:rPr>
              <w:t>=TL+6                         （1）</w:t>
            </w:r>
          </w:p>
          <w:p w14:paraId="1008529F">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式中TL—窗户的隔声量，dB；</w:t>
            </w:r>
          </w:p>
          <w:p w14:paraId="449F9D26">
            <w:pPr>
              <w:spacing w:line="360" w:lineRule="auto"/>
              <w:ind w:firstLine="1080" w:firstLineChars="450"/>
              <w:rPr>
                <w:rFonts w:hint="default" w:ascii="Times New Roman" w:hAnsi="Times New Roman" w:cs="Times New Roman"/>
                <w:color w:val="auto"/>
                <w:sz w:val="24"/>
              </w:rPr>
            </w:pPr>
            <w:r>
              <w:rPr>
                <w:rFonts w:hint="default" w:ascii="Times New Roman" w:hAnsi="Times New Roman" w:cs="Times New Roman"/>
                <w:color w:val="auto"/>
                <w:sz w:val="24"/>
              </w:rPr>
              <w:t>NR—室内和室外的声级差，或称插入损失，dB。</w:t>
            </w:r>
          </w:p>
          <w:p w14:paraId="7BCBDD5A">
            <w:pPr>
              <w:spacing w:line="360" w:lineRule="auto"/>
              <w:ind w:firstLine="1080" w:firstLineChars="450"/>
              <w:rPr>
                <w:rFonts w:hint="default" w:ascii="Times New Roman" w:hAnsi="Times New Roman" w:cs="Times New Roman"/>
                <w:color w:val="auto"/>
                <w:sz w:val="24"/>
              </w:rPr>
            </w:pPr>
            <w:r>
              <w:rPr>
                <w:rFonts w:hint="default" w:ascii="Times New Roman" w:hAnsi="Times New Roman" w:cs="Times New Roman"/>
                <w:color w:val="auto"/>
                <w:sz w:val="24"/>
              </w:rPr>
              <w:t>TL、NR均和声波的频率有关。其中L</w:t>
            </w:r>
            <w:r>
              <w:rPr>
                <w:rFonts w:hint="default" w:ascii="Times New Roman" w:hAnsi="Times New Roman" w:cs="Times New Roman"/>
                <w:color w:val="auto"/>
                <w:sz w:val="24"/>
                <w:vertAlign w:val="subscript"/>
              </w:rPr>
              <w:t>1</w:t>
            </w:r>
            <w:r>
              <w:rPr>
                <w:rFonts w:hint="default" w:ascii="Times New Roman" w:hAnsi="Times New Roman" w:cs="Times New Roman"/>
                <w:color w:val="auto"/>
                <w:sz w:val="24"/>
              </w:rPr>
              <w:t>可以是测量值或计算值，若为计算值时，按下式计算：</w:t>
            </w:r>
          </w:p>
          <w:p w14:paraId="5578E14B">
            <w:pPr>
              <w:spacing w:line="360" w:lineRule="auto"/>
              <w:jc w:val="right"/>
              <w:rPr>
                <w:rFonts w:hint="default" w:ascii="Times New Roman" w:hAnsi="Times New Roman" w:cs="Times New Roman"/>
                <w:color w:val="auto"/>
                <w:sz w:val="24"/>
              </w:rPr>
            </w:pPr>
            <w:r>
              <w:rPr>
                <w:rFonts w:hint="default" w:ascii="Times New Roman" w:hAnsi="Times New Roman" w:cs="Times New Roman"/>
                <w:color w:val="auto"/>
                <w:sz w:val="24"/>
              </w:rPr>
              <w:t>L</w:t>
            </w:r>
            <w:r>
              <w:rPr>
                <w:rFonts w:hint="default" w:ascii="Times New Roman" w:hAnsi="Times New Roman" w:cs="Times New Roman"/>
                <w:color w:val="auto"/>
                <w:sz w:val="24"/>
                <w:vertAlign w:val="subscript"/>
              </w:rPr>
              <w:t>1</w:t>
            </w:r>
            <w:r>
              <w:rPr>
                <w:rFonts w:hint="default" w:ascii="Times New Roman" w:hAnsi="Times New Roman" w:cs="Times New Roman"/>
                <w:color w:val="auto"/>
                <w:sz w:val="24"/>
              </w:rPr>
              <w:t>=L</w:t>
            </w:r>
            <w:r>
              <w:rPr>
                <w:rFonts w:hint="default" w:ascii="Times New Roman" w:hAnsi="Times New Roman" w:cs="Times New Roman"/>
                <w:color w:val="auto"/>
                <w:sz w:val="24"/>
                <w:vertAlign w:val="subscript"/>
              </w:rPr>
              <w:t>W1</w:t>
            </w:r>
            <w:r>
              <w:rPr>
                <w:rFonts w:hint="default" w:ascii="Times New Roman" w:hAnsi="Times New Roman" w:cs="Times New Roman"/>
                <w:color w:val="auto"/>
                <w:sz w:val="24"/>
              </w:rPr>
              <w:t>+10lg[Q/（4πr</w:t>
            </w:r>
            <w:r>
              <w:rPr>
                <w:rFonts w:hint="default" w:ascii="Times New Roman" w:hAnsi="Times New Roman" w:cs="Times New Roman"/>
                <w:color w:val="auto"/>
                <w:sz w:val="24"/>
                <w:vertAlign w:val="subscript"/>
              </w:rPr>
              <w:t>1</w:t>
            </w:r>
            <w:r>
              <w:rPr>
                <w:rFonts w:hint="default" w:ascii="Times New Roman" w:hAnsi="Times New Roman" w:cs="Times New Roman"/>
                <w:color w:val="auto"/>
                <w:sz w:val="24"/>
                <w:vertAlign w:val="superscript"/>
              </w:rPr>
              <w:t>2</w:t>
            </w:r>
            <w:r>
              <w:rPr>
                <w:rFonts w:hint="default" w:ascii="Times New Roman" w:hAnsi="Times New Roman" w:cs="Times New Roman"/>
                <w:color w:val="auto"/>
                <w:sz w:val="24"/>
              </w:rPr>
              <w:t>）+4/R]                    （2）</w:t>
            </w:r>
          </w:p>
          <w:p w14:paraId="6E86BE06">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式中：L</w:t>
            </w:r>
            <w:r>
              <w:rPr>
                <w:rFonts w:hint="default" w:ascii="Times New Roman" w:hAnsi="Times New Roman" w:cs="Times New Roman"/>
                <w:color w:val="auto"/>
                <w:sz w:val="24"/>
                <w:vertAlign w:val="subscript"/>
              </w:rPr>
              <w:t>W1</w:t>
            </w:r>
            <w:r>
              <w:rPr>
                <w:rFonts w:hint="default" w:ascii="Times New Roman" w:hAnsi="Times New Roman" w:cs="Times New Roman"/>
                <w:color w:val="auto"/>
                <w:sz w:val="24"/>
              </w:rPr>
              <w:t>—某个室内声源在靠近围护结构处产生的倍频带声功率级；</w:t>
            </w:r>
          </w:p>
          <w:p w14:paraId="272089FC">
            <w:pPr>
              <w:spacing w:line="360" w:lineRule="auto"/>
              <w:ind w:firstLine="1200" w:firstLineChars="500"/>
              <w:rPr>
                <w:rFonts w:hint="default" w:ascii="Times New Roman" w:hAnsi="Times New Roman" w:cs="Times New Roman"/>
                <w:color w:val="auto"/>
                <w:sz w:val="24"/>
              </w:rPr>
            </w:pPr>
            <w:r>
              <w:rPr>
                <w:rFonts w:hint="default" w:ascii="Times New Roman" w:hAnsi="Times New Roman" w:cs="Times New Roman"/>
                <w:color w:val="auto"/>
                <w:sz w:val="24"/>
              </w:rPr>
              <w:t>r</w:t>
            </w:r>
            <w:r>
              <w:rPr>
                <w:rFonts w:hint="default" w:ascii="Times New Roman" w:hAnsi="Times New Roman" w:cs="Times New Roman"/>
                <w:color w:val="auto"/>
                <w:sz w:val="24"/>
                <w:vertAlign w:val="subscript"/>
              </w:rPr>
              <w:t>1</w:t>
            </w:r>
            <w:r>
              <w:rPr>
                <w:rFonts w:hint="default" w:ascii="Times New Roman" w:hAnsi="Times New Roman" w:cs="Times New Roman"/>
                <w:color w:val="auto"/>
                <w:sz w:val="24"/>
              </w:rPr>
              <w:t>—某个室内声源与靠近围护结构处的距离；</w:t>
            </w:r>
          </w:p>
          <w:p w14:paraId="70B237E9">
            <w:pPr>
              <w:spacing w:line="360" w:lineRule="auto"/>
              <w:ind w:firstLine="1200" w:firstLineChars="500"/>
              <w:rPr>
                <w:rFonts w:hint="default" w:ascii="Times New Roman" w:hAnsi="Times New Roman" w:cs="Times New Roman"/>
                <w:color w:val="auto"/>
                <w:sz w:val="24"/>
              </w:rPr>
            </w:pPr>
            <w:r>
              <w:rPr>
                <w:rFonts w:hint="default" w:ascii="Times New Roman" w:hAnsi="Times New Roman" w:cs="Times New Roman"/>
                <w:color w:val="auto"/>
                <w:sz w:val="24"/>
              </w:rPr>
              <w:t>Q—指向性因子；通常对无指向性声源，①当声源放在房间中心时，Q=1；②当放在一面墙的中心时，Q=2；③当放在两面墙夹角处时，Q=4；④当放在三面墙夹角处时，Q=8；</w:t>
            </w:r>
          </w:p>
          <w:p w14:paraId="15410B20">
            <w:pPr>
              <w:spacing w:line="360" w:lineRule="auto"/>
              <w:ind w:firstLine="1200" w:firstLineChars="500"/>
              <w:rPr>
                <w:rFonts w:hint="default" w:ascii="Times New Roman" w:hAnsi="Times New Roman" w:cs="Times New Roman"/>
                <w:color w:val="auto"/>
                <w:sz w:val="24"/>
              </w:rPr>
            </w:pPr>
            <w:r>
              <w:rPr>
                <w:rFonts w:hint="default" w:ascii="Times New Roman" w:hAnsi="Times New Roman" w:cs="Times New Roman"/>
                <w:color w:val="auto"/>
                <w:sz w:val="24"/>
              </w:rPr>
              <w:t>L</w:t>
            </w:r>
            <w:r>
              <w:rPr>
                <w:rFonts w:hint="default" w:ascii="Times New Roman" w:hAnsi="Times New Roman" w:cs="Times New Roman"/>
                <w:color w:val="auto"/>
                <w:sz w:val="24"/>
                <w:vertAlign w:val="subscript"/>
              </w:rPr>
              <w:t>1</w:t>
            </w:r>
            <w:r>
              <w:rPr>
                <w:rFonts w:hint="default" w:ascii="Times New Roman" w:hAnsi="Times New Roman" w:cs="Times New Roman"/>
                <w:color w:val="auto"/>
                <w:sz w:val="24"/>
              </w:rPr>
              <w:t>—靠近围护结构处的倍频带声压级。</w:t>
            </w:r>
          </w:p>
          <w:p w14:paraId="15267290">
            <w:pPr>
              <w:spacing w:line="360" w:lineRule="auto"/>
              <w:ind w:firstLine="1200" w:firstLineChars="500"/>
              <w:rPr>
                <w:rFonts w:hint="default" w:ascii="Times New Roman" w:hAnsi="Times New Roman" w:cs="Times New Roman"/>
                <w:color w:val="auto"/>
                <w:sz w:val="24"/>
              </w:rPr>
            </w:pPr>
            <w:r>
              <w:rPr>
                <w:rFonts w:hint="default" w:ascii="Times New Roman" w:hAnsi="Times New Roman" w:cs="Times New Roman"/>
                <w:color w:val="auto"/>
                <w:sz w:val="24"/>
              </w:rPr>
              <w:t>R—房间常数；</w:t>
            </w:r>
          </w:p>
          <w:p w14:paraId="02E1156D">
            <w:pPr>
              <w:spacing w:line="36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R=Sα/（1-α）</w:t>
            </w:r>
          </w:p>
          <w:p w14:paraId="30D0977B">
            <w:pPr>
              <w:spacing w:line="360" w:lineRule="auto"/>
              <w:ind w:firstLine="1200" w:firstLineChars="500"/>
              <w:rPr>
                <w:rFonts w:hint="default" w:ascii="Times New Roman" w:hAnsi="Times New Roman" w:cs="Times New Roman"/>
                <w:color w:val="auto"/>
                <w:sz w:val="24"/>
              </w:rPr>
            </w:pPr>
            <w:r>
              <w:rPr>
                <w:rFonts w:hint="default" w:ascii="Times New Roman" w:hAnsi="Times New Roman" w:cs="Times New Roman"/>
                <w:color w:val="auto"/>
                <w:sz w:val="24"/>
              </w:rPr>
              <w:t>S—房间内表面面积，m</w:t>
            </w:r>
            <w:r>
              <w:rPr>
                <w:rFonts w:hint="default" w:ascii="Times New Roman" w:hAnsi="Times New Roman" w:cs="Times New Roman"/>
                <w:color w:val="auto"/>
                <w:sz w:val="24"/>
                <w:vertAlign w:val="superscript"/>
              </w:rPr>
              <w:t>2</w:t>
            </w:r>
            <w:r>
              <w:rPr>
                <w:rFonts w:hint="default" w:ascii="Times New Roman" w:hAnsi="Times New Roman" w:cs="Times New Roman"/>
                <w:color w:val="auto"/>
                <w:sz w:val="24"/>
              </w:rPr>
              <w:t>；</w:t>
            </w:r>
          </w:p>
          <w:p w14:paraId="5C0602B8">
            <w:pPr>
              <w:spacing w:line="360" w:lineRule="auto"/>
              <w:ind w:firstLine="1200" w:firstLineChars="500"/>
              <w:rPr>
                <w:rFonts w:hint="default" w:ascii="Times New Roman" w:hAnsi="Times New Roman" w:cs="Times New Roman"/>
                <w:color w:val="auto"/>
                <w:sz w:val="24"/>
              </w:rPr>
            </w:pPr>
            <w:r>
              <w:rPr>
                <w:rFonts w:hint="default" w:ascii="Times New Roman" w:hAnsi="Times New Roman" w:cs="Times New Roman"/>
                <w:color w:val="auto"/>
                <w:sz w:val="24"/>
              </w:rPr>
              <w:t>α—平均吸声系数，本项目取砖墙抹灰材料结构系数，平均值0.03。</w:t>
            </w:r>
          </w:p>
          <w:p w14:paraId="7C944310">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（2）等效室外声源的声功率级计算</w:t>
            </w:r>
          </w:p>
          <w:p w14:paraId="1B7A3C45">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首先用公式（2）计算出某个声源在某个室内围护结构处（如窗户）的倍频带声压级，然后计算出所有室内声源在靠近围护结构处产生的总倍频带叠加声压级（按噪声级叠加计算求和），再将室外声级L</w:t>
            </w:r>
            <w:r>
              <w:rPr>
                <w:rFonts w:hint="default" w:ascii="Times New Roman" w:hAnsi="Times New Roman" w:cs="Times New Roman"/>
                <w:color w:val="auto"/>
                <w:sz w:val="24"/>
                <w:vertAlign w:val="subscript"/>
              </w:rPr>
              <w:t>2</w:t>
            </w:r>
            <w:r>
              <w:rPr>
                <w:rFonts w:hint="default" w:ascii="Times New Roman" w:hAnsi="Times New Roman" w:cs="Times New Roman"/>
                <w:color w:val="auto"/>
                <w:sz w:val="24"/>
              </w:rPr>
              <w:t>和透声面积换算成等效室外声源，计算出等效声源的倍频带声功率级。</w:t>
            </w:r>
          </w:p>
          <w:p w14:paraId="2BAFA9E6">
            <w:pPr>
              <w:spacing w:line="360" w:lineRule="auto"/>
              <w:ind w:firstLine="480" w:firstLineChars="200"/>
              <w:jc w:val="right"/>
              <w:rPr>
                <w:rFonts w:hint="default" w:ascii="Times New Roman" w:hAnsi="Times New Roman" w:cs="Times New Roman"/>
                <w:color w:val="auto"/>
                <w:sz w:val="24"/>
              </w:rPr>
            </w:pPr>
            <w:r>
              <w:rPr>
                <w:rFonts w:hint="default" w:ascii="Times New Roman" w:hAnsi="Times New Roman" w:cs="Times New Roman"/>
                <w:color w:val="auto"/>
                <w:sz w:val="24"/>
              </w:rPr>
              <w:t>L</w:t>
            </w:r>
            <w:r>
              <w:rPr>
                <w:rFonts w:hint="default" w:ascii="Times New Roman" w:hAnsi="Times New Roman" w:cs="Times New Roman"/>
                <w:color w:val="auto"/>
                <w:sz w:val="24"/>
                <w:vertAlign w:val="subscript"/>
              </w:rPr>
              <w:t>w2</w:t>
            </w:r>
            <w:r>
              <w:rPr>
                <w:rFonts w:hint="default" w:ascii="Times New Roman" w:hAnsi="Times New Roman" w:cs="Times New Roman"/>
                <w:color w:val="auto"/>
                <w:sz w:val="24"/>
              </w:rPr>
              <w:t>=L</w:t>
            </w:r>
            <w:r>
              <w:rPr>
                <w:rFonts w:hint="default" w:ascii="Times New Roman" w:hAnsi="Times New Roman" w:cs="Times New Roman"/>
                <w:color w:val="auto"/>
                <w:sz w:val="24"/>
                <w:vertAlign w:val="subscript"/>
              </w:rPr>
              <w:t>2</w:t>
            </w:r>
            <w:r>
              <w:rPr>
                <w:rFonts w:hint="default" w:ascii="Times New Roman" w:hAnsi="Times New Roman" w:cs="Times New Roman"/>
                <w:color w:val="auto"/>
                <w:sz w:val="24"/>
              </w:rPr>
              <w:t>（T）+10 lgS                     （3）</w:t>
            </w:r>
          </w:p>
          <w:p w14:paraId="1B50F1C0">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L</w:t>
            </w:r>
            <w:r>
              <w:rPr>
                <w:rFonts w:hint="default" w:ascii="Times New Roman" w:hAnsi="Times New Roman" w:cs="Times New Roman"/>
                <w:color w:val="auto"/>
                <w:sz w:val="24"/>
                <w:vertAlign w:val="subscript"/>
              </w:rPr>
              <w:t>w2</w:t>
            </w:r>
            <w:r>
              <w:rPr>
                <w:rFonts w:hint="default" w:ascii="Times New Roman" w:hAnsi="Times New Roman" w:cs="Times New Roman"/>
                <w:color w:val="auto"/>
                <w:sz w:val="24"/>
              </w:rPr>
              <w:t>—等效声源的倍频带声功率级；</w:t>
            </w:r>
          </w:p>
          <w:p w14:paraId="3BD33041">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S—透声面积，m</w:t>
            </w:r>
            <w:r>
              <w:rPr>
                <w:rFonts w:hint="default" w:ascii="Times New Roman" w:hAnsi="Times New Roman" w:cs="Times New Roman"/>
                <w:color w:val="auto"/>
                <w:sz w:val="24"/>
                <w:vertAlign w:val="superscript"/>
              </w:rPr>
              <w:t>2</w:t>
            </w:r>
            <w:r>
              <w:rPr>
                <w:rFonts w:hint="default" w:ascii="Times New Roman" w:hAnsi="Times New Roman" w:cs="Times New Roman"/>
                <w:color w:val="auto"/>
                <w:sz w:val="24"/>
              </w:rPr>
              <w:t>；</w:t>
            </w:r>
          </w:p>
          <w:p w14:paraId="4BB6D8CD">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L</w:t>
            </w:r>
            <w:r>
              <w:rPr>
                <w:rFonts w:hint="default" w:ascii="Times New Roman" w:hAnsi="Times New Roman" w:cs="Times New Roman"/>
                <w:color w:val="auto"/>
                <w:sz w:val="24"/>
                <w:vertAlign w:val="subscript"/>
              </w:rPr>
              <w:t>2</w:t>
            </w:r>
            <w:r>
              <w:rPr>
                <w:rFonts w:hint="default" w:ascii="Times New Roman" w:hAnsi="Times New Roman" w:cs="Times New Roman"/>
                <w:color w:val="auto"/>
                <w:sz w:val="24"/>
              </w:rPr>
              <w:t>—室外声级。等效室外声源的位置为围护结构的位置。</w:t>
            </w:r>
          </w:p>
          <w:p w14:paraId="061EFCBF">
            <w:pPr>
              <w:pStyle w:val="78"/>
              <w:ind w:left="0" w:leftChars="0" w:firstLine="0" w:firstLineChars="0"/>
              <w:rPr>
                <w:rFonts w:hint="default" w:ascii="Times New Roman" w:hAnsi="Times New Roman" w:cs="Times New Roman"/>
                <w:color w:val="auto"/>
              </w:rPr>
            </w:pPr>
          </w:p>
          <w:p w14:paraId="5EAA388A">
            <w:pPr>
              <w:rPr>
                <w:rFonts w:hint="default" w:ascii="Times New Roman" w:hAnsi="Times New Roman" w:cs="Times New Roman"/>
                <w:color w:val="auto"/>
              </w:rPr>
            </w:pPr>
          </w:p>
          <w:p w14:paraId="7BEC55D8">
            <w:pPr>
              <w:rPr>
                <w:rFonts w:hint="default" w:ascii="Times New Roman" w:hAnsi="Times New Roman" w:cs="Times New Roman"/>
                <w:color w:val="auto"/>
              </w:rPr>
            </w:pPr>
          </w:p>
          <w:p w14:paraId="69FCE028">
            <w:pPr>
              <w:rPr>
                <w:rFonts w:hint="default" w:ascii="Times New Roman" w:hAnsi="Times New Roman" w:cs="Times New Roman"/>
                <w:color w:val="auto"/>
              </w:rPr>
            </w:pPr>
          </w:p>
          <w:p w14:paraId="5A720036">
            <w:pPr>
              <w:rPr>
                <w:rFonts w:hint="default" w:ascii="Times New Roman" w:hAnsi="Times New Roman" w:cs="Times New Roman"/>
                <w:color w:val="auto"/>
              </w:rPr>
            </w:pPr>
          </w:p>
          <w:p w14:paraId="61283D10">
            <w:pPr>
              <w:rPr>
                <w:rFonts w:hint="default" w:ascii="Times New Roman" w:hAnsi="Times New Roman" w:cs="Times New Roman"/>
                <w:color w:val="auto"/>
              </w:rPr>
            </w:pPr>
          </w:p>
          <w:p w14:paraId="258B4045">
            <w:pPr>
              <w:rPr>
                <w:rFonts w:hint="default" w:ascii="Times New Roman" w:hAnsi="Times New Roman" w:cs="Times New Roman"/>
                <w:color w:val="auto"/>
              </w:rPr>
            </w:pPr>
          </w:p>
          <w:p w14:paraId="368CAE16">
            <w:pPr>
              <w:rPr>
                <w:rFonts w:hint="default" w:ascii="Times New Roman" w:hAnsi="Times New Roman" w:cs="Times New Roman"/>
                <w:color w:val="auto"/>
              </w:rPr>
            </w:pPr>
          </w:p>
          <w:p w14:paraId="239063C6">
            <w:pPr>
              <w:rPr>
                <w:rFonts w:hint="default" w:ascii="Times New Roman" w:hAnsi="Times New Roman" w:cs="Times New Roman"/>
                <w:color w:val="auto"/>
              </w:rPr>
            </w:pPr>
          </w:p>
          <w:p w14:paraId="7479F80C">
            <w:pPr>
              <w:rPr>
                <w:rFonts w:hint="default" w:ascii="Times New Roman" w:hAnsi="Times New Roman" w:cs="Times New Roman"/>
                <w:color w:val="auto"/>
              </w:rPr>
            </w:pPr>
          </w:p>
          <w:p w14:paraId="6F0D33E3">
            <w:pPr>
              <w:rPr>
                <w:rFonts w:hint="default" w:ascii="Times New Roman" w:hAnsi="Times New Roman" w:cs="Times New Roman"/>
                <w:color w:val="auto"/>
              </w:rPr>
            </w:pPr>
          </w:p>
          <w:p w14:paraId="2201F7C9">
            <w:pPr>
              <w:rPr>
                <w:rFonts w:hint="default" w:ascii="Times New Roman" w:hAnsi="Times New Roman" w:cs="Times New Roman"/>
                <w:color w:val="auto"/>
              </w:rPr>
            </w:pPr>
          </w:p>
          <w:p w14:paraId="06FA1335">
            <w:pPr>
              <w:rPr>
                <w:rFonts w:hint="default" w:ascii="Times New Roman" w:hAnsi="Times New Roman" w:cs="Times New Roman"/>
                <w:color w:val="auto"/>
              </w:rPr>
            </w:pPr>
          </w:p>
          <w:p w14:paraId="6CADD79E">
            <w:pPr>
              <w:rPr>
                <w:rFonts w:hint="default" w:ascii="Times New Roman" w:hAnsi="Times New Roman" w:cs="Times New Roman"/>
                <w:color w:val="auto"/>
              </w:rPr>
            </w:pPr>
          </w:p>
          <w:p w14:paraId="0F07A1F3">
            <w:pPr>
              <w:rPr>
                <w:rFonts w:hint="default" w:ascii="Times New Roman" w:hAnsi="Times New Roman" w:cs="Times New Roman"/>
                <w:color w:val="auto"/>
              </w:rPr>
            </w:pPr>
          </w:p>
          <w:p w14:paraId="7D183B53">
            <w:pPr>
              <w:rPr>
                <w:rFonts w:hint="default" w:ascii="Times New Roman" w:hAnsi="Times New Roman" w:cs="Times New Roman"/>
                <w:color w:val="auto"/>
              </w:rPr>
            </w:pPr>
          </w:p>
          <w:p w14:paraId="56733C52">
            <w:pPr>
              <w:rPr>
                <w:rFonts w:hint="default" w:ascii="Times New Roman" w:hAnsi="Times New Roman" w:cs="Times New Roman"/>
                <w:color w:val="auto"/>
              </w:rPr>
            </w:pPr>
          </w:p>
          <w:p w14:paraId="1C7E615F">
            <w:pPr>
              <w:rPr>
                <w:rFonts w:hint="default" w:ascii="Times New Roman" w:hAnsi="Times New Roman" w:cs="Times New Roman"/>
                <w:color w:val="auto"/>
              </w:rPr>
            </w:pPr>
          </w:p>
          <w:p w14:paraId="52E29F9A">
            <w:pPr>
              <w:rPr>
                <w:rFonts w:hint="default" w:ascii="Times New Roman" w:hAnsi="Times New Roman" w:cs="Times New Roman"/>
                <w:color w:val="auto"/>
              </w:rPr>
            </w:pPr>
          </w:p>
          <w:p w14:paraId="1B709A57">
            <w:pPr>
              <w:rPr>
                <w:rFonts w:hint="default" w:ascii="Times New Roman" w:hAnsi="Times New Roman" w:cs="Times New Roman"/>
                <w:color w:val="auto"/>
              </w:rPr>
            </w:pPr>
          </w:p>
          <w:p w14:paraId="26FF2384">
            <w:pPr>
              <w:rPr>
                <w:rFonts w:hint="default" w:ascii="Times New Roman" w:hAnsi="Times New Roman" w:cs="Times New Roman"/>
                <w:color w:val="auto"/>
              </w:rPr>
            </w:pPr>
          </w:p>
          <w:p w14:paraId="68281A8F">
            <w:pPr>
              <w:rPr>
                <w:rFonts w:hint="default" w:ascii="Times New Roman" w:hAnsi="Times New Roman" w:cs="Times New Roman"/>
                <w:color w:val="auto"/>
              </w:rPr>
            </w:pPr>
          </w:p>
          <w:p w14:paraId="776B8BB2">
            <w:pPr>
              <w:rPr>
                <w:rFonts w:hint="default" w:ascii="Times New Roman" w:hAnsi="Times New Roman" w:cs="Times New Roman"/>
                <w:color w:val="auto"/>
              </w:rPr>
            </w:pPr>
          </w:p>
          <w:p w14:paraId="42604E80">
            <w:pPr>
              <w:rPr>
                <w:rFonts w:hint="default" w:ascii="Times New Roman" w:hAnsi="Times New Roman" w:cs="Times New Roman"/>
                <w:color w:val="auto"/>
              </w:rPr>
            </w:pPr>
          </w:p>
          <w:p w14:paraId="60E686CF">
            <w:pPr>
              <w:rPr>
                <w:rFonts w:hint="default" w:ascii="Times New Roman" w:hAnsi="Times New Roman" w:cs="Times New Roman"/>
                <w:color w:val="auto"/>
              </w:rPr>
            </w:pPr>
          </w:p>
          <w:p w14:paraId="344C9F39">
            <w:pPr>
              <w:rPr>
                <w:rFonts w:hint="default" w:ascii="Times New Roman" w:hAnsi="Times New Roman" w:cs="Times New Roman"/>
                <w:color w:val="auto"/>
              </w:rPr>
            </w:pPr>
          </w:p>
          <w:p w14:paraId="7F8C3A18">
            <w:pPr>
              <w:rPr>
                <w:rFonts w:hint="default" w:ascii="Times New Roman" w:hAnsi="Times New Roman" w:cs="Times New Roman"/>
                <w:color w:val="auto"/>
              </w:rPr>
            </w:pPr>
          </w:p>
          <w:p w14:paraId="386632B5">
            <w:pPr>
              <w:rPr>
                <w:rFonts w:hint="default" w:ascii="Times New Roman" w:hAnsi="Times New Roman" w:cs="Times New Roman"/>
                <w:color w:val="auto"/>
              </w:rPr>
            </w:pPr>
          </w:p>
          <w:p w14:paraId="2F141BE9">
            <w:pPr>
              <w:rPr>
                <w:rFonts w:hint="default" w:ascii="Times New Roman" w:hAnsi="Times New Roman" w:cs="Times New Roman"/>
                <w:color w:val="auto"/>
              </w:rPr>
            </w:pPr>
          </w:p>
          <w:p w14:paraId="26EFA4B4">
            <w:pPr>
              <w:rPr>
                <w:rFonts w:hint="default" w:ascii="Times New Roman" w:hAnsi="Times New Roman" w:cs="Times New Roman"/>
                <w:color w:val="auto"/>
              </w:rPr>
            </w:pPr>
          </w:p>
          <w:p w14:paraId="62BE8D9C">
            <w:pPr>
              <w:rPr>
                <w:rFonts w:hint="default" w:ascii="Times New Roman" w:hAnsi="Times New Roman" w:cs="Times New Roman"/>
                <w:color w:val="auto"/>
              </w:rPr>
            </w:pPr>
          </w:p>
        </w:tc>
      </w:tr>
    </w:tbl>
    <w:p w14:paraId="56E14A07">
      <w:pPr>
        <w:rPr>
          <w:rFonts w:hint="default" w:ascii="Times New Roman" w:hAnsi="Times New Roman" w:cs="Times New Roman"/>
          <w:color w:val="auto"/>
          <w:sz w:val="24"/>
        </w:rPr>
      </w:pPr>
      <w:r>
        <w:rPr>
          <w:rFonts w:hint="default" w:ascii="Times New Roman" w:hAnsi="Times New Roman" w:cs="Times New Roman"/>
          <w:color w:val="auto"/>
          <w:sz w:val="24"/>
        </w:rPr>
        <w:br w:type="page"/>
      </w:r>
    </w:p>
    <w:p w14:paraId="6910A614">
      <w:pPr>
        <w:rPr>
          <w:rFonts w:hint="default" w:ascii="Times New Roman" w:hAnsi="Times New Roman" w:cs="Times New Roman"/>
          <w:color w:val="auto"/>
        </w:rPr>
        <w:sectPr>
          <w:pgSz w:w="11905" w:h="16838"/>
          <w:pgMar w:top="1701" w:right="1531" w:bottom="2126" w:left="1531" w:header="851" w:footer="850" w:gutter="0"/>
          <w:cols w:space="0" w:num="1"/>
          <w:docGrid w:linePitch="312" w:charSpace="0"/>
        </w:sectPr>
      </w:pPr>
    </w:p>
    <w:p w14:paraId="69CA88A4">
      <w:pPr>
        <w:keepNext w:val="0"/>
        <w:keepLines w:val="0"/>
        <w:pageBreakBefore w:val="0"/>
        <w:widowControl w:val="0"/>
        <w:kinsoku/>
        <w:wordWrap/>
        <w:overflowPunct/>
        <w:topLinePunct w:val="0"/>
        <w:autoSpaceDE/>
        <w:autoSpaceDN/>
        <w:bidi w:val="0"/>
        <w:adjustRightInd/>
        <w:snapToGrid/>
        <w:spacing w:beforeAutospacing="0"/>
        <w:jc w:val="center"/>
        <w:textAlignment w:val="auto"/>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表4-</w:t>
      </w:r>
      <w:r>
        <w:rPr>
          <w:rFonts w:hint="eastAsia" w:cs="Times New Roman"/>
          <w:b/>
          <w:color w:val="auto"/>
          <w:kern w:val="0"/>
          <w:sz w:val="24"/>
          <w:lang w:val="en-US" w:eastAsia="zh-CN"/>
        </w:rPr>
        <w:t>19</w:t>
      </w:r>
      <w:r>
        <w:rPr>
          <w:rFonts w:hint="default" w:ascii="Times New Roman" w:hAnsi="Times New Roman" w:cs="Times New Roman"/>
          <w:b/>
          <w:color w:val="auto"/>
          <w:kern w:val="0"/>
          <w:sz w:val="24"/>
        </w:rPr>
        <w:t xml:space="preserve">  建设项目营运期主要噪声源源强</w:t>
      </w:r>
    </w:p>
    <w:tbl>
      <w:tblPr>
        <w:tblStyle w:val="63"/>
        <w:tblW w:w="522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6" w:type="dxa"/>
        </w:tblCellMar>
      </w:tblPr>
      <w:tblGrid>
        <w:gridCol w:w="397"/>
        <w:gridCol w:w="397"/>
        <w:gridCol w:w="582"/>
        <w:gridCol w:w="637"/>
        <w:gridCol w:w="637"/>
        <w:gridCol w:w="398"/>
        <w:gridCol w:w="597"/>
        <w:gridCol w:w="530"/>
        <w:gridCol w:w="446"/>
        <w:gridCol w:w="536"/>
        <w:gridCol w:w="536"/>
        <w:gridCol w:w="536"/>
        <w:gridCol w:w="541"/>
        <w:gridCol w:w="536"/>
        <w:gridCol w:w="536"/>
        <w:gridCol w:w="536"/>
        <w:gridCol w:w="541"/>
        <w:gridCol w:w="1120"/>
        <w:gridCol w:w="536"/>
        <w:gridCol w:w="536"/>
        <w:gridCol w:w="536"/>
        <w:gridCol w:w="541"/>
        <w:gridCol w:w="536"/>
        <w:gridCol w:w="541"/>
        <w:gridCol w:w="536"/>
        <w:gridCol w:w="536"/>
        <w:gridCol w:w="311"/>
      </w:tblGrid>
      <w:tr w14:paraId="574B2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vMerge w:val="restart"/>
            <w:noWrap w:val="0"/>
            <w:vAlign w:val="center"/>
          </w:tcPr>
          <w:p w14:paraId="468D2383">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序号</w:t>
            </w:r>
          </w:p>
        </w:tc>
        <w:tc>
          <w:tcPr>
            <w:tcW w:w="135" w:type="pct"/>
            <w:vMerge w:val="restart"/>
            <w:noWrap w:val="0"/>
            <w:vAlign w:val="center"/>
          </w:tcPr>
          <w:p w14:paraId="675E250C">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建筑物名称</w:t>
            </w:r>
          </w:p>
        </w:tc>
        <w:tc>
          <w:tcPr>
            <w:tcW w:w="198" w:type="pct"/>
            <w:vMerge w:val="restart"/>
            <w:noWrap w:val="0"/>
            <w:vAlign w:val="center"/>
          </w:tcPr>
          <w:p w14:paraId="5F4AAC74">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声源名称</w:t>
            </w:r>
          </w:p>
        </w:tc>
        <w:tc>
          <w:tcPr>
            <w:tcW w:w="217" w:type="pct"/>
            <w:vMerge w:val="restart"/>
            <w:noWrap w:val="0"/>
            <w:vAlign w:val="center"/>
          </w:tcPr>
          <w:p w14:paraId="68D8CB6D">
            <w:pPr>
              <w:snapToGrid w:val="0"/>
              <w:ind w:left="-63" w:leftChars="-30" w:right="-63" w:rightChars="-30"/>
              <w:jc w:val="center"/>
              <w:rPr>
                <w:rFonts w:hint="default" w:ascii="Times New Roman" w:hAnsi="Times New Roman" w:cs="Times New Roman"/>
                <w:b/>
                <w:bCs/>
                <w:color w:val="auto"/>
                <w:sz w:val="18"/>
                <w:szCs w:val="18"/>
                <w:lang w:eastAsia="zh-CN"/>
              </w:rPr>
            </w:pPr>
            <w:r>
              <w:rPr>
                <w:rFonts w:hint="default" w:ascii="Times New Roman" w:hAnsi="Times New Roman" w:cs="Times New Roman"/>
                <w:b/>
                <w:bCs/>
                <w:color w:val="auto"/>
                <w:sz w:val="18"/>
                <w:szCs w:val="18"/>
                <w:lang w:eastAsia="zh-CN"/>
              </w:rPr>
              <w:t>设备</w:t>
            </w:r>
          </w:p>
          <w:p w14:paraId="268B5A3A">
            <w:pPr>
              <w:snapToGrid w:val="0"/>
              <w:ind w:left="-63" w:leftChars="-30" w:right="-63" w:rightChars="-30"/>
              <w:jc w:val="center"/>
              <w:rPr>
                <w:rFonts w:hint="default" w:ascii="Times New Roman" w:hAnsi="Times New Roman" w:eastAsia="宋体" w:cs="Times New Roman"/>
                <w:b/>
                <w:bCs/>
                <w:color w:val="auto"/>
                <w:sz w:val="18"/>
                <w:szCs w:val="18"/>
                <w:lang w:eastAsia="zh-CN"/>
              </w:rPr>
            </w:pPr>
            <w:r>
              <w:rPr>
                <w:rFonts w:hint="default" w:ascii="Times New Roman" w:hAnsi="Times New Roman" w:cs="Times New Roman"/>
                <w:b/>
                <w:bCs/>
                <w:color w:val="auto"/>
                <w:sz w:val="18"/>
                <w:szCs w:val="18"/>
                <w:lang w:eastAsia="zh-CN"/>
              </w:rPr>
              <w:t>数量</w:t>
            </w:r>
          </w:p>
        </w:tc>
        <w:tc>
          <w:tcPr>
            <w:tcW w:w="217" w:type="pct"/>
            <w:noWrap w:val="0"/>
            <w:vAlign w:val="center"/>
          </w:tcPr>
          <w:p w14:paraId="01D1A4D8">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声源</w:t>
            </w:r>
          </w:p>
          <w:p w14:paraId="4C339EA9">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源强</w:t>
            </w:r>
          </w:p>
        </w:tc>
        <w:tc>
          <w:tcPr>
            <w:tcW w:w="135" w:type="pct"/>
            <w:vMerge w:val="restart"/>
            <w:noWrap w:val="0"/>
            <w:vAlign w:val="center"/>
          </w:tcPr>
          <w:p w14:paraId="5C0B3ED1">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声源控制措施</w:t>
            </w:r>
          </w:p>
        </w:tc>
        <w:tc>
          <w:tcPr>
            <w:tcW w:w="536" w:type="pct"/>
            <w:gridSpan w:val="3"/>
            <w:noWrap w:val="0"/>
            <w:vAlign w:val="center"/>
          </w:tcPr>
          <w:p w14:paraId="46A4D2D6">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空间相对位置/m</w:t>
            </w:r>
          </w:p>
        </w:tc>
        <w:tc>
          <w:tcPr>
            <w:tcW w:w="733" w:type="pct"/>
            <w:gridSpan w:val="4"/>
            <w:noWrap w:val="0"/>
            <w:vAlign w:val="center"/>
          </w:tcPr>
          <w:p w14:paraId="5FBCD036">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距室内边界距离/m</w:t>
            </w:r>
          </w:p>
        </w:tc>
        <w:tc>
          <w:tcPr>
            <w:tcW w:w="733" w:type="pct"/>
            <w:gridSpan w:val="4"/>
            <w:noWrap w:val="0"/>
            <w:vAlign w:val="center"/>
          </w:tcPr>
          <w:p w14:paraId="6A735972">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室内边界声级/</w:t>
            </w:r>
          </w:p>
          <w:p w14:paraId="44C85F0C">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dB(A)</w:t>
            </w:r>
          </w:p>
        </w:tc>
        <w:tc>
          <w:tcPr>
            <w:tcW w:w="382" w:type="pct"/>
            <w:vMerge w:val="restart"/>
            <w:noWrap w:val="0"/>
            <w:vAlign w:val="center"/>
          </w:tcPr>
          <w:p w14:paraId="078C8D29">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运行时段</w:t>
            </w:r>
          </w:p>
        </w:tc>
        <w:tc>
          <w:tcPr>
            <w:tcW w:w="733" w:type="pct"/>
            <w:gridSpan w:val="4"/>
            <w:noWrap w:val="0"/>
            <w:vAlign w:val="center"/>
          </w:tcPr>
          <w:p w14:paraId="2405AA32">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建筑物插入损失/d B(A)</w:t>
            </w:r>
          </w:p>
        </w:tc>
        <w:tc>
          <w:tcPr>
            <w:tcW w:w="839" w:type="pct"/>
            <w:gridSpan w:val="5"/>
            <w:noWrap w:val="0"/>
            <w:vAlign w:val="center"/>
          </w:tcPr>
          <w:p w14:paraId="19DBBEDA">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建筑物外噪声声压级</w:t>
            </w:r>
          </w:p>
          <w:p w14:paraId="17C962B9">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/dB(A)</w:t>
            </w:r>
          </w:p>
        </w:tc>
      </w:tr>
      <w:tr w14:paraId="7643C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vMerge w:val="continue"/>
            <w:noWrap w:val="0"/>
            <w:vAlign w:val="center"/>
          </w:tcPr>
          <w:p w14:paraId="39804F43">
            <w:pPr>
              <w:snapToGrid w:val="0"/>
              <w:ind w:left="-63" w:leftChars="-30" w:right="-63" w:rightChars="-30"/>
              <w:jc w:val="center"/>
              <w:rPr>
                <w:rFonts w:hint="default" w:ascii="Times New Roman" w:hAnsi="Times New Roman" w:cs="Times New Roman"/>
                <w:b/>
                <w:bCs/>
                <w:color w:val="auto"/>
                <w:sz w:val="18"/>
                <w:szCs w:val="18"/>
              </w:rPr>
            </w:pPr>
          </w:p>
        </w:tc>
        <w:tc>
          <w:tcPr>
            <w:tcW w:w="135" w:type="pct"/>
            <w:vMerge w:val="continue"/>
            <w:noWrap w:val="0"/>
            <w:vAlign w:val="center"/>
          </w:tcPr>
          <w:p w14:paraId="7E2B21A0">
            <w:pPr>
              <w:snapToGrid w:val="0"/>
              <w:ind w:left="-63" w:leftChars="-30" w:right="-63" w:rightChars="-30"/>
              <w:jc w:val="center"/>
              <w:rPr>
                <w:rFonts w:hint="default" w:ascii="Times New Roman" w:hAnsi="Times New Roman" w:cs="Times New Roman"/>
                <w:b/>
                <w:bCs/>
                <w:color w:val="auto"/>
                <w:sz w:val="18"/>
                <w:szCs w:val="18"/>
              </w:rPr>
            </w:pPr>
          </w:p>
        </w:tc>
        <w:tc>
          <w:tcPr>
            <w:tcW w:w="198" w:type="pct"/>
            <w:vMerge w:val="continue"/>
            <w:noWrap w:val="0"/>
            <w:vAlign w:val="center"/>
          </w:tcPr>
          <w:p w14:paraId="2C212770">
            <w:pPr>
              <w:snapToGrid w:val="0"/>
              <w:ind w:left="-63" w:leftChars="-30" w:right="-63" w:rightChars="-30"/>
              <w:jc w:val="center"/>
              <w:rPr>
                <w:rFonts w:hint="default" w:ascii="Times New Roman" w:hAnsi="Times New Roman" w:cs="Times New Roman"/>
                <w:b/>
                <w:bCs/>
                <w:color w:val="auto"/>
                <w:sz w:val="18"/>
                <w:szCs w:val="18"/>
              </w:rPr>
            </w:pPr>
          </w:p>
        </w:tc>
        <w:tc>
          <w:tcPr>
            <w:tcW w:w="217" w:type="pct"/>
            <w:vMerge w:val="continue"/>
            <w:noWrap w:val="0"/>
            <w:vAlign w:val="center"/>
          </w:tcPr>
          <w:p w14:paraId="7514EE91">
            <w:pPr>
              <w:snapToGrid w:val="0"/>
              <w:ind w:left="-63" w:leftChars="-30" w:right="-63" w:rightChars="-30"/>
              <w:jc w:val="center"/>
              <w:rPr>
                <w:rFonts w:hint="default" w:ascii="Times New Roman" w:hAnsi="Times New Roman" w:cs="Times New Roman"/>
                <w:b/>
                <w:bCs/>
                <w:color w:val="auto"/>
                <w:sz w:val="18"/>
                <w:szCs w:val="18"/>
              </w:rPr>
            </w:pPr>
          </w:p>
        </w:tc>
        <w:tc>
          <w:tcPr>
            <w:tcW w:w="217" w:type="pct"/>
            <w:noWrap w:val="0"/>
            <w:vAlign w:val="center"/>
          </w:tcPr>
          <w:p w14:paraId="6CE8F456">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声功</w:t>
            </w:r>
          </w:p>
          <w:p w14:paraId="5591B8F7">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率级/dB(A)</w:t>
            </w:r>
          </w:p>
        </w:tc>
        <w:tc>
          <w:tcPr>
            <w:tcW w:w="135" w:type="pct"/>
            <w:vMerge w:val="continue"/>
            <w:noWrap w:val="0"/>
            <w:vAlign w:val="center"/>
          </w:tcPr>
          <w:p w14:paraId="477CDDD6">
            <w:pPr>
              <w:snapToGrid w:val="0"/>
              <w:ind w:left="-63" w:leftChars="-30" w:right="-63" w:rightChars="-30"/>
              <w:jc w:val="center"/>
              <w:rPr>
                <w:rFonts w:hint="default" w:ascii="Times New Roman" w:hAnsi="Times New Roman" w:cs="Times New Roman"/>
                <w:b/>
                <w:bCs/>
                <w:color w:val="auto"/>
                <w:sz w:val="18"/>
                <w:szCs w:val="18"/>
              </w:rPr>
            </w:pPr>
          </w:p>
        </w:tc>
        <w:tc>
          <w:tcPr>
            <w:tcW w:w="203" w:type="pct"/>
            <w:noWrap w:val="0"/>
            <w:vAlign w:val="center"/>
          </w:tcPr>
          <w:p w14:paraId="6FAF29B0">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X</w:t>
            </w:r>
          </w:p>
        </w:tc>
        <w:tc>
          <w:tcPr>
            <w:tcW w:w="180" w:type="pct"/>
            <w:noWrap w:val="0"/>
            <w:vAlign w:val="center"/>
          </w:tcPr>
          <w:p w14:paraId="5CE0BCDD">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Y</w:t>
            </w:r>
          </w:p>
        </w:tc>
        <w:tc>
          <w:tcPr>
            <w:tcW w:w="152" w:type="pct"/>
            <w:noWrap w:val="0"/>
            <w:vAlign w:val="center"/>
          </w:tcPr>
          <w:p w14:paraId="3E24757C">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Z</w:t>
            </w:r>
          </w:p>
        </w:tc>
        <w:tc>
          <w:tcPr>
            <w:tcW w:w="182" w:type="pct"/>
            <w:noWrap w:val="0"/>
            <w:vAlign w:val="center"/>
          </w:tcPr>
          <w:p w14:paraId="3A3568B7">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东</w:t>
            </w:r>
          </w:p>
        </w:tc>
        <w:tc>
          <w:tcPr>
            <w:tcW w:w="182" w:type="pct"/>
            <w:noWrap w:val="0"/>
            <w:vAlign w:val="center"/>
          </w:tcPr>
          <w:p w14:paraId="663DBD01">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南</w:t>
            </w:r>
          </w:p>
        </w:tc>
        <w:tc>
          <w:tcPr>
            <w:tcW w:w="182" w:type="pct"/>
            <w:noWrap w:val="0"/>
            <w:vAlign w:val="center"/>
          </w:tcPr>
          <w:p w14:paraId="1AFC4C07">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西</w:t>
            </w:r>
          </w:p>
        </w:tc>
        <w:tc>
          <w:tcPr>
            <w:tcW w:w="184" w:type="pct"/>
            <w:noWrap w:val="0"/>
            <w:vAlign w:val="center"/>
          </w:tcPr>
          <w:p w14:paraId="782EDA62">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北</w:t>
            </w:r>
          </w:p>
        </w:tc>
        <w:tc>
          <w:tcPr>
            <w:tcW w:w="182" w:type="pct"/>
            <w:noWrap w:val="0"/>
            <w:vAlign w:val="center"/>
          </w:tcPr>
          <w:p w14:paraId="6C5CBF56">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东</w:t>
            </w:r>
          </w:p>
        </w:tc>
        <w:tc>
          <w:tcPr>
            <w:tcW w:w="182" w:type="pct"/>
            <w:noWrap w:val="0"/>
            <w:vAlign w:val="center"/>
          </w:tcPr>
          <w:p w14:paraId="2A4B4937">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南</w:t>
            </w:r>
          </w:p>
        </w:tc>
        <w:tc>
          <w:tcPr>
            <w:tcW w:w="182" w:type="pct"/>
            <w:noWrap w:val="0"/>
            <w:vAlign w:val="center"/>
          </w:tcPr>
          <w:p w14:paraId="08C44CD3">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西</w:t>
            </w:r>
          </w:p>
        </w:tc>
        <w:tc>
          <w:tcPr>
            <w:tcW w:w="184" w:type="pct"/>
            <w:noWrap w:val="0"/>
            <w:vAlign w:val="center"/>
          </w:tcPr>
          <w:p w14:paraId="046C5DE4">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北</w:t>
            </w:r>
          </w:p>
        </w:tc>
        <w:tc>
          <w:tcPr>
            <w:tcW w:w="382" w:type="pct"/>
            <w:vMerge w:val="continue"/>
            <w:noWrap w:val="0"/>
            <w:vAlign w:val="center"/>
          </w:tcPr>
          <w:p w14:paraId="0D741CB4">
            <w:pPr>
              <w:snapToGrid w:val="0"/>
              <w:ind w:left="-63" w:leftChars="-30" w:right="-63" w:rightChars="-30"/>
              <w:jc w:val="center"/>
              <w:rPr>
                <w:rFonts w:hint="default" w:ascii="Times New Roman" w:hAnsi="Times New Roman" w:cs="Times New Roman"/>
                <w:b/>
                <w:bCs/>
                <w:color w:val="auto"/>
                <w:sz w:val="18"/>
                <w:szCs w:val="18"/>
              </w:rPr>
            </w:pPr>
          </w:p>
        </w:tc>
        <w:tc>
          <w:tcPr>
            <w:tcW w:w="182" w:type="pct"/>
            <w:noWrap w:val="0"/>
            <w:vAlign w:val="center"/>
          </w:tcPr>
          <w:p w14:paraId="2064C56C">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东</w:t>
            </w:r>
          </w:p>
        </w:tc>
        <w:tc>
          <w:tcPr>
            <w:tcW w:w="182" w:type="pct"/>
            <w:noWrap w:val="0"/>
            <w:vAlign w:val="center"/>
          </w:tcPr>
          <w:p w14:paraId="78FCF0B3">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南</w:t>
            </w:r>
          </w:p>
        </w:tc>
        <w:tc>
          <w:tcPr>
            <w:tcW w:w="182" w:type="pct"/>
            <w:noWrap w:val="0"/>
            <w:vAlign w:val="center"/>
          </w:tcPr>
          <w:p w14:paraId="3B1583AB">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西</w:t>
            </w:r>
          </w:p>
        </w:tc>
        <w:tc>
          <w:tcPr>
            <w:tcW w:w="184" w:type="pct"/>
            <w:noWrap w:val="0"/>
            <w:vAlign w:val="center"/>
          </w:tcPr>
          <w:p w14:paraId="20F66FE8">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北</w:t>
            </w:r>
          </w:p>
        </w:tc>
        <w:tc>
          <w:tcPr>
            <w:tcW w:w="182" w:type="pct"/>
            <w:noWrap w:val="0"/>
            <w:vAlign w:val="center"/>
          </w:tcPr>
          <w:p w14:paraId="276A2B55">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东</w:t>
            </w:r>
          </w:p>
        </w:tc>
        <w:tc>
          <w:tcPr>
            <w:tcW w:w="184" w:type="pct"/>
            <w:noWrap w:val="0"/>
            <w:vAlign w:val="center"/>
          </w:tcPr>
          <w:p w14:paraId="7E518FBB">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南</w:t>
            </w:r>
          </w:p>
        </w:tc>
        <w:tc>
          <w:tcPr>
            <w:tcW w:w="182" w:type="pct"/>
            <w:noWrap w:val="0"/>
            <w:vAlign w:val="center"/>
          </w:tcPr>
          <w:p w14:paraId="713DB962">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西</w:t>
            </w:r>
          </w:p>
        </w:tc>
        <w:tc>
          <w:tcPr>
            <w:tcW w:w="182" w:type="pct"/>
            <w:noWrap w:val="0"/>
            <w:vAlign w:val="center"/>
          </w:tcPr>
          <w:p w14:paraId="391C8229">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北</w:t>
            </w:r>
          </w:p>
        </w:tc>
        <w:tc>
          <w:tcPr>
            <w:tcW w:w="106" w:type="pct"/>
            <w:noWrap w:val="0"/>
            <w:vAlign w:val="center"/>
          </w:tcPr>
          <w:p w14:paraId="2226566E">
            <w:pPr>
              <w:snapToGrid w:val="0"/>
              <w:ind w:left="-63" w:leftChars="-30" w:right="-63" w:rightChars="-30"/>
              <w:jc w:val="center"/>
              <w:rPr>
                <w:rFonts w:hint="default" w:ascii="Times New Roman" w:hAnsi="Times New Roman" w:cs="Times New Roman"/>
                <w:b/>
                <w:bCs/>
                <w:color w:val="auto"/>
                <w:sz w:val="18"/>
                <w:szCs w:val="18"/>
              </w:rPr>
            </w:pPr>
            <w:r>
              <w:rPr>
                <w:rFonts w:hint="default" w:ascii="Times New Roman" w:hAnsi="Times New Roman" w:cs="Times New Roman"/>
                <w:b/>
                <w:bCs/>
                <w:color w:val="auto"/>
                <w:sz w:val="18"/>
                <w:szCs w:val="18"/>
              </w:rPr>
              <w:t>建筑物外距离</w:t>
            </w:r>
          </w:p>
        </w:tc>
      </w:tr>
      <w:tr w14:paraId="6843F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noWrap w:val="0"/>
            <w:vAlign w:val="center"/>
          </w:tcPr>
          <w:p w14:paraId="290F5C7D">
            <w:pPr>
              <w:jc w:val="center"/>
              <w:rPr>
                <w:rFonts w:hint="default" w:ascii="Times New Roman" w:hAnsi="Times New Roman" w:eastAsia="宋体" w:cs="Times New Roman"/>
                <w:b w:val="0"/>
                <w:bCs w:val="0"/>
                <w:color w:val="auto"/>
                <w:kern w:val="2"/>
                <w:sz w:val="18"/>
                <w:szCs w:val="18"/>
                <w:lang w:val="en-US" w:eastAsia="zh-CN" w:bidi="ar-SA"/>
              </w:rPr>
            </w:pPr>
            <w:r>
              <w:rPr>
                <w:rFonts w:hint="default" w:ascii="Times New Roman" w:hAnsi="Times New Roman" w:cs="Times New Roman"/>
                <w:b w:val="0"/>
                <w:bCs w:val="0"/>
                <w:color w:val="auto"/>
                <w:sz w:val="18"/>
                <w:szCs w:val="18"/>
                <w:lang w:eastAsia="zh-CN"/>
              </w:rPr>
              <w:t>1</w:t>
            </w:r>
          </w:p>
        </w:tc>
        <w:tc>
          <w:tcPr>
            <w:tcW w:w="135" w:type="pct"/>
            <w:vMerge w:val="restart"/>
            <w:noWrap w:val="0"/>
            <w:vAlign w:val="center"/>
          </w:tcPr>
          <w:p w14:paraId="03D5EFE5">
            <w:pPr>
              <w:widowControl/>
              <w:jc w:val="center"/>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生产车间</w:t>
            </w:r>
          </w:p>
        </w:tc>
        <w:tc>
          <w:tcPr>
            <w:tcW w:w="198" w:type="pct"/>
            <w:shd w:val="clear" w:color="auto" w:fill="auto"/>
            <w:noWrap w:val="0"/>
            <w:vAlign w:val="center"/>
          </w:tcPr>
          <w:p w14:paraId="43762E5F">
            <w:pPr>
              <w:widowControl/>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圆盘锯切机</w:t>
            </w:r>
          </w:p>
        </w:tc>
        <w:tc>
          <w:tcPr>
            <w:tcW w:w="217" w:type="pct"/>
            <w:shd w:val="clear" w:color="auto" w:fill="auto"/>
            <w:noWrap w:val="0"/>
            <w:vAlign w:val="center"/>
          </w:tcPr>
          <w:p w14:paraId="79310B2A">
            <w:pPr>
              <w:widowControl/>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2</w:t>
            </w:r>
          </w:p>
        </w:tc>
        <w:tc>
          <w:tcPr>
            <w:tcW w:w="217" w:type="pct"/>
            <w:noWrap w:val="0"/>
            <w:vAlign w:val="center"/>
          </w:tcPr>
          <w:p w14:paraId="3ED74E53">
            <w:pPr>
              <w:widowControl/>
              <w:jc w:val="center"/>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80</w:t>
            </w:r>
          </w:p>
        </w:tc>
        <w:tc>
          <w:tcPr>
            <w:tcW w:w="135" w:type="pct"/>
            <w:noWrap w:val="0"/>
            <w:vAlign w:val="center"/>
          </w:tcPr>
          <w:p w14:paraId="436CF3CF">
            <w:pPr>
              <w:widowControl/>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减振</w:t>
            </w:r>
          </w:p>
        </w:tc>
        <w:tc>
          <w:tcPr>
            <w:tcW w:w="203" w:type="pct"/>
            <w:shd w:val="clear" w:color="auto" w:fill="FFFFFF"/>
            <w:noWrap w:val="0"/>
            <w:vAlign w:val="center"/>
          </w:tcPr>
          <w:p w14:paraId="17BCEB6D">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-51.2</w:t>
            </w:r>
          </w:p>
        </w:tc>
        <w:tc>
          <w:tcPr>
            <w:tcW w:w="180" w:type="pct"/>
            <w:shd w:val="clear" w:color="auto" w:fill="FFFFFF"/>
            <w:noWrap w:val="0"/>
            <w:vAlign w:val="center"/>
          </w:tcPr>
          <w:p w14:paraId="5BC55685">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20.1</w:t>
            </w:r>
          </w:p>
        </w:tc>
        <w:tc>
          <w:tcPr>
            <w:tcW w:w="152" w:type="pct"/>
            <w:shd w:val="clear" w:color="auto" w:fill="FFFFFF"/>
            <w:noWrap w:val="0"/>
            <w:vAlign w:val="center"/>
          </w:tcPr>
          <w:p w14:paraId="70FDC686">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1.2</w:t>
            </w:r>
          </w:p>
        </w:tc>
        <w:tc>
          <w:tcPr>
            <w:tcW w:w="182" w:type="pct"/>
            <w:shd w:val="clear" w:color="auto" w:fill="FFFFFF"/>
            <w:noWrap w:val="0"/>
            <w:vAlign w:val="center"/>
          </w:tcPr>
          <w:p w14:paraId="629D9D46">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127.7</w:t>
            </w:r>
          </w:p>
        </w:tc>
        <w:tc>
          <w:tcPr>
            <w:tcW w:w="182" w:type="pct"/>
            <w:shd w:val="clear" w:color="auto" w:fill="FFFFFF"/>
            <w:noWrap w:val="0"/>
            <w:vAlign w:val="center"/>
          </w:tcPr>
          <w:p w14:paraId="76552824">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66.3</w:t>
            </w:r>
          </w:p>
        </w:tc>
        <w:tc>
          <w:tcPr>
            <w:tcW w:w="182" w:type="pct"/>
            <w:shd w:val="clear" w:color="auto" w:fill="FFFFFF"/>
            <w:noWrap w:val="0"/>
            <w:vAlign w:val="center"/>
          </w:tcPr>
          <w:p w14:paraId="39DC8555">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29.4</w:t>
            </w:r>
          </w:p>
        </w:tc>
        <w:tc>
          <w:tcPr>
            <w:tcW w:w="184" w:type="pct"/>
            <w:shd w:val="clear" w:color="auto" w:fill="FFFFFF"/>
            <w:noWrap w:val="0"/>
            <w:vAlign w:val="center"/>
          </w:tcPr>
          <w:p w14:paraId="54EA4C87">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16.8</w:t>
            </w:r>
          </w:p>
        </w:tc>
        <w:tc>
          <w:tcPr>
            <w:tcW w:w="182" w:type="pct"/>
            <w:shd w:val="clear" w:color="auto" w:fill="FFFFFF"/>
            <w:noWrap w:val="0"/>
            <w:vAlign w:val="center"/>
          </w:tcPr>
          <w:p w14:paraId="67381840">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60.4</w:t>
            </w:r>
          </w:p>
        </w:tc>
        <w:tc>
          <w:tcPr>
            <w:tcW w:w="182" w:type="pct"/>
            <w:shd w:val="clear" w:color="auto" w:fill="FFFFFF"/>
            <w:noWrap w:val="0"/>
            <w:vAlign w:val="center"/>
          </w:tcPr>
          <w:p w14:paraId="10B68C7C">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60.4</w:t>
            </w:r>
          </w:p>
        </w:tc>
        <w:tc>
          <w:tcPr>
            <w:tcW w:w="182" w:type="pct"/>
            <w:shd w:val="clear" w:color="auto" w:fill="FFFFFF"/>
            <w:noWrap w:val="0"/>
            <w:vAlign w:val="center"/>
          </w:tcPr>
          <w:p w14:paraId="17DD2A4E">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60.4</w:t>
            </w:r>
          </w:p>
        </w:tc>
        <w:tc>
          <w:tcPr>
            <w:tcW w:w="184" w:type="pct"/>
            <w:shd w:val="clear" w:color="auto" w:fill="FFFFFF"/>
            <w:noWrap w:val="0"/>
            <w:vAlign w:val="center"/>
          </w:tcPr>
          <w:p w14:paraId="2183550B">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60.5</w:t>
            </w:r>
          </w:p>
        </w:tc>
        <w:tc>
          <w:tcPr>
            <w:tcW w:w="382" w:type="pct"/>
            <w:noWrap w:val="0"/>
            <w:vAlign w:val="center"/>
          </w:tcPr>
          <w:p w14:paraId="3C675640">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08:00-24:00</w:t>
            </w:r>
          </w:p>
        </w:tc>
        <w:tc>
          <w:tcPr>
            <w:tcW w:w="182" w:type="pct"/>
            <w:shd w:val="clear" w:color="auto" w:fill="FFFFFF"/>
            <w:noWrap w:val="0"/>
            <w:vAlign w:val="center"/>
          </w:tcPr>
          <w:p w14:paraId="504A6F49">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2" w:type="pct"/>
            <w:shd w:val="clear" w:color="auto" w:fill="FFFFFF"/>
            <w:noWrap w:val="0"/>
            <w:vAlign w:val="center"/>
          </w:tcPr>
          <w:p w14:paraId="1EA80C8A">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2" w:type="pct"/>
            <w:shd w:val="clear" w:color="auto" w:fill="FFFFFF"/>
            <w:noWrap w:val="0"/>
            <w:vAlign w:val="center"/>
          </w:tcPr>
          <w:p w14:paraId="250D4E92">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4" w:type="pct"/>
            <w:shd w:val="clear" w:color="auto" w:fill="FFFFFF"/>
            <w:noWrap w:val="0"/>
            <w:vAlign w:val="center"/>
          </w:tcPr>
          <w:p w14:paraId="58E9EA0A">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2" w:type="pct"/>
            <w:shd w:val="clear" w:color="auto" w:fill="FFFFFF"/>
            <w:noWrap w:val="0"/>
            <w:vAlign w:val="center"/>
          </w:tcPr>
          <w:p w14:paraId="4109758B">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34.4</w:t>
            </w:r>
          </w:p>
        </w:tc>
        <w:tc>
          <w:tcPr>
            <w:tcW w:w="184" w:type="pct"/>
            <w:shd w:val="clear" w:color="auto" w:fill="FFFFFF"/>
            <w:noWrap w:val="0"/>
            <w:vAlign w:val="center"/>
          </w:tcPr>
          <w:p w14:paraId="46A49B75">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34.4</w:t>
            </w:r>
          </w:p>
        </w:tc>
        <w:tc>
          <w:tcPr>
            <w:tcW w:w="182" w:type="pct"/>
            <w:shd w:val="clear" w:color="auto" w:fill="FFFFFF"/>
            <w:noWrap w:val="0"/>
            <w:vAlign w:val="center"/>
          </w:tcPr>
          <w:p w14:paraId="131E43BF">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34.4</w:t>
            </w:r>
          </w:p>
        </w:tc>
        <w:tc>
          <w:tcPr>
            <w:tcW w:w="182" w:type="pct"/>
            <w:shd w:val="clear" w:color="auto" w:fill="FFFFFF"/>
            <w:noWrap w:val="0"/>
            <w:vAlign w:val="center"/>
          </w:tcPr>
          <w:p w14:paraId="00224B57">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34.5</w:t>
            </w:r>
          </w:p>
        </w:tc>
        <w:tc>
          <w:tcPr>
            <w:tcW w:w="106" w:type="pct"/>
            <w:vMerge w:val="restart"/>
            <w:noWrap w:val="0"/>
            <w:vAlign w:val="center"/>
          </w:tcPr>
          <w:p w14:paraId="217392C0">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1</w:t>
            </w:r>
          </w:p>
        </w:tc>
      </w:tr>
      <w:tr w14:paraId="3E7D9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noWrap w:val="0"/>
            <w:vAlign w:val="center"/>
          </w:tcPr>
          <w:p w14:paraId="47AB4A09">
            <w:pPr>
              <w:jc w:val="center"/>
              <w:rPr>
                <w:rFonts w:hint="default" w:ascii="Times New Roman" w:hAnsi="Times New Roman" w:eastAsia="宋体" w:cs="Times New Roman"/>
                <w:b w:val="0"/>
                <w:bCs w:val="0"/>
                <w:color w:val="auto"/>
                <w:kern w:val="2"/>
                <w:sz w:val="18"/>
                <w:szCs w:val="18"/>
                <w:lang w:val="en-US" w:eastAsia="zh-CN" w:bidi="ar-SA"/>
              </w:rPr>
            </w:pPr>
            <w:r>
              <w:rPr>
                <w:rFonts w:hint="default" w:ascii="Times New Roman" w:hAnsi="Times New Roman" w:cs="Times New Roman"/>
                <w:b w:val="0"/>
                <w:bCs w:val="0"/>
                <w:color w:val="auto"/>
                <w:sz w:val="18"/>
                <w:szCs w:val="18"/>
                <w:lang w:eastAsia="zh-CN"/>
              </w:rPr>
              <w:t>2</w:t>
            </w:r>
          </w:p>
        </w:tc>
        <w:tc>
          <w:tcPr>
            <w:tcW w:w="135" w:type="pct"/>
            <w:vMerge w:val="continue"/>
            <w:noWrap w:val="0"/>
            <w:vAlign w:val="center"/>
          </w:tcPr>
          <w:p w14:paraId="31F95C6E">
            <w:pPr>
              <w:widowControl/>
              <w:jc w:val="center"/>
              <w:rPr>
                <w:rFonts w:hint="default" w:ascii="Times New Roman" w:hAnsi="Times New Roman" w:eastAsia="宋体" w:cs="Times New Roman"/>
                <w:color w:val="auto"/>
                <w:sz w:val="18"/>
                <w:szCs w:val="18"/>
                <w:lang w:val="en-US" w:eastAsia="zh-CN"/>
              </w:rPr>
            </w:pPr>
          </w:p>
        </w:tc>
        <w:tc>
          <w:tcPr>
            <w:tcW w:w="198" w:type="pct"/>
            <w:shd w:val="clear" w:color="auto" w:fill="auto"/>
            <w:noWrap w:val="0"/>
            <w:vAlign w:val="center"/>
          </w:tcPr>
          <w:p w14:paraId="3B067D09">
            <w:pPr>
              <w:widowControl/>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高频炉</w:t>
            </w:r>
          </w:p>
        </w:tc>
        <w:tc>
          <w:tcPr>
            <w:tcW w:w="217" w:type="pct"/>
            <w:shd w:val="clear" w:color="auto" w:fill="auto"/>
            <w:noWrap w:val="0"/>
            <w:vAlign w:val="center"/>
          </w:tcPr>
          <w:p w14:paraId="0A01917F">
            <w:pPr>
              <w:widowControl/>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w:t>
            </w:r>
          </w:p>
        </w:tc>
        <w:tc>
          <w:tcPr>
            <w:tcW w:w="217" w:type="pct"/>
            <w:noWrap w:val="0"/>
            <w:vAlign w:val="center"/>
          </w:tcPr>
          <w:p w14:paraId="512F52B2">
            <w:pPr>
              <w:widowControl/>
              <w:jc w:val="center"/>
              <w:rPr>
                <w:rFonts w:hint="default" w:ascii="Times New Roman" w:hAnsi="Times New Roman" w:eastAsia="宋体" w:cs="Times New Roman"/>
                <w:color w:val="auto"/>
                <w:sz w:val="18"/>
                <w:szCs w:val="18"/>
                <w:lang w:val="en-US" w:eastAsia="zh-CN"/>
              </w:rPr>
            </w:pPr>
            <w:r>
              <w:rPr>
                <w:rFonts w:hint="default" w:ascii="Times New Roman" w:hAnsi="Times New Roman" w:cs="Times New Roman"/>
                <w:color w:val="auto"/>
                <w:sz w:val="18"/>
                <w:szCs w:val="18"/>
                <w:lang w:val="en-US" w:eastAsia="zh-CN"/>
              </w:rPr>
              <w:t>75</w:t>
            </w:r>
          </w:p>
        </w:tc>
        <w:tc>
          <w:tcPr>
            <w:tcW w:w="135" w:type="pct"/>
            <w:noWrap w:val="0"/>
            <w:vAlign w:val="center"/>
          </w:tcPr>
          <w:p w14:paraId="7F6BB608">
            <w:pPr>
              <w:widowControl/>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减振</w:t>
            </w:r>
          </w:p>
        </w:tc>
        <w:tc>
          <w:tcPr>
            <w:tcW w:w="203" w:type="pct"/>
            <w:shd w:val="clear" w:color="auto" w:fill="FFFFFF"/>
            <w:noWrap w:val="0"/>
            <w:vAlign w:val="center"/>
          </w:tcPr>
          <w:p w14:paraId="5585A31F">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-4.5</w:t>
            </w:r>
          </w:p>
        </w:tc>
        <w:tc>
          <w:tcPr>
            <w:tcW w:w="180" w:type="pct"/>
            <w:shd w:val="clear" w:color="auto" w:fill="FFFFFF"/>
            <w:noWrap w:val="0"/>
            <w:vAlign w:val="center"/>
          </w:tcPr>
          <w:p w14:paraId="239C09D7">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3.2</w:t>
            </w:r>
          </w:p>
        </w:tc>
        <w:tc>
          <w:tcPr>
            <w:tcW w:w="152" w:type="pct"/>
            <w:shd w:val="clear" w:color="auto" w:fill="FFFFFF"/>
            <w:noWrap w:val="0"/>
            <w:vAlign w:val="center"/>
          </w:tcPr>
          <w:p w14:paraId="1D64ADE1">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1.2</w:t>
            </w:r>
          </w:p>
        </w:tc>
        <w:tc>
          <w:tcPr>
            <w:tcW w:w="182" w:type="pct"/>
            <w:shd w:val="clear" w:color="auto" w:fill="FFFFFF"/>
            <w:noWrap w:val="0"/>
            <w:vAlign w:val="center"/>
          </w:tcPr>
          <w:p w14:paraId="5695558D">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82.9</w:t>
            </w:r>
          </w:p>
        </w:tc>
        <w:tc>
          <w:tcPr>
            <w:tcW w:w="182" w:type="pct"/>
            <w:shd w:val="clear" w:color="auto" w:fill="FFFFFF"/>
            <w:noWrap w:val="0"/>
            <w:vAlign w:val="center"/>
          </w:tcPr>
          <w:p w14:paraId="14F1F719">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45.1</w:t>
            </w:r>
          </w:p>
        </w:tc>
        <w:tc>
          <w:tcPr>
            <w:tcW w:w="182" w:type="pct"/>
            <w:shd w:val="clear" w:color="auto" w:fill="FFFFFF"/>
            <w:noWrap w:val="0"/>
            <w:vAlign w:val="center"/>
          </w:tcPr>
          <w:p w14:paraId="13FEFC6F">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74.5</w:t>
            </w:r>
          </w:p>
        </w:tc>
        <w:tc>
          <w:tcPr>
            <w:tcW w:w="184" w:type="pct"/>
            <w:shd w:val="clear" w:color="auto" w:fill="FFFFFF"/>
            <w:noWrap w:val="0"/>
            <w:vAlign w:val="center"/>
          </w:tcPr>
          <w:p w14:paraId="0CF43503">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37.5</w:t>
            </w:r>
          </w:p>
        </w:tc>
        <w:tc>
          <w:tcPr>
            <w:tcW w:w="182" w:type="pct"/>
            <w:shd w:val="clear" w:color="auto" w:fill="FFFFFF"/>
            <w:noWrap w:val="0"/>
            <w:vAlign w:val="center"/>
          </w:tcPr>
          <w:p w14:paraId="27D0487D">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55.4</w:t>
            </w:r>
          </w:p>
        </w:tc>
        <w:tc>
          <w:tcPr>
            <w:tcW w:w="182" w:type="pct"/>
            <w:shd w:val="clear" w:color="auto" w:fill="FFFFFF"/>
            <w:noWrap w:val="0"/>
            <w:vAlign w:val="center"/>
          </w:tcPr>
          <w:p w14:paraId="4447FDD9">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55.4</w:t>
            </w:r>
          </w:p>
        </w:tc>
        <w:tc>
          <w:tcPr>
            <w:tcW w:w="182" w:type="pct"/>
            <w:shd w:val="clear" w:color="auto" w:fill="FFFFFF"/>
            <w:noWrap w:val="0"/>
            <w:vAlign w:val="center"/>
          </w:tcPr>
          <w:p w14:paraId="7F69CEC3">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55.4</w:t>
            </w:r>
          </w:p>
        </w:tc>
        <w:tc>
          <w:tcPr>
            <w:tcW w:w="184" w:type="pct"/>
            <w:shd w:val="clear" w:color="auto" w:fill="FFFFFF"/>
            <w:noWrap w:val="0"/>
            <w:vAlign w:val="center"/>
          </w:tcPr>
          <w:p w14:paraId="1C3733A9">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55.4</w:t>
            </w:r>
          </w:p>
        </w:tc>
        <w:tc>
          <w:tcPr>
            <w:tcW w:w="382" w:type="pct"/>
            <w:noWrap w:val="0"/>
            <w:vAlign w:val="center"/>
          </w:tcPr>
          <w:p w14:paraId="1C74AACE">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08:00-24:00</w:t>
            </w:r>
          </w:p>
        </w:tc>
        <w:tc>
          <w:tcPr>
            <w:tcW w:w="182" w:type="pct"/>
            <w:shd w:val="clear" w:color="auto" w:fill="FFFFFF"/>
            <w:noWrap w:val="0"/>
            <w:vAlign w:val="center"/>
          </w:tcPr>
          <w:p w14:paraId="526FE2D9">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2" w:type="pct"/>
            <w:shd w:val="clear" w:color="auto" w:fill="FFFFFF"/>
            <w:noWrap w:val="0"/>
            <w:vAlign w:val="center"/>
          </w:tcPr>
          <w:p w14:paraId="73379F30">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2" w:type="pct"/>
            <w:shd w:val="clear" w:color="auto" w:fill="FFFFFF"/>
            <w:noWrap w:val="0"/>
            <w:vAlign w:val="center"/>
          </w:tcPr>
          <w:p w14:paraId="24FFED15">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4" w:type="pct"/>
            <w:shd w:val="clear" w:color="auto" w:fill="FFFFFF"/>
            <w:noWrap w:val="0"/>
            <w:vAlign w:val="center"/>
          </w:tcPr>
          <w:p w14:paraId="475D5669">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2" w:type="pct"/>
            <w:shd w:val="clear" w:color="auto" w:fill="FFFFFF"/>
            <w:noWrap w:val="0"/>
            <w:vAlign w:val="center"/>
          </w:tcPr>
          <w:p w14:paraId="1133F06B">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29.4</w:t>
            </w:r>
          </w:p>
        </w:tc>
        <w:tc>
          <w:tcPr>
            <w:tcW w:w="184" w:type="pct"/>
            <w:shd w:val="clear" w:color="auto" w:fill="FFFFFF"/>
            <w:noWrap w:val="0"/>
            <w:vAlign w:val="center"/>
          </w:tcPr>
          <w:p w14:paraId="1824D94F">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29.4</w:t>
            </w:r>
          </w:p>
        </w:tc>
        <w:tc>
          <w:tcPr>
            <w:tcW w:w="182" w:type="pct"/>
            <w:shd w:val="clear" w:color="auto" w:fill="FFFFFF"/>
            <w:noWrap w:val="0"/>
            <w:vAlign w:val="center"/>
          </w:tcPr>
          <w:p w14:paraId="3B4AEB7A">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29.4</w:t>
            </w:r>
          </w:p>
        </w:tc>
        <w:tc>
          <w:tcPr>
            <w:tcW w:w="182" w:type="pct"/>
            <w:shd w:val="clear" w:color="auto" w:fill="FFFFFF"/>
            <w:noWrap w:val="0"/>
            <w:vAlign w:val="center"/>
          </w:tcPr>
          <w:p w14:paraId="2E13F548">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29.4</w:t>
            </w:r>
          </w:p>
        </w:tc>
        <w:tc>
          <w:tcPr>
            <w:tcW w:w="106" w:type="pct"/>
            <w:vMerge w:val="continue"/>
            <w:noWrap w:val="0"/>
            <w:vAlign w:val="center"/>
          </w:tcPr>
          <w:p w14:paraId="1310B999">
            <w:pPr>
              <w:widowControl/>
              <w:jc w:val="center"/>
              <w:rPr>
                <w:rFonts w:hint="default" w:ascii="Times New Roman" w:hAnsi="Times New Roman" w:cs="Times New Roman"/>
                <w:color w:val="auto"/>
                <w:sz w:val="18"/>
                <w:szCs w:val="18"/>
                <w:lang w:val="en-US" w:eastAsia="zh-CN"/>
              </w:rPr>
            </w:pPr>
          </w:p>
        </w:tc>
      </w:tr>
      <w:tr w14:paraId="2E10A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noWrap w:val="0"/>
            <w:vAlign w:val="center"/>
          </w:tcPr>
          <w:p w14:paraId="04D9E3A2">
            <w:pPr>
              <w:jc w:val="center"/>
              <w:rPr>
                <w:rFonts w:hint="default" w:ascii="Times New Roman" w:hAnsi="Times New Roman" w:eastAsia="宋体" w:cs="Times New Roman"/>
                <w:b w:val="0"/>
                <w:bCs w:val="0"/>
                <w:color w:val="auto"/>
                <w:kern w:val="2"/>
                <w:sz w:val="18"/>
                <w:szCs w:val="18"/>
                <w:lang w:val="en-US" w:eastAsia="zh-CN" w:bidi="ar-SA"/>
              </w:rPr>
            </w:pPr>
            <w:r>
              <w:rPr>
                <w:rFonts w:hint="default" w:ascii="Times New Roman" w:hAnsi="Times New Roman" w:eastAsia="宋体" w:cs="Times New Roman"/>
                <w:b w:val="0"/>
                <w:bCs w:val="0"/>
                <w:color w:val="auto"/>
                <w:sz w:val="18"/>
                <w:szCs w:val="18"/>
                <w:lang w:eastAsia="zh-CN"/>
              </w:rPr>
              <w:t>3</w:t>
            </w:r>
          </w:p>
        </w:tc>
        <w:tc>
          <w:tcPr>
            <w:tcW w:w="135" w:type="pct"/>
            <w:vMerge w:val="continue"/>
            <w:noWrap w:val="0"/>
            <w:vAlign w:val="center"/>
          </w:tcPr>
          <w:p w14:paraId="1E249CD8">
            <w:pPr>
              <w:widowControl/>
              <w:jc w:val="center"/>
              <w:rPr>
                <w:rFonts w:hint="default" w:ascii="Times New Roman" w:hAnsi="Times New Roman" w:eastAsia="宋体" w:cs="Times New Roman"/>
                <w:color w:val="auto"/>
                <w:sz w:val="18"/>
                <w:szCs w:val="18"/>
                <w:lang w:val="en-US" w:eastAsia="zh-CN"/>
              </w:rPr>
            </w:pPr>
          </w:p>
        </w:tc>
        <w:tc>
          <w:tcPr>
            <w:tcW w:w="198" w:type="pct"/>
            <w:shd w:val="clear" w:color="auto" w:fill="auto"/>
            <w:noWrap w:val="0"/>
            <w:vAlign w:val="center"/>
          </w:tcPr>
          <w:p w14:paraId="60405381">
            <w:pPr>
              <w:widowControl/>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高速锻压机</w:t>
            </w:r>
          </w:p>
        </w:tc>
        <w:tc>
          <w:tcPr>
            <w:tcW w:w="217" w:type="pct"/>
            <w:shd w:val="clear" w:color="auto" w:fill="auto"/>
            <w:noWrap w:val="0"/>
            <w:vAlign w:val="center"/>
          </w:tcPr>
          <w:p w14:paraId="3BEA143E">
            <w:pPr>
              <w:widowControl/>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4</w:t>
            </w:r>
          </w:p>
        </w:tc>
        <w:tc>
          <w:tcPr>
            <w:tcW w:w="217" w:type="pct"/>
            <w:noWrap w:val="0"/>
            <w:vAlign w:val="center"/>
          </w:tcPr>
          <w:p w14:paraId="6695B47B">
            <w:pPr>
              <w:widowControl/>
              <w:jc w:val="center"/>
              <w:rPr>
                <w:rFonts w:hint="default" w:ascii="Times New Roman" w:hAnsi="Times New Roman" w:eastAsia="宋体" w:cs="Times New Roman"/>
                <w:color w:val="auto"/>
                <w:sz w:val="18"/>
                <w:szCs w:val="18"/>
                <w:lang w:val="en-US" w:eastAsia="zh-CN"/>
              </w:rPr>
            </w:pPr>
            <w:r>
              <w:rPr>
                <w:rFonts w:hint="default" w:ascii="Times New Roman" w:hAnsi="Times New Roman" w:cs="Times New Roman"/>
                <w:color w:val="auto"/>
                <w:sz w:val="18"/>
                <w:szCs w:val="18"/>
                <w:lang w:val="en-US" w:eastAsia="zh-CN"/>
              </w:rPr>
              <w:t>78</w:t>
            </w:r>
          </w:p>
        </w:tc>
        <w:tc>
          <w:tcPr>
            <w:tcW w:w="135" w:type="pct"/>
            <w:noWrap w:val="0"/>
            <w:vAlign w:val="center"/>
          </w:tcPr>
          <w:p w14:paraId="6CFB1DCB">
            <w:pPr>
              <w:widowControl/>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减振</w:t>
            </w:r>
          </w:p>
        </w:tc>
        <w:tc>
          <w:tcPr>
            <w:tcW w:w="203" w:type="pct"/>
            <w:shd w:val="clear" w:color="auto" w:fill="FFFFFF"/>
            <w:noWrap w:val="0"/>
            <w:vAlign w:val="center"/>
          </w:tcPr>
          <w:p w14:paraId="3358A95D">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28.2</w:t>
            </w:r>
          </w:p>
        </w:tc>
        <w:tc>
          <w:tcPr>
            <w:tcW w:w="180" w:type="pct"/>
            <w:shd w:val="clear" w:color="auto" w:fill="FFFFFF"/>
            <w:noWrap w:val="0"/>
            <w:vAlign w:val="center"/>
          </w:tcPr>
          <w:p w14:paraId="3D162602">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7.5</w:t>
            </w:r>
          </w:p>
        </w:tc>
        <w:tc>
          <w:tcPr>
            <w:tcW w:w="152" w:type="pct"/>
            <w:shd w:val="clear" w:color="auto" w:fill="FFFFFF"/>
            <w:noWrap w:val="0"/>
            <w:vAlign w:val="center"/>
          </w:tcPr>
          <w:p w14:paraId="5756AD21">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1.2</w:t>
            </w:r>
          </w:p>
        </w:tc>
        <w:tc>
          <w:tcPr>
            <w:tcW w:w="182" w:type="pct"/>
            <w:shd w:val="clear" w:color="auto" w:fill="FFFFFF"/>
            <w:noWrap w:val="0"/>
            <w:vAlign w:val="center"/>
          </w:tcPr>
          <w:p w14:paraId="2796C0D6">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49.9</w:t>
            </w:r>
          </w:p>
        </w:tc>
        <w:tc>
          <w:tcPr>
            <w:tcW w:w="182" w:type="pct"/>
            <w:shd w:val="clear" w:color="auto" w:fill="FFFFFF"/>
            <w:noWrap w:val="0"/>
            <w:vAlign w:val="center"/>
          </w:tcPr>
          <w:p w14:paraId="23DA28C5">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46.3</w:t>
            </w:r>
          </w:p>
        </w:tc>
        <w:tc>
          <w:tcPr>
            <w:tcW w:w="182" w:type="pct"/>
            <w:shd w:val="clear" w:color="auto" w:fill="FFFFFF"/>
            <w:noWrap w:val="0"/>
            <w:vAlign w:val="center"/>
          </w:tcPr>
          <w:p w14:paraId="2D0018B0">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107.5</w:t>
            </w:r>
          </w:p>
        </w:tc>
        <w:tc>
          <w:tcPr>
            <w:tcW w:w="184" w:type="pct"/>
            <w:shd w:val="clear" w:color="auto" w:fill="FFFFFF"/>
            <w:noWrap w:val="0"/>
            <w:vAlign w:val="center"/>
          </w:tcPr>
          <w:p w14:paraId="2CDADF1C">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35.9</w:t>
            </w:r>
          </w:p>
        </w:tc>
        <w:tc>
          <w:tcPr>
            <w:tcW w:w="182" w:type="pct"/>
            <w:shd w:val="clear" w:color="auto" w:fill="FFFFFF"/>
            <w:noWrap w:val="0"/>
            <w:vAlign w:val="center"/>
          </w:tcPr>
          <w:p w14:paraId="78D4BD29">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58.4</w:t>
            </w:r>
          </w:p>
        </w:tc>
        <w:tc>
          <w:tcPr>
            <w:tcW w:w="182" w:type="pct"/>
            <w:shd w:val="clear" w:color="auto" w:fill="FFFFFF"/>
            <w:noWrap w:val="0"/>
            <w:vAlign w:val="center"/>
          </w:tcPr>
          <w:p w14:paraId="58219C42">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58.4</w:t>
            </w:r>
          </w:p>
        </w:tc>
        <w:tc>
          <w:tcPr>
            <w:tcW w:w="182" w:type="pct"/>
            <w:shd w:val="clear" w:color="auto" w:fill="FFFFFF"/>
            <w:noWrap w:val="0"/>
            <w:vAlign w:val="center"/>
          </w:tcPr>
          <w:p w14:paraId="37355481">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58.4</w:t>
            </w:r>
          </w:p>
        </w:tc>
        <w:tc>
          <w:tcPr>
            <w:tcW w:w="184" w:type="pct"/>
            <w:shd w:val="clear" w:color="auto" w:fill="FFFFFF"/>
            <w:noWrap w:val="0"/>
            <w:vAlign w:val="center"/>
          </w:tcPr>
          <w:p w14:paraId="5600323E">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58.4</w:t>
            </w:r>
          </w:p>
        </w:tc>
        <w:tc>
          <w:tcPr>
            <w:tcW w:w="382" w:type="pct"/>
            <w:noWrap w:val="0"/>
            <w:vAlign w:val="center"/>
          </w:tcPr>
          <w:p w14:paraId="50B30F44">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08:00-24:00</w:t>
            </w:r>
          </w:p>
        </w:tc>
        <w:tc>
          <w:tcPr>
            <w:tcW w:w="182" w:type="pct"/>
            <w:shd w:val="clear" w:color="auto" w:fill="FFFFFF"/>
            <w:noWrap w:val="0"/>
            <w:vAlign w:val="center"/>
          </w:tcPr>
          <w:p w14:paraId="0EA6A933">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2" w:type="pct"/>
            <w:shd w:val="clear" w:color="auto" w:fill="FFFFFF"/>
            <w:noWrap w:val="0"/>
            <w:vAlign w:val="center"/>
          </w:tcPr>
          <w:p w14:paraId="2280C9EC">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2" w:type="pct"/>
            <w:shd w:val="clear" w:color="auto" w:fill="FFFFFF"/>
            <w:noWrap w:val="0"/>
            <w:vAlign w:val="center"/>
          </w:tcPr>
          <w:p w14:paraId="1AE95CBE">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4" w:type="pct"/>
            <w:shd w:val="clear" w:color="auto" w:fill="FFFFFF"/>
            <w:noWrap w:val="0"/>
            <w:vAlign w:val="center"/>
          </w:tcPr>
          <w:p w14:paraId="62C03F00">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2" w:type="pct"/>
            <w:shd w:val="clear" w:color="auto" w:fill="FFFFFF"/>
            <w:noWrap w:val="0"/>
            <w:vAlign w:val="center"/>
          </w:tcPr>
          <w:p w14:paraId="24151637">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32.4</w:t>
            </w:r>
          </w:p>
        </w:tc>
        <w:tc>
          <w:tcPr>
            <w:tcW w:w="184" w:type="pct"/>
            <w:shd w:val="clear" w:color="auto" w:fill="FFFFFF"/>
            <w:noWrap w:val="0"/>
            <w:vAlign w:val="center"/>
          </w:tcPr>
          <w:p w14:paraId="6F5F23E3">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32.4</w:t>
            </w:r>
          </w:p>
        </w:tc>
        <w:tc>
          <w:tcPr>
            <w:tcW w:w="182" w:type="pct"/>
            <w:shd w:val="clear" w:color="auto" w:fill="FFFFFF"/>
            <w:noWrap w:val="0"/>
            <w:vAlign w:val="center"/>
          </w:tcPr>
          <w:p w14:paraId="14AADDC2">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32.4</w:t>
            </w:r>
          </w:p>
        </w:tc>
        <w:tc>
          <w:tcPr>
            <w:tcW w:w="182" w:type="pct"/>
            <w:shd w:val="clear" w:color="auto" w:fill="FFFFFF"/>
            <w:noWrap w:val="0"/>
            <w:vAlign w:val="center"/>
          </w:tcPr>
          <w:p w14:paraId="20584095">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32.4</w:t>
            </w:r>
          </w:p>
        </w:tc>
        <w:tc>
          <w:tcPr>
            <w:tcW w:w="106" w:type="pct"/>
            <w:vMerge w:val="continue"/>
            <w:noWrap w:val="0"/>
            <w:vAlign w:val="center"/>
          </w:tcPr>
          <w:p w14:paraId="3BDF276B">
            <w:pPr>
              <w:widowControl/>
              <w:jc w:val="center"/>
              <w:rPr>
                <w:rFonts w:hint="default" w:ascii="Times New Roman" w:hAnsi="Times New Roman" w:cs="Times New Roman"/>
                <w:color w:val="auto"/>
                <w:sz w:val="18"/>
                <w:szCs w:val="18"/>
                <w:lang w:val="en-US" w:eastAsia="zh-CN"/>
              </w:rPr>
            </w:pPr>
          </w:p>
        </w:tc>
      </w:tr>
      <w:tr w14:paraId="00C77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noWrap w:val="0"/>
            <w:vAlign w:val="center"/>
          </w:tcPr>
          <w:p w14:paraId="5F2CB02F">
            <w:pPr>
              <w:jc w:val="center"/>
              <w:rPr>
                <w:rFonts w:hint="default" w:ascii="Times New Roman" w:hAnsi="Times New Roman" w:eastAsia="宋体" w:cs="Times New Roman"/>
                <w:b w:val="0"/>
                <w:bCs w:val="0"/>
                <w:color w:val="auto"/>
                <w:kern w:val="2"/>
                <w:sz w:val="18"/>
                <w:szCs w:val="18"/>
                <w:lang w:val="en-US" w:eastAsia="zh-CN" w:bidi="ar-SA"/>
              </w:rPr>
            </w:pPr>
            <w:r>
              <w:rPr>
                <w:rFonts w:hint="default" w:ascii="Times New Roman" w:hAnsi="Times New Roman" w:eastAsia="宋体" w:cs="Times New Roman"/>
                <w:b w:val="0"/>
                <w:bCs w:val="0"/>
                <w:color w:val="auto"/>
                <w:sz w:val="18"/>
                <w:szCs w:val="18"/>
                <w:lang w:eastAsia="zh-CN"/>
              </w:rPr>
              <w:t>4</w:t>
            </w:r>
          </w:p>
        </w:tc>
        <w:tc>
          <w:tcPr>
            <w:tcW w:w="135" w:type="pct"/>
            <w:vMerge w:val="continue"/>
            <w:noWrap w:val="0"/>
            <w:vAlign w:val="center"/>
          </w:tcPr>
          <w:p w14:paraId="4C95C8AE">
            <w:pPr>
              <w:widowControl/>
              <w:jc w:val="center"/>
              <w:rPr>
                <w:rFonts w:hint="default" w:ascii="Times New Roman" w:hAnsi="Times New Roman" w:eastAsia="宋体" w:cs="Times New Roman"/>
                <w:color w:val="auto"/>
                <w:sz w:val="18"/>
                <w:szCs w:val="18"/>
                <w:lang w:val="en-US" w:eastAsia="zh-CN"/>
              </w:rPr>
            </w:pPr>
          </w:p>
        </w:tc>
        <w:tc>
          <w:tcPr>
            <w:tcW w:w="198" w:type="pct"/>
            <w:shd w:val="clear" w:color="auto" w:fill="auto"/>
            <w:noWrap w:val="0"/>
            <w:vAlign w:val="center"/>
          </w:tcPr>
          <w:p w14:paraId="669A9F27">
            <w:pPr>
              <w:jc w:val="center"/>
              <w:rPr>
                <w:rFonts w:hint="default" w:ascii="Times New Roman" w:hAnsi="Times New Roman" w:eastAsia="Arial" w:cs="Times New Roman"/>
                <w:color w:val="auto"/>
                <w:sz w:val="18"/>
                <w:szCs w:val="18"/>
                <w:lang w:val="en-US" w:eastAsia="zh-CN"/>
              </w:rPr>
            </w:pPr>
            <w:r>
              <w:rPr>
                <w:rFonts w:hint="default" w:ascii="Times New Roman" w:hAnsi="Times New Roman" w:eastAsia="Arial" w:cs="Times New Roman"/>
                <w:color w:val="auto"/>
                <w:sz w:val="18"/>
                <w:szCs w:val="18"/>
                <w:lang w:val="en-US" w:eastAsia="zh-CN"/>
              </w:rPr>
              <w:t>抛丸机</w:t>
            </w:r>
          </w:p>
        </w:tc>
        <w:tc>
          <w:tcPr>
            <w:tcW w:w="217" w:type="pct"/>
            <w:shd w:val="clear" w:color="auto" w:fill="auto"/>
            <w:noWrap w:val="0"/>
            <w:vAlign w:val="center"/>
          </w:tcPr>
          <w:p w14:paraId="29D183B1">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w:t>
            </w:r>
          </w:p>
        </w:tc>
        <w:tc>
          <w:tcPr>
            <w:tcW w:w="217" w:type="pct"/>
            <w:noWrap w:val="0"/>
            <w:vAlign w:val="center"/>
          </w:tcPr>
          <w:p w14:paraId="5F6AC17E">
            <w:pPr>
              <w:widowControl/>
              <w:jc w:val="center"/>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85</w:t>
            </w:r>
          </w:p>
        </w:tc>
        <w:tc>
          <w:tcPr>
            <w:tcW w:w="135" w:type="pct"/>
            <w:noWrap w:val="0"/>
            <w:vAlign w:val="center"/>
          </w:tcPr>
          <w:p w14:paraId="13FC0A0E">
            <w:pPr>
              <w:widowControl/>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减振</w:t>
            </w:r>
          </w:p>
        </w:tc>
        <w:tc>
          <w:tcPr>
            <w:tcW w:w="203" w:type="pct"/>
            <w:shd w:val="clear" w:color="auto" w:fill="FFFFFF"/>
            <w:noWrap w:val="0"/>
            <w:vAlign w:val="center"/>
          </w:tcPr>
          <w:p w14:paraId="2ACBDDB3">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-14.7</w:t>
            </w:r>
          </w:p>
        </w:tc>
        <w:tc>
          <w:tcPr>
            <w:tcW w:w="180" w:type="pct"/>
            <w:shd w:val="clear" w:color="auto" w:fill="FFFFFF"/>
            <w:noWrap w:val="0"/>
            <w:vAlign w:val="center"/>
          </w:tcPr>
          <w:p w14:paraId="7D436A09">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-5.7</w:t>
            </w:r>
          </w:p>
        </w:tc>
        <w:tc>
          <w:tcPr>
            <w:tcW w:w="152" w:type="pct"/>
            <w:shd w:val="clear" w:color="auto" w:fill="FFFFFF"/>
            <w:noWrap w:val="0"/>
            <w:vAlign w:val="center"/>
          </w:tcPr>
          <w:p w14:paraId="10E53942">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1.2</w:t>
            </w:r>
          </w:p>
        </w:tc>
        <w:tc>
          <w:tcPr>
            <w:tcW w:w="182" w:type="pct"/>
            <w:shd w:val="clear" w:color="auto" w:fill="FFFFFF"/>
            <w:noWrap w:val="0"/>
            <w:vAlign w:val="center"/>
          </w:tcPr>
          <w:p w14:paraId="2014A546">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93.9</w:t>
            </w:r>
          </w:p>
        </w:tc>
        <w:tc>
          <w:tcPr>
            <w:tcW w:w="182" w:type="pct"/>
            <w:shd w:val="clear" w:color="auto" w:fill="FFFFFF"/>
            <w:noWrap w:val="0"/>
            <w:vAlign w:val="center"/>
          </w:tcPr>
          <w:p w14:paraId="15103DFF">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37.2</w:t>
            </w:r>
          </w:p>
        </w:tc>
        <w:tc>
          <w:tcPr>
            <w:tcW w:w="182" w:type="pct"/>
            <w:shd w:val="clear" w:color="auto" w:fill="FFFFFF"/>
            <w:noWrap w:val="0"/>
            <w:vAlign w:val="center"/>
          </w:tcPr>
          <w:p w14:paraId="5ED7D8A9">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63.6</w:t>
            </w:r>
          </w:p>
        </w:tc>
        <w:tc>
          <w:tcPr>
            <w:tcW w:w="184" w:type="pct"/>
            <w:shd w:val="clear" w:color="auto" w:fill="FFFFFF"/>
            <w:noWrap w:val="0"/>
            <w:vAlign w:val="center"/>
          </w:tcPr>
          <w:p w14:paraId="3BE03529">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45.5</w:t>
            </w:r>
          </w:p>
        </w:tc>
        <w:tc>
          <w:tcPr>
            <w:tcW w:w="182" w:type="pct"/>
            <w:shd w:val="clear" w:color="auto" w:fill="FFFFFF"/>
            <w:noWrap w:val="0"/>
            <w:vAlign w:val="center"/>
          </w:tcPr>
          <w:p w14:paraId="5066EA72">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65.4</w:t>
            </w:r>
          </w:p>
        </w:tc>
        <w:tc>
          <w:tcPr>
            <w:tcW w:w="182" w:type="pct"/>
            <w:shd w:val="clear" w:color="auto" w:fill="FFFFFF"/>
            <w:noWrap w:val="0"/>
            <w:vAlign w:val="center"/>
          </w:tcPr>
          <w:p w14:paraId="504DD150">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65.4</w:t>
            </w:r>
          </w:p>
        </w:tc>
        <w:tc>
          <w:tcPr>
            <w:tcW w:w="182" w:type="pct"/>
            <w:shd w:val="clear" w:color="auto" w:fill="FFFFFF"/>
            <w:noWrap w:val="0"/>
            <w:vAlign w:val="center"/>
          </w:tcPr>
          <w:p w14:paraId="1C4E0A48">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65.4</w:t>
            </w:r>
          </w:p>
        </w:tc>
        <w:tc>
          <w:tcPr>
            <w:tcW w:w="184" w:type="pct"/>
            <w:shd w:val="clear" w:color="auto" w:fill="FFFFFF"/>
            <w:noWrap w:val="0"/>
            <w:vAlign w:val="center"/>
          </w:tcPr>
          <w:p w14:paraId="0378225B">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65.4</w:t>
            </w:r>
          </w:p>
        </w:tc>
        <w:tc>
          <w:tcPr>
            <w:tcW w:w="382" w:type="pct"/>
            <w:noWrap w:val="0"/>
            <w:vAlign w:val="center"/>
          </w:tcPr>
          <w:p w14:paraId="7B7A6EA1">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08:00-</w:t>
            </w:r>
            <w:r>
              <w:rPr>
                <w:rFonts w:hint="eastAsia" w:ascii="Times New Roman" w:hAnsi="Times New Roman" w:cs="Times New Roman"/>
                <w:color w:val="auto"/>
                <w:sz w:val="18"/>
                <w:szCs w:val="18"/>
                <w:lang w:val="en-US" w:eastAsia="zh-CN"/>
              </w:rPr>
              <w:t>12</w:t>
            </w:r>
            <w:r>
              <w:rPr>
                <w:rFonts w:hint="default" w:ascii="Times New Roman" w:hAnsi="Times New Roman" w:cs="Times New Roman"/>
                <w:color w:val="auto"/>
                <w:sz w:val="18"/>
                <w:szCs w:val="18"/>
                <w:lang w:val="en-US" w:eastAsia="zh-CN"/>
              </w:rPr>
              <w:t>:00</w:t>
            </w:r>
          </w:p>
        </w:tc>
        <w:tc>
          <w:tcPr>
            <w:tcW w:w="182" w:type="pct"/>
            <w:shd w:val="clear" w:color="auto" w:fill="FFFFFF"/>
            <w:noWrap w:val="0"/>
            <w:vAlign w:val="center"/>
          </w:tcPr>
          <w:p w14:paraId="16DF1EC8">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2" w:type="pct"/>
            <w:shd w:val="clear" w:color="auto" w:fill="FFFFFF"/>
            <w:noWrap w:val="0"/>
            <w:vAlign w:val="center"/>
          </w:tcPr>
          <w:p w14:paraId="02F1049E">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2" w:type="pct"/>
            <w:shd w:val="clear" w:color="auto" w:fill="FFFFFF"/>
            <w:noWrap w:val="0"/>
            <w:vAlign w:val="center"/>
          </w:tcPr>
          <w:p w14:paraId="2484A564">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4" w:type="pct"/>
            <w:shd w:val="clear" w:color="auto" w:fill="FFFFFF"/>
            <w:noWrap w:val="0"/>
            <w:vAlign w:val="center"/>
          </w:tcPr>
          <w:p w14:paraId="7008700D">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2" w:type="pct"/>
            <w:shd w:val="clear" w:color="auto" w:fill="FFFFFF"/>
            <w:noWrap w:val="0"/>
            <w:vAlign w:val="center"/>
          </w:tcPr>
          <w:p w14:paraId="6C349739">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39.4</w:t>
            </w:r>
          </w:p>
        </w:tc>
        <w:tc>
          <w:tcPr>
            <w:tcW w:w="184" w:type="pct"/>
            <w:shd w:val="clear" w:color="auto" w:fill="FFFFFF"/>
            <w:noWrap w:val="0"/>
            <w:vAlign w:val="center"/>
          </w:tcPr>
          <w:p w14:paraId="11B7837C">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39.4</w:t>
            </w:r>
          </w:p>
        </w:tc>
        <w:tc>
          <w:tcPr>
            <w:tcW w:w="182" w:type="pct"/>
            <w:shd w:val="clear" w:color="auto" w:fill="FFFFFF"/>
            <w:noWrap w:val="0"/>
            <w:vAlign w:val="center"/>
          </w:tcPr>
          <w:p w14:paraId="42644A05">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39.4</w:t>
            </w:r>
          </w:p>
        </w:tc>
        <w:tc>
          <w:tcPr>
            <w:tcW w:w="182" w:type="pct"/>
            <w:shd w:val="clear" w:color="auto" w:fill="FFFFFF"/>
            <w:noWrap w:val="0"/>
            <w:vAlign w:val="center"/>
          </w:tcPr>
          <w:p w14:paraId="07E831E9">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39.4</w:t>
            </w:r>
          </w:p>
        </w:tc>
        <w:tc>
          <w:tcPr>
            <w:tcW w:w="106" w:type="pct"/>
            <w:vMerge w:val="continue"/>
            <w:noWrap w:val="0"/>
            <w:vAlign w:val="center"/>
          </w:tcPr>
          <w:p w14:paraId="43EB1DF8">
            <w:pPr>
              <w:widowControl/>
              <w:jc w:val="center"/>
              <w:rPr>
                <w:rFonts w:hint="default" w:ascii="Times New Roman" w:hAnsi="Times New Roman" w:cs="Times New Roman"/>
                <w:color w:val="auto"/>
                <w:sz w:val="18"/>
                <w:szCs w:val="18"/>
                <w:lang w:val="en-US" w:eastAsia="zh-CN"/>
              </w:rPr>
            </w:pPr>
          </w:p>
        </w:tc>
      </w:tr>
      <w:tr w14:paraId="0DCDF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noWrap w:val="0"/>
            <w:vAlign w:val="center"/>
          </w:tcPr>
          <w:p w14:paraId="0F211010">
            <w:pPr>
              <w:jc w:val="center"/>
              <w:rPr>
                <w:rFonts w:hint="default" w:ascii="Times New Roman" w:hAnsi="Times New Roman" w:eastAsia="宋体" w:cs="Times New Roman"/>
                <w:b w:val="0"/>
                <w:bCs w:val="0"/>
                <w:color w:val="auto"/>
                <w:kern w:val="2"/>
                <w:sz w:val="18"/>
                <w:szCs w:val="18"/>
                <w:lang w:val="en-US" w:eastAsia="zh-CN" w:bidi="ar-SA"/>
              </w:rPr>
            </w:pPr>
            <w:r>
              <w:rPr>
                <w:rFonts w:hint="default" w:ascii="Times New Roman" w:hAnsi="Times New Roman" w:eastAsia="宋体" w:cs="Times New Roman"/>
                <w:b w:val="0"/>
                <w:bCs w:val="0"/>
                <w:color w:val="auto"/>
                <w:sz w:val="18"/>
                <w:szCs w:val="18"/>
                <w:lang w:eastAsia="zh-CN"/>
              </w:rPr>
              <w:t>5</w:t>
            </w:r>
          </w:p>
        </w:tc>
        <w:tc>
          <w:tcPr>
            <w:tcW w:w="135" w:type="pct"/>
            <w:vMerge w:val="continue"/>
            <w:noWrap w:val="0"/>
            <w:vAlign w:val="center"/>
          </w:tcPr>
          <w:p w14:paraId="7FAC48A6">
            <w:pPr>
              <w:widowControl/>
              <w:jc w:val="center"/>
              <w:rPr>
                <w:rFonts w:hint="default" w:ascii="Times New Roman" w:hAnsi="Times New Roman" w:eastAsia="宋体" w:cs="Times New Roman"/>
                <w:color w:val="auto"/>
                <w:sz w:val="18"/>
                <w:szCs w:val="18"/>
                <w:lang w:val="en-US" w:eastAsia="zh-CN"/>
              </w:rPr>
            </w:pPr>
          </w:p>
        </w:tc>
        <w:tc>
          <w:tcPr>
            <w:tcW w:w="198" w:type="pct"/>
            <w:shd w:val="clear" w:color="auto" w:fill="auto"/>
            <w:noWrap w:val="0"/>
            <w:vAlign w:val="center"/>
          </w:tcPr>
          <w:p w14:paraId="40D1D90E">
            <w:pPr>
              <w:jc w:val="center"/>
              <w:rPr>
                <w:rFonts w:hint="default" w:ascii="Times New Roman" w:hAnsi="Times New Roman" w:eastAsia="Arial" w:cs="Times New Roman"/>
                <w:color w:val="auto"/>
                <w:sz w:val="18"/>
                <w:szCs w:val="18"/>
                <w:lang w:val="en-US" w:eastAsia="zh-CN"/>
              </w:rPr>
            </w:pPr>
            <w:r>
              <w:rPr>
                <w:rFonts w:hint="default" w:ascii="Times New Roman" w:hAnsi="Times New Roman" w:eastAsia="Arial" w:cs="Times New Roman"/>
                <w:color w:val="auto"/>
                <w:sz w:val="18"/>
                <w:szCs w:val="18"/>
                <w:lang w:val="en-US" w:eastAsia="zh-CN"/>
              </w:rPr>
              <w:t>数控车床</w:t>
            </w:r>
          </w:p>
        </w:tc>
        <w:tc>
          <w:tcPr>
            <w:tcW w:w="217" w:type="pct"/>
            <w:shd w:val="clear" w:color="auto" w:fill="auto"/>
            <w:noWrap w:val="0"/>
            <w:vAlign w:val="center"/>
          </w:tcPr>
          <w:p w14:paraId="0A8B3B61">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80</w:t>
            </w:r>
          </w:p>
        </w:tc>
        <w:tc>
          <w:tcPr>
            <w:tcW w:w="217" w:type="pct"/>
            <w:noWrap w:val="0"/>
            <w:vAlign w:val="center"/>
          </w:tcPr>
          <w:p w14:paraId="34733865">
            <w:pPr>
              <w:widowControl/>
              <w:jc w:val="center"/>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80</w:t>
            </w:r>
          </w:p>
        </w:tc>
        <w:tc>
          <w:tcPr>
            <w:tcW w:w="135" w:type="pct"/>
            <w:noWrap w:val="0"/>
            <w:vAlign w:val="center"/>
          </w:tcPr>
          <w:p w14:paraId="6F51EA79">
            <w:pPr>
              <w:widowControl/>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减振</w:t>
            </w:r>
          </w:p>
        </w:tc>
        <w:tc>
          <w:tcPr>
            <w:tcW w:w="203" w:type="pct"/>
            <w:shd w:val="clear" w:color="auto" w:fill="FFFFFF"/>
            <w:noWrap w:val="0"/>
            <w:vAlign w:val="center"/>
          </w:tcPr>
          <w:p w14:paraId="62812A59">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7.5</w:t>
            </w:r>
          </w:p>
        </w:tc>
        <w:tc>
          <w:tcPr>
            <w:tcW w:w="180" w:type="pct"/>
            <w:shd w:val="clear" w:color="auto" w:fill="FFFFFF"/>
            <w:noWrap w:val="0"/>
            <w:vAlign w:val="center"/>
          </w:tcPr>
          <w:p w14:paraId="700A64BF">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-6.3</w:t>
            </w:r>
          </w:p>
        </w:tc>
        <w:tc>
          <w:tcPr>
            <w:tcW w:w="152" w:type="pct"/>
            <w:shd w:val="clear" w:color="auto" w:fill="FFFFFF"/>
            <w:noWrap w:val="0"/>
            <w:vAlign w:val="center"/>
          </w:tcPr>
          <w:p w14:paraId="712DE51E">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1.2</w:t>
            </w:r>
          </w:p>
        </w:tc>
        <w:tc>
          <w:tcPr>
            <w:tcW w:w="182" w:type="pct"/>
            <w:shd w:val="clear" w:color="auto" w:fill="FFFFFF"/>
            <w:noWrap w:val="0"/>
            <w:vAlign w:val="center"/>
          </w:tcPr>
          <w:p w14:paraId="7480A87E">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71.9</w:t>
            </w:r>
          </w:p>
        </w:tc>
        <w:tc>
          <w:tcPr>
            <w:tcW w:w="182" w:type="pct"/>
            <w:shd w:val="clear" w:color="auto" w:fill="FFFFFF"/>
            <w:noWrap w:val="0"/>
            <w:vAlign w:val="center"/>
          </w:tcPr>
          <w:p w14:paraId="0CBCC854">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34.5</w:t>
            </w:r>
          </w:p>
        </w:tc>
        <w:tc>
          <w:tcPr>
            <w:tcW w:w="182" w:type="pct"/>
            <w:shd w:val="clear" w:color="auto" w:fill="FFFFFF"/>
            <w:noWrap w:val="0"/>
            <w:vAlign w:val="center"/>
          </w:tcPr>
          <w:p w14:paraId="293DD445">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85.7</w:t>
            </w:r>
          </w:p>
        </w:tc>
        <w:tc>
          <w:tcPr>
            <w:tcW w:w="184" w:type="pct"/>
            <w:shd w:val="clear" w:color="auto" w:fill="FFFFFF"/>
            <w:noWrap w:val="0"/>
            <w:vAlign w:val="center"/>
          </w:tcPr>
          <w:p w14:paraId="289FA3F8">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48.0</w:t>
            </w:r>
          </w:p>
        </w:tc>
        <w:tc>
          <w:tcPr>
            <w:tcW w:w="182" w:type="pct"/>
            <w:shd w:val="clear" w:color="auto" w:fill="FFFFFF"/>
            <w:noWrap w:val="0"/>
            <w:vAlign w:val="center"/>
          </w:tcPr>
          <w:p w14:paraId="11A6565D">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60.4</w:t>
            </w:r>
          </w:p>
        </w:tc>
        <w:tc>
          <w:tcPr>
            <w:tcW w:w="182" w:type="pct"/>
            <w:shd w:val="clear" w:color="auto" w:fill="FFFFFF"/>
            <w:noWrap w:val="0"/>
            <w:vAlign w:val="center"/>
          </w:tcPr>
          <w:p w14:paraId="52C7E0A9">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60.4</w:t>
            </w:r>
          </w:p>
        </w:tc>
        <w:tc>
          <w:tcPr>
            <w:tcW w:w="182" w:type="pct"/>
            <w:shd w:val="clear" w:color="auto" w:fill="FFFFFF"/>
            <w:noWrap w:val="0"/>
            <w:vAlign w:val="center"/>
          </w:tcPr>
          <w:p w14:paraId="75B415FB">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60.4</w:t>
            </w:r>
          </w:p>
        </w:tc>
        <w:tc>
          <w:tcPr>
            <w:tcW w:w="184" w:type="pct"/>
            <w:shd w:val="clear" w:color="auto" w:fill="FFFFFF"/>
            <w:noWrap w:val="0"/>
            <w:vAlign w:val="center"/>
          </w:tcPr>
          <w:p w14:paraId="765CBADA">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60.4</w:t>
            </w:r>
          </w:p>
        </w:tc>
        <w:tc>
          <w:tcPr>
            <w:tcW w:w="382" w:type="pct"/>
            <w:noWrap w:val="0"/>
            <w:vAlign w:val="center"/>
          </w:tcPr>
          <w:p w14:paraId="021E86A7">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08:00-24:00</w:t>
            </w:r>
          </w:p>
        </w:tc>
        <w:tc>
          <w:tcPr>
            <w:tcW w:w="182" w:type="pct"/>
            <w:shd w:val="clear" w:color="auto" w:fill="FFFFFF"/>
            <w:noWrap w:val="0"/>
            <w:vAlign w:val="center"/>
          </w:tcPr>
          <w:p w14:paraId="6451C24E">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2" w:type="pct"/>
            <w:shd w:val="clear" w:color="auto" w:fill="FFFFFF"/>
            <w:noWrap w:val="0"/>
            <w:vAlign w:val="center"/>
          </w:tcPr>
          <w:p w14:paraId="5F208B5E">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2" w:type="pct"/>
            <w:shd w:val="clear" w:color="auto" w:fill="FFFFFF"/>
            <w:noWrap w:val="0"/>
            <w:vAlign w:val="center"/>
          </w:tcPr>
          <w:p w14:paraId="6FF34617">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4" w:type="pct"/>
            <w:shd w:val="clear" w:color="auto" w:fill="FFFFFF"/>
            <w:noWrap w:val="0"/>
            <w:vAlign w:val="center"/>
          </w:tcPr>
          <w:p w14:paraId="0E974600">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2" w:type="pct"/>
            <w:shd w:val="clear" w:color="auto" w:fill="FFFFFF"/>
            <w:noWrap w:val="0"/>
            <w:vAlign w:val="center"/>
          </w:tcPr>
          <w:p w14:paraId="57936A94">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34.4</w:t>
            </w:r>
          </w:p>
        </w:tc>
        <w:tc>
          <w:tcPr>
            <w:tcW w:w="184" w:type="pct"/>
            <w:shd w:val="clear" w:color="auto" w:fill="FFFFFF"/>
            <w:noWrap w:val="0"/>
            <w:vAlign w:val="center"/>
          </w:tcPr>
          <w:p w14:paraId="1C8058C3">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34.4</w:t>
            </w:r>
          </w:p>
        </w:tc>
        <w:tc>
          <w:tcPr>
            <w:tcW w:w="182" w:type="pct"/>
            <w:shd w:val="clear" w:color="auto" w:fill="FFFFFF"/>
            <w:noWrap w:val="0"/>
            <w:vAlign w:val="center"/>
          </w:tcPr>
          <w:p w14:paraId="20A68FA9">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34.4</w:t>
            </w:r>
          </w:p>
        </w:tc>
        <w:tc>
          <w:tcPr>
            <w:tcW w:w="182" w:type="pct"/>
            <w:shd w:val="clear" w:color="auto" w:fill="FFFFFF"/>
            <w:noWrap w:val="0"/>
            <w:vAlign w:val="center"/>
          </w:tcPr>
          <w:p w14:paraId="53F43081">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34.4</w:t>
            </w:r>
          </w:p>
        </w:tc>
        <w:tc>
          <w:tcPr>
            <w:tcW w:w="106" w:type="pct"/>
            <w:vMerge w:val="continue"/>
            <w:noWrap w:val="0"/>
            <w:vAlign w:val="center"/>
          </w:tcPr>
          <w:p w14:paraId="635EB372">
            <w:pPr>
              <w:widowControl/>
              <w:jc w:val="center"/>
              <w:rPr>
                <w:rFonts w:hint="default" w:ascii="Times New Roman" w:hAnsi="Times New Roman" w:cs="Times New Roman"/>
                <w:color w:val="auto"/>
                <w:sz w:val="18"/>
                <w:szCs w:val="18"/>
                <w:lang w:val="en-US" w:eastAsia="zh-CN"/>
              </w:rPr>
            </w:pPr>
          </w:p>
        </w:tc>
      </w:tr>
      <w:tr w14:paraId="6F917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noWrap w:val="0"/>
            <w:vAlign w:val="center"/>
          </w:tcPr>
          <w:p w14:paraId="09C28ECE">
            <w:pPr>
              <w:jc w:val="center"/>
              <w:rPr>
                <w:rFonts w:hint="default" w:ascii="Times New Roman" w:hAnsi="Times New Roman" w:eastAsia="宋体" w:cs="Times New Roman"/>
                <w:b w:val="0"/>
                <w:bCs w:val="0"/>
                <w:color w:val="auto"/>
                <w:kern w:val="2"/>
                <w:sz w:val="18"/>
                <w:szCs w:val="18"/>
                <w:lang w:val="en-US" w:eastAsia="zh-CN" w:bidi="ar-SA"/>
              </w:rPr>
            </w:pPr>
            <w:r>
              <w:rPr>
                <w:rFonts w:hint="default" w:ascii="Times New Roman" w:hAnsi="Times New Roman" w:eastAsia="宋体" w:cs="Times New Roman"/>
                <w:b w:val="0"/>
                <w:bCs w:val="0"/>
                <w:color w:val="auto"/>
                <w:sz w:val="18"/>
                <w:szCs w:val="18"/>
                <w:lang w:eastAsia="zh-CN"/>
              </w:rPr>
              <w:t>6</w:t>
            </w:r>
          </w:p>
        </w:tc>
        <w:tc>
          <w:tcPr>
            <w:tcW w:w="135" w:type="pct"/>
            <w:vMerge w:val="continue"/>
            <w:noWrap w:val="0"/>
            <w:vAlign w:val="center"/>
          </w:tcPr>
          <w:p w14:paraId="14AA4FFB">
            <w:pPr>
              <w:widowControl/>
              <w:jc w:val="center"/>
              <w:rPr>
                <w:rFonts w:hint="default" w:ascii="Times New Roman" w:hAnsi="Times New Roman" w:eastAsia="宋体" w:cs="Times New Roman"/>
                <w:color w:val="auto"/>
                <w:sz w:val="18"/>
                <w:szCs w:val="18"/>
                <w:lang w:val="en-US" w:eastAsia="zh-CN"/>
              </w:rPr>
            </w:pPr>
          </w:p>
        </w:tc>
        <w:tc>
          <w:tcPr>
            <w:tcW w:w="198" w:type="pct"/>
            <w:shd w:val="clear" w:color="auto" w:fill="auto"/>
            <w:noWrap w:val="0"/>
            <w:vAlign w:val="center"/>
          </w:tcPr>
          <w:p w14:paraId="4AE0C1BB">
            <w:pPr>
              <w:jc w:val="center"/>
              <w:rPr>
                <w:rFonts w:hint="default" w:ascii="Times New Roman" w:hAnsi="Times New Roman" w:eastAsia="Arial" w:cs="Times New Roman"/>
                <w:color w:val="auto"/>
                <w:sz w:val="18"/>
                <w:szCs w:val="18"/>
                <w:lang w:val="en-US" w:eastAsia="zh-CN"/>
              </w:rPr>
            </w:pPr>
            <w:r>
              <w:rPr>
                <w:rFonts w:hint="default" w:ascii="Times New Roman" w:hAnsi="Times New Roman" w:eastAsia="Arial" w:cs="Times New Roman"/>
                <w:color w:val="auto"/>
                <w:sz w:val="18"/>
                <w:szCs w:val="18"/>
                <w:lang w:val="en-US" w:eastAsia="zh-CN"/>
              </w:rPr>
              <w:t>数控感应淬火机床</w:t>
            </w:r>
          </w:p>
        </w:tc>
        <w:tc>
          <w:tcPr>
            <w:tcW w:w="217" w:type="pct"/>
            <w:shd w:val="clear" w:color="auto" w:fill="auto"/>
            <w:noWrap w:val="0"/>
            <w:vAlign w:val="center"/>
          </w:tcPr>
          <w:p w14:paraId="11929AFB">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4</w:t>
            </w:r>
          </w:p>
        </w:tc>
        <w:tc>
          <w:tcPr>
            <w:tcW w:w="217" w:type="pct"/>
            <w:noWrap w:val="0"/>
            <w:vAlign w:val="center"/>
          </w:tcPr>
          <w:p w14:paraId="2A583D0B">
            <w:pPr>
              <w:widowControl/>
              <w:jc w:val="center"/>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78</w:t>
            </w:r>
          </w:p>
        </w:tc>
        <w:tc>
          <w:tcPr>
            <w:tcW w:w="135" w:type="pct"/>
            <w:noWrap w:val="0"/>
            <w:vAlign w:val="center"/>
          </w:tcPr>
          <w:p w14:paraId="33B5B4FA">
            <w:pPr>
              <w:widowControl/>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减振</w:t>
            </w:r>
          </w:p>
        </w:tc>
        <w:tc>
          <w:tcPr>
            <w:tcW w:w="203" w:type="pct"/>
            <w:shd w:val="clear" w:color="auto" w:fill="FFFFFF"/>
            <w:noWrap w:val="0"/>
            <w:vAlign w:val="center"/>
          </w:tcPr>
          <w:p w14:paraId="622585CA">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-33.6</w:t>
            </w:r>
          </w:p>
        </w:tc>
        <w:tc>
          <w:tcPr>
            <w:tcW w:w="180" w:type="pct"/>
            <w:shd w:val="clear" w:color="auto" w:fill="FFFFFF"/>
            <w:noWrap w:val="0"/>
            <w:vAlign w:val="center"/>
          </w:tcPr>
          <w:p w14:paraId="0F78C803">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6.5</w:t>
            </w:r>
          </w:p>
        </w:tc>
        <w:tc>
          <w:tcPr>
            <w:tcW w:w="152" w:type="pct"/>
            <w:shd w:val="clear" w:color="auto" w:fill="FFFFFF"/>
            <w:noWrap w:val="0"/>
            <w:vAlign w:val="center"/>
          </w:tcPr>
          <w:p w14:paraId="774DC527">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1.2</w:t>
            </w:r>
          </w:p>
        </w:tc>
        <w:tc>
          <w:tcPr>
            <w:tcW w:w="182" w:type="pct"/>
            <w:shd w:val="clear" w:color="auto" w:fill="FFFFFF"/>
            <w:noWrap w:val="0"/>
            <w:vAlign w:val="center"/>
          </w:tcPr>
          <w:p w14:paraId="02547186">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111.5</w:t>
            </w:r>
          </w:p>
        </w:tc>
        <w:tc>
          <w:tcPr>
            <w:tcW w:w="182" w:type="pct"/>
            <w:shd w:val="clear" w:color="auto" w:fill="FFFFFF"/>
            <w:noWrap w:val="0"/>
            <w:vAlign w:val="center"/>
          </w:tcPr>
          <w:p w14:paraId="5192F0E3">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51.1</w:t>
            </w:r>
          </w:p>
        </w:tc>
        <w:tc>
          <w:tcPr>
            <w:tcW w:w="182" w:type="pct"/>
            <w:shd w:val="clear" w:color="auto" w:fill="FFFFFF"/>
            <w:noWrap w:val="0"/>
            <w:vAlign w:val="center"/>
          </w:tcPr>
          <w:p w14:paraId="07BCAEF6">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45.8</w:t>
            </w:r>
          </w:p>
        </w:tc>
        <w:tc>
          <w:tcPr>
            <w:tcW w:w="184" w:type="pct"/>
            <w:shd w:val="clear" w:color="auto" w:fill="FFFFFF"/>
            <w:noWrap w:val="0"/>
            <w:vAlign w:val="center"/>
          </w:tcPr>
          <w:p w14:paraId="70B4B817">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31.8</w:t>
            </w:r>
          </w:p>
        </w:tc>
        <w:tc>
          <w:tcPr>
            <w:tcW w:w="182" w:type="pct"/>
            <w:shd w:val="clear" w:color="auto" w:fill="FFFFFF"/>
            <w:noWrap w:val="0"/>
            <w:vAlign w:val="center"/>
          </w:tcPr>
          <w:p w14:paraId="6A1F51B7">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58.4</w:t>
            </w:r>
          </w:p>
        </w:tc>
        <w:tc>
          <w:tcPr>
            <w:tcW w:w="182" w:type="pct"/>
            <w:shd w:val="clear" w:color="auto" w:fill="FFFFFF"/>
            <w:noWrap w:val="0"/>
            <w:vAlign w:val="center"/>
          </w:tcPr>
          <w:p w14:paraId="618E4328">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58.4</w:t>
            </w:r>
          </w:p>
        </w:tc>
        <w:tc>
          <w:tcPr>
            <w:tcW w:w="182" w:type="pct"/>
            <w:shd w:val="clear" w:color="auto" w:fill="FFFFFF"/>
            <w:noWrap w:val="0"/>
            <w:vAlign w:val="center"/>
          </w:tcPr>
          <w:p w14:paraId="6D1DFBC1">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58.4</w:t>
            </w:r>
          </w:p>
        </w:tc>
        <w:tc>
          <w:tcPr>
            <w:tcW w:w="184" w:type="pct"/>
            <w:shd w:val="clear" w:color="auto" w:fill="FFFFFF"/>
            <w:noWrap w:val="0"/>
            <w:vAlign w:val="center"/>
          </w:tcPr>
          <w:p w14:paraId="3D89D29A">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58.4</w:t>
            </w:r>
          </w:p>
        </w:tc>
        <w:tc>
          <w:tcPr>
            <w:tcW w:w="382" w:type="pct"/>
            <w:noWrap w:val="0"/>
            <w:vAlign w:val="center"/>
          </w:tcPr>
          <w:p w14:paraId="1F6DD800">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08:00-24:00</w:t>
            </w:r>
          </w:p>
        </w:tc>
        <w:tc>
          <w:tcPr>
            <w:tcW w:w="182" w:type="pct"/>
            <w:shd w:val="clear" w:color="auto" w:fill="FFFFFF"/>
            <w:noWrap w:val="0"/>
            <w:vAlign w:val="center"/>
          </w:tcPr>
          <w:p w14:paraId="5017739D">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2" w:type="pct"/>
            <w:shd w:val="clear" w:color="auto" w:fill="FFFFFF"/>
            <w:noWrap w:val="0"/>
            <w:vAlign w:val="center"/>
          </w:tcPr>
          <w:p w14:paraId="49D2BEDB">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2" w:type="pct"/>
            <w:shd w:val="clear" w:color="auto" w:fill="FFFFFF"/>
            <w:noWrap w:val="0"/>
            <w:vAlign w:val="center"/>
          </w:tcPr>
          <w:p w14:paraId="1A057750">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4" w:type="pct"/>
            <w:shd w:val="clear" w:color="auto" w:fill="FFFFFF"/>
            <w:noWrap w:val="0"/>
            <w:vAlign w:val="center"/>
          </w:tcPr>
          <w:p w14:paraId="5E7EB0C4">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2" w:type="pct"/>
            <w:shd w:val="clear" w:color="auto" w:fill="FFFFFF"/>
            <w:noWrap w:val="0"/>
            <w:vAlign w:val="center"/>
          </w:tcPr>
          <w:p w14:paraId="718A7B78">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32.4</w:t>
            </w:r>
          </w:p>
        </w:tc>
        <w:tc>
          <w:tcPr>
            <w:tcW w:w="184" w:type="pct"/>
            <w:shd w:val="clear" w:color="auto" w:fill="FFFFFF"/>
            <w:noWrap w:val="0"/>
            <w:vAlign w:val="center"/>
          </w:tcPr>
          <w:p w14:paraId="596097C6">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32.4</w:t>
            </w:r>
          </w:p>
        </w:tc>
        <w:tc>
          <w:tcPr>
            <w:tcW w:w="182" w:type="pct"/>
            <w:shd w:val="clear" w:color="auto" w:fill="FFFFFF"/>
            <w:noWrap w:val="0"/>
            <w:vAlign w:val="center"/>
          </w:tcPr>
          <w:p w14:paraId="59A3385D">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32.4</w:t>
            </w:r>
          </w:p>
        </w:tc>
        <w:tc>
          <w:tcPr>
            <w:tcW w:w="182" w:type="pct"/>
            <w:shd w:val="clear" w:color="auto" w:fill="FFFFFF"/>
            <w:noWrap w:val="0"/>
            <w:vAlign w:val="center"/>
          </w:tcPr>
          <w:p w14:paraId="60E39370">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32.4</w:t>
            </w:r>
          </w:p>
        </w:tc>
        <w:tc>
          <w:tcPr>
            <w:tcW w:w="106" w:type="pct"/>
            <w:vMerge w:val="continue"/>
            <w:noWrap w:val="0"/>
            <w:vAlign w:val="center"/>
          </w:tcPr>
          <w:p w14:paraId="3C957482">
            <w:pPr>
              <w:widowControl/>
              <w:jc w:val="center"/>
              <w:rPr>
                <w:rFonts w:hint="default" w:ascii="Times New Roman" w:hAnsi="Times New Roman" w:cs="Times New Roman"/>
                <w:color w:val="auto"/>
                <w:sz w:val="18"/>
                <w:szCs w:val="18"/>
                <w:lang w:val="en-US" w:eastAsia="zh-CN"/>
              </w:rPr>
            </w:pPr>
          </w:p>
        </w:tc>
      </w:tr>
      <w:tr w14:paraId="2A6AC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noWrap w:val="0"/>
            <w:vAlign w:val="center"/>
          </w:tcPr>
          <w:p w14:paraId="3E991C9C">
            <w:pPr>
              <w:jc w:val="center"/>
              <w:rPr>
                <w:rFonts w:hint="default" w:ascii="Times New Roman" w:hAnsi="Times New Roman" w:eastAsia="宋体" w:cs="Times New Roman"/>
                <w:b w:val="0"/>
                <w:bCs w:val="0"/>
                <w:color w:val="auto"/>
                <w:kern w:val="2"/>
                <w:sz w:val="18"/>
                <w:szCs w:val="18"/>
                <w:lang w:val="en-US" w:eastAsia="zh-CN" w:bidi="ar-SA"/>
              </w:rPr>
            </w:pPr>
            <w:r>
              <w:rPr>
                <w:rFonts w:hint="default" w:ascii="Times New Roman" w:hAnsi="Times New Roman" w:eastAsia="宋体" w:cs="Times New Roman"/>
                <w:b w:val="0"/>
                <w:bCs w:val="0"/>
                <w:color w:val="auto"/>
                <w:sz w:val="18"/>
                <w:szCs w:val="18"/>
                <w:lang w:eastAsia="zh-CN"/>
              </w:rPr>
              <w:t>7</w:t>
            </w:r>
          </w:p>
        </w:tc>
        <w:tc>
          <w:tcPr>
            <w:tcW w:w="135" w:type="pct"/>
            <w:vMerge w:val="continue"/>
            <w:noWrap w:val="0"/>
            <w:vAlign w:val="center"/>
          </w:tcPr>
          <w:p w14:paraId="24BC5584">
            <w:pPr>
              <w:widowControl/>
              <w:jc w:val="center"/>
              <w:rPr>
                <w:rFonts w:hint="default" w:ascii="Times New Roman" w:hAnsi="Times New Roman" w:eastAsia="宋体" w:cs="Times New Roman"/>
                <w:color w:val="auto"/>
                <w:sz w:val="18"/>
                <w:szCs w:val="18"/>
                <w:lang w:val="en-US" w:eastAsia="zh-CN"/>
              </w:rPr>
            </w:pPr>
          </w:p>
        </w:tc>
        <w:tc>
          <w:tcPr>
            <w:tcW w:w="198" w:type="pct"/>
            <w:shd w:val="clear" w:color="auto" w:fill="auto"/>
            <w:noWrap w:val="0"/>
            <w:vAlign w:val="center"/>
          </w:tcPr>
          <w:p w14:paraId="405C90F1">
            <w:pPr>
              <w:jc w:val="center"/>
              <w:rPr>
                <w:rFonts w:hint="default" w:ascii="Times New Roman" w:hAnsi="Times New Roman" w:eastAsia="Arial" w:cs="Times New Roman"/>
                <w:color w:val="auto"/>
                <w:sz w:val="18"/>
                <w:szCs w:val="18"/>
                <w:lang w:val="en-US" w:eastAsia="zh-CN"/>
              </w:rPr>
            </w:pPr>
            <w:r>
              <w:rPr>
                <w:rFonts w:hint="default" w:ascii="Times New Roman" w:hAnsi="Times New Roman" w:eastAsia="Arial" w:cs="Times New Roman"/>
                <w:color w:val="auto"/>
                <w:sz w:val="18"/>
                <w:szCs w:val="18"/>
                <w:lang w:val="en-US" w:eastAsia="zh-CN"/>
              </w:rPr>
              <w:t>低温回火炉</w:t>
            </w:r>
          </w:p>
        </w:tc>
        <w:tc>
          <w:tcPr>
            <w:tcW w:w="217" w:type="pct"/>
            <w:shd w:val="clear" w:color="auto" w:fill="auto"/>
            <w:noWrap w:val="0"/>
            <w:vAlign w:val="center"/>
          </w:tcPr>
          <w:p w14:paraId="3A89C7EF">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w:t>
            </w:r>
          </w:p>
        </w:tc>
        <w:tc>
          <w:tcPr>
            <w:tcW w:w="217" w:type="pct"/>
            <w:noWrap w:val="0"/>
            <w:vAlign w:val="center"/>
          </w:tcPr>
          <w:p w14:paraId="5AE162E3">
            <w:pPr>
              <w:widowControl/>
              <w:jc w:val="center"/>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77</w:t>
            </w:r>
          </w:p>
        </w:tc>
        <w:tc>
          <w:tcPr>
            <w:tcW w:w="135" w:type="pct"/>
            <w:noWrap w:val="0"/>
            <w:vAlign w:val="center"/>
          </w:tcPr>
          <w:p w14:paraId="088E4FE2">
            <w:pPr>
              <w:widowControl/>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减振</w:t>
            </w:r>
          </w:p>
        </w:tc>
        <w:tc>
          <w:tcPr>
            <w:tcW w:w="203" w:type="pct"/>
            <w:shd w:val="clear" w:color="auto" w:fill="FFFFFF"/>
            <w:noWrap w:val="0"/>
            <w:vAlign w:val="center"/>
          </w:tcPr>
          <w:p w14:paraId="55943CE3">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6.3</w:t>
            </w:r>
          </w:p>
        </w:tc>
        <w:tc>
          <w:tcPr>
            <w:tcW w:w="180" w:type="pct"/>
            <w:shd w:val="clear" w:color="auto" w:fill="FFFFFF"/>
            <w:noWrap w:val="0"/>
            <w:vAlign w:val="center"/>
          </w:tcPr>
          <w:p w14:paraId="76B40796">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10.1</w:t>
            </w:r>
          </w:p>
        </w:tc>
        <w:tc>
          <w:tcPr>
            <w:tcW w:w="152" w:type="pct"/>
            <w:shd w:val="clear" w:color="auto" w:fill="FFFFFF"/>
            <w:noWrap w:val="0"/>
            <w:vAlign w:val="center"/>
          </w:tcPr>
          <w:p w14:paraId="5BD450D6">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1.2</w:t>
            </w:r>
          </w:p>
        </w:tc>
        <w:tc>
          <w:tcPr>
            <w:tcW w:w="182" w:type="pct"/>
            <w:shd w:val="clear" w:color="auto" w:fill="FFFFFF"/>
            <w:noWrap w:val="0"/>
            <w:vAlign w:val="center"/>
          </w:tcPr>
          <w:p w14:paraId="61A7762A">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71.5</w:t>
            </w:r>
          </w:p>
        </w:tc>
        <w:tc>
          <w:tcPr>
            <w:tcW w:w="182" w:type="pct"/>
            <w:shd w:val="clear" w:color="auto" w:fill="FFFFFF"/>
            <w:noWrap w:val="0"/>
            <w:vAlign w:val="center"/>
          </w:tcPr>
          <w:p w14:paraId="0269A10B">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50.9</w:t>
            </w:r>
          </w:p>
        </w:tc>
        <w:tc>
          <w:tcPr>
            <w:tcW w:w="182" w:type="pct"/>
            <w:shd w:val="clear" w:color="auto" w:fill="FFFFFF"/>
            <w:noWrap w:val="0"/>
            <w:vAlign w:val="center"/>
          </w:tcPr>
          <w:p w14:paraId="0F8FA86C">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85.9</w:t>
            </w:r>
          </w:p>
        </w:tc>
        <w:tc>
          <w:tcPr>
            <w:tcW w:w="184" w:type="pct"/>
            <w:shd w:val="clear" w:color="auto" w:fill="FFFFFF"/>
            <w:noWrap w:val="0"/>
            <w:vAlign w:val="center"/>
          </w:tcPr>
          <w:p w14:paraId="5114B6CC">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31.5</w:t>
            </w:r>
          </w:p>
        </w:tc>
        <w:tc>
          <w:tcPr>
            <w:tcW w:w="182" w:type="pct"/>
            <w:shd w:val="clear" w:color="auto" w:fill="FFFFFF"/>
            <w:noWrap w:val="0"/>
            <w:vAlign w:val="center"/>
          </w:tcPr>
          <w:p w14:paraId="312E7E4A">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57.4</w:t>
            </w:r>
          </w:p>
        </w:tc>
        <w:tc>
          <w:tcPr>
            <w:tcW w:w="182" w:type="pct"/>
            <w:shd w:val="clear" w:color="auto" w:fill="FFFFFF"/>
            <w:noWrap w:val="0"/>
            <w:vAlign w:val="center"/>
          </w:tcPr>
          <w:p w14:paraId="1D793D0D">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57.4</w:t>
            </w:r>
          </w:p>
        </w:tc>
        <w:tc>
          <w:tcPr>
            <w:tcW w:w="182" w:type="pct"/>
            <w:shd w:val="clear" w:color="auto" w:fill="FFFFFF"/>
            <w:noWrap w:val="0"/>
            <w:vAlign w:val="center"/>
          </w:tcPr>
          <w:p w14:paraId="0CE99DDB">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57.4</w:t>
            </w:r>
          </w:p>
        </w:tc>
        <w:tc>
          <w:tcPr>
            <w:tcW w:w="184" w:type="pct"/>
            <w:shd w:val="clear" w:color="auto" w:fill="FFFFFF"/>
            <w:noWrap w:val="0"/>
            <w:vAlign w:val="center"/>
          </w:tcPr>
          <w:p w14:paraId="1ACC66F2">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57.4</w:t>
            </w:r>
          </w:p>
        </w:tc>
        <w:tc>
          <w:tcPr>
            <w:tcW w:w="382" w:type="pct"/>
            <w:noWrap w:val="0"/>
            <w:vAlign w:val="center"/>
          </w:tcPr>
          <w:p w14:paraId="5DDAF979">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08:00-24:00</w:t>
            </w:r>
          </w:p>
        </w:tc>
        <w:tc>
          <w:tcPr>
            <w:tcW w:w="182" w:type="pct"/>
            <w:shd w:val="clear" w:color="auto" w:fill="FFFFFF"/>
            <w:noWrap w:val="0"/>
            <w:vAlign w:val="center"/>
          </w:tcPr>
          <w:p w14:paraId="05C1DE34">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2" w:type="pct"/>
            <w:shd w:val="clear" w:color="auto" w:fill="FFFFFF"/>
            <w:noWrap w:val="0"/>
            <w:vAlign w:val="center"/>
          </w:tcPr>
          <w:p w14:paraId="2A0F2985">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2" w:type="pct"/>
            <w:shd w:val="clear" w:color="auto" w:fill="FFFFFF"/>
            <w:noWrap w:val="0"/>
            <w:vAlign w:val="center"/>
          </w:tcPr>
          <w:p w14:paraId="1A9A116C">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4" w:type="pct"/>
            <w:shd w:val="clear" w:color="auto" w:fill="FFFFFF"/>
            <w:noWrap w:val="0"/>
            <w:vAlign w:val="center"/>
          </w:tcPr>
          <w:p w14:paraId="40481817">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2" w:type="pct"/>
            <w:shd w:val="clear" w:color="auto" w:fill="FFFFFF"/>
            <w:noWrap w:val="0"/>
            <w:vAlign w:val="center"/>
          </w:tcPr>
          <w:p w14:paraId="7927C563">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31.4</w:t>
            </w:r>
          </w:p>
        </w:tc>
        <w:tc>
          <w:tcPr>
            <w:tcW w:w="184" w:type="pct"/>
            <w:shd w:val="clear" w:color="auto" w:fill="FFFFFF"/>
            <w:noWrap w:val="0"/>
            <w:vAlign w:val="center"/>
          </w:tcPr>
          <w:p w14:paraId="5290BB67">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31.4</w:t>
            </w:r>
          </w:p>
        </w:tc>
        <w:tc>
          <w:tcPr>
            <w:tcW w:w="182" w:type="pct"/>
            <w:shd w:val="clear" w:color="auto" w:fill="FFFFFF"/>
            <w:noWrap w:val="0"/>
            <w:vAlign w:val="center"/>
          </w:tcPr>
          <w:p w14:paraId="01153CFB">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31.4</w:t>
            </w:r>
          </w:p>
        </w:tc>
        <w:tc>
          <w:tcPr>
            <w:tcW w:w="182" w:type="pct"/>
            <w:shd w:val="clear" w:color="auto" w:fill="FFFFFF"/>
            <w:noWrap w:val="0"/>
            <w:vAlign w:val="center"/>
          </w:tcPr>
          <w:p w14:paraId="73E11060">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31.4</w:t>
            </w:r>
          </w:p>
        </w:tc>
        <w:tc>
          <w:tcPr>
            <w:tcW w:w="106" w:type="pct"/>
            <w:vMerge w:val="continue"/>
            <w:noWrap w:val="0"/>
            <w:vAlign w:val="center"/>
          </w:tcPr>
          <w:p w14:paraId="0554EAC2">
            <w:pPr>
              <w:widowControl/>
              <w:jc w:val="center"/>
              <w:rPr>
                <w:rFonts w:hint="default" w:ascii="Times New Roman" w:hAnsi="Times New Roman" w:cs="Times New Roman"/>
                <w:color w:val="auto"/>
                <w:sz w:val="18"/>
                <w:szCs w:val="18"/>
                <w:lang w:val="en-US" w:eastAsia="zh-CN"/>
              </w:rPr>
            </w:pPr>
          </w:p>
        </w:tc>
      </w:tr>
      <w:tr w14:paraId="1A9D4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90" w:hRule="atLeast"/>
          <w:jc w:val="center"/>
        </w:trPr>
        <w:tc>
          <w:tcPr>
            <w:tcW w:w="135" w:type="pct"/>
            <w:shd w:val="clear" w:color="auto" w:fill="auto"/>
            <w:noWrap w:val="0"/>
            <w:vAlign w:val="center"/>
          </w:tcPr>
          <w:p w14:paraId="0EDBC770">
            <w:pPr>
              <w:jc w:val="center"/>
              <w:rPr>
                <w:rFonts w:hint="default" w:ascii="Times New Roman" w:hAnsi="Times New Roman" w:eastAsia="宋体" w:cs="Times New Roman"/>
                <w:b w:val="0"/>
                <w:bCs w:val="0"/>
                <w:color w:val="auto"/>
                <w:kern w:val="2"/>
                <w:sz w:val="18"/>
                <w:szCs w:val="18"/>
                <w:lang w:val="en-US" w:eastAsia="zh-CN" w:bidi="ar-SA"/>
              </w:rPr>
            </w:pPr>
            <w:r>
              <w:rPr>
                <w:rFonts w:hint="default" w:ascii="Times New Roman" w:hAnsi="Times New Roman" w:eastAsia="宋体" w:cs="Times New Roman"/>
                <w:b w:val="0"/>
                <w:bCs w:val="0"/>
                <w:color w:val="auto"/>
                <w:sz w:val="18"/>
                <w:szCs w:val="18"/>
                <w:lang w:eastAsia="zh-CN"/>
              </w:rPr>
              <w:t>8</w:t>
            </w:r>
          </w:p>
        </w:tc>
        <w:tc>
          <w:tcPr>
            <w:tcW w:w="135" w:type="pct"/>
            <w:vMerge w:val="continue"/>
            <w:noWrap w:val="0"/>
            <w:vAlign w:val="center"/>
          </w:tcPr>
          <w:p w14:paraId="760E3AD3">
            <w:pPr>
              <w:widowControl/>
              <w:jc w:val="center"/>
              <w:rPr>
                <w:rFonts w:hint="default" w:ascii="Times New Roman" w:hAnsi="Times New Roman" w:eastAsia="宋体" w:cs="Times New Roman"/>
                <w:color w:val="auto"/>
                <w:sz w:val="18"/>
                <w:szCs w:val="18"/>
                <w:lang w:val="en-US" w:eastAsia="zh-CN"/>
              </w:rPr>
            </w:pPr>
          </w:p>
        </w:tc>
        <w:tc>
          <w:tcPr>
            <w:tcW w:w="198" w:type="pct"/>
            <w:shd w:val="clear" w:color="auto" w:fill="auto"/>
            <w:noWrap w:val="0"/>
            <w:vAlign w:val="center"/>
          </w:tcPr>
          <w:p w14:paraId="3489FE3A">
            <w:pPr>
              <w:jc w:val="center"/>
              <w:rPr>
                <w:rFonts w:hint="default" w:ascii="Times New Roman" w:hAnsi="Times New Roman" w:eastAsia="Arial" w:cs="Times New Roman"/>
                <w:color w:val="auto"/>
                <w:sz w:val="18"/>
                <w:szCs w:val="18"/>
                <w:lang w:val="en-US" w:eastAsia="zh-CN"/>
              </w:rPr>
            </w:pPr>
            <w:r>
              <w:rPr>
                <w:rFonts w:hint="default" w:ascii="Times New Roman" w:hAnsi="Times New Roman" w:eastAsia="Arial" w:cs="Times New Roman"/>
                <w:color w:val="auto"/>
                <w:sz w:val="18"/>
                <w:szCs w:val="18"/>
                <w:lang w:val="en-US" w:eastAsia="zh-CN"/>
              </w:rPr>
              <w:t>数控</w:t>
            </w:r>
            <w:r>
              <w:rPr>
                <w:rFonts w:hint="default" w:ascii="Times New Roman" w:hAnsi="Times New Roman" w:eastAsia="Arial" w:cs="Times New Roman"/>
                <w:color w:val="auto"/>
                <w:sz w:val="18"/>
                <w:szCs w:val="18"/>
              </w:rPr>
              <w:t>加工中心（CNC）</w:t>
            </w:r>
          </w:p>
        </w:tc>
        <w:tc>
          <w:tcPr>
            <w:tcW w:w="217" w:type="pct"/>
            <w:shd w:val="clear" w:color="auto" w:fill="auto"/>
            <w:noWrap w:val="0"/>
            <w:vAlign w:val="center"/>
          </w:tcPr>
          <w:p w14:paraId="6E77393E">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15</w:t>
            </w:r>
          </w:p>
        </w:tc>
        <w:tc>
          <w:tcPr>
            <w:tcW w:w="217" w:type="pct"/>
            <w:noWrap w:val="0"/>
            <w:vAlign w:val="center"/>
          </w:tcPr>
          <w:p w14:paraId="68C95533">
            <w:pPr>
              <w:widowControl/>
              <w:jc w:val="center"/>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76</w:t>
            </w:r>
          </w:p>
        </w:tc>
        <w:tc>
          <w:tcPr>
            <w:tcW w:w="135" w:type="pct"/>
            <w:noWrap w:val="0"/>
            <w:vAlign w:val="center"/>
          </w:tcPr>
          <w:p w14:paraId="1B4D0E48">
            <w:pPr>
              <w:widowControl/>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减振</w:t>
            </w:r>
          </w:p>
        </w:tc>
        <w:tc>
          <w:tcPr>
            <w:tcW w:w="203" w:type="pct"/>
            <w:shd w:val="clear" w:color="auto" w:fill="FFFFFF"/>
            <w:noWrap w:val="0"/>
            <w:vAlign w:val="center"/>
          </w:tcPr>
          <w:p w14:paraId="355BF508">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18.3</w:t>
            </w:r>
          </w:p>
        </w:tc>
        <w:tc>
          <w:tcPr>
            <w:tcW w:w="180" w:type="pct"/>
            <w:shd w:val="clear" w:color="auto" w:fill="FFFFFF"/>
            <w:noWrap w:val="0"/>
            <w:vAlign w:val="center"/>
          </w:tcPr>
          <w:p w14:paraId="10D9AF58">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16.2</w:t>
            </w:r>
          </w:p>
        </w:tc>
        <w:tc>
          <w:tcPr>
            <w:tcW w:w="152" w:type="pct"/>
            <w:shd w:val="clear" w:color="auto" w:fill="FFFFFF"/>
            <w:noWrap w:val="0"/>
            <w:vAlign w:val="center"/>
          </w:tcPr>
          <w:p w14:paraId="7746D2F2">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1.2</w:t>
            </w:r>
          </w:p>
        </w:tc>
        <w:tc>
          <w:tcPr>
            <w:tcW w:w="182" w:type="pct"/>
            <w:shd w:val="clear" w:color="auto" w:fill="FFFFFF"/>
            <w:noWrap w:val="0"/>
            <w:vAlign w:val="center"/>
          </w:tcPr>
          <w:p w14:paraId="0A8F7F6D">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58.9</w:t>
            </w:r>
          </w:p>
        </w:tc>
        <w:tc>
          <w:tcPr>
            <w:tcW w:w="182" w:type="pct"/>
            <w:shd w:val="clear" w:color="auto" w:fill="FFFFFF"/>
            <w:noWrap w:val="0"/>
            <w:vAlign w:val="center"/>
          </w:tcPr>
          <w:p w14:paraId="106D2D4F">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55.9</w:t>
            </w:r>
          </w:p>
        </w:tc>
        <w:tc>
          <w:tcPr>
            <w:tcW w:w="182" w:type="pct"/>
            <w:shd w:val="clear" w:color="auto" w:fill="FFFFFF"/>
            <w:noWrap w:val="0"/>
            <w:vAlign w:val="center"/>
          </w:tcPr>
          <w:p w14:paraId="0A1C6EA5">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98.3</w:t>
            </w:r>
          </w:p>
        </w:tc>
        <w:tc>
          <w:tcPr>
            <w:tcW w:w="184" w:type="pct"/>
            <w:shd w:val="clear" w:color="auto" w:fill="FFFFFF"/>
            <w:noWrap w:val="0"/>
            <w:vAlign w:val="center"/>
          </w:tcPr>
          <w:p w14:paraId="2C578291">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26.4</w:t>
            </w:r>
          </w:p>
        </w:tc>
        <w:tc>
          <w:tcPr>
            <w:tcW w:w="182" w:type="pct"/>
            <w:shd w:val="clear" w:color="auto" w:fill="FFFFFF"/>
            <w:noWrap w:val="0"/>
            <w:vAlign w:val="center"/>
          </w:tcPr>
          <w:p w14:paraId="267F24C5">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56.4</w:t>
            </w:r>
          </w:p>
        </w:tc>
        <w:tc>
          <w:tcPr>
            <w:tcW w:w="182" w:type="pct"/>
            <w:shd w:val="clear" w:color="auto" w:fill="FFFFFF"/>
            <w:noWrap w:val="0"/>
            <w:vAlign w:val="center"/>
          </w:tcPr>
          <w:p w14:paraId="3B73E686">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56.4</w:t>
            </w:r>
          </w:p>
        </w:tc>
        <w:tc>
          <w:tcPr>
            <w:tcW w:w="182" w:type="pct"/>
            <w:shd w:val="clear" w:color="auto" w:fill="FFFFFF"/>
            <w:noWrap w:val="0"/>
            <w:vAlign w:val="center"/>
          </w:tcPr>
          <w:p w14:paraId="10D804A7">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56.4</w:t>
            </w:r>
          </w:p>
        </w:tc>
        <w:tc>
          <w:tcPr>
            <w:tcW w:w="184" w:type="pct"/>
            <w:shd w:val="clear" w:color="auto" w:fill="FFFFFF"/>
            <w:noWrap w:val="0"/>
            <w:vAlign w:val="center"/>
          </w:tcPr>
          <w:p w14:paraId="5B386A7D">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56.4</w:t>
            </w:r>
          </w:p>
        </w:tc>
        <w:tc>
          <w:tcPr>
            <w:tcW w:w="382" w:type="pct"/>
            <w:noWrap w:val="0"/>
            <w:vAlign w:val="center"/>
          </w:tcPr>
          <w:p w14:paraId="5AA907F9">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08:00-24:00</w:t>
            </w:r>
          </w:p>
        </w:tc>
        <w:tc>
          <w:tcPr>
            <w:tcW w:w="182" w:type="pct"/>
            <w:shd w:val="clear" w:color="auto" w:fill="FFFFFF"/>
            <w:noWrap w:val="0"/>
            <w:vAlign w:val="center"/>
          </w:tcPr>
          <w:p w14:paraId="7622AA4F">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2" w:type="pct"/>
            <w:shd w:val="clear" w:color="auto" w:fill="FFFFFF"/>
            <w:noWrap w:val="0"/>
            <w:vAlign w:val="center"/>
          </w:tcPr>
          <w:p w14:paraId="46D3A26D">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2" w:type="pct"/>
            <w:shd w:val="clear" w:color="auto" w:fill="FFFFFF"/>
            <w:noWrap w:val="0"/>
            <w:vAlign w:val="center"/>
          </w:tcPr>
          <w:p w14:paraId="4EF4B263">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4" w:type="pct"/>
            <w:shd w:val="clear" w:color="auto" w:fill="FFFFFF"/>
            <w:noWrap w:val="0"/>
            <w:vAlign w:val="center"/>
          </w:tcPr>
          <w:p w14:paraId="3750B0A5">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2" w:type="pct"/>
            <w:shd w:val="clear" w:color="auto" w:fill="FFFFFF"/>
            <w:noWrap w:val="0"/>
            <w:vAlign w:val="center"/>
          </w:tcPr>
          <w:p w14:paraId="29A222EA">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30.4</w:t>
            </w:r>
          </w:p>
        </w:tc>
        <w:tc>
          <w:tcPr>
            <w:tcW w:w="184" w:type="pct"/>
            <w:shd w:val="clear" w:color="auto" w:fill="FFFFFF"/>
            <w:noWrap w:val="0"/>
            <w:vAlign w:val="center"/>
          </w:tcPr>
          <w:p w14:paraId="592E2FF1">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30.4</w:t>
            </w:r>
          </w:p>
        </w:tc>
        <w:tc>
          <w:tcPr>
            <w:tcW w:w="182" w:type="pct"/>
            <w:shd w:val="clear" w:color="auto" w:fill="FFFFFF"/>
            <w:noWrap w:val="0"/>
            <w:vAlign w:val="center"/>
          </w:tcPr>
          <w:p w14:paraId="3CFB409B">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30.4</w:t>
            </w:r>
          </w:p>
        </w:tc>
        <w:tc>
          <w:tcPr>
            <w:tcW w:w="182" w:type="pct"/>
            <w:shd w:val="clear" w:color="auto" w:fill="FFFFFF"/>
            <w:noWrap w:val="0"/>
            <w:vAlign w:val="center"/>
          </w:tcPr>
          <w:p w14:paraId="58F54D68">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30.4</w:t>
            </w:r>
          </w:p>
        </w:tc>
        <w:tc>
          <w:tcPr>
            <w:tcW w:w="106" w:type="pct"/>
            <w:vMerge w:val="continue"/>
            <w:noWrap w:val="0"/>
            <w:vAlign w:val="center"/>
          </w:tcPr>
          <w:p w14:paraId="5578F976">
            <w:pPr>
              <w:widowControl/>
              <w:jc w:val="center"/>
              <w:rPr>
                <w:rFonts w:hint="default" w:ascii="Times New Roman" w:hAnsi="Times New Roman" w:cs="Times New Roman"/>
                <w:color w:val="auto"/>
                <w:sz w:val="18"/>
                <w:szCs w:val="18"/>
                <w:lang w:val="en-US" w:eastAsia="zh-CN"/>
              </w:rPr>
            </w:pPr>
          </w:p>
        </w:tc>
      </w:tr>
      <w:tr w14:paraId="643FD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noWrap w:val="0"/>
            <w:vAlign w:val="center"/>
          </w:tcPr>
          <w:p w14:paraId="0AE5B3B4">
            <w:pPr>
              <w:jc w:val="center"/>
              <w:rPr>
                <w:rFonts w:hint="default" w:ascii="Times New Roman" w:hAnsi="Times New Roman" w:eastAsia="宋体" w:cs="Times New Roman"/>
                <w:b w:val="0"/>
                <w:bCs w:val="0"/>
                <w:color w:val="auto"/>
                <w:kern w:val="2"/>
                <w:sz w:val="18"/>
                <w:szCs w:val="18"/>
                <w:lang w:val="en-US" w:eastAsia="zh-CN" w:bidi="ar-SA"/>
              </w:rPr>
            </w:pPr>
            <w:r>
              <w:rPr>
                <w:rFonts w:hint="default" w:ascii="Times New Roman" w:hAnsi="Times New Roman" w:eastAsia="宋体" w:cs="Times New Roman"/>
                <w:b w:val="0"/>
                <w:bCs w:val="0"/>
                <w:color w:val="auto"/>
                <w:sz w:val="18"/>
                <w:szCs w:val="18"/>
                <w:lang w:eastAsia="zh-CN"/>
              </w:rPr>
              <w:t>9</w:t>
            </w:r>
          </w:p>
        </w:tc>
        <w:tc>
          <w:tcPr>
            <w:tcW w:w="135" w:type="pct"/>
            <w:vMerge w:val="continue"/>
            <w:noWrap w:val="0"/>
            <w:vAlign w:val="center"/>
          </w:tcPr>
          <w:p w14:paraId="683C074E">
            <w:pPr>
              <w:widowControl/>
              <w:jc w:val="center"/>
              <w:rPr>
                <w:rFonts w:hint="default" w:ascii="Times New Roman" w:hAnsi="Times New Roman" w:eastAsia="宋体" w:cs="Times New Roman"/>
                <w:color w:val="auto"/>
                <w:sz w:val="18"/>
                <w:szCs w:val="18"/>
                <w:lang w:val="en-US" w:eastAsia="zh-CN"/>
              </w:rPr>
            </w:pPr>
          </w:p>
        </w:tc>
        <w:tc>
          <w:tcPr>
            <w:tcW w:w="198" w:type="pct"/>
            <w:shd w:val="clear" w:color="auto" w:fill="auto"/>
            <w:noWrap w:val="0"/>
            <w:vAlign w:val="center"/>
          </w:tcPr>
          <w:p w14:paraId="75687027">
            <w:pPr>
              <w:jc w:val="center"/>
              <w:rPr>
                <w:rFonts w:hint="default" w:ascii="Times New Roman" w:hAnsi="Times New Roman" w:eastAsia="Arial" w:cs="Times New Roman"/>
                <w:color w:val="auto"/>
                <w:sz w:val="18"/>
                <w:szCs w:val="18"/>
                <w:lang w:val="en-US" w:eastAsia="zh-CN"/>
              </w:rPr>
            </w:pPr>
            <w:r>
              <w:rPr>
                <w:rFonts w:hint="default" w:ascii="Times New Roman" w:hAnsi="Times New Roman" w:eastAsia="Arial" w:cs="Times New Roman"/>
                <w:color w:val="auto"/>
                <w:sz w:val="18"/>
                <w:szCs w:val="18"/>
                <w:lang w:val="en-US" w:eastAsia="zh-CN"/>
              </w:rPr>
              <w:t>磨床</w:t>
            </w:r>
          </w:p>
        </w:tc>
        <w:tc>
          <w:tcPr>
            <w:tcW w:w="217" w:type="pct"/>
            <w:shd w:val="clear" w:color="auto" w:fill="auto"/>
            <w:noWrap w:val="0"/>
            <w:vAlign w:val="center"/>
          </w:tcPr>
          <w:p w14:paraId="48CE42F2">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20</w:t>
            </w:r>
          </w:p>
        </w:tc>
        <w:tc>
          <w:tcPr>
            <w:tcW w:w="217" w:type="pct"/>
            <w:noWrap w:val="0"/>
            <w:vAlign w:val="center"/>
          </w:tcPr>
          <w:p w14:paraId="26668561">
            <w:pPr>
              <w:widowControl/>
              <w:jc w:val="center"/>
              <w:rPr>
                <w:rFonts w:hint="default" w:ascii="Times New Roman" w:hAnsi="Times New Roman" w:eastAsia="宋体" w:cs="Times New Roman"/>
                <w:color w:val="auto"/>
                <w:sz w:val="18"/>
                <w:szCs w:val="18"/>
                <w:lang w:val="en-US" w:eastAsia="zh-CN"/>
              </w:rPr>
            </w:pPr>
            <w:r>
              <w:rPr>
                <w:rFonts w:hint="default" w:ascii="Times New Roman" w:hAnsi="Times New Roman" w:cs="Times New Roman"/>
                <w:color w:val="auto"/>
                <w:sz w:val="18"/>
                <w:szCs w:val="18"/>
                <w:lang w:val="en-US" w:eastAsia="zh-CN"/>
              </w:rPr>
              <w:t>75</w:t>
            </w:r>
          </w:p>
        </w:tc>
        <w:tc>
          <w:tcPr>
            <w:tcW w:w="135" w:type="pct"/>
            <w:noWrap w:val="0"/>
            <w:vAlign w:val="center"/>
          </w:tcPr>
          <w:p w14:paraId="3FD9488C">
            <w:pPr>
              <w:widowControl/>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减振</w:t>
            </w:r>
          </w:p>
        </w:tc>
        <w:tc>
          <w:tcPr>
            <w:tcW w:w="203" w:type="pct"/>
            <w:shd w:val="clear" w:color="auto" w:fill="FFFFFF"/>
            <w:noWrap w:val="0"/>
            <w:vAlign w:val="center"/>
          </w:tcPr>
          <w:p w14:paraId="7E7F80BD">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-32.6</w:t>
            </w:r>
          </w:p>
        </w:tc>
        <w:tc>
          <w:tcPr>
            <w:tcW w:w="180" w:type="pct"/>
            <w:shd w:val="clear" w:color="auto" w:fill="FFFFFF"/>
            <w:noWrap w:val="0"/>
            <w:vAlign w:val="center"/>
          </w:tcPr>
          <w:p w14:paraId="4F7A5BF2">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-5.5</w:t>
            </w:r>
          </w:p>
        </w:tc>
        <w:tc>
          <w:tcPr>
            <w:tcW w:w="152" w:type="pct"/>
            <w:shd w:val="clear" w:color="auto" w:fill="FFFFFF"/>
            <w:noWrap w:val="0"/>
            <w:vAlign w:val="center"/>
          </w:tcPr>
          <w:p w14:paraId="4F4F194D">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1.2</w:t>
            </w:r>
          </w:p>
        </w:tc>
        <w:tc>
          <w:tcPr>
            <w:tcW w:w="182" w:type="pct"/>
            <w:shd w:val="clear" w:color="auto" w:fill="FFFFFF"/>
            <w:noWrap w:val="0"/>
            <w:vAlign w:val="center"/>
          </w:tcPr>
          <w:p w14:paraId="33D2693D">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111.7</w:t>
            </w:r>
          </w:p>
        </w:tc>
        <w:tc>
          <w:tcPr>
            <w:tcW w:w="182" w:type="pct"/>
            <w:shd w:val="clear" w:color="auto" w:fill="FFFFFF"/>
            <w:noWrap w:val="0"/>
            <w:vAlign w:val="center"/>
          </w:tcPr>
          <w:p w14:paraId="3DC5F424">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39.0</w:t>
            </w:r>
          </w:p>
        </w:tc>
        <w:tc>
          <w:tcPr>
            <w:tcW w:w="182" w:type="pct"/>
            <w:shd w:val="clear" w:color="auto" w:fill="FFFFFF"/>
            <w:noWrap w:val="0"/>
            <w:vAlign w:val="center"/>
          </w:tcPr>
          <w:p w14:paraId="4F7B7FD5">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45.8</w:t>
            </w:r>
          </w:p>
        </w:tc>
        <w:tc>
          <w:tcPr>
            <w:tcW w:w="184" w:type="pct"/>
            <w:shd w:val="clear" w:color="auto" w:fill="FFFFFF"/>
            <w:noWrap w:val="0"/>
            <w:vAlign w:val="center"/>
          </w:tcPr>
          <w:p w14:paraId="6844E4F4">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43.9</w:t>
            </w:r>
          </w:p>
        </w:tc>
        <w:tc>
          <w:tcPr>
            <w:tcW w:w="182" w:type="pct"/>
            <w:shd w:val="clear" w:color="auto" w:fill="FFFFFF"/>
            <w:noWrap w:val="0"/>
            <w:vAlign w:val="center"/>
          </w:tcPr>
          <w:p w14:paraId="6175A295">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0.4</w:t>
            </w:r>
          </w:p>
        </w:tc>
        <w:tc>
          <w:tcPr>
            <w:tcW w:w="182" w:type="pct"/>
            <w:shd w:val="clear" w:color="auto" w:fill="FFFFFF"/>
            <w:noWrap w:val="0"/>
            <w:vAlign w:val="center"/>
          </w:tcPr>
          <w:p w14:paraId="1BEA8E08">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0.4</w:t>
            </w:r>
          </w:p>
        </w:tc>
        <w:tc>
          <w:tcPr>
            <w:tcW w:w="182" w:type="pct"/>
            <w:shd w:val="clear" w:color="auto" w:fill="FFFFFF"/>
            <w:noWrap w:val="0"/>
            <w:vAlign w:val="center"/>
          </w:tcPr>
          <w:p w14:paraId="5FE7679F">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0.4</w:t>
            </w:r>
          </w:p>
        </w:tc>
        <w:tc>
          <w:tcPr>
            <w:tcW w:w="184" w:type="pct"/>
            <w:shd w:val="clear" w:color="auto" w:fill="FFFFFF"/>
            <w:noWrap w:val="0"/>
            <w:vAlign w:val="center"/>
          </w:tcPr>
          <w:p w14:paraId="2A190E16">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0.4</w:t>
            </w:r>
          </w:p>
        </w:tc>
        <w:tc>
          <w:tcPr>
            <w:tcW w:w="382" w:type="pct"/>
            <w:noWrap w:val="0"/>
            <w:vAlign w:val="center"/>
          </w:tcPr>
          <w:p w14:paraId="7BA948F2">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08:00-24:00</w:t>
            </w:r>
          </w:p>
        </w:tc>
        <w:tc>
          <w:tcPr>
            <w:tcW w:w="182" w:type="pct"/>
            <w:shd w:val="clear" w:color="auto" w:fill="FFFFFF"/>
            <w:noWrap w:val="0"/>
            <w:vAlign w:val="center"/>
          </w:tcPr>
          <w:p w14:paraId="11F35D32">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2" w:type="pct"/>
            <w:shd w:val="clear" w:color="auto" w:fill="FFFFFF"/>
            <w:noWrap w:val="0"/>
            <w:vAlign w:val="center"/>
          </w:tcPr>
          <w:p w14:paraId="3E929AB0">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2" w:type="pct"/>
            <w:shd w:val="clear" w:color="auto" w:fill="FFFFFF"/>
            <w:noWrap w:val="0"/>
            <w:vAlign w:val="center"/>
          </w:tcPr>
          <w:p w14:paraId="5DF9735E">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4" w:type="pct"/>
            <w:shd w:val="clear" w:color="auto" w:fill="FFFFFF"/>
            <w:noWrap w:val="0"/>
            <w:vAlign w:val="center"/>
          </w:tcPr>
          <w:p w14:paraId="1B1B70FC">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2" w:type="pct"/>
            <w:shd w:val="clear" w:color="auto" w:fill="FFFFFF"/>
            <w:noWrap w:val="0"/>
            <w:vAlign w:val="center"/>
          </w:tcPr>
          <w:p w14:paraId="1337344D">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0.0</w:t>
            </w:r>
          </w:p>
        </w:tc>
        <w:tc>
          <w:tcPr>
            <w:tcW w:w="184" w:type="pct"/>
            <w:shd w:val="clear" w:color="auto" w:fill="FFFFFF"/>
            <w:noWrap w:val="0"/>
            <w:vAlign w:val="center"/>
          </w:tcPr>
          <w:p w14:paraId="1C07835C">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0.0</w:t>
            </w:r>
          </w:p>
        </w:tc>
        <w:tc>
          <w:tcPr>
            <w:tcW w:w="182" w:type="pct"/>
            <w:shd w:val="clear" w:color="auto" w:fill="FFFFFF"/>
            <w:noWrap w:val="0"/>
            <w:vAlign w:val="center"/>
          </w:tcPr>
          <w:p w14:paraId="1A98B326">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0.0</w:t>
            </w:r>
          </w:p>
        </w:tc>
        <w:tc>
          <w:tcPr>
            <w:tcW w:w="182" w:type="pct"/>
            <w:shd w:val="clear" w:color="auto" w:fill="FFFFFF"/>
            <w:noWrap w:val="0"/>
            <w:vAlign w:val="center"/>
          </w:tcPr>
          <w:p w14:paraId="582402E6">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0.0</w:t>
            </w:r>
          </w:p>
        </w:tc>
        <w:tc>
          <w:tcPr>
            <w:tcW w:w="106" w:type="pct"/>
            <w:vMerge w:val="continue"/>
            <w:noWrap w:val="0"/>
            <w:vAlign w:val="center"/>
          </w:tcPr>
          <w:p w14:paraId="5AA609C5">
            <w:pPr>
              <w:widowControl/>
              <w:jc w:val="center"/>
              <w:rPr>
                <w:rFonts w:hint="default" w:ascii="Times New Roman" w:hAnsi="Times New Roman" w:cs="Times New Roman"/>
                <w:color w:val="auto"/>
                <w:sz w:val="18"/>
                <w:szCs w:val="18"/>
                <w:lang w:val="en-US" w:eastAsia="zh-CN"/>
              </w:rPr>
            </w:pPr>
          </w:p>
        </w:tc>
      </w:tr>
      <w:tr w14:paraId="4A3A6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noWrap w:val="0"/>
            <w:vAlign w:val="center"/>
          </w:tcPr>
          <w:p w14:paraId="06F21FF0">
            <w:pPr>
              <w:jc w:val="center"/>
              <w:rPr>
                <w:rFonts w:hint="default" w:ascii="Times New Roman" w:hAnsi="Times New Roman" w:cs="Times New Roman"/>
                <w:b w:val="0"/>
                <w:bCs w:val="0"/>
                <w:color w:val="auto"/>
                <w:sz w:val="18"/>
                <w:szCs w:val="18"/>
                <w:lang w:val="en-US" w:eastAsia="zh-CN"/>
              </w:rPr>
            </w:pPr>
            <w:r>
              <w:rPr>
                <w:rFonts w:hint="eastAsia" w:cs="Times New Roman"/>
                <w:b w:val="0"/>
                <w:bCs w:val="0"/>
                <w:color w:val="auto"/>
                <w:sz w:val="18"/>
                <w:szCs w:val="18"/>
                <w:lang w:val="en-US" w:eastAsia="zh-CN"/>
              </w:rPr>
              <w:t>10</w:t>
            </w:r>
          </w:p>
        </w:tc>
        <w:tc>
          <w:tcPr>
            <w:tcW w:w="334" w:type="pct"/>
            <w:gridSpan w:val="2"/>
            <w:noWrap w:val="0"/>
            <w:vAlign w:val="center"/>
          </w:tcPr>
          <w:p w14:paraId="40D97195">
            <w:pPr>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空压机</w:t>
            </w:r>
          </w:p>
        </w:tc>
        <w:tc>
          <w:tcPr>
            <w:tcW w:w="217" w:type="pct"/>
            <w:noWrap w:val="0"/>
            <w:vAlign w:val="center"/>
          </w:tcPr>
          <w:p w14:paraId="3D2C65EC">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1</w:t>
            </w:r>
          </w:p>
        </w:tc>
        <w:tc>
          <w:tcPr>
            <w:tcW w:w="217" w:type="pct"/>
            <w:noWrap w:val="0"/>
            <w:vAlign w:val="center"/>
          </w:tcPr>
          <w:p w14:paraId="44D81B90">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80</w:t>
            </w:r>
          </w:p>
        </w:tc>
        <w:tc>
          <w:tcPr>
            <w:tcW w:w="135" w:type="pct"/>
            <w:noWrap w:val="0"/>
            <w:vAlign w:val="center"/>
          </w:tcPr>
          <w:p w14:paraId="1067B753">
            <w:pPr>
              <w:widowControl/>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减振</w:t>
            </w:r>
          </w:p>
        </w:tc>
        <w:tc>
          <w:tcPr>
            <w:tcW w:w="203" w:type="pct"/>
            <w:shd w:val="clear" w:color="auto" w:fill="FFFFFF"/>
            <w:noWrap w:val="0"/>
            <w:vAlign w:val="center"/>
          </w:tcPr>
          <w:p w14:paraId="0EA52133">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37.7</w:t>
            </w:r>
          </w:p>
        </w:tc>
        <w:tc>
          <w:tcPr>
            <w:tcW w:w="180" w:type="pct"/>
            <w:shd w:val="clear" w:color="auto" w:fill="FFFFFF"/>
            <w:noWrap w:val="0"/>
            <w:vAlign w:val="center"/>
          </w:tcPr>
          <w:p w14:paraId="235F8A1C">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41.5</w:t>
            </w:r>
          </w:p>
        </w:tc>
        <w:tc>
          <w:tcPr>
            <w:tcW w:w="152" w:type="pct"/>
            <w:shd w:val="clear" w:color="auto" w:fill="FFFFFF"/>
            <w:noWrap w:val="0"/>
            <w:vAlign w:val="center"/>
          </w:tcPr>
          <w:p w14:paraId="2B619AE1">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1.2</w:t>
            </w:r>
          </w:p>
        </w:tc>
        <w:tc>
          <w:tcPr>
            <w:tcW w:w="182" w:type="pct"/>
            <w:shd w:val="clear" w:color="auto" w:fill="FFFFFF"/>
            <w:noWrap w:val="0"/>
            <w:vAlign w:val="center"/>
          </w:tcPr>
          <w:p w14:paraId="7960FAF4">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37.2</w:t>
            </w:r>
          </w:p>
        </w:tc>
        <w:tc>
          <w:tcPr>
            <w:tcW w:w="182" w:type="pct"/>
            <w:shd w:val="clear" w:color="auto" w:fill="FFFFFF"/>
            <w:noWrap w:val="0"/>
            <w:vAlign w:val="center"/>
          </w:tcPr>
          <w:p w14:paraId="18BD6C67">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79.3</w:t>
            </w:r>
          </w:p>
        </w:tc>
        <w:tc>
          <w:tcPr>
            <w:tcW w:w="182" w:type="pct"/>
            <w:shd w:val="clear" w:color="auto" w:fill="FFFFFF"/>
            <w:noWrap w:val="0"/>
            <w:vAlign w:val="center"/>
          </w:tcPr>
          <w:p w14:paraId="715910E9">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119.8</w:t>
            </w:r>
          </w:p>
        </w:tc>
        <w:tc>
          <w:tcPr>
            <w:tcW w:w="184" w:type="pct"/>
            <w:shd w:val="clear" w:color="auto" w:fill="FFFFFF"/>
            <w:noWrap w:val="0"/>
            <w:vAlign w:val="center"/>
          </w:tcPr>
          <w:p w14:paraId="0485E9FA">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2.8</w:t>
            </w:r>
          </w:p>
        </w:tc>
        <w:tc>
          <w:tcPr>
            <w:tcW w:w="182" w:type="pct"/>
            <w:shd w:val="clear" w:color="auto" w:fill="FFFFFF"/>
            <w:noWrap w:val="0"/>
            <w:vAlign w:val="center"/>
          </w:tcPr>
          <w:p w14:paraId="451DA397">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60.4</w:t>
            </w:r>
          </w:p>
        </w:tc>
        <w:tc>
          <w:tcPr>
            <w:tcW w:w="182" w:type="pct"/>
            <w:shd w:val="clear" w:color="auto" w:fill="FFFFFF"/>
            <w:noWrap w:val="0"/>
            <w:vAlign w:val="center"/>
          </w:tcPr>
          <w:p w14:paraId="55AB5818">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60.4</w:t>
            </w:r>
          </w:p>
        </w:tc>
        <w:tc>
          <w:tcPr>
            <w:tcW w:w="182" w:type="pct"/>
            <w:shd w:val="clear" w:color="auto" w:fill="FFFFFF"/>
            <w:noWrap w:val="0"/>
            <w:vAlign w:val="center"/>
          </w:tcPr>
          <w:p w14:paraId="48E4E77B">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60.4</w:t>
            </w:r>
          </w:p>
        </w:tc>
        <w:tc>
          <w:tcPr>
            <w:tcW w:w="184" w:type="pct"/>
            <w:shd w:val="clear" w:color="auto" w:fill="FFFFFF"/>
            <w:noWrap w:val="0"/>
            <w:vAlign w:val="center"/>
          </w:tcPr>
          <w:p w14:paraId="02510F1D">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63.2</w:t>
            </w:r>
          </w:p>
        </w:tc>
        <w:tc>
          <w:tcPr>
            <w:tcW w:w="382" w:type="pct"/>
            <w:shd w:val="clear" w:color="auto" w:fill="FFFFFF"/>
            <w:noWrap w:val="0"/>
            <w:vAlign w:val="center"/>
          </w:tcPr>
          <w:p w14:paraId="64ED03DF">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08:00-24:00</w:t>
            </w:r>
          </w:p>
        </w:tc>
        <w:tc>
          <w:tcPr>
            <w:tcW w:w="182" w:type="pct"/>
            <w:shd w:val="clear" w:color="auto" w:fill="FFFFFF"/>
            <w:noWrap w:val="0"/>
            <w:vAlign w:val="center"/>
          </w:tcPr>
          <w:p w14:paraId="3EADAC1F">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2" w:type="pct"/>
            <w:shd w:val="clear" w:color="auto" w:fill="FFFFFF"/>
            <w:noWrap w:val="0"/>
            <w:vAlign w:val="center"/>
          </w:tcPr>
          <w:p w14:paraId="2233CD90">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2" w:type="pct"/>
            <w:shd w:val="clear" w:color="auto" w:fill="FFFFFF"/>
            <w:noWrap w:val="0"/>
            <w:vAlign w:val="center"/>
          </w:tcPr>
          <w:p w14:paraId="18B6D949">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4" w:type="pct"/>
            <w:shd w:val="clear" w:color="auto" w:fill="FFFFFF"/>
            <w:noWrap w:val="0"/>
            <w:vAlign w:val="center"/>
          </w:tcPr>
          <w:p w14:paraId="58ED465A">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26.0</w:t>
            </w:r>
          </w:p>
        </w:tc>
        <w:tc>
          <w:tcPr>
            <w:tcW w:w="182" w:type="pct"/>
            <w:shd w:val="clear" w:color="auto" w:fill="FFFFFF"/>
            <w:noWrap w:val="0"/>
            <w:vAlign w:val="center"/>
          </w:tcPr>
          <w:p w14:paraId="3B10F71F">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34.4</w:t>
            </w:r>
          </w:p>
        </w:tc>
        <w:tc>
          <w:tcPr>
            <w:tcW w:w="184" w:type="pct"/>
            <w:shd w:val="clear" w:color="auto" w:fill="FFFFFF"/>
            <w:noWrap w:val="0"/>
            <w:vAlign w:val="center"/>
          </w:tcPr>
          <w:p w14:paraId="29E32D95">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34.4</w:t>
            </w:r>
          </w:p>
        </w:tc>
        <w:tc>
          <w:tcPr>
            <w:tcW w:w="182" w:type="pct"/>
            <w:shd w:val="clear" w:color="auto" w:fill="FFFFFF"/>
            <w:noWrap w:val="0"/>
            <w:vAlign w:val="center"/>
          </w:tcPr>
          <w:p w14:paraId="21C0EAFA">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34.4</w:t>
            </w:r>
          </w:p>
        </w:tc>
        <w:tc>
          <w:tcPr>
            <w:tcW w:w="182" w:type="pct"/>
            <w:shd w:val="clear" w:color="auto" w:fill="FFFFFF"/>
            <w:noWrap w:val="0"/>
            <w:vAlign w:val="center"/>
          </w:tcPr>
          <w:p w14:paraId="48DAD0FA">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37.2</w:t>
            </w:r>
          </w:p>
        </w:tc>
        <w:tc>
          <w:tcPr>
            <w:tcW w:w="106" w:type="pct"/>
            <w:vMerge w:val="continue"/>
            <w:shd w:val="clear" w:color="auto" w:fill="FFFFFF"/>
            <w:noWrap w:val="0"/>
            <w:vAlign w:val="center"/>
          </w:tcPr>
          <w:p w14:paraId="5EA772FE">
            <w:pPr>
              <w:jc w:val="center"/>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eastAsia="Arial" w:cs="Times New Roman"/>
                <w:color w:val="auto"/>
                <w:sz w:val="18"/>
                <w:szCs w:val="18"/>
              </w:rPr>
              <w:t>36.2</w:t>
            </w:r>
          </w:p>
        </w:tc>
      </w:tr>
      <w:tr w14:paraId="1DF8B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noWrap w:val="0"/>
            <w:vAlign w:val="center"/>
          </w:tcPr>
          <w:p w14:paraId="445E2FC4">
            <w:pPr>
              <w:jc w:val="center"/>
              <w:rPr>
                <w:rFonts w:hint="default" w:ascii="Times New Roman" w:hAnsi="Times New Roman" w:eastAsia="宋体" w:cs="Times New Roman"/>
                <w:b w:val="0"/>
                <w:bCs w:val="0"/>
                <w:color w:val="auto"/>
                <w:kern w:val="2"/>
                <w:sz w:val="18"/>
                <w:szCs w:val="18"/>
                <w:lang w:val="en-US" w:eastAsia="zh-CN" w:bidi="ar-SA"/>
              </w:rPr>
            </w:pPr>
            <w:r>
              <w:rPr>
                <w:rFonts w:hint="eastAsia" w:cs="Times New Roman"/>
                <w:b w:val="0"/>
                <w:bCs w:val="0"/>
                <w:color w:val="auto"/>
                <w:sz w:val="18"/>
                <w:szCs w:val="18"/>
                <w:lang w:val="en-US" w:eastAsia="zh-CN"/>
              </w:rPr>
              <w:t>1</w:t>
            </w:r>
            <w:r>
              <w:rPr>
                <w:rFonts w:hint="default" w:ascii="Times New Roman" w:hAnsi="Times New Roman" w:cs="Times New Roman"/>
                <w:b w:val="0"/>
                <w:bCs w:val="0"/>
                <w:color w:val="auto"/>
                <w:sz w:val="18"/>
                <w:szCs w:val="18"/>
                <w:lang w:val="en-US" w:eastAsia="zh-CN"/>
              </w:rPr>
              <w:t>1</w:t>
            </w:r>
          </w:p>
        </w:tc>
        <w:tc>
          <w:tcPr>
            <w:tcW w:w="551" w:type="pct"/>
            <w:gridSpan w:val="3"/>
            <w:noWrap w:val="0"/>
            <w:vAlign w:val="center"/>
          </w:tcPr>
          <w:p w14:paraId="0A8FD0C7">
            <w:pPr>
              <w:widowControl/>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风机</w:t>
            </w:r>
            <w:r>
              <w:rPr>
                <w:rFonts w:hint="eastAsia" w:cs="Times New Roman"/>
                <w:color w:val="auto"/>
                <w:sz w:val="18"/>
                <w:szCs w:val="18"/>
                <w:lang w:val="en-US" w:eastAsia="zh-CN"/>
              </w:rPr>
              <w:t>1</w:t>
            </w:r>
            <w:r>
              <w:rPr>
                <w:rFonts w:hint="default" w:ascii="Times New Roman" w:hAnsi="Times New Roman" w:eastAsia="宋体" w:cs="Times New Roman"/>
                <w:color w:val="auto"/>
                <w:sz w:val="18"/>
                <w:szCs w:val="18"/>
                <w:lang w:val="en-US" w:eastAsia="zh-CN"/>
              </w:rPr>
              <w:t>#（室外声源）</w:t>
            </w:r>
          </w:p>
        </w:tc>
        <w:tc>
          <w:tcPr>
            <w:tcW w:w="217" w:type="pct"/>
            <w:noWrap w:val="0"/>
            <w:vAlign w:val="center"/>
          </w:tcPr>
          <w:p w14:paraId="65E6842E">
            <w:pPr>
              <w:widowControl/>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90</w:t>
            </w:r>
          </w:p>
        </w:tc>
        <w:tc>
          <w:tcPr>
            <w:tcW w:w="135" w:type="pct"/>
            <w:noWrap w:val="0"/>
            <w:vAlign w:val="center"/>
          </w:tcPr>
          <w:p w14:paraId="1080D277">
            <w:pPr>
              <w:widowControl/>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减振</w:t>
            </w:r>
          </w:p>
        </w:tc>
        <w:tc>
          <w:tcPr>
            <w:tcW w:w="203" w:type="pct"/>
            <w:shd w:val="clear" w:color="auto" w:fill="FFFFFF"/>
            <w:noWrap w:val="0"/>
            <w:vAlign w:val="center"/>
          </w:tcPr>
          <w:p w14:paraId="300801BC">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-47.4</w:t>
            </w:r>
          </w:p>
        </w:tc>
        <w:tc>
          <w:tcPr>
            <w:tcW w:w="180" w:type="pct"/>
            <w:shd w:val="clear" w:color="auto" w:fill="FFFFFF"/>
            <w:noWrap w:val="0"/>
            <w:vAlign w:val="center"/>
          </w:tcPr>
          <w:p w14:paraId="03B5FB38">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-37.4</w:t>
            </w:r>
          </w:p>
        </w:tc>
        <w:tc>
          <w:tcPr>
            <w:tcW w:w="152" w:type="pct"/>
            <w:shd w:val="clear" w:color="auto" w:fill="FFFFFF"/>
            <w:noWrap w:val="0"/>
            <w:vAlign w:val="center"/>
          </w:tcPr>
          <w:p w14:paraId="16C896ED">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1.2</w:t>
            </w:r>
          </w:p>
        </w:tc>
        <w:tc>
          <w:tcPr>
            <w:tcW w:w="733" w:type="pct"/>
            <w:gridSpan w:val="4"/>
            <w:noWrap w:val="0"/>
            <w:vAlign w:val="center"/>
          </w:tcPr>
          <w:p w14:paraId="7EA765F2">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w:t>
            </w:r>
          </w:p>
        </w:tc>
        <w:tc>
          <w:tcPr>
            <w:tcW w:w="733" w:type="pct"/>
            <w:gridSpan w:val="4"/>
            <w:noWrap w:val="0"/>
            <w:vAlign w:val="center"/>
          </w:tcPr>
          <w:p w14:paraId="2E772374">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w:t>
            </w:r>
          </w:p>
        </w:tc>
        <w:tc>
          <w:tcPr>
            <w:tcW w:w="382" w:type="pct"/>
            <w:noWrap w:val="0"/>
            <w:vAlign w:val="center"/>
          </w:tcPr>
          <w:p w14:paraId="6251DA95">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08:00-24:00</w:t>
            </w:r>
          </w:p>
        </w:tc>
        <w:tc>
          <w:tcPr>
            <w:tcW w:w="1101" w:type="pct"/>
            <w:gridSpan w:val="6"/>
            <w:noWrap w:val="0"/>
            <w:vAlign w:val="center"/>
          </w:tcPr>
          <w:p w14:paraId="44D0CD8C">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w:t>
            </w:r>
          </w:p>
        </w:tc>
        <w:tc>
          <w:tcPr>
            <w:tcW w:w="472" w:type="pct"/>
            <w:gridSpan w:val="3"/>
            <w:noWrap w:val="0"/>
            <w:vAlign w:val="center"/>
          </w:tcPr>
          <w:p w14:paraId="194E85BE">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w:t>
            </w:r>
          </w:p>
        </w:tc>
      </w:tr>
      <w:tr w14:paraId="60FFE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397" w:hRule="atLeast"/>
          <w:jc w:val="center"/>
        </w:trPr>
        <w:tc>
          <w:tcPr>
            <w:tcW w:w="135" w:type="pct"/>
            <w:shd w:val="clear" w:color="auto" w:fill="auto"/>
            <w:noWrap w:val="0"/>
            <w:vAlign w:val="center"/>
          </w:tcPr>
          <w:p w14:paraId="6D954543">
            <w:pPr>
              <w:jc w:val="center"/>
              <w:rPr>
                <w:rFonts w:hint="default" w:ascii="Times New Roman" w:hAnsi="Times New Roman" w:cs="Times New Roman"/>
                <w:b w:val="0"/>
                <w:bCs w:val="0"/>
                <w:color w:val="auto"/>
                <w:sz w:val="18"/>
                <w:szCs w:val="18"/>
                <w:lang w:val="en-US" w:eastAsia="zh-CN"/>
              </w:rPr>
            </w:pPr>
            <w:r>
              <w:rPr>
                <w:rFonts w:hint="eastAsia" w:cs="Times New Roman"/>
                <w:b w:val="0"/>
                <w:bCs w:val="0"/>
                <w:color w:val="auto"/>
                <w:sz w:val="18"/>
                <w:szCs w:val="18"/>
                <w:lang w:val="en-US" w:eastAsia="zh-CN"/>
              </w:rPr>
              <w:t>12</w:t>
            </w:r>
          </w:p>
        </w:tc>
        <w:tc>
          <w:tcPr>
            <w:tcW w:w="551" w:type="pct"/>
            <w:gridSpan w:val="3"/>
            <w:shd w:val="clear" w:color="auto" w:fill="auto"/>
            <w:noWrap w:val="0"/>
            <w:vAlign w:val="center"/>
          </w:tcPr>
          <w:p w14:paraId="3F572E6A">
            <w:pPr>
              <w:widowControl/>
              <w:jc w:val="center"/>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eastAsia="宋体" w:cs="Times New Roman"/>
                <w:color w:val="auto"/>
                <w:sz w:val="18"/>
                <w:szCs w:val="18"/>
                <w:lang w:val="en-US" w:eastAsia="zh-CN"/>
              </w:rPr>
              <w:t>风机</w:t>
            </w:r>
            <w:r>
              <w:rPr>
                <w:rFonts w:hint="eastAsia" w:cs="Times New Roman"/>
                <w:color w:val="auto"/>
                <w:sz w:val="18"/>
                <w:szCs w:val="18"/>
                <w:lang w:val="en-US" w:eastAsia="zh-CN"/>
              </w:rPr>
              <w:t>2</w:t>
            </w:r>
            <w:r>
              <w:rPr>
                <w:rFonts w:hint="default" w:ascii="Times New Roman" w:hAnsi="Times New Roman" w:eastAsia="宋体" w:cs="Times New Roman"/>
                <w:color w:val="auto"/>
                <w:sz w:val="18"/>
                <w:szCs w:val="18"/>
                <w:lang w:val="en-US" w:eastAsia="zh-CN"/>
              </w:rPr>
              <w:t>#（室外声源）</w:t>
            </w:r>
          </w:p>
        </w:tc>
        <w:tc>
          <w:tcPr>
            <w:tcW w:w="217" w:type="pct"/>
            <w:shd w:val="clear" w:color="auto" w:fill="auto"/>
            <w:noWrap w:val="0"/>
            <w:vAlign w:val="center"/>
          </w:tcPr>
          <w:p w14:paraId="260B5BFD">
            <w:pPr>
              <w:widowControl/>
              <w:jc w:val="center"/>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eastAsia="宋体" w:cs="Times New Roman"/>
                <w:color w:val="auto"/>
                <w:sz w:val="18"/>
                <w:szCs w:val="18"/>
                <w:lang w:val="en-US" w:eastAsia="zh-CN"/>
              </w:rPr>
              <w:t>90</w:t>
            </w:r>
          </w:p>
        </w:tc>
        <w:tc>
          <w:tcPr>
            <w:tcW w:w="135" w:type="pct"/>
            <w:shd w:val="clear" w:color="auto" w:fill="auto"/>
            <w:noWrap w:val="0"/>
            <w:vAlign w:val="center"/>
          </w:tcPr>
          <w:p w14:paraId="4CE059B7">
            <w:pPr>
              <w:widowControl/>
              <w:jc w:val="center"/>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eastAsia="宋体" w:cs="Times New Roman"/>
                <w:color w:val="auto"/>
                <w:sz w:val="18"/>
                <w:szCs w:val="18"/>
                <w:lang w:val="en-US" w:eastAsia="zh-CN"/>
              </w:rPr>
              <w:t>减振</w:t>
            </w:r>
          </w:p>
        </w:tc>
        <w:tc>
          <w:tcPr>
            <w:tcW w:w="203" w:type="pct"/>
            <w:shd w:val="clear" w:color="auto" w:fill="FFFFFF"/>
            <w:noWrap w:val="0"/>
            <w:vAlign w:val="center"/>
          </w:tcPr>
          <w:p w14:paraId="304775E9">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54.8</w:t>
            </w:r>
          </w:p>
        </w:tc>
        <w:tc>
          <w:tcPr>
            <w:tcW w:w="180" w:type="pct"/>
            <w:shd w:val="clear" w:color="auto" w:fill="FFFFFF"/>
            <w:noWrap w:val="0"/>
            <w:vAlign w:val="center"/>
          </w:tcPr>
          <w:p w14:paraId="4681BA42">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-16.5</w:t>
            </w:r>
          </w:p>
        </w:tc>
        <w:tc>
          <w:tcPr>
            <w:tcW w:w="152" w:type="pct"/>
            <w:shd w:val="clear" w:color="auto" w:fill="FFFFFF"/>
            <w:noWrap w:val="0"/>
            <w:vAlign w:val="center"/>
          </w:tcPr>
          <w:p w14:paraId="5422F7C7">
            <w:pPr>
              <w:widowControl/>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1.2</w:t>
            </w:r>
          </w:p>
        </w:tc>
        <w:tc>
          <w:tcPr>
            <w:tcW w:w="733" w:type="pct"/>
            <w:gridSpan w:val="4"/>
            <w:shd w:val="clear" w:color="auto" w:fill="auto"/>
            <w:noWrap w:val="0"/>
            <w:vAlign w:val="center"/>
          </w:tcPr>
          <w:p w14:paraId="4E4D2D68">
            <w:pPr>
              <w:widowControl/>
              <w:jc w:val="center"/>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lang w:val="en-US" w:eastAsia="zh-CN"/>
              </w:rPr>
              <w:t>/</w:t>
            </w:r>
          </w:p>
        </w:tc>
        <w:tc>
          <w:tcPr>
            <w:tcW w:w="733" w:type="pct"/>
            <w:gridSpan w:val="4"/>
            <w:shd w:val="clear" w:color="auto" w:fill="auto"/>
            <w:noWrap w:val="0"/>
            <w:vAlign w:val="center"/>
          </w:tcPr>
          <w:p w14:paraId="0197BF72">
            <w:pPr>
              <w:widowControl/>
              <w:jc w:val="center"/>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lang w:val="en-US" w:eastAsia="zh-CN"/>
              </w:rPr>
              <w:t>/</w:t>
            </w:r>
          </w:p>
        </w:tc>
        <w:tc>
          <w:tcPr>
            <w:tcW w:w="382" w:type="pct"/>
            <w:shd w:val="clear" w:color="auto" w:fill="auto"/>
            <w:noWrap w:val="0"/>
            <w:vAlign w:val="center"/>
          </w:tcPr>
          <w:p w14:paraId="33226206">
            <w:pPr>
              <w:widowControl/>
              <w:jc w:val="center"/>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lang w:val="en-US" w:eastAsia="zh-CN"/>
              </w:rPr>
              <w:t>08:00-24:00</w:t>
            </w:r>
          </w:p>
        </w:tc>
        <w:tc>
          <w:tcPr>
            <w:tcW w:w="1101" w:type="pct"/>
            <w:gridSpan w:val="6"/>
            <w:shd w:val="clear" w:color="auto" w:fill="auto"/>
            <w:noWrap w:val="0"/>
            <w:vAlign w:val="center"/>
          </w:tcPr>
          <w:p w14:paraId="16E257F3">
            <w:pPr>
              <w:widowControl/>
              <w:jc w:val="center"/>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lang w:val="en-US" w:eastAsia="zh-CN"/>
              </w:rPr>
              <w:t>/</w:t>
            </w:r>
          </w:p>
        </w:tc>
        <w:tc>
          <w:tcPr>
            <w:tcW w:w="472" w:type="pct"/>
            <w:gridSpan w:val="3"/>
            <w:shd w:val="clear" w:color="auto" w:fill="auto"/>
            <w:noWrap w:val="0"/>
            <w:vAlign w:val="center"/>
          </w:tcPr>
          <w:p w14:paraId="794B07DD">
            <w:pPr>
              <w:widowControl/>
              <w:jc w:val="center"/>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lang w:val="en-US" w:eastAsia="zh-CN"/>
              </w:rPr>
              <w:t>/</w:t>
            </w:r>
          </w:p>
        </w:tc>
      </w:tr>
    </w:tbl>
    <w:p w14:paraId="2C0C4BB1">
      <w:pPr>
        <w:wordWrap w:val="0"/>
        <w:topLinePunct/>
        <w:spacing w:line="360" w:lineRule="auto"/>
        <w:contextualSpacing/>
        <w:textAlignment w:val="center"/>
        <w:rPr>
          <w:rFonts w:hint="eastAsia"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rPr>
        <w:t>备注：①以厂区西南角为坐标原点,沿项目边界东向为X轴正轴，垂直X轴北向为Y轴正轴</w:t>
      </w:r>
      <w:r>
        <w:rPr>
          <w:rFonts w:hint="eastAsia" w:cs="Times New Roman"/>
          <w:b/>
          <w:bCs/>
          <w:color w:val="auto"/>
          <w:sz w:val="21"/>
          <w:szCs w:val="21"/>
          <w:highlight w:val="none"/>
          <w:lang w:eastAsia="zh-CN"/>
        </w:rPr>
        <w:t>；</w:t>
      </w:r>
    </w:p>
    <w:p w14:paraId="3AB0F7CB">
      <w:pPr>
        <w:wordWrap w:val="0"/>
        <w:topLinePunct/>
        <w:spacing w:line="360" w:lineRule="auto"/>
        <w:contextualSpacing/>
        <w:textAlignment w:val="center"/>
        <w:rPr>
          <w:rFonts w:hint="default" w:ascii="Times New Roman" w:hAnsi="Times New Roman" w:cs="Times New Roman"/>
          <w:b/>
          <w:color w:val="auto"/>
        </w:rPr>
        <w:sectPr>
          <w:pgSz w:w="16840" w:h="11907" w:orient="landscape"/>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pPr>
      <w:r>
        <w:rPr>
          <w:rFonts w:hint="default" w:ascii="Calibri" w:hAnsi="Calibri" w:cs="Calibri"/>
          <w:b/>
          <w:bCs/>
          <w:color w:val="auto"/>
          <w:sz w:val="21"/>
          <w:szCs w:val="21"/>
          <w:highlight w:val="none"/>
          <w:lang w:eastAsia="zh-CN"/>
        </w:rPr>
        <w:t>②</w:t>
      </w:r>
      <w:r>
        <w:rPr>
          <w:rFonts w:hint="eastAsia" w:ascii="Calibri" w:hAnsi="Calibri" w:cs="Calibri"/>
          <w:b/>
          <w:bCs/>
          <w:color w:val="auto"/>
          <w:sz w:val="21"/>
          <w:szCs w:val="21"/>
          <w:highlight w:val="none"/>
          <w:lang w:val="en-US" w:eastAsia="zh-CN"/>
        </w:rPr>
        <w:t>本项目租赁的1#厂房和2#厂房是连接在一起的，故厂界按一个整体生产车间计</w:t>
      </w:r>
      <w:r>
        <w:rPr>
          <w:rFonts w:hint="default" w:ascii="Times New Roman" w:hAnsi="Times New Roman" w:eastAsia="宋体" w:cs="Times New Roman"/>
          <w:b/>
          <w:bCs/>
          <w:color w:val="auto"/>
          <w:sz w:val="21"/>
          <w:szCs w:val="21"/>
          <w:highlight w:val="none"/>
        </w:rPr>
        <w:t>。</w:t>
      </w:r>
    </w:p>
    <w:tbl>
      <w:tblPr>
        <w:tblStyle w:val="63"/>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
        <w:gridCol w:w="8609"/>
      </w:tblGrid>
      <w:tr w14:paraId="14A1A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7" w:hRule="atLeast"/>
        </w:trPr>
        <w:tc>
          <w:tcPr>
            <w:tcW w:w="452" w:type="dxa"/>
            <w:vMerge w:val="restart"/>
            <w:shd w:val="clear" w:color="auto" w:fill="auto"/>
            <w:vAlign w:val="center"/>
          </w:tcPr>
          <w:p w14:paraId="25337A2C">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运营</w:t>
            </w:r>
          </w:p>
          <w:p w14:paraId="28B73573">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期环</w:t>
            </w:r>
          </w:p>
          <w:p w14:paraId="4E52FAE9">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境影</w:t>
            </w:r>
          </w:p>
          <w:p w14:paraId="167EC18D">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响和</w:t>
            </w:r>
          </w:p>
          <w:p w14:paraId="3D44922C">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保护</w:t>
            </w:r>
          </w:p>
          <w:p w14:paraId="3BD233B8">
            <w:pPr>
              <w:tabs>
                <w:tab w:val="left" w:pos="1077"/>
              </w:tabs>
              <w:jc w:val="center"/>
              <w:rPr>
                <w:rFonts w:hint="default" w:ascii="Times New Roman" w:hAnsi="Times New Roman" w:cs="Times New Roman"/>
                <w:color w:val="auto"/>
                <w:sz w:val="24"/>
              </w:rPr>
            </w:pPr>
            <w:r>
              <w:rPr>
                <w:rFonts w:hint="default" w:ascii="Times New Roman" w:hAnsi="Times New Roman" w:cs="Times New Roman"/>
                <w:color w:val="auto"/>
                <w:kern w:val="0"/>
                <w:sz w:val="24"/>
              </w:rPr>
              <w:t>措施</w:t>
            </w:r>
          </w:p>
        </w:tc>
        <w:tc>
          <w:tcPr>
            <w:tcW w:w="8609" w:type="dxa"/>
            <w:shd w:val="clear" w:color="auto" w:fill="auto"/>
          </w:tcPr>
          <w:p w14:paraId="5564245E">
            <w:pPr>
              <w:spacing w:before="100" w:beforeAutospacing="1" w:line="360" w:lineRule="auto"/>
              <w:ind w:firstLine="482" w:firstLineChars="200"/>
              <w:rPr>
                <w:rFonts w:hint="default" w:ascii="Times New Roman" w:hAnsi="Times New Roman" w:cs="Times New Roman"/>
                <w:b/>
                <w:color w:val="auto"/>
                <w:sz w:val="24"/>
              </w:rPr>
            </w:pPr>
            <w:r>
              <w:rPr>
                <w:rFonts w:hint="default" w:ascii="Times New Roman" w:hAnsi="Times New Roman" w:cs="Times New Roman"/>
                <w:b/>
                <w:color w:val="auto"/>
                <w:sz w:val="24"/>
              </w:rPr>
              <w:t>2、预测模式</w:t>
            </w:r>
          </w:p>
          <w:p w14:paraId="216E8B11">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根据《环境影响评价技术导则 声环境》（HJ 2.4-2021）的技术要求，声环境影响预测一般采用声源的倍频带声功率级、A声功率级或靠近声源某一位置的倍频带声压级、A声级来预测计算距声源不同距离的声级。工业声源有室外和室内两种声源，应分别计算，本次评价采取导则推荐的工业噪声预测计算模型。</w:t>
            </w:r>
          </w:p>
          <w:p w14:paraId="7FF6FF19">
            <w:pPr>
              <w:spacing w:line="360" w:lineRule="auto"/>
              <w:ind w:left="480"/>
              <w:rPr>
                <w:rFonts w:hint="default" w:ascii="Times New Roman" w:hAnsi="Times New Roman" w:cs="Times New Roman"/>
                <w:color w:val="auto"/>
                <w:sz w:val="24"/>
              </w:rPr>
            </w:pPr>
            <w:r>
              <w:rPr>
                <w:rFonts w:hint="default" w:ascii="Times New Roman" w:hAnsi="Times New Roman" w:cs="Times New Roman"/>
                <w:color w:val="auto"/>
                <w:sz w:val="24"/>
              </w:rPr>
              <w:t>（1）声级计算</w:t>
            </w:r>
          </w:p>
          <w:p w14:paraId="607999E0">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建设项目声源在预测点产生的等效声级贡献值（L</w:t>
            </w:r>
            <w:r>
              <w:rPr>
                <w:rFonts w:hint="default" w:ascii="Times New Roman" w:hAnsi="Times New Roman" w:cs="Times New Roman"/>
                <w:i/>
                <w:iCs/>
                <w:color w:val="auto"/>
                <w:kern w:val="0"/>
                <w:sz w:val="24"/>
              </w:rPr>
              <w:t>eqg</w:t>
            </w:r>
            <w:r>
              <w:rPr>
                <w:rFonts w:hint="default" w:ascii="Times New Roman" w:hAnsi="Times New Roman" w:cs="Times New Roman"/>
                <w:color w:val="auto"/>
                <w:kern w:val="0"/>
                <w:sz w:val="24"/>
              </w:rPr>
              <w:t>）计算公式：</w:t>
            </w:r>
          </w:p>
          <w:p w14:paraId="06CF5A33">
            <w:pPr>
              <w:spacing w:before="60" w:after="60" w:line="360" w:lineRule="auto"/>
              <w:jc w:val="center"/>
              <w:rPr>
                <w:rFonts w:hint="default" w:ascii="Times New Roman" w:hAnsi="Times New Roman" w:cs="Times New Roman"/>
                <w:color w:val="auto"/>
                <w:sz w:val="24"/>
              </w:rPr>
            </w:pPr>
            <w:r>
              <w:rPr>
                <w:rFonts w:hint="default" w:ascii="Times New Roman" w:hAnsi="Times New Roman" w:cs="Times New Roman"/>
                <w:color w:val="auto"/>
                <w:position w:val="-28"/>
                <w:sz w:val="24"/>
              </w:rPr>
              <w:object>
                <v:shape id="_x0000_i1028" o:spt="75" type="#_x0000_t75" style="height:33.2pt;width:132.1pt;" o:ole="t" filled="f" o:preferrelative="t" stroked="f" coordsize="21600,21600">
                  <v:path/>
                  <v:fill on="f" focussize="0,0"/>
                  <v:stroke on="f" joinstyle="miter"/>
                  <v:imagedata r:id="rId18" o:title=""/>
                  <o:lock v:ext="edit" aspectratio="t"/>
                  <w10:wrap type="none"/>
                  <w10:anchorlock/>
                </v:shape>
                <o:OLEObject Type="Embed" ProgID="Equation.3" ShapeID="_x0000_i1028" DrawAspect="Content" ObjectID="_1468075728" r:id="rId17">
                  <o:LockedField>false</o:LockedField>
                </o:OLEObject>
              </w:object>
            </w:r>
          </w:p>
          <w:p w14:paraId="384460EB">
            <w:pPr>
              <w:spacing w:before="60" w:after="60"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式中：</w:t>
            </w:r>
            <w:r>
              <w:rPr>
                <w:rFonts w:hint="default" w:ascii="Times New Roman" w:hAnsi="Times New Roman" w:cs="Times New Roman"/>
                <w:i/>
                <w:color w:val="auto"/>
                <w:sz w:val="24"/>
              </w:rPr>
              <w:t>L</w:t>
            </w:r>
            <w:r>
              <w:rPr>
                <w:rFonts w:hint="default" w:ascii="Times New Roman" w:hAnsi="Times New Roman" w:cs="Times New Roman"/>
                <w:color w:val="auto"/>
                <w:sz w:val="24"/>
                <w:vertAlign w:val="subscript"/>
              </w:rPr>
              <w:t>eqg</w:t>
            </w:r>
            <w:r>
              <w:rPr>
                <w:rFonts w:hint="default" w:ascii="Times New Roman" w:hAnsi="Times New Roman" w:cs="Times New Roman"/>
                <w:color w:val="auto"/>
                <w:sz w:val="24"/>
              </w:rPr>
              <w:t>—建设项目声源在预测点的等效声级贡献值，dB（A）；</w:t>
            </w:r>
          </w:p>
          <w:p w14:paraId="07F0B222">
            <w:pPr>
              <w:spacing w:before="60" w:after="60" w:line="360" w:lineRule="auto"/>
              <w:ind w:firstLine="1200" w:firstLineChars="500"/>
              <w:rPr>
                <w:rFonts w:hint="default" w:ascii="Times New Roman" w:hAnsi="Times New Roman" w:cs="Times New Roman"/>
                <w:color w:val="auto"/>
                <w:sz w:val="24"/>
              </w:rPr>
            </w:pPr>
            <w:r>
              <w:rPr>
                <w:rFonts w:hint="default" w:ascii="Times New Roman" w:hAnsi="Times New Roman" w:cs="Times New Roman"/>
                <w:i/>
                <w:color w:val="auto"/>
                <w:sz w:val="24"/>
              </w:rPr>
              <w:t>L</w:t>
            </w:r>
            <w:r>
              <w:rPr>
                <w:rFonts w:hint="default" w:ascii="Times New Roman" w:hAnsi="Times New Roman" w:cs="Times New Roman"/>
                <w:color w:val="auto"/>
                <w:sz w:val="24"/>
                <w:vertAlign w:val="subscript"/>
              </w:rPr>
              <w:t>Ai</w:t>
            </w:r>
            <w:r>
              <w:rPr>
                <w:rFonts w:hint="default" w:ascii="Times New Roman" w:hAnsi="Times New Roman" w:cs="Times New Roman"/>
                <w:color w:val="auto"/>
                <w:sz w:val="24"/>
              </w:rPr>
              <w:t>—i声源在预测点产生的A声级，dB（A）；</w:t>
            </w:r>
          </w:p>
          <w:p w14:paraId="1BD5207B">
            <w:pPr>
              <w:spacing w:before="60" w:after="60" w:line="360" w:lineRule="auto"/>
              <w:ind w:firstLine="1200" w:firstLineChars="500"/>
              <w:rPr>
                <w:rFonts w:hint="default" w:ascii="Times New Roman" w:hAnsi="Times New Roman" w:cs="Times New Roman"/>
                <w:color w:val="auto"/>
                <w:sz w:val="24"/>
              </w:rPr>
            </w:pPr>
            <w:r>
              <w:rPr>
                <w:rFonts w:hint="default" w:ascii="Times New Roman" w:hAnsi="Times New Roman" w:cs="Times New Roman"/>
                <w:i/>
                <w:color w:val="auto"/>
                <w:sz w:val="24"/>
              </w:rPr>
              <w:t>T</w:t>
            </w:r>
            <w:r>
              <w:rPr>
                <w:rFonts w:hint="default" w:ascii="Times New Roman" w:hAnsi="Times New Roman" w:cs="Times New Roman"/>
                <w:color w:val="auto"/>
                <w:sz w:val="24"/>
              </w:rPr>
              <w:t>—预测计算的时间段，s；</w:t>
            </w:r>
          </w:p>
          <w:p w14:paraId="61A22CB9">
            <w:pPr>
              <w:spacing w:before="60" w:after="60" w:line="360" w:lineRule="auto"/>
              <w:ind w:firstLine="1200" w:firstLineChars="500"/>
              <w:rPr>
                <w:rFonts w:hint="default" w:ascii="Times New Roman" w:hAnsi="Times New Roman" w:cs="Times New Roman"/>
                <w:color w:val="auto"/>
                <w:sz w:val="24"/>
              </w:rPr>
            </w:pPr>
            <w:r>
              <w:rPr>
                <w:rFonts w:hint="default" w:ascii="Times New Roman" w:hAnsi="Times New Roman" w:cs="Times New Roman"/>
                <w:i/>
                <w:color w:val="auto"/>
                <w:sz w:val="24"/>
              </w:rPr>
              <w:t>t</w:t>
            </w:r>
            <w:r>
              <w:rPr>
                <w:rFonts w:hint="default" w:ascii="Times New Roman" w:hAnsi="Times New Roman" w:cs="Times New Roman"/>
                <w:i/>
                <w:color w:val="auto"/>
                <w:sz w:val="24"/>
                <w:vertAlign w:val="subscript"/>
              </w:rPr>
              <w:t>i</w:t>
            </w:r>
            <w:r>
              <w:rPr>
                <w:rFonts w:hint="default" w:ascii="Times New Roman" w:hAnsi="Times New Roman" w:cs="Times New Roman"/>
                <w:color w:val="auto"/>
                <w:sz w:val="24"/>
              </w:rPr>
              <w:t>—i声源在T时段内的运行时间，s。</w:t>
            </w:r>
          </w:p>
          <w:p w14:paraId="79E224F0">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（2）预测点的预测等效声级（</w:t>
            </w:r>
            <w:r>
              <w:rPr>
                <w:rFonts w:hint="default" w:ascii="Times New Roman" w:hAnsi="Times New Roman" w:cs="Times New Roman"/>
                <w:i/>
                <w:iCs/>
                <w:color w:val="auto"/>
                <w:kern w:val="0"/>
                <w:sz w:val="24"/>
              </w:rPr>
              <w:t>Leq</w:t>
            </w:r>
            <w:r>
              <w:rPr>
                <w:rFonts w:hint="default" w:ascii="Times New Roman" w:hAnsi="Times New Roman" w:cs="Times New Roman"/>
                <w:color w:val="auto"/>
                <w:kern w:val="0"/>
                <w:sz w:val="24"/>
              </w:rPr>
              <w:t>）计算公式</w:t>
            </w:r>
          </w:p>
          <w:p w14:paraId="59071561">
            <w:pPr>
              <w:spacing w:before="60" w:after="60" w:line="360" w:lineRule="auto"/>
              <w:jc w:val="center"/>
              <w:rPr>
                <w:rFonts w:hint="default" w:ascii="Times New Roman" w:hAnsi="Times New Roman" w:cs="Times New Roman"/>
                <w:color w:val="auto"/>
                <w:sz w:val="24"/>
              </w:rPr>
            </w:pPr>
            <w:r>
              <w:rPr>
                <w:rFonts w:hint="default" w:ascii="Times New Roman" w:hAnsi="Times New Roman" w:cs="Times New Roman"/>
                <w:color w:val="auto"/>
                <w:position w:val="-14"/>
                <w:sz w:val="24"/>
              </w:rPr>
              <w:object>
                <v:shape id="_x0000_i1029" o:spt="75" type="#_x0000_t75" style="height:21.3pt;width:141.5pt;" o:ole="t" filled="f" o:preferrelative="t" stroked="f" coordsize="21600,21600">
                  <v:path/>
                  <v:fill on="f" focussize="0,0"/>
                  <v:stroke on="f" joinstyle="miter"/>
                  <v:imagedata r:id="rId20" o:title=""/>
                  <o:lock v:ext="edit" aspectratio="t"/>
                  <w10:wrap type="none"/>
                  <w10:anchorlock/>
                </v:shape>
                <o:OLEObject Type="Embed" ProgID="Equation.3" ShapeID="_x0000_i1029" DrawAspect="Content" ObjectID="_1468075729" r:id="rId19">
                  <o:LockedField>false</o:LockedField>
                </o:OLEObject>
              </w:object>
            </w:r>
          </w:p>
          <w:p w14:paraId="02448431">
            <w:pPr>
              <w:spacing w:before="60" w:after="60"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式中：</w:t>
            </w:r>
            <w:r>
              <w:rPr>
                <w:rFonts w:hint="default" w:ascii="Times New Roman" w:hAnsi="Times New Roman" w:cs="Times New Roman"/>
                <w:i/>
                <w:iCs/>
                <w:color w:val="auto"/>
                <w:kern w:val="0"/>
                <w:sz w:val="24"/>
              </w:rPr>
              <w:t>L</w:t>
            </w:r>
            <w:r>
              <w:rPr>
                <w:rFonts w:hint="default" w:ascii="Times New Roman" w:hAnsi="Times New Roman" w:cs="Times New Roman"/>
                <w:i/>
                <w:iCs/>
                <w:color w:val="auto"/>
                <w:kern w:val="0"/>
                <w:sz w:val="24"/>
                <w:vertAlign w:val="subscript"/>
              </w:rPr>
              <w:t xml:space="preserve"> eq g</w:t>
            </w:r>
            <w:r>
              <w:rPr>
                <w:rFonts w:hint="default" w:ascii="Times New Roman" w:hAnsi="Times New Roman" w:cs="Times New Roman"/>
                <w:i/>
                <w:iCs/>
                <w:color w:val="auto"/>
                <w:kern w:val="0"/>
                <w:sz w:val="24"/>
              </w:rPr>
              <w:t xml:space="preserve"> </w:t>
            </w:r>
            <w:r>
              <w:rPr>
                <w:rFonts w:hint="default" w:ascii="Times New Roman" w:hAnsi="Times New Roman" w:cs="Times New Roman"/>
                <w:color w:val="auto"/>
                <w:kern w:val="0"/>
                <w:sz w:val="24"/>
              </w:rPr>
              <w:t>—建设项目声源在预测点的等效声级贡献值，dB（A）；</w:t>
            </w:r>
          </w:p>
          <w:p w14:paraId="390C21EA">
            <w:pPr>
              <w:spacing w:before="60" w:after="60" w:line="360" w:lineRule="auto"/>
              <w:ind w:firstLine="1200" w:firstLineChars="500"/>
              <w:rPr>
                <w:rFonts w:hint="default" w:ascii="Times New Roman" w:hAnsi="Times New Roman" w:cs="Times New Roman"/>
                <w:color w:val="auto"/>
                <w:kern w:val="0"/>
                <w:sz w:val="24"/>
              </w:rPr>
            </w:pPr>
            <w:r>
              <w:rPr>
                <w:rFonts w:hint="default" w:ascii="Times New Roman" w:hAnsi="Times New Roman" w:cs="Times New Roman"/>
                <w:i/>
                <w:iCs/>
                <w:color w:val="auto"/>
                <w:kern w:val="0"/>
                <w:sz w:val="24"/>
              </w:rPr>
              <w:t>L</w:t>
            </w:r>
            <w:r>
              <w:rPr>
                <w:rFonts w:hint="default" w:ascii="Times New Roman" w:hAnsi="Times New Roman" w:cs="Times New Roman"/>
                <w:i/>
                <w:iCs/>
                <w:color w:val="auto"/>
                <w:kern w:val="0"/>
                <w:sz w:val="24"/>
                <w:vertAlign w:val="subscript"/>
              </w:rPr>
              <w:t xml:space="preserve"> eqb</w:t>
            </w:r>
            <w:r>
              <w:rPr>
                <w:rFonts w:hint="default" w:ascii="Times New Roman" w:hAnsi="Times New Roman" w:cs="Times New Roman"/>
                <w:color w:val="auto"/>
                <w:kern w:val="0"/>
                <w:sz w:val="24"/>
              </w:rPr>
              <w:t>—预测点的背景值，dB（A）</w:t>
            </w:r>
          </w:p>
          <w:p w14:paraId="3A0FCB36">
            <w:pPr>
              <w:widowControl/>
              <w:spacing w:line="360" w:lineRule="auto"/>
              <w:ind w:firstLine="482" w:firstLineChars="200"/>
              <w:jc w:val="left"/>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3、预测结果</w:t>
            </w:r>
          </w:p>
          <w:p w14:paraId="2F379639">
            <w:pPr>
              <w:widowControl/>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拟建项目运行时昼夜间预测噪声排放值结果如下。</w:t>
            </w:r>
          </w:p>
          <w:p w14:paraId="279C9FD2">
            <w:pPr>
              <w:keepNext w:val="0"/>
              <w:keepLines w:val="0"/>
              <w:pageBreakBefore w:val="0"/>
              <w:widowControl/>
              <w:kinsoku/>
              <w:wordWrap/>
              <w:overflowPunct/>
              <w:topLinePunct w:val="0"/>
              <w:autoSpaceDE/>
              <w:autoSpaceDN/>
              <w:bidi w:val="0"/>
              <w:adjustRightInd/>
              <w:snapToGrid/>
              <w:spacing w:beforeAutospacing="0"/>
              <w:jc w:val="center"/>
              <w:textAlignment w:val="auto"/>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表4-</w:t>
            </w:r>
            <w:r>
              <w:rPr>
                <w:rFonts w:hint="default" w:ascii="Times New Roman" w:hAnsi="Times New Roman" w:cs="Times New Roman"/>
                <w:b/>
                <w:color w:val="auto"/>
                <w:kern w:val="0"/>
                <w:sz w:val="24"/>
                <w:lang w:val="en-US" w:eastAsia="zh-CN"/>
              </w:rPr>
              <w:t>2</w:t>
            </w:r>
            <w:r>
              <w:rPr>
                <w:rFonts w:hint="eastAsia" w:cs="Times New Roman"/>
                <w:b/>
                <w:color w:val="auto"/>
                <w:kern w:val="0"/>
                <w:sz w:val="24"/>
                <w:lang w:val="en-US" w:eastAsia="zh-CN"/>
              </w:rPr>
              <w:t>0</w:t>
            </w:r>
            <w:r>
              <w:rPr>
                <w:rFonts w:hint="default" w:ascii="Times New Roman" w:hAnsi="Times New Roman" w:cs="Times New Roman"/>
                <w:b/>
                <w:color w:val="auto"/>
                <w:kern w:val="0"/>
                <w:sz w:val="24"/>
              </w:rPr>
              <w:t xml:space="preserve">   噪声排放预测结果  单位：dB(A)</w:t>
            </w:r>
          </w:p>
          <w:tbl>
            <w:tblPr>
              <w:tblStyle w:val="6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4"/>
              <w:gridCol w:w="817"/>
              <w:gridCol w:w="817"/>
              <w:gridCol w:w="605"/>
              <w:gridCol w:w="775"/>
              <w:gridCol w:w="2041"/>
              <w:gridCol w:w="2041"/>
            </w:tblGrid>
            <w:tr w14:paraId="03EF0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F1C9847">
                  <w:pPr>
                    <w:autoSpaceDE w:val="0"/>
                    <w:autoSpaceDN w:val="0"/>
                    <w:jc w:val="center"/>
                    <w:rPr>
                      <w:rFonts w:hint="default" w:ascii="Times New Roman" w:hAnsi="Times New Roman" w:cs="Times New Roman"/>
                      <w:color w:val="auto"/>
                      <w:szCs w:val="21"/>
                    </w:rPr>
                  </w:pPr>
                  <w:r>
                    <w:rPr>
                      <w:rFonts w:hint="default" w:ascii="Times New Roman" w:hAnsi="Times New Roman" w:cs="Times New Roman"/>
                      <w:b/>
                      <w:color w:val="auto"/>
                      <w:szCs w:val="21"/>
                    </w:rPr>
                    <w:t>预测方位</w:t>
                  </w:r>
                </w:p>
              </w:tc>
              <w:tc>
                <w:tcPr>
                  <w:tcW w:w="1335" w:type="pct"/>
                  <w:gridSpan w:val="3"/>
                  <w:tcBorders>
                    <w:top w:val="single" w:color="auto" w:sz="4" w:space="0"/>
                    <w:left w:val="single" w:color="auto" w:sz="4" w:space="0"/>
                    <w:bottom w:val="single" w:color="auto" w:sz="4" w:space="0"/>
                    <w:right w:val="single" w:color="auto" w:sz="4" w:space="0"/>
                  </w:tcBorders>
                  <w:shd w:val="clear" w:color="auto" w:fill="auto"/>
                  <w:vAlign w:val="center"/>
                </w:tcPr>
                <w:p w14:paraId="0C7345BF">
                  <w:pPr>
                    <w:autoSpaceDE w:val="0"/>
                    <w:autoSpaceDN w:val="0"/>
                    <w:jc w:val="center"/>
                    <w:rPr>
                      <w:rFonts w:hint="default" w:ascii="Times New Roman" w:hAnsi="Times New Roman" w:cs="Times New Roman"/>
                      <w:color w:val="auto"/>
                      <w:szCs w:val="21"/>
                    </w:rPr>
                  </w:pPr>
                  <w:r>
                    <w:rPr>
                      <w:rFonts w:hint="default" w:ascii="Times New Roman" w:hAnsi="Times New Roman" w:cs="Times New Roman"/>
                      <w:b/>
                      <w:color w:val="auto"/>
                      <w:szCs w:val="21"/>
                    </w:rPr>
                    <w:t>空间相对位置/m</w:t>
                  </w:r>
                </w:p>
              </w:tc>
              <w:tc>
                <w:tcPr>
                  <w:tcW w:w="46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967769A">
                  <w:pPr>
                    <w:autoSpaceDE w:val="0"/>
                    <w:autoSpaceDN w:val="0"/>
                    <w:jc w:val="center"/>
                    <w:rPr>
                      <w:rFonts w:hint="default" w:ascii="Times New Roman" w:hAnsi="Times New Roman" w:cs="Times New Roman"/>
                      <w:color w:val="auto"/>
                      <w:szCs w:val="21"/>
                    </w:rPr>
                  </w:pPr>
                  <w:r>
                    <w:rPr>
                      <w:rFonts w:hint="default" w:ascii="Times New Roman" w:hAnsi="Times New Roman" w:cs="Times New Roman"/>
                      <w:b/>
                      <w:color w:val="auto"/>
                      <w:szCs w:val="21"/>
                    </w:rPr>
                    <w:t>时段</w:t>
                  </w:r>
                </w:p>
              </w:tc>
              <w:tc>
                <w:tcPr>
                  <w:tcW w:w="121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4282857">
                  <w:pPr>
                    <w:autoSpaceDE w:val="0"/>
                    <w:autoSpaceDN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预测值dB（A）</w:t>
                  </w:r>
                </w:p>
              </w:tc>
              <w:tc>
                <w:tcPr>
                  <w:tcW w:w="121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19FD72A">
                  <w:pPr>
                    <w:autoSpaceDE w:val="0"/>
                    <w:autoSpaceDN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标准值dB（A）</w:t>
                  </w:r>
                </w:p>
              </w:tc>
            </w:tr>
            <w:tr w14:paraId="135DB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7B3C5FF">
                  <w:pPr>
                    <w:widowControl/>
                    <w:jc w:val="center"/>
                    <w:rPr>
                      <w:rFonts w:hint="default" w:ascii="Times New Roman" w:hAnsi="Times New Roman" w:cs="Times New Roman"/>
                      <w:color w:val="auto"/>
                      <w:szCs w:val="21"/>
                    </w:rPr>
                  </w:pPr>
                </w:p>
              </w:tc>
              <w:tc>
                <w:tcPr>
                  <w:tcW w:w="487" w:type="pct"/>
                  <w:tcBorders>
                    <w:top w:val="single" w:color="auto" w:sz="4" w:space="0"/>
                    <w:left w:val="single" w:color="auto" w:sz="4" w:space="0"/>
                    <w:bottom w:val="single" w:color="auto" w:sz="4" w:space="0"/>
                    <w:right w:val="single" w:color="auto" w:sz="4" w:space="0"/>
                  </w:tcBorders>
                  <w:shd w:val="clear" w:color="auto" w:fill="auto"/>
                  <w:vAlign w:val="center"/>
                </w:tcPr>
                <w:p w14:paraId="3A5A4A59">
                  <w:pPr>
                    <w:autoSpaceDE w:val="0"/>
                    <w:autoSpaceDN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X</w:t>
                  </w:r>
                </w:p>
              </w:tc>
              <w:tc>
                <w:tcPr>
                  <w:tcW w:w="487" w:type="pct"/>
                  <w:tcBorders>
                    <w:top w:val="single" w:color="auto" w:sz="4" w:space="0"/>
                    <w:left w:val="single" w:color="auto" w:sz="4" w:space="0"/>
                    <w:bottom w:val="single" w:color="auto" w:sz="4" w:space="0"/>
                    <w:right w:val="single" w:color="auto" w:sz="4" w:space="0"/>
                  </w:tcBorders>
                  <w:shd w:val="clear" w:color="auto" w:fill="auto"/>
                  <w:vAlign w:val="center"/>
                </w:tcPr>
                <w:p w14:paraId="4434A82B">
                  <w:pPr>
                    <w:autoSpaceDE w:val="0"/>
                    <w:autoSpaceDN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Y</w:t>
                  </w:r>
                </w:p>
              </w:tc>
              <w:tc>
                <w:tcPr>
                  <w:tcW w:w="361" w:type="pct"/>
                  <w:tcBorders>
                    <w:top w:val="single" w:color="auto" w:sz="4" w:space="0"/>
                    <w:left w:val="single" w:color="auto" w:sz="4" w:space="0"/>
                    <w:bottom w:val="single" w:color="auto" w:sz="4" w:space="0"/>
                    <w:right w:val="single" w:color="auto" w:sz="4" w:space="0"/>
                  </w:tcBorders>
                  <w:shd w:val="clear" w:color="auto" w:fill="auto"/>
                  <w:vAlign w:val="center"/>
                </w:tcPr>
                <w:p w14:paraId="3B50E764">
                  <w:pPr>
                    <w:autoSpaceDE w:val="0"/>
                    <w:autoSpaceDN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Z</w:t>
                  </w:r>
                </w:p>
              </w:tc>
              <w:tc>
                <w:tcPr>
                  <w:tcW w:w="46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A36B14C">
                  <w:pPr>
                    <w:widowControl/>
                    <w:jc w:val="center"/>
                    <w:rPr>
                      <w:rFonts w:hint="default" w:ascii="Times New Roman" w:hAnsi="Times New Roman" w:cs="Times New Roman"/>
                      <w:color w:val="auto"/>
                      <w:szCs w:val="21"/>
                    </w:rPr>
                  </w:pPr>
                </w:p>
              </w:tc>
              <w:tc>
                <w:tcPr>
                  <w:tcW w:w="121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E35CCE0">
                  <w:pPr>
                    <w:widowControl/>
                    <w:jc w:val="center"/>
                    <w:rPr>
                      <w:rFonts w:hint="default" w:ascii="Times New Roman" w:hAnsi="Times New Roman" w:cs="Times New Roman"/>
                      <w:color w:val="auto"/>
                      <w:szCs w:val="21"/>
                    </w:rPr>
                  </w:pPr>
                </w:p>
              </w:tc>
              <w:tc>
                <w:tcPr>
                  <w:tcW w:w="121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03997DF">
                  <w:pPr>
                    <w:widowControl/>
                    <w:jc w:val="center"/>
                    <w:rPr>
                      <w:rFonts w:hint="default" w:ascii="Times New Roman" w:hAnsi="Times New Roman" w:cs="Times New Roman"/>
                      <w:color w:val="auto"/>
                      <w:szCs w:val="21"/>
                    </w:rPr>
                  </w:pPr>
                </w:p>
              </w:tc>
            </w:tr>
            <w:tr w14:paraId="05D64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4A95BB2">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东侧</w:t>
                  </w:r>
                </w:p>
              </w:tc>
              <w:tc>
                <w:tcPr>
                  <w:tcW w:w="487" w:type="pct"/>
                  <w:tcBorders>
                    <w:top w:val="single" w:color="auto" w:sz="4" w:space="0"/>
                    <w:left w:val="single" w:color="auto" w:sz="4" w:space="0"/>
                    <w:bottom w:val="single" w:color="auto" w:sz="4" w:space="0"/>
                    <w:right w:val="single" w:color="auto" w:sz="4" w:space="0"/>
                  </w:tcBorders>
                  <w:shd w:val="clear" w:color="auto" w:fill="FFFFFF"/>
                  <w:vAlign w:val="center"/>
                </w:tcPr>
                <w:p w14:paraId="4B4FE447">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83.7</w:t>
                  </w:r>
                </w:p>
              </w:tc>
              <w:tc>
                <w:tcPr>
                  <w:tcW w:w="487" w:type="pct"/>
                  <w:tcBorders>
                    <w:top w:val="single" w:color="auto" w:sz="4" w:space="0"/>
                    <w:left w:val="single" w:color="auto" w:sz="4" w:space="0"/>
                    <w:bottom w:val="single" w:color="auto" w:sz="4" w:space="0"/>
                    <w:right w:val="single" w:color="auto" w:sz="4" w:space="0"/>
                  </w:tcBorders>
                  <w:shd w:val="clear" w:color="auto" w:fill="FFFFFF"/>
                  <w:vAlign w:val="center"/>
                </w:tcPr>
                <w:p w14:paraId="40EB7B34">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-11.5</w:t>
                  </w:r>
                </w:p>
              </w:tc>
              <w:tc>
                <w:tcPr>
                  <w:tcW w:w="361" w:type="pct"/>
                  <w:tcBorders>
                    <w:top w:val="single" w:color="auto" w:sz="4" w:space="0"/>
                    <w:left w:val="single" w:color="auto" w:sz="4" w:space="0"/>
                    <w:bottom w:val="single" w:color="auto" w:sz="4" w:space="0"/>
                    <w:right w:val="single" w:color="auto" w:sz="4" w:space="0"/>
                  </w:tcBorders>
                  <w:shd w:val="clear" w:color="auto" w:fill="FFFFFF"/>
                  <w:vAlign w:val="center"/>
                </w:tcPr>
                <w:p w14:paraId="338B527A">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1.2</w:t>
                  </w:r>
                </w:p>
              </w:tc>
              <w:tc>
                <w:tcPr>
                  <w:tcW w:w="462" w:type="pct"/>
                  <w:tcBorders>
                    <w:top w:val="single" w:color="auto" w:sz="4" w:space="0"/>
                    <w:left w:val="single" w:color="auto" w:sz="4" w:space="0"/>
                    <w:bottom w:val="single" w:color="auto" w:sz="4" w:space="0"/>
                    <w:right w:val="single" w:color="auto" w:sz="4" w:space="0"/>
                  </w:tcBorders>
                  <w:shd w:val="clear" w:color="auto" w:fill="auto"/>
                  <w:vAlign w:val="center"/>
                </w:tcPr>
                <w:p w14:paraId="5515519D">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昼间</w:t>
                  </w:r>
                </w:p>
              </w:tc>
              <w:tc>
                <w:tcPr>
                  <w:tcW w:w="1217" w:type="pct"/>
                  <w:tcBorders>
                    <w:top w:val="single" w:color="auto" w:sz="4" w:space="0"/>
                    <w:left w:val="single" w:color="auto" w:sz="4" w:space="0"/>
                    <w:bottom w:val="single" w:color="auto" w:sz="4" w:space="0"/>
                    <w:right w:val="single" w:color="auto" w:sz="4" w:space="0"/>
                  </w:tcBorders>
                  <w:shd w:val="clear" w:color="auto" w:fill="FFFFFF"/>
                  <w:vAlign w:val="center"/>
                </w:tcPr>
                <w:p w14:paraId="3AB49544">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45.8</w:t>
                  </w:r>
                </w:p>
              </w:tc>
              <w:tc>
                <w:tcPr>
                  <w:tcW w:w="1217" w:type="pct"/>
                  <w:tcBorders>
                    <w:top w:val="single" w:color="auto" w:sz="4" w:space="0"/>
                    <w:left w:val="single" w:color="auto" w:sz="4" w:space="0"/>
                    <w:bottom w:val="single" w:color="auto" w:sz="4" w:space="0"/>
                    <w:right w:val="single" w:color="auto" w:sz="4" w:space="0"/>
                  </w:tcBorders>
                  <w:shd w:val="clear" w:color="auto" w:fill="auto"/>
                  <w:vAlign w:val="center"/>
                </w:tcPr>
                <w:p w14:paraId="1919252F">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65</w:t>
                  </w:r>
                </w:p>
              </w:tc>
            </w:tr>
            <w:tr w14:paraId="1D586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BC11378">
                  <w:pPr>
                    <w:autoSpaceDN w:val="0"/>
                    <w:jc w:val="center"/>
                    <w:textAlignment w:val="center"/>
                    <w:rPr>
                      <w:rFonts w:hint="default" w:ascii="Times New Roman" w:hAnsi="Times New Roman" w:cs="Times New Roman"/>
                      <w:color w:val="auto"/>
                      <w:szCs w:val="21"/>
                    </w:rPr>
                  </w:pPr>
                </w:p>
              </w:tc>
              <w:tc>
                <w:tcPr>
                  <w:tcW w:w="487" w:type="pct"/>
                  <w:tcBorders>
                    <w:top w:val="single" w:color="auto" w:sz="4" w:space="0"/>
                    <w:left w:val="single" w:color="auto" w:sz="4" w:space="0"/>
                    <w:bottom w:val="single" w:color="auto" w:sz="4" w:space="0"/>
                    <w:right w:val="single" w:color="auto" w:sz="4" w:space="0"/>
                  </w:tcBorders>
                  <w:shd w:val="clear" w:color="auto" w:fill="FFFFFF"/>
                  <w:vAlign w:val="center"/>
                </w:tcPr>
                <w:p w14:paraId="2420A20D">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83.7</w:t>
                  </w:r>
                </w:p>
              </w:tc>
              <w:tc>
                <w:tcPr>
                  <w:tcW w:w="487" w:type="pct"/>
                  <w:tcBorders>
                    <w:top w:val="single" w:color="auto" w:sz="4" w:space="0"/>
                    <w:left w:val="single" w:color="auto" w:sz="4" w:space="0"/>
                    <w:bottom w:val="single" w:color="auto" w:sz="4" w:space="0"/>
                    <w:right w:val="single" w:color="auto" w:sz="4" w:space="0"/>
                  </w:tcBorders>
                  <w:shd w:val="clear" w:color="auto" w:fill="FFFFFF"/>
                  <w:vAlign w:val="center"/>
                </w:tcPr>
                <w:p w14:paraId="3B1753C6">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-11.5</w:t>
                  </w:r>
                </w:p>
              </w:tc>
              <w:tc>
                <w:tcPr>
                  <w:tcW w:w="361" w:type="pct"/>
                  <w:tcBorders>
                    <w:top w:val="single" w:color="auto" w:sz="4" w:space="0"/>
                    <w:left w:val="single" w:color="auto" w:sz="4" w:space="0"/>
                    <w:bottom w:val="single" w:color="auto" w:sz="4" w:space="0"/>
                    <w:right w:val="single" w:color="auto" w:sz="4" w:space="0"/>
                  </w:tcBorders>
                  <w:shd w:val="clear" w:color="auto" w:fill="FFFFFF"/>
                  <w:vAlign w:val="center"/>
                </w:tcPr>
                <w:p w14:paraId="017839E2">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1.2</w:t>
                  </w:r>
                </w:p>
              </w:tc>
              <w:tc>
                <w:tcPr>
                  <w:tcW w:w="462" w:type="pct"/>
                  <w:tcBorders>
                    <w:top w:val="single" w:color="auto" w:sz="4" w:space="0"/>
                    <w:left w:val="single" w:color="auto" w:sz="4" w:space="0"/>
                    <w:bottom w:val="single" w:color="auto" w:sz="4" w:space="0"/>
                    <w:right w:val="single" w:color="auto" w:sz="4" w:space="0"/>
                  </w:tcBorders>
                  <w:shd w:val="clear" w:color="auto" w:fill="auto"/>
                  <w:vAlign w:val="center"/>
                </w:tcPr>
                <w:p w14:paraId="7173E668">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夜间</w:t>
                  </w:r>
                </w:p>
              </w:tc>
              <w:tc>
                <w:tcPr>
                  <w:tcW w:w="1217" w:type="pct"/>
                  <w:tcBorders>
                    <w:top w:val="single" w:color="auto" w:sz="4" w:space="0"/>
                    <w:left w:val="single" w:color="auto" w:sz="4" w:space="0"/>
                    <w:bottom w:val="single" w:color="auto" w:sz="4" w:space="0"/>
                    <w:right w:val="single" w:color="auto" w:sz="4" w:space="0"/>
                  </w:tcBorders>
                  <w:shd w:val="clear" w:color="auto" w:fill="FFFFFF"/>
                  <w:vAlign w:val="center"/>
                </w:tcPr>
                <w:p w14:paraId="7B7E9B30">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45.8</w:t>
                  </w:r>
                </w:p>
              </w:tc>
              <w:tc>
                <w:tcPr>
                  <w:tcW w:w="1217" w:type="pct"/>
                  <w:tcBorders>
                    <w:top w:val="single" w:color="auto" w:sz="4" w:space="0"/>
                    <w:left w:val="single" w:color="auto" w:sz="4" w:space="0"/>
                    <w:bottom w:val="single" w:color="auto" w:sz="4" w:space="0"/>
                    <w:right w:val="single" w:color="auto" w:sz="4" w:space="0"/>
                  </w:tcBorders>
                  <w:shd w:val="clear" w:color="auto" w:fill="auto"/>
                  <w:vAlign w:val="center"/>
                </w:tcPr>
                <w:p w14:paraId="4E740E4F">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55</w:t>
                  </w:r>
                </w:p>
              </w:tc>
            </w:tr>
            <w:tr w14:paraId="160A0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4D9B05E">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南侧</w:t>
                  </w:r>
                </w:p>
              </w:tc>
              <w:tc>
                <w:tcPr>
                  <w:tcW w:w="487" w:type="pct"/>
                  <w:tcBorders>
                    <w:top w:val="single" w:color="auto" w:sz="4" w:space="0"/>
                    <w:left w:val="single" w:color="auto" w:sz="4" w:space="0"/>
                    <w:bottom w:val="single" w:color="auto" w:sz="4" w:space="0"/>
                    <w:right w:val="single" w:color="auto" w:sz="4" w:space="0"/>
                  </w:tcBorders>
                  <w:shd w:val="clear" w:color="auto" w:fill="FFFFFF"/>
                  <w:vAlign w:val="center"/>
                </w:tcPr>
                <w:p w14:paraId="4A28C509">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-48.1</w:t>
                  </w:r>
                </w:p>
              </w:tc>
              <w:tc>
                <w:tcPr>
                  <w:tcW w:w="487" w:type="pct"/>
                  <w:tcBorders>
                    <w:top w:val="single" w:color="auto" w:sz="4" w:space="0"/>
                    <w:left w:val="single" w:color="auto" w:sz="4" w:space="0"/>
                    <w:bottom w:val="single" w:color="auto" w:sz="4" w:space="0"/>
                    <w:right w:val="single" w:color="auto" w:sz="4" w:space="0"/>
                  </w:tcBorders>
                  <w:shd w:val="clear" w:color="auto" w:fill="FFFFFF"/>
                  <w:vAlign w:val="center"/>
                </w:tcPr>
                <w:p w14:paraId="486EEE8A">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-49</w:t>
                  </w:r>
                </w:p>
              </w:tc>
              <w:tc>
                <w:tcPr>
                  <w:tcW w:w="361" w:type="pct"/>
                  <w:tcBorders>
                    <w:top w:val="single" w:color="auto" w:sz="4" w:space="0"/>
                    <w:left w:val="single" w:color="auto" w:sz="4" w:space="0"/>
                    <w:bottom w:val="single" w:color="auto" w:sz="4" w:space="0"/>
                    <w:right w:val="single" w:color="auto" w:sz="4" w:space="0"/>
                  </w:tcBorders>
                  <w:shd w:val="clear" w:color="auto" w:fill="FFFFFF"/>
                  <w:vAlign w:val="center"/>
                </w:tcPr>
                <w:p w14:paraId="046910EF">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1.2</w:t>
                  </w:r>
                </w:p>
              </w:tc>
              <w:tc>
                <w:tcPr>
                  <w:tcW w:w="462" w:type="pct"/>
                  <w:tcBorders>
                    <w:top w:val="single" w:color="auto" w:sz="4" w:space="0"/>
                    <w:left w:val="single" w:color="auto" w:sz="4" w:space="0"/>
                    <w:bottom w:val="single" w:color="auto" w:sz="4" w:space="0"/>
                    <w:right w:val="single" w:color="auto" w:sz="4" w:space="0"/>
                  </w:tcBorders>
                  <w:shd w:val="clear" w:color="auto" w:fill="auto"/>
                  <w:vAlign w:val="center"/>
                </w:tcPr>
                <w:p w14:paraId="15D2A089">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昼间</w:t>
                  </w:r>
                </w:p>
              </w:tc>
              <w:tc>
                <w:tcPr>
                  <w:tcW w:w="1217" w:type="pct"/>
                  <w:tcBorders>
                    <w:top w:val="single" w:color="auto" w:sz="4" w:space="0"/>
                    <w:left w:val="single" w:color="auto" w:sz="4" w:space="0"/>
                    <w:bottom w:val="single" w:color="auto" w:sz="4" w:space="0"/>
                    <w:right w:val="single" w:color="auto" w:sz="4" w:space="0"/>
                  </w:tcBorders>
                  <w:shd w:val="clear" w:color="auto" w:fill="FFFFFF"/>
                  <w:vAlign w:val="center"/>
                </w:tcPr>
                <w:p w14:paraId="7A2F6CDA">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53</w:t>
                  </w:r>
                </w:p>
              </w:tc>
              <w:tc>
                <w:tcPr>
                  <w:tcW w:w="1217" w:type="pct"/>
                  <w:tcBorders>
                    <w:top w:val="single" w:color="auto" w:sz="4" w:space="0"/>
                    <w:left w:val="single" w:color="auto" w:sz="4" w:space="0"/>
                    <w:bottom w:val="single" w:color="auto" w:sz="4" w:space="0"/>
                    <w:right w:val="single" w:color="auto" w:sz="4" w:space="0"/>
                  </w:tcBorders>
                  <w:shd w:val="clear" w:color="auto" w:fill="auto"/>
                  <w:vAlign w:val="center"/>
                </w:tcPr>
                <w:p w14:paraId="5367E355">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65</w:t>
                  </w:r>
                </w:p>
              </w:tc>
            </w:tr>
            <w:tr w14:paraId="69C13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1EE0A67">
                  <w:pPr>
                    <w:autoSpaceDN w:val="0"/>
                    <w:jc w:val="center"/>
                    <w:textAlignment w:val="center"/>
                    <w:rPr>
                      <w:rFonts w:hint="default" w:ascii="Times New Roman" w:hAnsi="Times New Roman" w:cs="Times New Roman"/>
                      <w:color w:val="auto"/>
                      <w:szCs w:val="21"/>
                    </w:rPr>
                  </w:pPr>
                </w:p>
              </w:tc>
              <w:tc>
                <w:tcPr>
                  <w:tcW w:w="487" w:type="pct"/>
                  <w:tcBorders>
                    <w:top w:val="single" w:color="auto" w:sz="4" w:space="0"/>
                    <w:left w:val="single" w:color="auto" w:sz="4" w:space="0"/>
                    <w:bottom w:val="single" w:color="auto" w:sz="4" w:space="0"/>
                    <w:right w:val="single" w:color="auto" w:sz="4" w:space="0"/>
                  </w:tcBorders>
                  <w:shd w:val="clear" w:color="auto" w:fill="FFFFFF"/>
                  <w:vAlign w:val="center"/>
                </w:tcPr>
                <w:p w14:paraId="1ABD0CFE">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-48.1</w:t>
                  </w:r>
                </w:p>
              </w:tc>
              <w:tc>
                <w:tcPr>
                  <w:tcW w:w="487" w:type="pct"/>
                  <w:tcBorders>
                    <w:top w:val="single" w:color="auto" w:sz="4" w:space="0"/>
                    <w:left w:val="single" w:color="auto" w:sz="4" w:space="0"/>
                    <w:bottom w:val="single" w:color="auto" w:sz="4" w:space="0"/>
                    <w:right w:val="single" w:color="auto" w:sz="4" w:space="0"/>
                  </w:tcBorders>
                  <w:shd w:val="clear" w:color="auto" w:fill="FFFFFF"/>
                  <w:vAlign w:val="center"/>
                </w:tcPr>
                <w:p w14:paraId="3D32B17F">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-49</w:t>
                  </w:r>
                </w:p>
              </w:tc>
              <w:tc>
                <w:tcPr>
                  <w:tcW w:w="361" w:type="pct"/>
                  <w:tcBorders>
                    <w:top w:val="single" w:color="auto" w:sz="4" w:space="0"/>
                    <w:left w:val="single" w:color="auto" w:sz="4" w:space="0"/>
                    <w:bottom w:val="single" w:color="auto" w:sz="4" w:space="0"/>
                    <w:right w:val="single" w:color="auto" w:sz="4" w:space="0"/>
                  </w:tcBorders>
                  <w:shd w:val="clear" w:color="auto" w:fill="FFFFFF"/>
                  <w:vAlign w:val="center"/>
                </w:tcPr>
                <w:p w14:paraId="18FF4E7F">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1.2</w:t>
                  </w:r>
                </w:p>
              </w:tc>
              <w:tc>
                <w:tcPr>
                  <w:tcW w:w="462" w:type="pct"/>
                  <w:tcBorders>
                    <w:top w:val="single" w:color="auto" w:sz="4" w:space="0"/>
                    <w:left w:val="single" w:color="auto" w:sz="4" w:space="0"/>
                    <w:bottom w:val="single" w:color="auto" w:sz="4" w:space="0"/>
                    <w:right w:val="single" w:color="auto" w:sz="4" w:space="0"/>
                  </w:tcBorders>
                  <w:shd w:val="clear" w:color="auto" w:fill="auto"/>
                  <w:vAlign w:val="center"/>
                </w:tcPr>
                <w:p w14:paraId="75884D88">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夜间</w:t>
                  </w:r>
                </w:p>
              </w:tc>
              <w:tc>
                <w:tcPr>
                  <w:tcW w:w="1217" w:type="pct"/>
                  <w:tcBorders>
                    <w:top w:val="single" w:color="auto" w:sz="4" w:space="0"/>
                    <w:left w:val="single" w:color="auto" w:sz="4" w:space="0"/>
                    <w:bottom w:val="single" w:color="auto" w:sz="4" w:space="0"/>
                    <w:right w:val="single" w:color="auto" w:sz="4" w:space="0"/>
                  </w:tcBorders>
                  <w:shd w:val="clear" w:color="auto" w:fill="FFFFFF"/>
                  <w:vAlign w:val="center"/>
                </w:tcPr>
                <w:p w14:paraId="0768E1B8">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53</w:t>
                  </w:r>
                </w:p>
              </w:tc>
              <w:tc>
                <w:tcPr>
                  <w:tcW w:w="1217" w:type="pct"/>
                  <w:tcBorders>
                    <w:top w:val="single" w:color="auto" w:sz="4" w:space="0"/>
                    <w:left w:val="single" w:color="auto" w:sz="4" w:space="0"/>
                    <w:bottom w:val="single" w:color="auto" w:sz="4" w:space="0"/>
                    <w:right w:val="single" w:color="auto" w:sz="4" w:space="0"/>
                  </w:tcBorders>
                  <w:shd w:val="clear" w:color="auto" w:fill="auto"/>
                  <w:vAlign w:val="center"/>
                </w:tcPr>
                <w:p w14:paraId="02B510B5">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55</w:t>
                  </w:r>
                </w:p>
              </w:tc>
            </w:tr>
            <w:tr w14:paraId="29CA5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6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B0ADA03">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西侧</w:t>
                  </w:r>
                </w:p>
              </w:tc>
              <w:tc>
                <w:tcPr>
                  <w:tcW w:w="487" w:type="pct"/>
                  <w:tcBorders>
                    <w:top w:val="single" w:color="auto" w:sz="4" w:space="0"/>
                    <w:left w:val="single" w:color="auto" w:sz="4" w:space="0"/>
                    <w:bottom w:val="single" w:color="auto" w:sz="4" w:space="0"/>
                    <w:right w:val="single" w:color="auto" w:sz="4" w:space="0"/>
                  </w:tcBorders>
                  <w:shd w:val="clear" w:color="auto" w:fill="FFFFFF"/>
                  <w:vAlign w:val="center"/>
                </w:tcPr>
                <w:p w14:paraId="30E9CF6F">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-81.2</w:t>
                  </w:r>
                </w:p>
              </w:tc>
              <w:tc>
                <w:tcPr>
                  <w:tcW w:w="487" w:type="pct"/>
                  <w:tcBorders>
                    <w:top w:val="single" w:color="auto" w:sz="4" w:space="0"/>
                    <w:left w:val="single" w:color="auto" w:sz="4" w:space="0"/>
                    <w:bottom w:val="single" w:color="auto" w:sz="4" w:space="0"/>
                    <w:right w:val="single" w:color="auto" w:sz="4" w:space="0"/>
                  </w:tcBorders>
                  <w:shd w:val="clear" w:color="auto" w:fill="FFFFFF"/>
                  <w:vAlign w:val="center"/>
                </w:tcPr>
                <w:p w14:paraId="1FB35E42">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-9.8</w:t>
                  </w:r>
                </w:p>
              </w:tc>
              <w:tc>
                <w:tcPr>
                  <w:tcW w:w="361" w:type="pct"/>
                  <w:tcBorders>
                    <w:top w:val="single" w:color="auto" w:sz="4" w:space="0"/>
                    <w:left w:val="single" w:color="auto" w:sz="4" w:space="0"/>
                    <w:bottom w:val="single" w:color="auto" w:sz="4" w:space="0"/>
                    <w:right w:val="single" w:color="auto" w:sz="4" w:space="0"/>
                  </w:tcBorders>
                  <w:shd w:val="clear" w:color="auto" w:fill="FFFFFF"/>
                  <w:vAlign w:val="center"/>
                </w:tcPr>
                <w:p w14:paraId="14227396">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1.2</w:t>
                  </w:r>
                </w:p>
              </w:tc>
              <w:tc>
                <w:tcPr>
                  <w:tcW w:w="462" w:type="pct"/>
                  <w:tcBorders>
                    <w:top w:val="single" w:color="auto" w:sz="4" w:space="0"/>
                    <w:left w:val="single" w:color="auto" w:sz="4" w:space="0"/>
                    <w:bottom w:val="single" w:color="auto" w:sz="4" w:space="0"/>
                    <w:right w:val="single" w:color="auto" w:sz="4" w:space="0"/>
                  </w:tcBorders>
                  <w:shd w:val="clear" w:color="auto" w:fill="auto"/>
                  <w:vAlign w:val="center"/>
                </w:tcPr>
                <w:p w14:paraId="3BE63597">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昼间</w:t>
                  </w:r>
                </w:p>
              </w:tc>
              <w:tc>
                <w:tcPr>
                  <w:tcW w:w="1217" w:type="pct"/>
                  <w:tcBorders>
                    <w:top w:val="single" w:color="auto" w:sz="4" w:space="0"/>
                    <w:left w:val="single" w:color="auto" w:sz="4" w:space="0"/>
                    <w:bottom w:val="single" w:color="auto" w:sz="4" w:space="0"/>
                    <w:right w:val="single" w:color="auto" w:sz="4" w:space="0"/>
                  </w:tcBorders>
                  <w:shd w:val="clear" w:color="auto" w:fill="FFFFFF"/>
                  <w:vAlign w:val="center"/>
                </w:tcPr>
                <w:p w14:paraId="36D627A2">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53.3</w:t>
                  </w:r>
                </w:p>
              </w:tc>
              <w:tc>
                <w:tcPr>
                  <w:tcW w:w="1217" w:type="pct"/>
                  <w:tcBorders>
                    <w:top w:val="single" w:color="auto" w:sz="4" w:space="0"/>
                    <w:left w:val="single" w:color="auto" w:sz="4" w:space="0"/>
                    <w:bottom w:val="single" w:color="auto" w:sz="4" w:space="0"/>
                    <w:right w:val="single" w:color="auto" w:sz="4" w:space="0"/>
                  </w:tcBorders>
                  <w:shd w:val="clear" w:color="auto" w:fill="auto"/>
                  <w:vAlign w:val="center"/>
                </w:tcPr>
                <w:p w14:paraId="2BFF04A3">
                  <w:pPr>
                    <w:autoSpaceDN w:val="0"/>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65</w:t>
                  </w:r>
                </w:p>
              </w:tc>
            </w:tr>
            <w:tr w14:paraId="0F470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96395B2">
                  <w:pPr>
                    <w:autoSpaceDN w:val="0"/>
                    <w:jc w:val="center"/>
                    <w:textAlignment w:val="center"/>
                    <w:rPr>
                      <w:rFonts w:hint="default" w:ascii="Times New Roman" w:hAnsi="Times New Roman" w:cs="Times New Roman"/>
                      <w:color w:val="auto"/>
                      <w:szCs w:val="21"/>
                    </w:rPr>
                  </w:pPr>
                </w:p>
              </w:tc>
              <w:tc>
                <w:tcPr>
                  <w:tcW w:w="487" w:type="pct"/>
                  <w:tcBorders>
                    <w:top w:val="single" w:color="auto" w:sz="4" w:space="0"/>
                    <w:left w:val="single" w:color="auto" w:sz="4" w:space="0"/>
                    <w:bottom w:val="single" w:color="auto" w:sz="4" w:space="0"/>
                    <w:right w:val="single" w:color="auto" w:sz="4" w:space="0"/>
                  </w:tcBorders>
                  <w:shd w:val="clear" w:color="auto" w:fill="FFFFFF"/>
                  <w:vAlign w:val="center"/>
                </w:tcPr>
                <w:p w14:paraId="01010C94">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-81.2</w:t>
                  </w:r>
                </w:p>
              </w:tc>
              <w:tc>
                <w:tcPr>
                  <w:tcW w:w="487" w:type="pct"/>
                  <w:tcBorders>
                    <w:top w:val="single" w:color="auto" w:sz="4" w:space="0"/>
                    <w:left w:val="single" w:color="auto" w:sz="4" w:space="0"/>
                    <w:bottom w:val="single" w:color="auto" w:sz="4" w:space="0"/>
                    <w:right w:val="single" w:color="auto" w:sz="4" w:space="0"/>
                  </w:tcBorders>
                  <w:shd w:val="clear" w:color="auto" w:fill="FFFFFF"/>
                  <w:vAlign w:val="center"/>
                </w:tcPr>
                <w:p w14:paraId="50C5F3C0">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-9.8</w:t>
                  </w:r>
                </w:p>
              </w:tc>
              <w:tc>
                <w:tcPr>
                  <w:tcW w:w="361" w:type="pct"/>
                  <w:tcBorders>
                    <w:top w:val="single" w:color="auto" w:sz="4" w:space="0"/>
                    <w:left w:val="single" w:color="auto" w:sz="4" w:space="0"/>
                    <w:bottom w:val="single" w:color="auto" w:sz="4" w:space="0"/>
                    <w:right w:val="single" w:color="auto" w:sz="4" w:space="0"/>
                  </w:tcBorders>
                  <w:shd w:val="clear" w:color="auto" w:fill="FFFFFF"/>
                  <w:vAlign w:val="center"/>
                </w:tcPr>
                <w:p w14:paraId="77DEE7D4">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1.2</w:t>
                  </w:r>
                </w:p>
              </w:tc>
              <w:tc>
                <w:tcPr>
                  <w:tcW w:w="462" w:type="pct"/>
                  <w:tcBorders>
                    <w:top w:val="single" w:color="auto" w:sz="4" w:space="0"/>
                    <w:left w:val="single" w:color="auto" w:sz="4" w:space="0"/>
                    <w:bottom w:val="single" w:color="auto" w:sz="4" w:space="0"/>
                    <w:right w:val="single" w:color="auto" w:sz="4" w:space="0"/>
                  </w:tcBorders>
                  <w:shd w:val="clear" w:color="auto" w:fill="auto"/>
                  <w:vAlign w:val="center"/>
                </w:tcPr>
                <w:p w14:paraId="2564202C">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夜间</w:t>
                  </w:r>
                </w:p>
              </w:tc>
              <w:tc>
                <w:tcPr>
                  <w:tcW w:w="1217" w:type="pct"/>
                  <w:tcBorders>
                    <w:top w:val="single" w:color="auto" w:sz="4" w:space="0"/>
                    <w:left w:val="single" w:color="auto" w:sz="4" w:space="0"/>
                    <w:bottom w:val="single" w:color="auto" w:sz="4" w:space="0"/>
                    <w:right w:val="single" w:color="auto" w:sz="4" w:space="0"/>
                  </w:tcBorders>
                  <w:shd w:val="clear" w:color="auto" w:fill="FFFFFF"/>
                  <w:vAlign w:val="center"/>
                </w:tcPr>
                <w:p w14:paraId="5B54483E">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53.3</w:t>
                  </w:r>
                </w:p>
              </w:tc>
              <w:tc>
                <w:tcPr>
                  <w:tcW w:w="1217" w:type="pct"/>
                  <w:tcBorders>
                    <w:top w:val="single" w:color="auto" w:sz="4" w:space="0"/>
                    <w:left w:val="single" w:color="auto" w:sz="4" w:space="0"/>
                    <w:bottom w:val="single" w:color="auto" w:sz="4" w:space="0"/>
                    <w:right w:val="single" w:color="auto" w:sz="4" w:space="0"/>
                  </w:tcBorders>
                  <w:shd w:val="clear" w:color="auto" w:fill="auto"/>
                  <w:vAlign w:val="center"/>
                </w:tcPr>
                <w:p w14:paraId="76E6D229">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55</w:t>
                  </w:r>
                </w:p>
              </w:tc>
            </w:tr>
            <w:tr w14:paraId="54C1F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E4C5699">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北侧</w:t>
                  </w:r>
                </w:p>
              </w:tc>
              <w:tc>
                <w:tcPr>
                  <w:tcW w:w="487" w:type="pct"/>
                  <w:tcBorders>
                    <w:top w:val="single" w:color="auto" w:sz="4" w:space="0"/>
                    <w:left w:val="single" w:color="auto" w:sz="4" w:space="0"/>
                    <w:bottom w:val="single" w:color="auto" w:sz="4" w:space="0"/>
                    <w:right w:val="single" w:color="auto" w:sz="4" w:space="0"/>
                  </w:tcBorders>
                  <w:shd w:val="clear" w:color="auto" w:fill="FFFFFF"/>
                  <w:vAlign w:val="center"/>
                </w:tcPr>
                <w:p w14:paraId="4926E634">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34.5</w:t>
                  </w:r>
                </w:p>
              </w:tc>
              <w:tc>
                <w:tcPr>
                  <w:tcW w:w="487" w:type="pct"/>
                  <w:tcBorders>
                    <w:top w:val="single" w:color="auto" w:sz="4" w:space="0"/>
                    <w:left w:val="single" w:color="auto" w:sz="4" w:space="0"/>
                    <w:bottom w:val="single" w:color="auto" w:sz="4" w:space="0"/>
                    <w:right w:val="single" w:color="auto" w:sz="4" w:space="0"/>
                  </w:tcBorders>
                  <w:shd w:val="clear" w:color="auto" w:fill="FFFFFF"/>
                  <w:vAlign w:val="center"/>
                </w:tcPr>
                <w:p w14:paraId="3D7DCFF8">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47.6</w:t>
                  </w:r>
                </w:p>
              </w:tc>
              <w:tc>
                <w:tcPr>
                  <w:tcW w:w="361" w:type="pct"/>
                  <w:tcBorders>
                    <w:top w:val="single" w:color="auto" w:sz="4" w:space="0"/>
                    <w:left w:val="single" w:color="auto" w:sz="4" w:space="0"/>
                    <w:bottom w:val="single" w:color="auto" w:sz="4" w:space="0"/>
                    <w:right w:val="single" w:color="auto" w:sz="4" w:space="0"/>
                  </w:tcBorders>
                  <w:shd w:val="clear" w:color="auto" w:fill="FFFFFF"/>
                  <w:vAlign w:val="center"/>
                </w:tcPr>
                <w:p w14:paraId="6327B556">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1.2</w:t>
                  </w:r>
                </w:p>
              </w:tc>
              <w:tc>
                <w:tcPr>
                  <w:tcW w:w="462" w:type="pct"/>
                  <w:tcBorders>
                    <w:top w:val="single" w:color="auto" w:sz="4" w:space="0"/>
                    <w:left w:val="single" w:color="auto" w:sz="4" w:space="0"/>
                    <w:bottom w:val="single" w:color="auto" w:sz="4" w:space="0"/>
                    <w:right w:val="single" w:color="auto" w:sz="4" w:space="0"/>
                  </w:tcBorders>
                  <w:shd w:val="clear" w:color="auto" w:fill="auto"/>
                  <w:vAlign w:val="center"/>
                </w:tcPr>
                <w:p w14:paraId="1CCCAF68">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昼间</w:t>
                  </w:r>
                </w:p>
              </w:tc>
              <w:tc>
                <w:tcPr>
                  <w:tcW w:w="1217" w:type="pct"/>
                  <w:tcBorders>
                    <w:top w:val="single" w:color="auto" w:sz="4" w:space="0"/>
                    <w:left w:val="single" w:color="auto" w:sz="4" w:space="0"/>
                    <w:bottom w:val="single" w:color="auto" w:sz="4" w:space="0"/>
                    <w:right w:val="single" w:color="auto" w:sz="4" w:space="0"/>
                  </w:tcBorders>
                  <w:shd w:val="clear" w:color="auto" w:fill="FFFFFF"/>
                  <w:vAlign w:val="center"/>
                </w:tcPr>
                <w:p w14:paraId="2019D117">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53.1</w:t>
                  </w:r>
                </w:p>
              </w:tc>
              <w:tc>
                <w:tcPr>
                  <w:tcW w:w="1217" w:type="pct"/>
                  <w:tcBorders>
                    <w:top w:val="single" w:color="auto" w:sz="4" w:space="0"/>
                    <w:left w:val="single" w:color="auto" w:sz="4" w:space="0"/>
                    <w:bottom w:val="single" w:color="auto" w:sz="4" w:space="0"/>
                    <w:right w:val="single" w:color="auto" w:sz="4" w:space="0"/>
                  </w:tcBorders>
                  <w:shd w:val="clear" w:color="auto" w:fill="auto"/>
                  <w:vAlign w:val="center"/>
                </w:tcPr>
                <w:p w14:paraId="3E6D038F">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65</w:t>
                  </w:r>
                </w:p>
              </w:tc>
            </w:tr>
            <w:tr w14:paraId="6F807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0A591DE">
                  <w:pPr>
                    <w:autoSpaceDN w:val="0"/>
                    <w:jc w:val="center"/>
                    <w:textAlignment w:val="center"/>
                    <w:rPr>
                      <w:rFonts w:hint="default" w:ascii="Times New Roman" w:hAnsi="Times New Roman" w:cs="Times New Roman"/>
                      <w:color w:val="auto"/>
                      <w:szCs w:val="21"/>
                    </w:rPr>
                  </w:pPr>
                </w:p>
              </w:tc>
              <w:tc>
                <w:tcPr>
                  <w:tcW w:w="487" w:type="pct"/>
                  <w:tcBorders>
                    <w:top w:val="single" w:color="auto" w:sz="4" w:space="0"/>
                    <w:left w:val="single" w:color="auto" w:sz="4" w:space="0"/>
                    <w:bottom w:val="single" w:color="auto" w:sz="4" w:space="0"/>
                    <w:right w:val="single" w:color="auto" w:sz="4" w:space="0"/>
                  </w:tcBorders>
                  <w:shd w:val="clear" w:color="auto" w:fill="FFFFFF"/>
                  <w:vAlign w:val="center"/>
                </w:tcPr>
                <w:p w14:paraId="26D88DCC">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34.5</w:t>
                  </w:r>
                </w:p>
              </w:tc>
              <w:tc>
                <w:tcPr>
                  <w:tcW w:w="487" w:type="pct"/>
                  <w:tcBorders>
                    <w:top w:val="single" w:color="auto" w:sz="4" w:space="0"/>
                    <w:left w:val="single" w:color="auto" w:sz="4" w:space="0"/>
                    <w:bottom w:val="single" w:color="auto" w:sz="4" w:space="0"/>
                    <w:right w:val="single" w:color="auto" w:sz="4" w:space="0"/>
                  </w:tcBorders>
                  <w:shd w:val="clear" w:color="auto" w:fill="FFFFFF"/>
                  <w:vAlign w:val="center"/>
                </w:tcPr>
                <w:p w14:paraId="4D749037">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47.6</w:t>
                  </w:r>
                </w:p>
              </w:tc>
              <w:tc>
                <w:tcPr>
                  <w:tcW w:w="361" w:type="pct"/>
                  <w:tcBorders>
                    <w:top w:val="single" w:color="auto" w:sz="4" w:space="0"/>
                    <w:left w:val="single" w:color="auto" w:sz="4" w:space="0"/>
                    <w:bottom w:val="single" w:color="auto" w:sz="4" w:space="0"/>
                    <w:right w:val="single" w:color="auto" w:sz="4" w:space="0"/>
                  </w:tcBorders>
                  <w:shd w:val="clear" w:color="auto" w:fill="FFFFFF"/>
                  <w:vAlign w:val="center"/>
                </w:tcPr>
                <w:p w14:paraId="15C44220">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1.2</w:t>
                  </w:r>
                </w:p>
              </w:tc>
              <w:tc>
                <w:tcPr>
                  <w:tcW w:w="462" w:type="pct"/>
                  <w:tcBorders>
                    <w:top w:val="single" w:color="auto" w:sz="4" w:space="0"/>
                    <w:left w:val="single" w:color="auto" w:sz="4" w:space="0"/>
                    <w:bottom w:val="single" w:color="auto" w:sz="4" w:space="0"/>
                    <w:right w:val="single" w:color="auto" w:sz="4" w:space="0"/>
                  </w:tcBorders>
                  <w:shd w:val="clear" w:color="auto" w:fill="auto"/>
                  <w:vAlign w:val="center"/>
                </w:tcPr>
                <w:p w14:paraId="3C21AE7F">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夜间</w:t>
                  </w:r>
                </w:p>
              </w:tc>
              <w:tc>
                <w:tcPr>
                  <w:tcW w:w="1217" w:type="pct"/>
                  <w:tcBorders>
                    <w:top w:val="single" w:color="auto" w:sz="4" w:space="0"/>
                    <w:left w:val="single" w:color="auto" w:sz="4" w:space="0"/>
                    <w:bottom w:val="single" w:color="auto" w:sz="4" w:space="0"/>
                    <w:right w:val="single" w:color="auto" w:sz="4" w:space="0"/>
                  </w:tcBorders>
                  <w:shd w:val="clear" w:color="auto" w:fill="FFFFFF"/>
                  <w:vAlign w:val="center"/>
                </w:tcPr>
                <w:p w14:paraId="5B932195">
                  <w:pPr>
                    <w:autoSpaceDN w:val="0"/>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53.1</w:t>
                  </w:r>
                </w:p>
              </w:tc>
              <w:tc>
                <w:tcPr>
                  <w:tcW w:w="1217" w:type="pct"/>
                  <w:tcBorders>
                    <w:top w:val="single" w:color="auto" w:sz="4" w:space="0"/>
                    <w:left w:val="single" w:color="auto" w:sz="4" w:space="0"/>
                    <w:bottom w:val="single" w:color="auto" w:sz="4" w:space="0"/>
                    <w:right w:val="single" w:color="auto" w:sz="4" w:space="0"/>
                  </w:tcBorders>
                  <w:shd w:val="clear" w:color="auto" w:fill="auto"/>
                  <w:vAlign w:val="center"/>
                </w:tcPr>
                <w:p w14:paraId="14EF045F">
                  <w:pPr>
                    <w:autoSpaceDN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55</w:t>
                  </w:r>
                </w:p>
              </w:tc>
            </w:tr>
          </w:tbl>
          <w:p w14:paraId="2FB902F2">
            <w:pPr>
              <w:autoSpaceDE w:val="0"/>
              <w:autoSpaceDN w:val="0"/>
              <w:adjustRightInd w:val="0"/>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由上表可知，由于本项目大部分噪声源均布置在室内，根据预测结果，本项目运行后昼夜间厂界噪声可以达到《工业企业厂界环境噪声排放标准》（GB12348-2008）</w:t>
            </w:r>
            <w:r>
              <w:rPr>
                <w:rFonts w:hint="default" w:ascii="Times New Roman" w:hAnsi="Times New Roman" w:cs="Times New Roman"/>
                <w:color w:val="auto"/>
                <w:kern w:val="0"/>
                <w:sz w:val="24"/>
                <w:lang w:val="en-US" w:eastAsia="zh-CN"/>
              </w:rPr>
              <w:t>3</w:t>
            </w:r>
            <w:r>
              <w:rPr>
                <w:rFonts w:hint="default" w:ascii="Times New Roman" w:hAnsi="Times New Roman" w:cs="Times New Roman"/>
                <w:color w:val="auto"/>
                <w:kern w:val="0"/>
                <w:sz w:val="24"/>
              </w:rPr>
              <w:t>类标准限值要求。</w:t>
            </w:r>
          </w:p>
          <w:p w14:paraId="5FBFEC5D">
            <w:pPr>
              <w:autoSpaceDE w:val="0"/>
              <w:autoSpaceDN w:val="0"/>
              <w:adjustRightInd w:val="0"/>
              <w:spacing w:line="360" w:lineRule="auto"/>
              <w:ind w:firstLine="482" w:firstLineChars="200"/>
              <w:jc w:val="left"/>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4、噪声污染防治措施</w:t>
            </w:r>
          </w:p>
          <w:p w14:paraId="51AE1AD9">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本项目的噪声源来源于生产设备及</w:t>
            </w:r>
            <w:r>
              <w:rPr>
                <w:rFonts w:hint="default" w:ascii="Times New Roman" w:hAnsi="Times New Roman" w:cs="Times New Roman"/>
                <w:color w:val="auto"/>
                <w:kern w:val="0"/>
                <w:sz w:val="24"/>
              </w:rPr>
              <w:t>风机等</w:t>
            </w:r>
            <w:r>
              <w:rPr>
                <w:rFonts w:hint="default" w:ascii="Times New Roman" w:hAnsi="Times New Roman" w:cs="Times New Roman"/>
                <w:color w:val="auto"/>
                <w:sz w:val="24"/>
              </w:rPr>
              <w:t>设备运行时产生的噪声，这些噪声源经相应的降噪措施处理后通过建筑物门窗、墙壁的吸收、屏蔽及阻挡作用，将会大幅度地衰减。具体可采取的治理措施如下：</w:t>
            </w:r>
          </w:p>
          <w:p w14:paraId="264F0C29">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（1）合理布局：项目将高噪声设备尽量布置在厂区中部，通过距离衰减减轻噪声对外环境的影响。</w:t>
            </w:r>
          </w:p>
          <w:p w14:paraId="3E3442A1">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（2）选择低噪声设备：项目在满足工艺设计的前提下，尽量选用满足国际标准的低噪声、低振动型号的设备，降低噪声源强。</w:t>
            </w:r>
          </w:p>
          <w:p w14:paraId="224A55F1">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（3）隔声、减震：建设单位根据噪声产生的性质可分为机械运动噪声，根据其产生的性质和机理不同分别采用了隔声、减振等方式进行了降噪处理。通过安装减震垫或者隔声门窗来达到降低噪声的目的。</w:t>
            </w:r>
          </w:p>
          <w:p w14:paraId="2F4C9A09">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（4）强化生产管理：确保降噪设施的有效运行，并加强对生产设备的保养、检修与润滑，保证设备处于良好的运转状态。</w:t>
            </w:r>
          </w:p>
          <w:p w14:paraId="19565058">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经上述治理措施后，可满足保护操作工人的身心健康需要，加上围墙隔音及距离衰减，能够做到厂界达标。</w:t>
            </w:r>
          </w:p>
          <w:p w14:paraId="7B6F60CD">
            <w:pPr>
              <w:widowControl/>
              <w:spacing w:line="360" w:lineRule="auto"/>
              <w:ind w:firstLine="482" w:firstLineChars="200"/>
              <w:jc w:val="left"/>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5、运营期噪声监控计划</w:t>
            </w:r>
          </w:p>
          <w:p w14:paraId="132865D7">
            <w:pPr>
              <w:widowControl/>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根据</w:t>
            </w:r>
            <w:r>
              <w:rPr>
                <w:rFonts w:hint="default" w:ascii="Times New Roman" w:hAnsi="Times New Roman" w:cs="Times New Roman"/>
                <w:color w:val="auto"/>
                <w:sz w:val="24"/>
              </w:rPr>
              <w:t>《排污单位自行监测技术指南 总则</w:t>
            </w:r>
            <w:r>
              <w:rPr>
                <w:rFonts w:hint="default" w:ascii="Times New Roman" w:hAnsi="Times New Roman" w:eastAsia="宋体" w:cs="Times New Roman"/>
                <w:color w:val="auto"/>
                <w:sz w:val="24"/>
              </w:rPr>
              <w:t>》（HJ 819-2017）</w:t>
            </w:r>
            <w:r>
              <w:rPr>
                <w:rFonts w:hint="default" w:ascii="Times New Roman" w:hAnsi="Times New Roman" w:eastAsia="宋体" w:cs="Times New Roman"/>
                <w:color w:val="auto"/>
                <w:sz w:val="24"/>
                <w:lang w:val="en-US" w:eastAsia="zh-CN"/>
              </w:rPr>
              <w:t>、</w:t>
            </w:r>
            <w:r>
              <w:rPr>
                <w:rFonts w:hint="eastAsia" w:cs="Times New Roman"/>
                <w:color w:val="auto"/>
                <w:kern w:val="2"/>
                <w:sz w:val="24"/>
                <w:szCs w:val="24"/>
                <w:lang w:val="en-US" w:eastAsia="zh-CN" w:bidi="ar-SA"/>
              </w:rPr>
              <w:t>《排污单位自行监测技术指南 涂装》（HJ 1086-2020）、</w:t>
            </w:r>
            <w:r>
              <w:rPr>
                <w:rFonts w:hint="default" w:ascii="Times New Roman" w:hAnsi="Times New Roman" w:cs="Times New Roman"/>
                <w:color w:val="auto"/>
                <w:kern w:val="2"/>
                <w:sz w:val="24"/>
                <w:szCs w:val="24"/>
                <w:lang w:val="en-US" w:eastAsia="zh-CN" w:bidi="ar-SA"/>
              </w:rPr>
              <w:t>《</w:t>
            </w:r>
            <w:r>
              <w:rPr>
                <w:rFonts w:hint="default" w:ascii="Times New Roman" w:hAnsi="Times New Roman" w:eastAsia="宋体" w:cs="Times New Roman"/>
                <w:color w:val="auto"/>
                <w:kern w:val="0"/>
                <w:sz w:val="24"/>
                <w:szCs w:val="24"/>
                <w:lang w:bidi="ar"/>
              </w:rPr>
              <w:t>排污许可证申请与核发技术规范</w:t>
            </w:r>
            <w:r>
              <w:rPr>
                <w:rFonts w:hint="default" w:ascii="Times New Roman" w:hAnsi="Times New Roman" w:cs="Times New Roman"/>
                <w:color w:val="auto"/>
                <w:kern w:val="0"/>
                <w:sz w:val="24"/>
                <w:szCs w:val="24"/>
                <w:lang w:val="en-US" w:eastAsia="zh-CN" w:bidi="ar"/>
              </w:rPr>
              <w:t xml:space="preserve"> </w:t>
            </w:r>
            <w:r>
              <w:rPr>
                <w:rFonts w:hint="eastAsia" w:cs="Times New Roman"/>
                <w:color w:val="auto"/>
                <w:kern w:val="0"/>
                <w:sz w:val="24"/>
                <w:szCs w:val="24"/>
                <w:lang w:val="en-US" w:eastAsia="zh-CN" w:bidi="ar"/>
              </w:rPr>
              <w:t>铁路、船舶、航空航天和其他运输设备制造业</w:t>
            </w:r>
            <w:r>
              <w:rPr>
                <w:rFonts w:hint="default" w:ascii="Times New Roman" w:hAnsi="Times New Roman" w:cs="Times New Roman"/>
                <w:color w:val="auto"/>
                <w:kern w:val="0"/>
                <w:sz w:val="24"/>
                <w:szCs w:val="24"/>
                <w:lang w:val="en-US" w:eastAsia="zh-CN" w:bidi="ar"/>
              </w:rPr>
              <w:t>》</w:t>
            </w:r>
            <w:r>
              <w:rPr>
                <w:rFonts w:hint="default" w:ascii="Times New Roman" w:hAnsi="Times New Roman" w:eastAsia="宋体" w:cs="Times New Roman"/>
                <w:bCs/>
                <w:color w:val="auto"/>
                <w:kern w:val="2"/>
                <w:sz w:val="24"/>
                <w:szCs w:val="24"/>
                <w:lang w:val="en-US" w:eastAsia="zh-CN" w:bidi="ar-SA"/>
              </w:rPr>
              <w:t>（HJ 1124-2020）</w:t>
            </w:r>
            <w:r>
              <w:rPr>
                <w:rFonts w:hint="default" w:ascii="Times New Roman" w:hAnsi="Times New Roman" w:eastAsia="宋体" w:cs="Times New Roman"/>
                <w:color w:val="auto"/>
                <w:sz w:val="24"/>
              </w:rPr>
              <w:t>，</w:t>
            </w:r>
            <w:r>
              <w:rPr>
                <w:rFonts w:hint="default" w:ascii="Times New Roman" w:hAnsi="Times New Roman" w:cs="Times New Roman"/>
                <w:color w:val="auto"/>
                <w:kern w:val="0"/>
                <w:sz w:val="24"/>
              </w:rPr>
              <w:t>项目噪声监测计划见下表。</w:t>
            </w:r>
          </w:p>
          <w:p w14:paraId="612A147C">
            <w:pPr>
              <w:keepNext w:val="0"/>
              <w:keepLines w:val="0"/>
              <w:pageBreakBefore w:val="0"/>
              <w:widowControl/>
              <w:kinsoku/>
              <w:wordWrap/>
              <w:overflowPunct/>
              <w:topLinePunct w:val="0"/>
              <w:autoSpaceDE/>
              <w:autoSpaceDN/>
              <w:bidi w:val="0"/>
              <w:adjustRightInd/>
              <w:snapToGrid/>
              <w:spacing w:beforeAutospacing="0"/>
              <w:jc w:val="center"/>
              <w:textAlignment w:val="auto"/>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表4-</w:t>
            </w:r>
            <w:r>
              <w:rPr>
                <w:rFonts w:hint="default" w:ascii="Times New Roman" w:hAnsi="Times New Roman" w:eastAsia="宋体" w:cs="Times New Roman"/>
                <w:b/>
                <w:color w:val="auto"/>
                <w:kern w:val="0"/>
                <w:sz w:val="24"/>
                <w:lang w:val="en-US" w:eastAsia="zh-CN"/>
              </w:rPr>
              <w:t>2</w:t>
            </w:r>
            <w:r>
              <w:rPr>
                <w:rFonts w:hint="eastAsia" w:ascii="Times New Roman" w:hAnsi="Times New Roman" w:eastAsia="宋体" w:cs="Times New Roman"/>
                <w:b/>
                <w:color w:val="auto"/>
                <w:kern w:val="0"/>
                <w:sz w:val="24"/>
                <w:lang w:val="en-US" w:eastAsia="zh-CN"/>
              </w:rPr>
              <w:t>1</w:t>
            </w:r>
            <w:r>
              <w:rPr>
                <w:rFonts w:hint="default" w:ascii="Times New Roman" w:hAnsi="Times New Roman" w:eastAsia="宋体" w:cs="Times New Roman"/>
                <w:b/>
                <w:color w:val="auto"/>
                <w:kern w:val="0"/>
                <w:sz w:val="24"/>
              </w:rPr>
              <w:t xml:space="preserve">  运营期噪声自行监测方案</w:t>
            </w:r>
          </w:p>
          <w:tbl>
            <w:tblPr>
              <w:tblStyle w:val="63"/>
              <w:tblW w:w="4928"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51"/>
              <w:gridCol w:w="1340"/>
              <w:gridCol w:w="904"/>
              <w:gridCol w:w="803"/>
              <w:gridCol w:w="1049"/>
              <w:gridCol w:w="3510"/>
            </w:tblGrid>
            <w:tr w14:paraId="161C02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77" w:hRule="atLeast"/>
                <w:jc w:val="center"/>
              </w:trPr>
              <w:tc>
                <w:tcPr>
                  <w:tcW w:w="394" w:type="pct"/>
                  <w:tcBorders>
                    <w:top w:val="single" w:color="auto" w:sz="6" w:space="0"/>
                    <w:left w:val="single" w:color="auto" w:sz="6" w:space="0"/>
                    <w:bottom w:val="single" w:color="auto" w:sz="6" w:space="0"/>
                    <w:right w:val="single" w:color="auto" w:sz="6" w:space="0"/>
                  </w:tcBorders>
                  <w:vAlign w:val="center"/>
                </w:tcPr>
                <w:p w14:paraId="111729DA">
                  <w:pPr>
                    <w:snapToGrid w:val="0"/>
                    <w:spacing w:line="32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序号</w:t>
                  </w:r>
                </w:p>
              </w:tc>
              <w:tc>
                <w:tcPr>
                  <w:tcW w:w="811" w:type="pct"/>
                  <w:tcBorders>
                    <w:top w:val="single" w:color="auto" w:sz="6" w:space="0"/>
                    <w:left w:val="single" w:color="auto" w:sz="6" w:space="0"/>
                    <w:bottom w:val="single" w:color="auto" w:sz="6" w:space="0"/>
                    <w:right w:val="single" w:color="auto" w:sz="6" w:space="0"/>
                  </w:tcBorders>
                  <w:vAlign w:val="center"/>
                </w:tcPr>
                <w:p w14:paraId="0C250437">
                  <w:pPr>
                    <w:snapToGrid w:val="0"/>
                    <w:spacing w:line="32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监测点位</w:t>
                  </w:r>
                </w:p>
              </w:tc>
              <w:tc>
                <w:tcPr>
                  <w:tcW w:w="547" w:type="pct"/>
                  <w:tcBorders>
                    <w:top w:val="single" w:color="auto" w:sz="6" w:space="0"/>
                    <w:left w:val="single" w:color="auto" w:sz="6" w:space="0"/>
                    <w:bottom w:val="single" w:color="auto" w:sz="6" w:space="0"/>
                    <w:right w:val="single" w:color="auto" w:sz="6" w:space="0"/>
                  </w:tcBorders>
                  <w:vAlign w:val="center"/>
                </w:tcPr>
                <w:p w14:paraId="1A32F4DD">
                  <w:pPr>
                    <w:snapToGrid w:val="0"/>
                    <w:spacing w:line="32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监测</w:t>
                  </w:r>
                </w:p>
                <w:p w14:paraId="22350A75">
                  <w:pPr>
                    <w:snapToGrid w:val="0"/>
                    <w:spacing w:line="32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项目</w:t>
                  </w:r>
                </w:p>
              </w:tc>
              <w:tc>
                <w:tcPr>
                  <w:tcW w:w="486" w:type="pct"/>
                  <w:tcBorders>
                    <w:top w:val="single" w:color="auto" w:sz="6" w:space="0"/>
                    <w:left w:val="single" w:color="auto" w:sz="6" w:space="0"/>
                    <w:bottom w:val="single" w:color="auto" w:sz="6" w:space="0"/>
                    <w:right w:val="single" w:color="auto" w:sz="6" w:space="0"/>
                  </w:tcBorders>
                  <w:vAlign w:val="center"/>
                </w:tcPr>
                <w:p w14:paraId="4C641FD0">
                  <w:pPr>
                    <w:snapToGrid w:val="0"/>
                    <w:spacing w:line="32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频率</w:t>
                  </w:r>
                </w:p>
              </w:tc>
              <w:tc>
                <w:tcPr>
                  <w:tcW w:w="635" w:type="pct"/>
                  <w:tcBorders>
                    <w:top w:val="single" w:color="auto" w:sz="6" w:space="0"/>
                    <w:left w:val="single" w:color="auto" w:sz="6" w:space="0"/>
                    <w:bottom w:val="single" w:color="auto" w:sz="4" w:space="0"/>
                    <w:right w:val="single" w:color="auto" w:sz="6" w:space="0"/>
                  </w:tcBorders>
                  <w:vAlign w:val="center"/>
                </w:tcPr>
                <w:p w14:paraId="2C4BF659">
                  <w:pPr>
                    <w:snapToGrid w:val="0"/>
                    <w:spacing w:line="32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实施</w:t>
                  </w:r>
                </w:p>
                <w:p w14:paraId="42B5E1A4">
                  <w:pPr>
                    <w:snapToGrid w:val="0"/>
                    <w:spacing w:line="32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单位</w:t>
                  </w:r>
                </w:p>
              </w:tc>
              <w:tc>
                <w:tcPr>
                  <w:tcW w:w="2124" w:type="pct"/>
                  <w:tcBorders>
                    <w:top w:val="single" w:color="auto" w:sz="6" w:space="0"/>
                    <w:left w:val="single" w:color="auto" w:sz="6" w:space="0"/>
                    <w:bottom w:val="single" w:color="auto" w:sz="4" w:space="0"/>
                    <w:right w:val="single" w:color="auto" w:sz="6" w:space="0"/>
                  </w:tcBorders>
                  <w:vAlign w:val="center"/>
                </w:tcPr>
                <w:p w14:paraId="64E0279A">
                  <w:pPr>
                    <w:snapToGrid w:val="0"/>
                    <w:spacing w:line="32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执行标准（mg/m</w:t>
                  </w:r>
                  <w:r>
                    <w:rPr>
                      <w:rFonts w:hint="default" w:ascii="Times New Roman" w:hAnsi="Times New Roman" w:cs="Times New Roman"/>
                      <w:b/>
                      <w:color w:val="auto"/>
                      <w:szCs w:val="21"/>
                      <w:vertAlign w:val="superscript"/>
                    </w:rPr>
                    <w:t>3</w:t>
                  </w:r>
                  <w:r>
                    <w:rPr>
                      <w:rFonts w:hint="default" w:ascii="Times New Roman" w:hAnsi="Times New Roman" w:cs="Times New Roman"/>
                      <w:b/>
                      <w:color w:val="auto"/>
                      <w:szCs w:val="21"/>
                    </w:rPr>
                    <w:t>）</w:t>
                  </w:r>
                </w:p>
              </w:tc>
            </w:tr>
            <w:tr w14:paraId="32C5B7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45" w:hRule="atLeast"/>
                <w:jc w:val="center"/>
              </w:trPr>
              <w:tc>
                <w:tcPr>
                  <w:tcW w:w="394" w:type="pct"/>
                  <w:tcBorders>
                    <w:top w:val="single" w:color="auto" w:sz="6" w:space="0"/>
                    <w:left w:val="single" w:color="auto" w:sz="6" w:space="0"/>
                    <w:bottom w:val="single" w:color="auto" w:sz="6" w:space="0"/>
                    <w:right w:val="single" w:color="auto" w:sz="6" w:space="0"/>
                  </w:tcBorders>
                  <w:vAlign w:val="center"/>
                </w:tcPr>
                <w:p w14:paraId="6DD6A89C">
                  <w:pPr>
                    <w:snapToGrid w:val="0"/>
                    <w:spacing w:line="320" w:lineRule="exact"/>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1</w:t>
                  </w:r>
                </w:p>
              </w:tc>
              <w:tc>
                <w:tcPr>
                  <w:tcW w:w="811" w:type="pct"/>
                  <w:tcBorders>
                    <w:top w:val="single" w:color="auto" w:sz="6" w:space="0"/>
                    <w:left w:val="single" w:color="auto" w:sz="6" w:space="0"/>
                    <w:bottom w:val="single" w:color="auto" w:sz="6" w:space="0"/>
                    <w:right w:val="single" w:color="auto" w:sz="6" w:space="0"/>
                  </w:tcBorders>
                  <w:vAlign w:val="center"/>
                </w:tcPr>
                <w:p w14:paraId="52708320">
                  <w:pPr>
                    <w:snapToGrid w:val="0"/>
                    <w:spacing w:line="320" w:lineRule="exact"/>
                    <w:jc w:val="center"/>
                    <w:rPr>
                      <w:rStyle w:val="77"/>
                      <w:rFonts w:hint="default" w:ascii="Times New Roman" w:hAnsi="Times New Roman" w:cs="Times New Roman"/>
                      <w:color w:val="auto"/>
                    </w:rPr>
                  </w:pPr>
                  <w:r>
                    <w:rPr>
                      <w:rStyle w:val="77"/>
                      <w:rFonts w:hint="default" w:ascii="Times New Roman" w:hAnsi="Times New Roman" w:cs="Times New Roman"/>
                      <w:color w:val="auto"/>
                    </w:rPr>
                    <w:t>项目四周，东南西北各一个监测点</w:t>
                  </w:r>
                </w:p>
              </w:tc>
              <w:tc>
                <w:tcPr>
                  <w:tcW w:w="547" w:type="pct"/>
                  <w:tcBorders>
                    <w:top w:val="single" w:color="auto" w:sz="6" w:space="0"/>
                    <w:left w:val="single" w:color="auto" w:sz="6" w:space="0"/>
                    <w:bottom w:val="single" w:color="auto" w:sz="6" w:space="0"/>
                    <w:right w:val="single" w:color="auto" w:sz="6" w:space="0"/>
                  </w:tcBorders>
                  <w:vAlign w:val="center"/>
                </w:tcPr>
                <w:p w14:paraId="799C7C32">
                  <w:pPr>
                    <w:adjustRightInd w:val="0"/>
                    <w:snapToGrid w:val="0"/>
                    <w:spacing w:line="320" w:lineRule="exact"/>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噪声</w:t>
                  </w:r>
                </w:p>
              </w:tc>
              <w:tc>
                <w:tcPr>
                  <w:tcW w:w="486" w:type="pct"/>
                  <w:tcBorders>
                    <w:top w:val="single" w:color="auto" w:sz="6" w:space="0"/>
                    <w:left w:val="single" w:color="auto" w:sz="6" w:space="0"/>
                    <w:bottom w:val="single" w:color="auto" w:sz="6" w:space="0"/>
                    <w:right w:val="single" w:color="auto" w:sz="6" w:space="0"/>
                  </w:tcBorders>
                  <w:vAlign w:val="center"/>
                </w:tcPr>
                <w:p w14:paraId="70320F56">
                  <w:pPr>
                    <w:snapToGrid w:val="0"/>
                    <w:spacing w:line="320" w:lineRule="exact"/>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每季度1次</w:t>
                  </w:r>
                </w:p>
              </w:tc>
              <w:tc>
                <w:tcPr>
                  <w:tcW w:w="635" w:type="pct"/>
                  <w:tcBorders>
                    <w:top w:val="single" w:color="auto" w:sz="6" w:space="0"/>
                    <w:left w:val="single" w:color="auto" w:sz="6" w:space="0"/>
                    <w:bottom w:val="single" w:color="auto" w:sz="6" w:space="0"/>
                    <w:right w:val="single" w:color="auto" w:sz="6" w:space="0"/>
                  </w:tcBorders>
                  <w:vAlign w:val="center"/>
                </w:tcPr>
                <w:p w14:paraId="561E94FD">
                  <w:pPr>
                    <w:snapToGrid w:val="0"/>
                    <w:spacing w:line="320" w:lineRule="exact"/>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有资质的监测单位</w:t>
                  </w:r>
                </w:p>
              </w:tc>
              <w:tc>
                <w:tcPr>
                  <w:tcW w:w="2124" w:type="pct"/>
                  <w:tcBorders>
                    <w:top w:val="single" w:color="auto" w:sz="6" w:space="0"/>
                    <w:left w:val="single" w:color="auto" w:sz="6" w:space="0"/>
                    <w:bottom w:val="single" w:color="auto" w:sz="6" w:space="0"/>
                    <w:right w:val="single" w:color="auto" w:sz="6" w:space="0"/>
                  </w:tcBorders>
                  <w:vAlign w:val="center"/>
                </w:tcPr>
                <w:p w14:paraId="3DA27445">
                  <w:pPr>
                    <w:snapToGrid w:val="0"/>
                    <w:spacing w:line="320" w:lineRule="exact"/>
                    <w:jc w:val="center"/>
                    <w:rPr>
                      <w:rFonts w:hint="default" w:ascii="Times New Roman" w:hAnsi="Times New Roman" w:cs="Times New Roman"/>
                      <w:bCs/>
                      <w:color w:val="auto"/>
                      <w:szCs w:val="21"/>
                    </w:rPr>
                  </w:pPr>
                  <w:r>
                    <w:rPr>
                      <w:rFonts w:hint="default" w:ascii="Times New Roman" w:hAnsi="Times New Roman" w:eastAsia="宋体" w:cs="Times New Roman"/>
                      <w:bCs/>
                      <w:color w:val="auto"/>
                      <w:szCs w:val="21"/>
                      <w:lang w:eastAsia="zh-CN"/>
                    </w:rPr>
                    <w:t>《工业企业厂界环境噪声排放标准》（GB12348-2008）中3类标准</w:t>
                  </w:r>
                </w:p>
              </w:tc>
            </w:tr>
          </w:tbl>
          <w:p w14:paraId="562E724C">
            <w:pPr>
              <w:spacing w:line="360" w:lineRule="auto"/>
              <w:ind w:firstLine="480" w:firstLineChars="200"/>
              <w:rPr>
                <w:rFonts w:hint="default" w:ascii="Times New Roman" w:hAnsi="Times New Roman" w:cs="Times New Roman"/>
                <w:color w:val="auto"/>
                <w:sz w:val="24"/>
              </w:rPr>
            </w:pPr>
          </w:p>
        </w:tc>
      </w:tr>
      <w:tr w14:paraId="0CB1F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452" w:type="dxa"/>
            <w:vMerge w:val="continue"/>
            <w:shd w:val="clear" w:color="auto" w:fill="auto"/>
          </w:tcPr>
          <w:p w14:paraId="21964193">
            <w:pPr>
              <w:tabs>
                <w:tab w:val="left" w:pos="1077"/>
              </w:tabs>
              <w:rPr>
                <w:rFonts w:hint="default" w:ascii="Times New Roman" w:hAnsi="Times New Roman" w:cs="Times New Roman"/>
                <w:color w:val="auto"/>
                <w:sz w:val="24"/>
              </w:rPr>
            </w:pPr>
          </w:p>
        </w:tc>
        <w:tc>
          <w:tcPr>
            <w:tcW w:w="8609" w:type="dxa"/>
            <w:shd w:val="clear" w:color="auto" w:fill="auto"/>
          </w:tcPr>
          <w:p w14:paraId="6060CB0F">
            <w:pPr>
              <w:keepNext/>
              <w:keepLines/>
              <w:spacing w:line="360" w:lineRule="auto"/>
              <w:ind w:firstLine="472" w:firstLineChars="196"/>
              <w:outlineLvl w:val="2"/>
              <w:rPr>
                <w:rFonts w:hint="default" w:ascii="Times New Roman" w:hAnsi="Times New Roman" w:cs="Times New Roman"/>
                <w:b/>
                <w:bCs/>
                <w:color w:val="auto"/>
                <w:sz w:val="24"/>
                <w:szCs w:val="32"/>
              </w:rPr>
            </w:pPr>
            <w:r>
              <w:rPr>
                <w:rFonts w:hint="default" w:ascii="Times New Roman" w:hAnsi="Times New Roman" w:cs="Times New Roman"/>
                <w:b/>
                <w:bCs/>
                <w:color w:val="auto"/>
                <w:sz w:val="24"/>
                <w:szCs w:val="32"/>
              </w:rPr>
              <w:t>四、固体废物环境影响和保护措施</w:t>
            </w:r>
          </w:p>
          <w:p w14:paraId="0D579D88">
            <w:pPr>
              <w:spacing w:line="360" w:lineRule="auto"/>
              <w:ind w:firstLine="482" w:firstLineChars="200"/>
              <w:rPr>
                <w:rFonts w:hint="default" w:ascii="Times New Roman" w:hAnsi="Times New Roman" w:cs="Times New Roman"/>
                <w:b/>
                <w:color w:val="auto"/>
                <w:sz w:val="24"/>
              </w:rPr>
            </w:pPr>
            <w:r>
              <w:rPr>
                <w:rFonts w:hint="default" w:ascii="Times New Roman" w:hAnsi="Times New Roman" w:cs="Times New Roman"/>
                <w:b/>
                <w:color w:val="auto"/>
                <w:sz w:val="24"/>
              </w:rPr>
              <w:t>1、固体废物产生情况</w:t>
            </w:r>
          </w:p>
          <w:p w14:paraId="233E4DF1">
            <w:pPr>
              <w:spacing w:line="360" w:lineRule="auto"/>
              <w:ind w:firstLine="480" w:firstLineChars="200"/>
              <w:rPr>
                <w:rFonts w:hint="default" w:ascii="Times New Roman" w:hAnsi="Times New Roman" w:cs="Times New Roman"/>
                <w:color w:val="auto"/>
                <w:kern w:val="0"/>
                <w:sz w:val="24"/>
                <w:szCs w:val="20"/>
              </w:rPr>
            </w:pPr>
            <w:r>
              <w:rPr>
                <w:rFonts w:hint="default" w:ascii="Times New Roman" w:hAnsi="Times New Roman" w:cs="Times New Roman"/>
                <w:color w:val="auto"/>
                <w:kern w:val="0"/>
                <w:sz w:val="24"/>
                <w:szCs w:val="20"/>
              </w:rPr>
              <w:t>项目固体废物主要分为：一般工业固体废物、危险废物和生活垃圾。</w:t>
            </w:r>
          </w:p>
          <w:p w14:paraId="2EDB08CA">
            <w:pPr>
              <w:spacing w:line="360" w:lineRule="auto"/>
              <w:ind w:firstLine="480" w:firstLineChars="200"/>
              <w:rPr>
                <w:rFonts w:hint="default" w:ascii="Times New Roman" w:hAnsi="Times New Roman" w:cs="Times New Roman"/>
                <w:color w:val="auto"/>
                <w:kern w:val="0"/>
                <w:sz w:val="24"/>
                <w:szCs w:val="20"/>
              </w:rPr>
            </w:pPr>
            <w:r>
              <w:rPr>
                <w:rFonts w:hint="default" w:ascii="Times New Roman" w:hAnsi="Times New Roman" w:cs="Times New Roman"/>
                <w:color w:val="auto"/>
                <w:kern w:val="0"/>
                <w:sz w:val="24"/>
                <w:szCs w:val="20"/>
              </w:rPr>
              <w:t>（1）一般工业固废</w:t>
            </w:r>
          </w:p>
          <w:p w14:paraId="2A3216ED">
            <w:pPr>
              <w:spacing w:line="360" w:lineRule="auto"/>
              <w:ind w:firstLine="480"/>
              <w:rPr>
                <w:rFonts w:hint="default" w:ascii="Times New Roman" w:hAnsi="Times New Roman" w:eastAsia="宋体" w:cs="Times New Roman"/>
                <w:color w:val="auto"/>
                <w:sz w:val="24"/>
                <w:lang w:eastAsia="zh-CN"/>
              </w:rPr>
            </w:pPr>
            <w:r>
              <w:rPr>
                <w:rFonts w:hint="default" w:ascii="Times New Roman" w:hAnsi="Times New Roman" w:cs="Times New Roman"/>
                <w:color w:val="auto"/>
                <w:sz w:val="24"/>
              </w:rPr>
              <w:t>①</w:t>
            </w:r>
            <w:r>
              <w:rPr>
                <w:rFonts w:hint="default" w:ascii="Times New Roman" w:hAnsi="Times New Roman" w:cs="Times New Roman"/>
                <w:color w:val="auto"/>
                <w:sz w:val="24"/>
                <w:lang w:eastAsia="zh-CN"/>
              </w:rPr>
              <w:t>不合格品</w:t>
            </w:r>
          </w:p>
          <w:p w14:paraId="2DD146AA">
            <w:pPr>
              <w:spacing w:line="360" w:lineRule="auto"/>
              <w:ind w:firstLine="480" w:firstLineChars="200"/>
              <w:rPr>
                <w:rFonts w:hint="default" w:ascii="Times New Roman" w:hAnsi="Times New Roman" w:cs="Times New Roman"/>
                <w:color w:val="auto"/>
                <w:sz w:val="24"/>
                <w:lang w:eastAsia="zh-CN"/>
              </w:rPr>
            </w:pPr>
            <w:r>
              <w:rPr>
                <w:rFonts w:hint="default" w:ascii="Times New Roman" w:hAnsi="Times New Roman" w:cs="Times New Roman"/>
                <w:color w:val="auto"/>
                <w:sz w:val="24"/>
                <w:lang w:eastAsia="zh-CN"/>
              </w:rPr>
              <w:t>项目检验过程中会产生不合格品，</w:t>
            </w:r>
            <w:r>
              <w:rPr>
                <w:rFonts w:hint="default" w:ascii="Times New Roman" w:hAnsi="Times New Roman" w:cs="Times New Roman"/>
                <w:color w:val="auto"/>
                <w:kern w:val="0"/>
                <w:sz w:val="24"/>
                <w:szCs w:val="20"/>
              </w:rPr>
              <w:t>根据</w:t>
            </w:r>
            <w:r>
              <w:rPr>
                <w:rFonts w:hint="default" w:ascii="Times New Roman" w:hAnsi="Times New Roman" w:cs="Times New Roman"/>
                <w:color w:val="auto"/>
                <w:sz w:val="24"/>
                <w:lang w:eastAsia="zh-CN"/>
              </w:rPr>
              <w:t>建设单位</w:t>
            </w:r>
            <w:r>
              <w:rPr>
                <w:rFonts w:hint="default" w:ascii="Times New Roman" w:hAnsi="Times New Roman" w:cs="Times New Roman"/>
                <w:color w:val="auto"/>
                <w:sz w:val="24"/>
              </w:rPr>
              <w:t>提供的资料以及同类项</w:t>
            </w:r>
            <w:r>
              <w:rPr>
                <w:rFonts w:hint="default" w:ascii="Times New Roman" w:hAnsi="Times New Roman" w:eastAsia="宋体" w:cs="Times New Roman"/>
                <w:color w:val="auto"/>
                <w:sz w:val="24"/>
              </w:rPr>
              <w:t>目类比分析</w:t>
            </w:r>
            <w:r>
              <w:rPr>
                <w:rFonts w:hint="default" w:ascii="Times New Roman" w:hAnsi="Times New Roman" w:eastAsia="宋体" w:cs="Times New Roman"/>
                <w:color w:val="auto"/>
                <w:sz w:val="24"/>
                <w:lang w:eastAsia="zh-CN"/>
              </w:rPr>
              <w:t>可知，不合格品产生量约</w:t>
            </w:r>
            <w:r>
              <w:rPr>
                <w:rFonts w:hint="default" w:ascii="Times New Roman" w:hAnsi="Times New Roman" w:cs="Times New Roman"/>
                <w:color w:val="auto"/>
                <w:sz w:val="24"/>
                <w:lang w:val="en-US" w:eastAsia="zh-CN"/>
              </w:rPr>
              <w:t>1</w:t>
            </w:r>
            <w:r>
              <w:rPr>
                <w:rFonts w:hint="default" w:ascii="Times New Roman" w:hAnsi="Times New Roman" w:eastAsia="宋体" w:cs="Times New Roman"/>
                <w:color w:val="auto"/>
                <w:sz w:val="24"/>
                <w:lang w:val="en-US" w:eastAsia="zh-CN"/>
              </w:rPr>
              <w:t>t/a。</w:t>
            </w:r>
            <w:r>
              <w:rPr>
                <w:rFonts w:hint="default" w:ascii="Times New Roman" w:hAnsi="Times New Roman" w:cs="Times New Roman"/>
                <w:color w:val="auto"/>
                <w:sz w:val="24"/>
                <w:szCs w:val="24"/>
              </w:rPr>
              <w:t>根据《</w:t>
            </w:r>
            <w:r>
              <w:rPr>
                <w:rFonts w:hint="default" w:ascii="Times New Roman" w:hAnsi="Times New Roman" w:eastAsia="宋体" w:cs="Times New Roman"/>
                <w:color w:val="auto"/>
                <w:sz w:val="24"/>
                <w:szCs w:val="24"/>
              </w:rPr>
              <w:t>固体废物分类与代码</w:t>
            </w:r>
            <w:r>
              <w:rPr>
                <w:rFonts w:hint="default" w:ascii="Times New Roman" w:hAnsi="Times New Roman" w:eastAsia="宋体" w:cs="Times New Roman"/>
                <w:color w:val="auto"/>
                <w:sz w:val="24"/>
                <w:szCs w:val="24"/>
                <w:lang w:val="en-US" w:eastAsia="zh-CN"/>
              </w:rPr>
              <w:t>目录</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公告2024年第4号</w:t>
            </w:r>
            <w:r>
              <w:rPr>
                <w:rFonts w:hint="default" w:ascii="Times New Roman" w:hAnsi="Times New Roman" w:eastAsia="宋体" w:cs="Times New Roman"/>
                <w:color w:val="auto"/>
                <w:sz w:val="24"/>
                <w:szCs w:val="24"/>
              </w:rPr>
              <w:t>）（废物类别为SW</w:t>
            </w:r>
            <w:r>
              <w:rPr>
                <w:rFonts w:hint="default" w:ascii="Times New Roman" w:hAnsi="Times New Roman" w:cs="Times New Roman"/>
                <w:color w:val="auto"/>
                <w:sz w:val="24"/>
                <w:szCs w:val="24"/>
                <w:lang w:val="en-US" w:eastAsia="zh-CN"/>
              </w:rPr>
              <w:t>17</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可再生类废物</w:t>
            </w:r>
            <w:r>
              <w:rPr>
                <w:rFonts w:hint="default" w:ascii="Times New Roman" w:hAnsi="Times New Roman" w:eastAsia="宋体" w:cs="Times New Roman"/>
                <w:color w:val="auto"/>
                <w:sz w:val="24"/>
                <w:szCs w:val="24"/>
              </w:rPr>
              <w:t>，废物代码为900-0</w:t>
            </w:r>
            <w:r>
              <w:rPr>
                <w:rFonts w:hint="default" w:ascii="Times New Roman" w:hAnsi="Times New Roman" w:cs="Times New Roman"/>
                <w:color w:val="auto"/>
                <w:sz w:val="24"/>
                <w:szCs w:val="24"/>
                <w:lang w:val="en-US" w:eastAsia="zh-CN"/>
              </w:rPr>
              <w:t>01</w:t>
            </w:r>
            <w:r>
              <w:rPr>
                <w:rFonts w:hint="default" w:ascii="Times New Roman" w:hAnsi="Times New Roman" w:eastAsia="宋体" w:cs="Times New Roman"/>
                <w:color w:val="auto"/>
                <w:sz w:val="24"/>
                <w:szCs w:val="24"/>
              </w:rPr>
              <w:t>-S</w:t>
            </w:r>
            <w:r>
              <w:rPr>
                <w:rFonts w:hint="default" w:ascii="Times New Roman" w:hAnsi="Times New Roman" w:cs="Times New Roman"/>
                <w:color w:val="auto"/>
                <w:sz w:val="24"/>
                <w:szCs w:val="24"/>
                <w:lang w:val="en-US" w:eastAsia="zh-CN"/>
              </w:rPr>
              <w:t>17）</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rPr>
              <w:t>收集后</w:t>
            </w:r>
            <w:r>
              <w:rPr>
                <w:rFonts w:hint="eastAsia" w:ascii="Times New Roman" w:hAnsi="Times New Roman" w:cs="Times New Roman"/>
                <w:color w:val="auto"/>
                <w:sz w:val="24"/>
                <w:lang w:val="en-US" w:eastAsia="zh-CN"/>
              </w:rPr>
              <w:t>外售</w:t>
            </w:r>
            <w:r>
              <w:rPr>
                <w:rFonts w:hint="default" w:ascii="Times New Roman" w:hAnsi="Times New Roman" w:cs="Times New Roman"/>
                <w:color w:val="auto"/>
                <w:sz w:val="24"/>
                <w:lang w:eastAsia="zh-CN"/>
              </w:rPr>
              <w:t>。</w:t>
            </w:r>
          </w:p>
          <w:p w14:paraId="2DAF56BF">
            <w:pPr>
              <w:spacing w:line="360" w:lineRule="auto"/>
              <w:ind w:firstLine="480"/>
              <w:rPr>
                <w:rFonts w:hint="default" w:ascii="Times New Roman" w:hAnsi="Times New Roman" w:cs="Times New Roman"/>
                <w:color w:val="auto"/>
                <w:sz w:val="24"/>
                <w:lang w:eastAsia="zh-CN"/>
              </w:rPr>
            </w:pPr>
            <w:r>
              <w:rPr>
                <w:rFonts w:hint="default" w:ascii="Times New Roman" w:hAnsi="Times New Roman" w:cs="Times New Roman"/>
                <w:color w:val="auto"/>
                <w:sz w:val="24"/>
              </w:rPr>
              <w:t>②</w:t>
            </w:r>
            <w:r>
              <w:rPr>
                <w:rFonts w:hint="default" w:ascii="Times New Roman" w:hAnsi="Times New Roman" w:cs="Times New Roman"/>
                <w:color w:val="auto"/>
                <w:sz w:val="24"/>
                <w:lang w:eastAsia="zh-CN"/>
              </w:rPr>
              <w:t>废包装材料</w:t>
            </w:r>
          </w:p>
          <w:p w14:paraId="1A541FDA">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kern w:val="0"/>
                <w:sz w:val="24"/>
                <w:szCs w:val="20"/>
              </w:rPr>
              <w:t>根据</w:t>
            </w:r>
            <w:r>
              <w:rPr>
                <w:rFonts w:hint="default" w:ascii="Times New Roman" w:hAnsi="Times New Roman" w:cs="Times New Roman"/>
                <w:color w:val="auto"/>
                <w:sz w:val="24"/>
                <w:lang w:eastAsia="zh-CN"/>
              </w:rPr>
              <w:t>建设单位</w:t>
            </w:r>
            <w:r>
              <w:rPr>
                <w:rFonts w:hint="default" w:ascii="Times New Roman" w:hAnsi="Times New Roman" w:cs="Times New Roman"/>
                <w:color w:val="auto"/>
                <w:sz w:val="24"/>
              </w:rPr>
              <w:t>提供的资料以及同类项</w:t>
            </w:r>
            <w:r>
              <w:rPr>
                <w:rFonts w:hint="default" w:ascii="Times New Roman" w:hAnsi="Times New Roman" w:eastAsia="宋体" w:cs="Times New Roman"/>
                <w:color w:val="auto"/>
                <w:sz w:val="24"/>
              </w:rPr>
              <w:t>目类比分析</w:t>
            </w:r>
            <w:r>
              <w:rPr>
                <w:rFonts w:hint="default" w:ascii="Times New Roman" w:hAnsi="Times New Roman" w:eastAsia="宋体" w:cs="Times New Roman"/>
                <w:color w:val="auto"/>
                <w:sz w:val="24"/>
                <w:lang w:eastAsia="zh-CN"/>
              </w:rPr>
              <w:t>可知，</w:t>
            </w:r>
            <w:r>
              <w:rPr>
                <w:rFonts w:hint="default" w:ascii="Times New Roman" w:hAnsi="Times New Roman" w:cs="Times New Roman"/>
                <w:color w:val="auto"/>
                <w:sz w:val="24"/>
              </w:rPr>
              <w:t>在生产运行中会产生废包装材料，年产生量约为</w:t>
            </w:r>
            <w:r>
              <w:rPr>
                <w:rFonts w:hint="default" w:ascii="Times New Roman" w:hAnsi="Times New Roman" w:cs="Times New Roman"/>
                <w:color w:val="auto"/>
                <w:sz w:val="24"/>
                <w:lang w:val="en-US" w:eastAsia="zh-CN"/>
              </w:rPr>
              <w:t>2</w:t>
            </w:r>
            <w:r>
              <w:rPr>
                <w:rFonts w:hint="default" w:ascii="Times New Roman" w:hAnsi="Times New Roman" w:cs="Times New Roman"/>
                <w:color w:val="auto"/>
                <w:sz w:val="24"/>
              </w:rPr>
              <w:t>t/a，</w:t>
            </w:r>
            <w:r>
              <w:rPr>
                <w:rFonts w:hint="default" w:ascii="Times New Roman" w:hAnsi="Times New Roman" w:eastAsia="宋体" w:cs="Times New Roman"/>
                <w:color w:val="auto"/>
                <w:sz w:val="24"/>
                <w:szCs w:val="24"/>
              </w:rPr>
              <w:t>根据《固体废物分类与代码</w:t>
            </w:r>
            <w:r>
              <w:rPr>
                <w:rFonts w:hint="default" w:ascii="Times New Roman" w:hAnsi="Times New Roman" w:eastAsia="宋体" w:cs="Times New Roman"/>
                <w:color w:val="auto"/>
                <w:sz w:val="24"/>
                <w:szCs w:val="24"/>
                <w:lang w:val="en-US" w:eastAsia="zh-CN"/>
              </w:rPr>
              <w:t>目录</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公告2024年第4号</w:t>
            </w:r>
            <w:r>
              <w:rPr>
                <w:rFonts w:hint="default" w:ascii="Times New Roman" w:hAnsi="Times New Roman" w:eastAsia="宋体" w:cs="Times New Roman"/>
                <w:color w:val="auto"/>
                <w:sz w:val="24"/>
                <w:szCs w:val="24"/>
              </w:rPr>
              <w:t>）（废物类别为SW17—可再生类废物，废物代码为900-003-S17），此类固废主要为纸质包装箱、塑料薄膜和编织袋，</w:t>
            </w:r>
            <w:r>
              <w:rPr>
                <w:rFonts w:hint="default" w:ascii="Times New Roman" w:hAnsi="Times New Roman" w:eastAsia="宋体" w:cs="Times New Roman"/>
                <w:color w:val="auto"/>
                <w:kern w:val="0"/>
                <w:sz w:val="24"/>
                <w:szCs w:val="24"/>
                <w:lang w:val="en-US" w:eastAsia="zh-CN"/>
              </w:rPr>
              <w:t>收集后外售。</w:t>
            </w:r>
          </w:p>
          <w:p w14:paraId="4131E075">
            <w:pPr>
              <w:spacing w:line="360" w:lineRule="auto"/>
              <w:ind w:firstLine="480"/>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lang w:eastAsia="zh-CN"/>
              </w:rPr>
              <w:t>③</w:t>
            </w:r>
            <w:r>
              <w:rPr>
                <w:rFonts w:hint="default" w:ascii="Times New Roman" w:hAnsi="Times New Roman" w:cs="Times New Roman"/>
                <w:color w:val="auto"/>
                <w:sz w:val="24"/>
                <w:lang w:eastAsia="zh-CN"/>
              </w:rPr>
              <w:t>布袋除尘器收集的粉尘</w:t>
            </w:r>
          </w:p>
          <w:p w14:paraId="07105744">
            <w:pPr>
              <w:spacing w:line="360" w:lineRule="auto"/>
              <w:ind w:firstLine="48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kern w:val="0"/>
                <w:sz w:val="24"/>
                <w:szCs w:val="24"/>
                <w:lang w:val="en-US" w:eastAsia="zh-CN"/>
              </w:rPr>
              <w:t>根据前述工程分析，</w:t>
            </w:r>
            <w:r>
              <w:rPr>
                <w:rFonts w:hint="default" w:ascii="Times New Roman" w:hAnsi="Times New Roman" w:eastAsia="宋体" w:cs="Times New Roman"/>
                <w:color w:val="auto"/>
                <w:sz w:val="24"/>
                <w:szCs w:val="24"/>
              </w:rPr>
              <w:t>产生量约为</w:t>
            </w:r>
            <w:r>
              <w:rPr>
                <w:rFonts w:hint="eastAsia" w:cs="Times New Roman"/>
                <w:color w:val="auto"/>
                <w:sz w:val="24"/>
                <w:szCs w:val="24"/>
                <w:lang w:val="en-US" w:eastAsia="zh-CN"/>
              </w:rPr>
              <w:t>1.951</w:t>
            </w:r>
            <w:r>
              <w:rPr>
                <w:rFonts w:hint="default" w:ascii="Times New Roman" w:hAnsi="Times New Roman" w:eastAsia="宋体" w:cs="Times New Roman"/>
                <w:color w:val="auto"/>
                <w:sz w:val="24"/>
                <w:szCs w:val="24"/>
              </w:rPr>
              <w:t>t/a，根据《固体废物分类与代码</w:t>
            </w:r>
            <w:r>
              <w:rPr>
                <w:rFonts w:hint="default" w:ascii="Times New Roman" w:hAnsi="Times New Roman" w:eastAsia="宋体" w:cs="Times New Roman"/>
                <w:color w:val="auto"/>
                <w:sz w:val="24"/>
                <w:szCs w:val="24"/>
                <w:lang w:val="en-US" w:eastAsia="zh-CN"/>
              </w:rPr>
              <w:t>目录</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公</w:t>
            </w:r>
            <w:r>
              <w:rPr>
                <w:rFonts w:hint="default" w:ascii="Times New Roman" w:hAnsi="Times New Roman" w:eastAsia="宋体" w:cs="Times New Roman"/>
                <w:color w:val="auto"/>
                <w:kern w:val="0"/>
                <w:sz w:val="24"/>
                <w:szCs w:val="24"/>
                <w:lang w:val="en-US" w:eastAsia="zh-CN"/>
              </w:rPr>
              <w:t>告2024年第4号）（废物类别为SW59—其他工业固体废物，废物代码为900-0</w:t>
            </w:r>
            <w:r>
              <w:rPr>
                <w:rFonts w:hint="default" w:ascii="Times New Roman" w:hAnsi="Times New Roman" w:eastAsia="宋体" w:cs="Times New Roman"/>
                <w:color w:val="auto"/>
                <w:sz w:val="24"/>
                <w:lang w:val="en-US" w:eastAsia="zh-CN"/>
              </w:rPr>
              <w:t>99-S59）。收集后外售。</w:t>
            </w:r>
          </w:p>
          <w:p w14:paraId="4A101B0C">
            <w:pPr>
              <w:spacing w:line="360" w:lineRule="auto"/>
              <w:ind w:firstLine="480" w:firstLineChars="200"/>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color w:val="auto"/>
                <w:kern w:val="0"/>
                <w:sz w:val="24"/>
                <w:szCs w:val="24"/>
                <w:lang w:val="en-US" w:eastAsia="zh-CN"/>
              </w:rPr>
              <w:t>④废</w:t>
            </w:r>
            <w:r>
              <w:rPr>
                <w:rFonts w:hint="default" w:ascii="Times New Roman" w:hAnsi="Times New Roman" w:cs="Times New Roman"/>
                <w:color w:val="auto"/>
                <w:kern w:val="0"/>
                <w:sz w:val="24"/>
                <w:szCs w:val="24"/>
                <w:lang w:val="en-US" w:eastAsia="zh-CN"/>
              </w:rPr>
              <w:t>钢丸</w:t>
            </w:r>
          </w:p>
          <w:p w14:paraId="2530E416">
            <w:pPr>
              <w:spacing w:line="360" w:lineRule="auto"/>
              <w:ind w:firstLine="480" w:firstLineChars="200"/>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color w:val="auto"/>
                <w:kern w:val="0"/>
                <w:sz w:val="24"/>
                <w:szCs w:val="24"/>
                <w:lang w:val="en-US" w:eastAsia="zh-CN"/>
              </w:rPr>
              <w:t>项目</w:t>
            </w:r>
            <w:r>
              <w:rPr>
                <w:rFonts w:hint="default" w:ascii="Times New Roman" w:hAnsi="Times New Roman" w:cs="Times New Roman"/>
                <w:color w:val="auto"/>
                <w:kern w:val="0"/>
                <w:sz w:val="24"/>
                <w:szCs w:val="24"/>
                <w:lang w:val="en-US" w:eastAsia="zh-CN"/>
              </w:rPr>
              <w:t>抛丸</w:t>
            </w:r>
            <w:r>
              <w:rPr>
                <w:rFonts w:hint="default" w:ascii="Times New Roman" w:hAnsi="Times New Roman" w:eastAsia="宋体" w:cs="Times New Roman"/>
                <w:color w:val="auto"/>
                <w:kern w:val="0"/>
                <w:sz w:val="24"/>
                <w:szCs w:val="24"/>
                <w:lang w:val="en-US" w:eastAsia="zh-CN"/>
              </w:rPr>
              <w:t>工序会产生废</w:t>
            </w:r>
            <w:r>
              <w:rPr>
                <w:rFonts w:hint="default" w:ascii="Times New Roman" w:hAnsi="Times New Roman" w:cs="Times New Roman"/>
                <w:color w:val="auto"/>
                <w:kern w:val="0"/>
                <w:sz w:val="24"/>
                <w:szCs w:val="24"/>
                <w:lang w:val="en-US" w:eastAsia="zh-CN"/>
              </w:rPr>
              <w:t>钢丸</w:t>
            </w:r>
            <w:r>
              <w:rPr>
                <w:rFonts w:hint="default" w:ascii="Times New Roman" w:hAnsi="Times New Roman" w:eastAsia="宋体" w:cs="Times New Roman"/>
                <w:color w:val="auto"/>
                <w:kern w:val="0"/>
                <w:sz w:val="24"/>
                <w:szCs w:val="24"/>
                <w:lang w:val="en-US" w:eastAsia="zh-CN"/>
              </w:rPr>
              <w:t>，</w:t>
            </w:r>
            <w:r>
              <w:rPr>
                <w:rFonts w:hint="default" w:ascii="Times New Roman" w:hAnsi="Times New Roman" w:cs="Times New Roman"/>
                <w:color w:val="auto"/>
                <w:kern w:val="0"/>
                <w:sz w:val="24"/>
                <w:szCs w:val="20"/>
              </w:rPr>
              <w:t>根据</w:t>
            </w:r>
            <w:r>
              <w:rPr>
                <w:rFonts w:hint="default" w:ascii="Times New Roman" w:hAnsi="Times New Roman" w:cs="Times New Roman"/>
                <w:color w:val="auto"/>
                <w:sz w:val="24"/>
                <w:lang w:eastAsia="zh-CN"/>
              </w:rPr>
              <w:t>建设单位</w:t>
            </w:r>
            <w:r>
              <w:rPr>
                <w:rFonts w:hint="default" w:ascii="Times New Roman" w:hAnsi="Times New Roman" w:cs="Times New Roman"/>
                <w:color w:val="auto"/>
                <w:sz w:val="24"/>
              </w:rPr>
              <w:t>提供的资料以及同类项</w:t>
            </w:r>
            <w:r>
              <w:rPr>
                <w:rFonts w:hint="default" w:ascii="Times New Roman" w:hAnsi="Times New Roman" w:eastAsia="宋体" w:cs="Times New Roman"/>
                <w:color w:val="auto"/>
                <w:sz w:val="24"/>
              </w:rPr>
              <w:t>目类比分析</w:t>
            </w:r>
            <w:r>
              <w:rPr>
                <w:rFonts w:hint="default" w:ascii="Times New Roman" w:hAnsi="Times New Roman" w:eastAsia="宋体" w:cs="Times New Roman"/>
                <w:color w:val="auto"/>
                <w:sz w:val="24"/>
                <w:lang w:eastAsia="zh-CN"/>
              </w:rPr>
              <w:t>可知，</w:t>
            </w:r>
            <w:r>
              <w:rPr>
                <w:rFonts w:hint="default" w:ascii="Times New Roman" w:hAnsi="Times New Roman" w:eastAsia="宋体" w:cs="Times New Roman"/>
                <w:color w:val="auto"/>
                <w:kern w:val="0"/>
                <w:sz w:val="24"/>
                <w:szCs w:val="24"/>
                <w:lang w:val="en-US" w:eastAsia="zh-CN"/>
              </w:rPr>
              <w:t>产生量约0.01t/a。</w:t>
            </w:r>
            <w:r>
              <w:rPr>
                <w:rFonts w:hint="default" w:ascii="Times New Roman" w:hAnsi="Times New Roman" w:eastAsia="宋体" w:cs="Times New Roman"/>
                <w:color w:val="auto"/>
                <w:sz w:val="24"/>
                <w:szCs w:val="24"/>
              </w:rPr>
              <w:t>根据《固体废物分类与代码</w:t>
            </w:r>
            <w:r>
              <w:rPr>
                <w:rFonts w:hint="default" w:ascii="Times New Roman" w:hAnsi="Times New Roman" w:eastAsia="宋体" w:cs="Times New Roman"/>
                <w:color w:val="auto"/>
                <w:sz w:val="24"/>
                <w:szCs w:val="24"/>
                <w:lang w:val="en-US" w:eastAsia="zh-CN"/>
              </w:rPr>
              <w:t>目录</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公</w:t>
            </w:r>
            <w:r>
              <w:rPr>
                <w:rFonts w:hint="default" w:ascii="Times New Roman" w:hAnsi="Times New Roman" w:eastAsia="宋体" w:cs="Times New Roman"/>
                <w:color w:val="auto"/>
                <w:kern w:val="0"/>
                <w:sz w:val="24"/>
                <w:szCs w:val="24"/>
                <w:lang w:val="en-US" w:eastAsia="zh-CN"/>
              </w:rPr>
              <w:t>告2024年第4号）（废物类别为SW59—其他工业固体废物，废物代码为900-099-S59）。收集后外售。</w:t>
            </w:r>
          </w:p>
          <w:p w14:paraId="2BB70AEC">
            <w:pPr>
              <w:spacing w:line="360" w:lineRule="auto"/>
              <w:ind w:firstLine="480" w:firstLineChars="200"/>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rPr>
              <w:t>⑤</w:t>
            </w:r>
            <w:r>
              <w:rPr>
                <w:rFonts w:hint="default" w:ascii="Times New Roman" w:hAnsi="Times New Roman" w:cs="Times New Roman"/>
                <w:color w:val="auto"/>
                <w:sz w:val="24"/>
                <w:lang w:eastAsia="zh-CN"/>
              </w:rPr>
              <w:t>废金属屑及边角料</w:t>
            </w:r>
          </w:p>
          <w:p w14:paraId="5162562E">
            <w:pPr>
              <w:spacing w:line="360" w:lineRule="auto"/>
              <w:ind w:firstLine="480" w:firstLineChars="200"/>
              <w:rPr>
                <w:rFonts w:hint="default" w:ascii="Times New Roman" w:hAnsi="Times New Roman" w:cs="Times New Roman"/>
                <w:color w:val="auto"/>
                <w:sz w:val="24"/>
              </w:rPr>
            </w:pPr>
            <w:r>
              <w:rPr>
                <w:rFonts w:hint="default" w:ascii="Times New Roman" w:hAnsi="Times New Roman" w:eastAsia="宋体" w:cs="Times New Roman"/>
                <w:color w:val="auto"/>
                <w:sz w:val="24"/>
                <w:szCs w:val="24"/>
                <w:lang w:val="en-US" w:eastAsia="zh-CN"/>
              </w:rPr>
              <w:t>项目</w:t>
            </w:r>
            <w:r>
              <w:rPr>
                <w:rFonts w:hint="default" w:ascii="Times New Roman" w:hAnsi="Times New Roman" w:cs="Times New Roman" w:eastAsiaTheme="minorEastAsia"/>
                <w:bCs/>
                <w:color w:val="auto"/>
                <w:sz w:val="24"/>
                <w:szCs w:val="21"/>
                <w:lang w:val="en-US" w:eastAsia="zh-CN"/>
              </w:rPr>
              <w:t>钢件毛坯年用量为900万套/年，每套约2kg，则钢件毛坯年用量为18000t/a，</w:t>
            </w:r>
            <w:r>
              <w:rPr>
                <w:rFonts w:hint="default" w:ascii="Times New Roman" w:hAnsi="Times New Roman" w:eastAsia="宋体" w:cs="Times New Roman"/>
                <w:color w:val="auto"/>
                <w:sz w:val="24"/>
                <w:szCs w:val="24"/>
                <w:lang w:val="en-US" w:eastAsia="zh-CN"/>
              </w:rPr>
              <w:t>在</w:t>
            </w:r>
            <w:r>
              <w:rPr>
                <w:rFonts w:hint="eastAsia" w:cs="Times New Roman"/>
                <w:color w:val="auto"/>
                <w:sz w:val="24"/>
                <w:szCs w:val="24"/>
                <w:lang w:val="en-US" w:eastAsia="zh-CN"/>
              </w:rPr>
              <w:t>粗加工</w:t>
            </w:r>
            <w:r>
              <w:rPr>
                <w:rFonts w:hint="default" w:ascii="Times New Roman" w:hAnsi="Times New Roman" w:cs="Times New Roman"/>
                <w:color w:val="auto"/>
                <w:sz w:val="24"/>
                <w:szCs w:val="24"/>
                <w:lang w:val="en-US" w:eastAsia="zh-CN"/>
              </w:rPr>
              <w:t>、</w:t>
            </w:r>
            <w:r>
              <w:rPr>
                <w:rFonts w:hint="eastAsia" w:cs="Times New Roman"/>
                <w:color w:val="auto"/>
                <w:sz w:val="24"/>
                <w:szCs w:val="24"/>
                <w:lang w:val="en-US" w:eastAsia="zh-CN"/>
              </w:rPr>
              <w:t>精加工</w:t>
            </w:r>
            <w:r>
              <w:rPr>
                <w:rFonts w:hint="default" w:ascii="Times New Roman" w:hAnsi="Times New Roman" w:eastAsia="宋体" w:cs="Times New Roman"/>
                <w:color w:val="auto"/>
                <w:sz w:val="24"/>
                <w:szCs w:val="24"/>
                <w:lang w:val="en-US" w:eastAsia="zh-CN"/>
              </w:rPr>
              <w:t>过程</w:t>
            </w:r>
            <w:r>
              <w:rPr>
                <w:rFonts w:hint="default" w:ascii="Times New Roman" w:hAnsi="Times New Roman" w:cs="Times New Roman"/>
                <w:color w:val="auto"/>
                <w:sz w:val="24"/>
                <w:szCs w:val="24"/>
                <w:lang w:val="en-US" w:eastAsia="zh-CN"/>
              </w:rPr>
              <w:t>废金属边角料</w:t>
            </w:r>
            <w:r>
              <w:rPr>
                <w:rFonts w:hint="default" w:ascii="Times New Roman" w:hAnsi="Times New Roman" w:eastAsia="宋体" w:cs="Times New Roman"/>
                <w:color w:val="auto"/>
                <w:sz w:val="24"/>
                <w:szCs w:val="24"/>
                <w:lang w:val="en-US" w:eastAsia="zh-CN"/>
              </w:rPr>
              <w:t>产生率约0.1%，产生量为</w:t>
            </w:r>
            <w:r>
              <w:rPr>
                <w:rFonts w:hint="default" w:ascii="Times New Roman" w:hAnsi="Times New Roman" w:cs="Times New Roman"/>
                <w:color w:val="auto"/>
                <w:sz w:val="24"/>
                <w:szCs w:val="24"/>
                <w:lang w:val="en-US" w:eastAsia="zh-CN"/>
              </w:rPr>
              <w:t>18</w:t>
            </w:r>
            <w:r>
              <w:rPr>
                <w:rFonts w:hint="default" w:ascii="Times New Roman" w:hAnsi="Times New Roman" w:eastAsia="宋体" w:cs="Times New Roman"/>
                <w:color w:val="auto"/>
                <w:sz w:val="24"/>
                <w:szCs w:val="24"/>
                <w:lang w:val="en-US" w:eastAsia="zh-CN"/>
              </w:rPr>
              <w:t>t/a。</w:t>
            </w:r>
            <w:r>
              <w:rPr>
                <w:rFonts w:hint="default" w:ascii="Times New Roman" w:hAnsi="Times New Roman" w:eastAsia="宋体" w:cs="Times New Roman"/>
                <w:color w:val="auto"/>
                <w:sz w:val="24"/>
                <w:szCs w:val="24"/>
              </w:rPr>
              <w:t>根据《固体废物分类与代码</w:t>
            </w:r>
            <w:r>
              <w:rPr>
                <w:rFonts w:hint="default" w:ascii="Times New Roman" w:hAnsi="Times New Roman" w:eastAsia="宋体" w:cs="Times New Roman"/>
                <w:color w:val="auto"/>
                <w:sz w:val="24"/>
                <w:szCs w:val="24"/>
                <w:lang w:val="en-US" w:eastAsia="zh-CN"/>
              </w:rPr>
              <w:t>目录</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公告2024年第4号</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lang w:eastAsia="zh-CN"/>
              </w:rPr>
              <w:t>废物类别为SW17—可再生类废物，废物代码为900-00</w:t>
            </w:r>
            <w:r>
              <w:rPr>
                <w:rFonts w:hint="default" w:ascii="Times New Roman" w:hAnsi="Times New Roman" w:eastAsia="宋体" w:cs="Times New Roman"/>
                <w:color w:val="auto"/>
                <w:sz w:val="24"/>
                <w:lang w:val="en-US" w:eastAsia="zh-CN"/>
              </w:rPr>
              <w:t>1</w:t>
            </w:r>
            <w:r>
              <w:rPr>
                <w:rFonts w:hint="default" w:ascii="Times New Roman" w:hAnsi="Times New Roman" w:eastAsia="宋体" w:cs="Times New Roman"/>
                <w:color w:val="auto"/>
                <w:sz w:val="24"/>
                <w:lang w:eastAsia="zh-CN"/>
              </w:rPr>
              <w:t>-S17），收集后外售。</w:t>
            </w:r>
            <w:r>
              <w:rPr>
                <w:rFonts w:hint="default" w:ascii="Times New Roman" w:hAnsi="Times New Roman" w:eastAsia="宋体" w:cs="Times New Roman"/>
                <w:color w:val="auto"/>
                <w:sz w:val="24"/>
                <w:lang w:val="en-US" w:eastAsia="zh-CN"/>
              </w:rPr>
              <w:t xml:space="preserve"> </w:t>
            </w:r>
            <w:r>
              <w:rPr>
                <w:rFonts w:hint="default" w:ascii="Times New Roman" w:hAnsi="Times New Roman" w:cs="Times New Roman"/>
                <w:color w:val="auto"/>
                <w:sz w:val="24"/>
              </w:rPr>
              <w:t xml:space="preserve"> </w:t>
            </w:r>
          </w:p>
          <w:p w14:paraId="3DFCBD7B">
            <w:pPr>
              <w:spacing w:line="360" w:lineRule="auto"/>
              <w:ind w:firstLine="480"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eastAsia="zh-CN"/>
              </w:rPr>
              <w:t>⑥</w:t>
            </w:r>
            <w:r>
              <w:rPr>
                <w:rFonts w:hint="default" w:ascii="Times New Roman" w:hAnsi="Times New Roman" w:eastAsia="宋体" w:cs="Times New Roman"/>
                <w:color w:val="auto"/>
                <w:sz w:val="24"/>
                <w:lang w:val="en-US" w:eastAsia="zh-CN"/>
              </w:rPr>
              <w:t>废砂轮</w:t>
            </w:r>
          </w:p>
          <w:p w14:paraId="0684C599">
            <w:pPr>
              <w:spacing w:line="360" w:lineRule="auto"/>
              <w:ind w:firstLine="480" w:firstLineChars="200"/>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color w:val="auto"/>
                <w:kern w:val="0"/>
                <w:sz w:val="24"/>
                <w:szCs w:val="24"/>
                <w:lang w:val="en-US" w:eastAsia="zh-CN"/>
              </w:rPr>
              <w:t>项目湿式磨削工序会产生废</w:t>
            </w:r>
            <w:r>
              <w:rPr>
                <w:rFonts w:hint="default" w:ascii="Times New Roman" w:hAnsi="Times New Roman" w:eastAsia="宋体" w:cs="Times New Roman"/>
                <w:color w:val="auto"/>
                <w:sz w:val="24"/>
                <w:lang w:val="en-US" w:eastAsia="zh-CN"/>
              </w:rPr>
              <w:t>砂轮</w:t>
            </w:r>
            <w:r>
              <w:rPr>
                <w:rFonts w:hint="default" w:ascii="Times New Roman" w:hAnsi="Times New Roman" w:eastAsia="宋体" w:cs="Times New Roman"/>
                <w:color w:val="auto"/>
                <w:kern w:val="0"/>
                <w:sz w:val="24"/>
                <w:szCs w:val="24"/>
                <w:lang w:val="en-US" w:eastAsia="zh-CN"/>
              </w:rPr>
              <w:t>，</w:t>
            </w:r>
            <w:r>
              <w:rPr>
                <w:rFonts w:hint="default" w:ascii="Times New Roman" w:hAnsi="Times New Roman" w:cs="Times New Roman"/>
                <w:color w:val="auto"/>
                <w:kern w:val="0"/>
                <w:sz w:val="24"/>
                <w:szCs w:val="20"/>
              </w:rPr>
              <w:t>根据</w:t>
            </w:r>
            <w:r>
              <w:rPr>
                <w:rFonts w:hint="default" w:ascii="Times New Roman" w:hAnsi="Times New Roman" w:cs="Times New Roman"/>
                <w:color w:val="auto"/>
                <w:sz w:val="24"/>
                <w:lang w:eastAsia="zh-CN"/>
              </w:rPr>
              <w:t>建设单位</w:t>
            </w:r>
            <w:r>
              <w:rPr>
                <w:rFonts w:hint="default" w:ascii="Times New Roman" w:hAnsi="Times New Roman" w:cs="Times New Roman"/>
                <w:color w:val="auto"/>
                <w:sz w:val="24"/>
              </w:rPr>
              <w:t>提供的资料以及同类项</w:t>
            </w:r>
            <w:r>
              <w:rPr>
                <w:rFonts w:hint="default" w:ascii="Times New Roman" w:hAnsi="Times New Roman" w:eastAsia="宋体" w:cs="Times New Roman"/>
                <w:color w:val="auto"/>
                <w:sz w:val="24"/>
              </w:rPr>
              <w:t>目类比分析</w:t>
            </w:r>
            <w:r>
              <w:rPr>
                <w:rFonts w:hint="default" w:ascii="Times New Roman" w:hAnsi="Times New Roman" w:eastAsia="宋体" w:cs="Times New Roman"/>
                <w:color w:val="auto"/>
                <w:sz w:val="24"/>
                <w:lang w:eastAsia="zh-CN"/>
              </w:rPr>
              <w:t>可知，</w:t>
            </w:r>
            <w:r>
              <w:rPr>
                <w:rFonts w:hint="default" w:ascii="Times New Roman" w:hAnsi="Times New Roman" w:eastAsia="宋体" w:cs="Times New Roman"/>
                <w:color w:val="auto"/>
                <w:kern w:val="0"/>
                <w:sz w:val="24"/>
                <w:szCs w:val="24"/>
                <w:lang w:val="en-US" w:eastAsia="zh-CN"/>
              </w:rPr>
              <w:t>产生量约0.01t/a。</w:t>
            </w:r>
            <w:r>
              <w:rPr>
                <w:rFonts w:hint="default" w:ascii="Times New Roman" w:hAnsi="Times New Roman" w:eastAsia="宋体" w:cs="Times New Roman"/>
                <w:color w:val="auto"/>
                <w:sz w:val="24"/>
                <w:szCs w:val="24"/>
              </w:rPr>
              <w:t>根据《固体废物分类与代码</w:t>
            </w:r>
            <w:r>
              <w:rPr>
                <w:rFonts w:hint="default" w:ascii="Times New Roman" w:hAnsi="Times New Roman" w:eastAsia="宋体" w:cs="Times New Roman"/>
                <w:color w:val="auto"/>
                <w:sz w:val="24"/>
                <w:szCs w:val="24"/>
                <w:lang w:val="en-US" w:eastAsia="zh-CN"/>
              </w:rPr>
              <w:t>目录</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公</w:t>
            </w:r>
            <w:r>
              <w:rPr>
                <w:rFonts w:hint="default" w:ascii="Times New Roman" w:hAnsi="Times New Roman" w:eastAsia="宋体" w:cs="Times New Roman"/>
                <w:color w:val="auto"/>
                <w:kern w:val="0"/>
                <w:sz w:val="24"/>
                <w:szCs w:val="24"/>
                <w:lang w:val="en-US" w:eastAsia="zh-CN"/>
              </w:rPr>
              <w:t>告2024年第4号）（废物类别为SW59—其他工业固体废物，废物代码为900-099-S59）。收集后外售。</w:t>
            </w:r>
          </w:p>
          <w:p w14:paraId="5BACA447">
            <w:pPr>
              <w:spacing w:line="360" w:lineRule="auto"/>
              <w:ind w:firstLine="480" w:firstLineChars="200"/>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color w:val="auto"/>
                <w:sz w:val="24"/>
                <w:lang w:eastAsia="zh-CN"/>
              </w:rPr>
              <w:t>⑦</w:t>
            </w:r>
            <w:r>
              <w:rPr>
                <w:rFonts w:hint="default" w:ascii="Times New Roman" w:hAnsi="Times New Roman" w:cs="Times New Roman"/>
                <w:color w:val="auto"/>
                <w:kern w:val="0"/>
                <w:sz w:val="24"/>
                <w:szCs w:val="24"/>
                <w:lang w:val="en-US" w:eastAsia="zh-CN"/>
              </w:rPr>
              <w:t>沉淀池沉渣</w:t>
            </w:r>
          </w:p>
          <w:p w14:paraId="59D3C348">
            <w:pPr>
              <w:spacing w:line="360" w:lineRule="auto"/>
              <w:ind w:firstLine="480"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kern w:val="0"/>
                <w:sz w:val="24"/>
                <w:szCs w:val="24"/>
                <w:lang w:val="en-US" w:eastAsia="zh-CN"/>
              </w:rPr>
              <w:t>项目</w:t>
            </w:r>
            <w:r>
              <w:rPr>
                <w:rFonts w:hint="default" w:ascii="Times New Roman" w:hAnsi="Times New Roman" w:cs="Times New Roman"/>
                <w:color w:val="auto"/>
                <w:kern w:val="0"/>
                <w:sz w:val="24"/>
                <w:szCs w:val="24"/>
                <w:lang w:val="en-US" w:eastAsia="zh-CN"/>
              </w:rPr>
              <w:t>沉淀池沉淀过程中会产生沉渣</w:t>
            </w:r>
            <w:r>
              <w:rPr>
                <w:rFonts w:hint="default" w:ascii="Times New Roman" w:hAnsi="Times New Roman" w:eastAsia="宋体" w:cs="Times New Roman"/>
                <w:color w:val="auto"/>
                <w:kern w:val="0"/>
                <w:sz w:val="24"/>
                <w:szCs w:val="24"/>
                <w:lang w:val="en-US" w:eastAsia="zh-CN"/>
              </w:rPr>
              <w:t>，</w:t>
            </w:r>
            <w:r>
              <w:rPr>
                <w:rFonts w:hint="default" w:ascii="Times New Roman" w:hAnsi="Times New Roman" w:cs="Times New Roman"/>
                <w:color w:val="auto"/>
                <w:kern w:val="0"/>
                <w:sz w:val="24"/>
                <w:szCs w:val="20"/>
              </w:rPr>
              <w:t>根据</w:t>
            </w:r>
            <w:r>
              <w:rPr>
                <w:rFonts w:hint="default" w:ascii="Times New Roman" w:hAnsi="Times New Roman" w:cs="Times New Roman"/>
                <w:color w:val="auto"/>
                <w:sz w:val="24"/>
                <w:lang w:eastAsia="zh-CN"/>
              </w:rPr>
              <w:t>建设单位</w:t>
            </w:r>
            <w:r>
              <w:rPr>
                <w:rFonts w:hint="default" w:ascii="Times New Roman" w:hAnsi="Times New Roman" w:cs="Times New Roman"/>
                <w:color w:val="auto"/>
                <w:sz w:val="24"/>
              </w:rPr>
              <w:t>提供的资料以及同类项</w:t>
            </w:r>
            <w:r>
              <w:rPr>
                <w:rFonts w:hint="default" w:ascii="Times New Roman" w:hAnsi="Times New Roman" w:eastAsia="宋体" w:cs="Times New Roman"/>
                <w:color w:val="auto"/>
                <w:sz w:val="24"/>
              </w:rPr>
              <w:t>目类比分析</w:t>
            </w:r>
            <w:r>
              <w:rPr>
                <w:rFonts w:hint="default" w:ascii="Times New Roman" w:hAnsi="Times New Roman" w:eastAsia="宋体" w:cs="Times New Roman"/>
                <w:color w:val="auto"/>
                <w:sz w:val="24"/>
                <w:lang w:eastAsia="zh-CN"/>
              </w:rPr>
              <w:t>可知，</w:t>
            </w:r>
            <w:r>
              <w:rPr>
                <w:rFonts w:hint="default" w:ascii="Times New Roman" w:hAnsi="Times New Roman" w:eastAsia="宋体" w:cs="Times New Roman"/>
                <w:color w:val="auto"/>
                <w:kern w:val="0"/>
                <w:sz w:val="24"/>
                <w:szCs w:val="24"/>
                <w:lang w:val="en-US" w:eastAsia="zh-CN"/>
              </w:rPr>
              <w:t>产生量约0.1t/a。</w:t>
            </w:r>
            <w:r>
              <w:rPr>
                <w:rFonts w:hint="default" w:ascii="Times New Roman" w:hAnsi="Times New Roman" w:eastAsia="宋体" w:cs="Times New Roman"/>
                <w:color w:val="auto"/>
                <w:sz w:val="24"/>
                <w:szCs w:val="24"/>
              </w:rPr>
              <w:t>根据《固体废物分类与代码</w:t>
            </w:r>
            <w:r>
              <w:rPr>
                <w:rFonts w:hint="default" w:ascii="Times New Roman" w:hAnsi="Times New Roman" w:eastAsia="宋体" w:cs="Times New Roman"/>
                <w:color w:val="auto"/>
                <w:sz w:val="24"/>
                <w:szCs w:val="24"/>
                <w:lang w:val="en-US" w:eastAsia="zh-CN"/>
              </w:rPr>
              <w:t>目录</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公告2024年第4号）（废物类别为SW59—其他工业固体废物，废物代码为900-099-S59）。收集后外售。</w:t>
            </w:r>
          </w:p>
          <w:p w14:paraId="1CA9DBF4">
            <w:pPr>
              <w:spacing w:line="360" w:lineRule="auto"/>
              <w:ind w:firstLine="480"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⑧淬火槽槽渣</w:t>
            </w:r>
          </w:p>
          <w:p w14:paraId="0A6A5FCF">
            <w:pPr>
              <w:spacing w:line="360" w:lineRule="auto"/>
              <w:ind w:firstLine="480"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淬火槽槽渣主要</w:t>
            </w:r>
            <w:r>
              <w:rPr>
                <w:rFonts w:hint="eastAsia" w:cs="Times New Roman"/>
                <w:color w:val="auto"/>
                <w:sz w:val="24"/>
                <w:lang w:val="en-US" w:eastAsia="zh-CN"/>
              </w:rPr>
              <w:t>是</w:t>
            </w:r>
            <w:r>
              <w:rPr>
                <w:rFonts w:hint="default" w:ascii="Times New Roman" w:hAnsi="Times New Roman" w:eastAsia="宋体" w:cs="Times New Roman"/>
                <w:color w:val="auto"/>
                <w:sz w:val="24"/>
                <w:lang w:val="en-US" w:eastAsia="zh-CN"/>
              </w:rPr>
              <w:t>在淬火过程中产生，</w:t>
            </w:r>
            <w:r>
              <w:rPr>
                <w:rFonts w:hint="eastAsia" w:cs="Times New Roman"/>
                <w:color w:val="auto"/>
                <w:sz w:val="24"/>
                <w:lang w:val="en-US" w:eastAsia="zh-CN"/>
              </w:rPr>
              <w:t>淬火液</w:t>
            </w:r>
            <w:r>
              <w:rPr>
                <w:rFonts w:hint="default" w:ascii="Times New Roman" w:hAnsi="Times New Roman" w:eastAsia="宋体" w:cs="Times New Roman"/>
                <w:color w:val="auto"/>
                <w:sz w:val="24"/>
                <w:lang w:val="en-US" w:eastAsia="zh-CN"/>
              </w:rPr>
              <w:t>与高温工件直接接触，有少部分物质直接被碳化形成沉渣而残留在淬火水池中，</w:t>
            </w:r>
            <w:r>
              <w:rPr>
                <w:rFonts w:hint="default" w:ascii="Times New Roman" w:hAnsi="Times New Roman" w:cs="Times New Roman"/>
                <w:color w:val="auto"/>
                <w:kern w:val="0"/>
                <w:sz w:val="24"/>
                <w:szCs w:val="20"/>
              </w:rPr>
              <w:t>根据</w:t>
            </w:r>
            <w:r>
              <w:rPr>
                <w:rFonts w:hint="default" w:ascii="Times New Roman" w:hAnsi="Times New Roman" w:cs="Times New Roman"/>
                <w:color w:val="auto"/>
                <w:sz w:val="24"/>
                <w:lang w:eastAsia="zh-CN"/>
              </w:rPr>
              <w:t>建设单位</w:t>
            </w:r>
            <w:r>
              <w:rPr>
                <w:rFonts w:hint="default" w:ascii="Times New Roman" w:hAnsi="Times New Roman" w:cs="Times New Roman"/>
                <w:color w:val="auto"/>
                <w:sz w:val="24"/>
              </w:rPr>
              <w:t>提供的资料以及同类项</w:t>
            </w:r>
            <w:r>
              <w:rPr>
                <w:rFonts w:hint="default" w:ascii="Times New Roman" w:hAnsi="Times New Roman" w:eastAsia="宋体" w:cs="Times New Roman"/>
                <w:color w:val="auto"/>
                <w:sz w:val="24"/>
              </w:rPr>
              <w:t>目类比分析</w:t>
            </w:r>
            <w:r>
              <w:rPr>
                <w:rFonts w:hint="default" w:ascii="Times New Roman" w:hAnsi="Times New Roman" w:eastAsia="宋体" w:cs="Times New Roman"/>
                <w:color w:val="auto"/>
                <w:sz w:val="24"/>
                <w:lang w:eastAsia="zh-CN"/>
              </w:rPr>
              <w:t>可知，</w:t>
            </w:r>
            <w:r>
              <w:rPr>
                <w:rFonts w:hint="default" w:ascii="Times New Roman" w:hAnsi="Times New Roman" w:eastAsia="宋体" w:cs="Times New Roman"/>
                <w:color w:val="auto"/>
                <w:kern w:val="0"/>
                <w:sz w:val="24"/>
                <w:szCs w:val="24"/>
                <w:lang w:val="en-US" w:eastAsia="zh-CN"/>
              </w:rPr>
              <w:t>产生量约0.1t/a。</w:t>
            </w:r>
            <w:r>
              <w:rPr>
                <w:rFonts w:hint="default" w:ascii="Times New Roman" w:hAnsi="Times New Roman" w:eastAsia="宋体" w:cs="Times New Roman"/>
                <w:color w:val="auto"/>
                <w:sz w:val="24"/>
                <w:szCs w:val="24"/>
              </w:rPr>
              <w:t>根据《固体废物分类与代码</w:t>
            </w:r>
            <w:r>
              <w:rPr>
                <w:rFonts w:hint="default" w:ascii="Times New Roman" w:hAnsi="Times New Roman" w:eastAsia="宋体" w:cs="Times New Roman"/>
                <w:color w:val="auto"/>
                <w:sz w:val="24"/>
                <w:szCs w:val="24"/>
                <w:lang w:val="en-US" w:eastAsia="zh-CN"/>
              </w:rPr>
              <w:t>目录</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公告2024年第4号）（废物类别为SW59—其他工业固体废物，废物代码为900-099-S59）。收集后外售。</w:t>
            </w:r>
          </w:p>
          <w:p w14:paraId="530EC161">
            <w:pPr>
              <w:spacing w:line="360" w:lineRule="auto"/>
              <w:ind w:firstLine="480" w:firstLineChars="200"/>
              <w:rPr>
                <w:rFonts w:hint="default" w:ascii="Times New Roman" w:hAnsi="Times New Roman" w:cs="Times New Roman"/>
                <w:color w:val="auto"/>
                <w:kern w:val="0"/>
                <w:sz w:val="24"/>
                <w:szCs w:val="20"/>
              </w:rPr>
            </w:pPr>
            <w:r>
              <w:rPr>
                <w:rFonts w:hint="default" w:ascii="Times New Roman" w:hAnsi="Times New Roman" w:cs="Times New Roman"/>
                <w:color w:val="auto"/>
                <w:kern w:val="0"/>
                <w:sz w:val="24"/>
                <w:szCs w:val="20"/>
              </w:rPr>
              <w:t>（2）危险废物</w:t>
            </w:r>
          </w:p>
          <w:p w14:paraId="1F28398B">
            <w:pPr>
              <w:autoSpaceDE w:val="0"/>
              <w:autoSpaceDN w:val="0"/>
              <w:adjustRightInd w:val="0"/>
              <w:spacing w:line="360" w:lineRule="auto"/>
              <w:ind w:firstLine="480" w:firstLineChars="200"/>
              <w:rPr>
                <w:rFonts w:hint="default" w:ascii="Times New Roman" w:hAnsi="Times New Roman" w:cs="Times New Roman"/>
                <w:bCs/>
                <w:color w:val="auto"/>
                <w:sz w:val="24"/>
                <w:lang w:eastAsia="zh-CN"/>
              </w:rPr>
            </w:pPr>
            <w:r>
              <w:rPr>
                <w:rFonts w:hint="default" w:ascii="Times New Roman" w:hAnsi="Times New Roman" w:cs="Times New Roman"/>
                <w:bCs/>
                <w:color w:val="auto"/>
                <w:sz w:val="24"/>
              </w:rPr>
              <w:fldChar w:fldCharType="begin"/>
            </w:r>
            <w:r>
              <w:rPr>
                <w:rFonts w:hint="default" w:ascii="Times New Roman" w:hAnsi="Times New Roman" w:cs="Times New Roman"/>
                <w:bCs/>
                <w:color w:val="auto"/>
                <w:sz w:val="24"/>
              </w:rPr>
              <w:instrText xml:space="preserve"> = 1 \* GB3 </w:instrText>
            </w:r>
            <w:r>
              <w:rPr>
                <w:rFonts w:hint="default" w:ascii="Times New Roman" w:hAnsi="Times New Roman" w:cs="Times New Roman"/>
                <w:bCs/>
                <w:color w:val="auto"/>
                <w:sz w:val="24"/>
              </w:rPr>
              <w:fldChar w:fldCharType="separate"/>
            </w:r>
            <w:r>
              <w:rPr>
                <w:rFonts w:hint="default" w:ascii="Times New Roman" w:hAnsi="Times New Roman" w:cs="Times New Roman"/>
                <w:bCs/>
                <w:color w:val="auto"/>
                <w:sz w:val="24"/>
              </w:rPr>
              <w:t>①</w:t>
            </w:r>
            <w:r>
              <w:rPr>
                <w:rFonts w:hint="default" w:ascii="Times New Roman" w:hAnsi="Times New Roman" w:cs="Times New Roman"/>
                <w:bCs/>
                <w:color w:val="auto"/>
                <w:sz w:val="24"/>
              </w:rPr>
              <w:fldChar w:fldCharType="end"/>
            </w:r>
            <w:r>
              <w:rPr>
                <w:rFonts w:hint="default" w:ascii="Times New Roman" w:hAnsi="Times New Roman" w:cs="Times New Roman"/>
                <w:bCs/>
                <w:color w:val="auto"/>
                <w:sz w:val="24"/>
                <w:lang w:eastAsia="zh-CN"/>
              </w:rPr>
              <w:t>废</w:t>
            </w:r>
            <w:r>
              <w:rPr>
                <w:rFonts w:hint="default" w:ascii="Times New Roman" w:hAnsi="Times New Roman" w:cs="Times New Roman"/>
                <w:bCs/>
                <w:color w:val="auto"/>
                <w:sz w:val="24"/>
                <w:lang w:val="en-US" w:eastAsia="zh-CN"/>
              </w:rPr>
              <w:t>化学品</w:t>
            </w:r>
            <w:r>
              <w:rPr>
                <w:rFonts w:hint="default" w:ascii="Times New Roman" w:hAnsi="Times New Roman" w:cs="Times New Roman"/>
                <w:bCs/>
                <w:color w:val="auto"/>
                <w:sz w:val="24"/>
                <w:lang w:eastAsia="zh-CN"/>
              </w:rPr>
              <w:t>包装桶（</w:t>
            </w:r>
            <w:r>
              <w:rPr>
                <w:rFonts w:hint="eastAsia" w:cs="Times New Roman"/>
                <w:bCs/>
                <w:color w:val="auto"/>
                <w:sz w:val="24"/>
                <w:lang w:val="en-US" w:eastAsia="zh-CN"/>
              </w:rPr>
              <w:t>废水性脱模剂桶、废水性磨削液桶、废水性淬火液桶、</w:t>
            </w:r>
            <w:r>
              <w:rPr>
                <w:rFonts w:hint="default" w:ascii="Times New Roman" w:hAnsi="Times New Roman" w:cs="Times New Roman"/>
                <w:bCs/>
                <w:color w:val="auto"/>
                <w:sz w:val="24"/>
                <w:lang w:val="en-US" w:eastAsia="zh-CN"/>
              </w:rPr>
              <w:t>废切削液桶、废机油桶</w:t>
            </w:r>
            <w:r>
              <w:rPr>
                <w:rFonts w:hint="default" w:ascii="Times New Roman" w:hAnsi="Times New Roman" w:cs="Times New Roman"/>
                <w:bCs/>
                <w:color w:val="auto"/>
                <w:sz w:val="24"/>
                <w:lang w:eastAsia="zh-CN"/>
              </w:rPr>
              <w:t>）</w:t>
            </w:r>
          </w:p>
          <w:p w14:paraId="45387DD7">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color w:val="auto"/>
                <w:kern w:val="0"/>
                <w:sz w:val="24"/>
                <w:szCs w:val="20"/>
              </w:rPr>
            </w:pPr>
            <w:r>
              <w:rPr>
                <w:rFonts w:hint="default" w:ascii="Times New Roman" w:hAnsi="Times New Roman" w:cs="Times New Roman"/>
                <w:color w:val="auto"/>
                <w:kern w:val="0"/>
                <w:sz w:val="24"/>
                <w:szCs w:val="20"/>
              </w:rPr>
              <w:t>项目</w:t>
            </w:r>
            <w:r>
              <w:rPr>
                <w:rFonts w:hint="default" w:ascii="Times New Roman" w:hAnsi="Times New Roman" w:cs="Times New Roman"/>
                <w:color w:val="auto"/>
                <w:kern w:val="0"/>
                <w:sz w:val="24"/>
                <w:szCs w:val="20"/>
                <w:lang w:eastAsia="zh-CN"/>
              </w:rPr>
              <w:t>生产过程中会产生</w:t>
            </w:r>
            <w:r>
              <w:rPr>
                <w:rFonts w:hint="default" w:ascii="Times New Roman" w:hAnsi="Times New Roman" w:cs="Times New Roman"/>
                <w:bCs/>
                <w:color w:val="auto"/>
                <w:sz w:val="24"/>
                <w:lang w:eastAsia="zh-CN"/>
              </w:rPr>
              <w:t>废</w:t>
            </w:r>
            <w:r>
              <w:rPr>
                <w:rFonts w:hint="default" w:ascii="Times New Roman" w:hAnsi="Times New Roman" w:cs="Times New Roman"/>
                <w:bCs/>
                <w:color w:val="auto"/>
                <w:sz w:val="24"/>
                <w:lang w:val="en-US" w:eastAsia="zh-CN"/>
              </w:rPr>
              <w:t>化学品</w:t>
            </w:r>
            <w:r>
              <w:rPr>
                <w:rFonts w:hint="default" w:ascii="Times New Roman" w:hAnsi="Times New Roman" w:cs="Times New Roman"/>
                <w:bCs/>
                <w:color w:val="auto"/>
                <w:sz w:val="24"/>
                <w:lang w:eastAsia="zh-CN"/>
              </w:rPr>
              <w:t>包装桶（</w:t>
            </w:r>
            <w:r>
              <w:rPr>
                <w:rFonts w:hint="eastAsia" w:cs="Times New Roman"/>
                <w:bCs/>
                <w:color w:val="auto"/>
                <w:sz w:val="24"/>
                <w:lang w:val="en-US" w:eastAsia="zh-CN"/>
              </w:rPr>
              <w:t>废水性脱模剂桶、废水性磨削液桶、废水性淬火液桶、</w:t>
            </w:r>
            <w:r>
              <w:rPr>
                <w:rFonts w:hint="default" w:ascii="Times New Roman" w:hAnsi="Times New Roman" w:cs="Times New Roman"/>
                <w:bCs/>
                <w:color w:val="auto"/>
                <w:sz w:val="24"/>
                <w:lang w:val="en-US" w:eastAsia="zh-CN"/>
              </w:rPr>
              <w:t>废切削液桶、废机油桶</w:t>
            </w:r>
            <w:r>
              <w:rPr>
                <w:rFonts w:hint="default" w:ascii="Times New Roman" w:hAnsi="Times New Roman" w:cs="Times New Roman"/>
                <w:bCs/>
                <w:color w:val="auto"/>
                <w:sz w:val="24"/>
                <w:lang w:eastAsia="zh-CN"/>
              </w:rPr>
              <w:t>）</w:t>
            </w:r>
            <w:r>
              <w:rPr>
                <w:rFonts w:hint="default" w:ascii="Times New Roman" w:hAnsi="Times New Roman" w:cs="Times New Roman"/>
                <w:color w:val="auto"/>
                <w:sz w:val="24"/>
                <w:lang w:eastAsia="zh-CN"/>
              </w:rPr>
              <w:t>，</w:t>
            </w:r>
            <w:r>
              <w:rPr>
                <w:rFonts w:hint="default" w:ascii="Times New Roman" w:hAnsi="Times New Roman" w:cs="Times New Roman"/>
                <w:color w:val="auto"/>
                <w:kern w:val="0"/>
                <w:sz w:val="24"/>
                <w:szCs w:val="20"/>
              </w:rPr>
              <w:t>根据建设单位提供资料，项目年消耗</w:t>
            </w:r>
            <w:r>
              <w:rPr>
                <w:rFonts w:hint="eastAsia" w:cs="Times New Roman"/>
                <w:color w:val="auto"/>
                <w:kern w:val="0"/>
                <w:sz w:val="24"/>
                <w:szCs w:val="20"/>
                <w:lang w:val="en-US" w:eastAsia="zh-CN"/>
              </w:rPr>
              <w:t>水性脱模剂10.8t，</w:t>
            </w:r>
            <w:r>
              <w:rPr>
                <w:rFonts w:hint="eastAsia" w:cs="Times New Roman"/>
                <w:bCs/>
                <w:color w:val="auto"/>
                <w:sz w:val="24"/>
                <w:lang w:val="en-US" w:eastAsia="zh-CN"/>
              </w:rPr>
              <w:t>水性磨削液</w:t>
            </w:r>
            <w:r>
              <w:rPr>
                <w:rFonts w:hint="eastAsia" w:cs="Times New Roman"/>
                <w:color w:val="auto"/>
                <w:kern w:val="0"/>
                <w:sz w:val="24"/>
                <w:szCs w:val="20"/>
                <w:lang w:val="en-US" w:eastAsia="zh-CN"/>
              </w:rPr>
              <w:t>10.8t，</w:t>
            </w:r>
            <w:r>
              <w:rPr>
                <w:rFonts w:hint="default" w:ascii="Times New Roman" w:hAnsi="Times New Roman" w:cs="Times New Roman"/>
                <w:color w:val="auto"/>
                <w:kern w:val="0"/>
                <w:sz w:val="24"/>
                <w:szCs w:val="20"/>
                <w:lang w:val="en-US" w:eastAsia="zh-CN"/>
              </w:rPr>
              <w:t>切削液</w:t>
            </w:r>
            <w:r>
              <w:rPr>
                <w:rFonts w:hint="default" w:ascii="Times New Roman" w:hAnsi="Times New Roman" w:cs="Times New Roman"/>
                <w:color w:val="auto"/>
                <w:sz w:val="24"/>
                <w:lang w:val="en-US" w:eastAsia="zh-CN"/>
              </w:rPr>
              <w:t>6</w:t>
            </w:r>
            <w:r>
              <w:rPr>
                <w:rFonts w:hint="default" w:ascii="Times New Roman" w:hAnsi="Times New Roman" w:eastAsia="宋体" w:cs="Times New Roman"/>
                <w:color w:val="auto"/>
                <w:sz w:val="24"/>
                <w:lang w:val="en-US" w:eastAsia="zh-CN"/>
              </w:rPr>
              <w:t>t</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润滑油</w:t>
            </w:r>
            <w:r>
              <w:rPr>
                <w:rFonts w:hint="eastAsia" w:cs="Times New Roman"/>
                <w:color w:val="auto"/>
                <w:sz w:val="24"/>
                <w:lang w:val="en-US" w:eastAsia="zh-CN"/>
              </w:rPr>
              <w:t>4</w:t>
            </w:r>
            <w:r>
              <w:rPr>
                <w:rFonts w:hint="default" w:ascii="Times New Roman" w:hAnsi="Times New Roman" w:eastAsia="宋体" w:cs="Times New Roman"/>
                <w:color w:val="auto"/>
                <w:sz w:val="24"/>
                <w:lang w:val="en-US" w:eastAsia="zh-CN"/>
              </w:rPr>
              <w:t>t，</w:t>
            </w:r>
            <w:r>
              <w:rPr>
                <w:rFonts w:hint="default" w:ascii="Times New Roman" w:hAnsi="Times New Roman" w:cs="Times New Roman"/>
                <w:color w:val="auto"/>
                <w:spacing w:val="0"/>
                <w:sz w:val="24"/>
                <w:szCs w:val="24"/>
                <w:lang w:val="en-US" w:eastAsia="zh-CN"/>
              </w:rPr>
              <w:t>液压油</w:t>
            </w:r>
            <w:r>
              <w:rPr>
                <w:rFonts w:hint="default" w:ascii="Times New Roman" w:hAnsi="Times New Roman" w:eastAsia="宋体" w:cs="Times New Roman"/>
                <w:color w:val="auto"/>
                <w:spacing w:val="0"/>
                <w:sz w:val="24"/>
                <w:szCs w:val="24"/>
                <w:lang w:val="en-US" w:eastAsia="zh-CN"/>
              </w:rPr>
              <w:t>3t</w:t>
            </w:r>
            <w:r>
              <w:rPr>
                <w:rFonts w:hint="eastAsia" w:cs="Times New Roman"/>
                <w:color w:val="auto"/>
                <w:spacing w:val="0"/>
                <w:sz w:val="24"/>
                <w:szCs w:val="24"/>
                <w:lang w:val="en-US" w:eastAsia="zh-CN"/>
              </w:rPr>
              <w:t>。水性脱模剂和水性磨削液均采用180kg/桶储存，桶重8.9kg，水性淬火液采用20kg/桶储存，桶重1.04kg，</w:t>
            </w:r>
            <w:r>
              <w:rPr>
                <w:rFonts w:hint="default" w:ascii="Times New Roman" w:hAnsi="Times New Roman" w:eastAsia="宋体" w:cs="Times New Roman"/>
                <w:color w:val="auto"/>
                <w:spacing w:val="0"/>
                <w:sz w:val="24"/>
                <w:szCs w:val="24"/>
                <w:lang w:val="en-US" w:eastAsia="zh-CN"/>
              </w:rPr>
              <w:t>切削液采用170kg/桶储存，桶重8.8kg，润滑油和液压油均采用200kg/桶储存，桶重10.4kg，经计算</w:t>
            </w:r>
            <w:r>
              <w:rPr>
                <w:rFonts w:hint="eastAsia" w:cs="Times New Roman"/>
                <w:bCs/>
                <w:color w:val="auto"/>
                <w:sz w:val="24"/>
                <w:lang w:val="en-US" w:eastAsia="zh-CN"/>
              </w:rPr>
              <w:t>废水性脱模剂桶产量量为0.534t，废水性磨削液桶产量量为0.534t，水性淬火液桶产量量为0.0624t，</w:t>
            </w:r>
            <w:r>
              <w:rPr>
                <w:rFonts w:hint="default" w:ascii="Times New Roman" w:hAnsi="Times New Roman" w:eastAsia="宋体" w:cs="Times New Roman"/>
                <w:color w:val="auto"/>
                <w:spacing w:val="0"/>
                <w:sz w:val="24"/>
                <w:szCs w:val="24"/>
                <w:lang w:val="en-US" w:eastAsia="zh-CN"/>
              </w:rPr>
              <w:t>废切削液桶产生量约0.311t/a，废机油桶产生量约0.</w:t>
            </w:r>
            <w:r>
              <w:rPr>
                <w:rFonts w:hint="eastAsia" w:cs="Times New Roman"/>
                <w:color w:val="auto"/>
                <w:spacing w:val="0"/>
                <w:sz w:val="24"/>
                <w:szCs w:val="24"/>
                <w:lang w:val="en-US" w:eastAsia="zh-CN"/>
              </w:rPr>
              <w:t>364</w:t>
            </w:r>
            <w:r>
              <w:rPr>
                <w:rFonts w:hint="default" w:ascii="Times New Roman" w:hAnsi="Times New Roman" w:eastAsia="宋体" w:cs="Times New Roman"/>
                <w:color w:val="auto"/>
                <w:spacing w:val="0"/>
                <w:sz w:val="24"/>
                <w:szCs w:val="24"/>
                <w:lang w:val="en-US" w:eastAsia="zh-CN"/>
              </w:rPr>
              <w:t>t/a，</w:t>
            </w:r>
            <w:r>
              <w:rPr>
                <w:rFonts w:hint="default" w:ascii="Times New Roman" w:hAnsi="Times New Roman" w:eastAsia="宋体" w:cs="Times New Roman"/>
                <w:color w:val="auto"/>
                <w:sz w:val="24"/>
                <w:lang w:val="en-US" w:eastAsia="zh-CN"/>
              </w:rPr>
              <w:t>折合项目废化学品包装桶共计产生量</w:t>
            </w:r>
            <w:r>
              <w:rPr>
                <w:rFonts w:hint="default" w:ascii="Times New Roman" w:hAnsi="Times New Roman" w:eastAsia="宋体" w:cs="Times New Roman"/>
                <w:color w:val="auto"/>
                <w:spacing w:val="0"/>
                <w:sz w:val="24"/>
                <w:szCs w:val="24"/>
                <w:lang w:val="en-US" w:eastAsia="zh-CN"/>
              </w:rPr>
              <w:t>约</w:t>
            </w:r>
            <w:r>
              <w:rPr>
                <w:rFonts w:hint="eastAsia" w:cs="Times New Roman"/>
                <w:color w:val="auto"/>
                <w:spacing w:val="0"/>
                <w:sz w:val="24"/>
                <w:szCs w:val="24"/>
                <w:lang w:val="en-US" w:eastAsia="zh-CN"/>
              </w:rPr>
              <w:t>1.8054</w:t>
            </w:r>
            <w:r>
              <w:rPr>
                <w:rFonts w:hint="default" w:ascii="Times New Roman" w:hAnsi="Times New Roman" w:eastAsia="宋体" w:cs="Times New Roman"/>
                <w:color w:val="auto"/>
                <w:spacing w:val="0"/>
                <w:sz w:val="24"/>
                <w:szCs w:val="24"/>
                <w:lang w:val="en-US" w:eastAsia="zh-CN"/>
              </w:rPr>
              <w:t>t/a。</w:t>
            </w:r>
            <w:r>
              <w:rPr>
                <w:rFonts w:hint="default" w:ascii="Times New Roman" w:hAnsi="Times New Roman" w:eastAsia="宋体" w:cs="Times New Roman"/>
                <w:color w:val="auto"/>
                <w:kern w:val="0"/>
                <w:sz w:val="24"/>
                <w:szCs w:val="24"/>
              </w:rPr>
              <w:t>根据</w:t>
            </w:r>
            <w:r>
              <w:rPr>
                <w:rFonts w:hint="default" w:ascii="Times New Roman" w:hAnsi="Times New Roman" w:cs="Times New Roman"/>
                <w:color w:val="auto"/>
                <w:sz w:val="24"/>
              </w:rPr>
              <w:t>《国家危险废物名录》（202</w:t>
            </w:r>
            <w:r>
              <w:rPr>
                <w:rFonts w:hint="default" w:ascii="Times New Roman" w:hAnsi="Times New Roman" w:cs="Times New Roman"/>
                <w:color w:val="auto"/>
                <w:sz w:val="24"/>
                <w:lang w:val="en-US" w:eastAsia="zh-CN"/>
              </w:rPr>
              <w:t>5</w:t>
            </w:r>
            <w:r>
              <w:rPr>
                <w:rFonts w:hint="default" w:ascii="Times New Roman" w:hAnsi="Times New Roman" w:cs="Times New Roman"/>
                <w:color w:val="auto"/>
                <w:sz w:val="24"/>
              </w:rPr>
              <w:t>年版），</w:t>
            </w:r>
            <w:r>
              <w:rPr>
                <w:rFonts w:hint="default" w:ascii="Times New Roman" w:hAnsi="Times New Roman" w:eastAsia="宋体" w:cs="Times New Roman"/>
                <w:color w:val="auto"/>
                <w:sz w:val="24"/>
                <w:lang w:val="en-US" w:eastAsia="zh-CN"/>
              </w:rPr>
              <w:t>废化学品包装</w:t>
            </w:r>
            <w:r>
              <w:rPr>
                <w:rFonts w:hint="default" w:ascii="Times New Roman" w:hAnsi="Times New Roman" w:cs="Times New Roman"/>
                <w:color w:val="auto"/>
                <w:kern w:val="0"/>
                <w:sz w:val="24"/>
                <w:szCs w:val="20"/>
              </w:rPr>
              <w:t>桶</w:t>
            </w:r>
            <w:r>
              <w:rPr>
                <w:rFonts w:hint="default" w:ascii="Times New Roman" w:hAnsi="Times New Roman" w:cs="Times New Roman"/>
                <w:bCs/>
                <w:color w:val="auto"/>
                <w:sz w:val="24"/>
                <w:lang w:val="en-US" w:eastAsia="zh-CN"/>
              </w:rPr>
              <w:t>属于危废，</w:t>
            </w:r>
            <w:r>
              <w:rPr>
                <w:rFonts w:hint="default" w:ascii="Times New Roman" w:hAnsi="Times New Roman" w:cs="Times New Roman"/>
                <w:color w:val="auto"/>
                <w:sz w:val="24"/>
              </w:rPr>
              <w:t>危废类别为HW49其他废物，危废代码</w:t>
            </w:r>
            <w:r>
              <w:rPr>
                <w:rFonts w:hint="default" w:ascii="Times New Roman" w:hAnsi="Times New Roman" w:eastAsia="宋体" w:cs="Times New Roman"/>
                <w:color w:val="auto"/>
                <w:kern w:val="2"/>
                <w:sz w:val="24"/>
                <w:szCs w:val="24"/>
                <w:lang w:val="en-US" w:eastAsia="zh-CN" w:bidi="ar-SA"/>
              </w:rPr>
              <w:t>为</w:t>
            </w:r>
            <w:r>
              <w:rPr>
                <w:rFonts w:hint="default" w:ascii="Times New Roman" w:hAnsi="Times New Roman" w:cs="Times New Roman"/>
                <w:color w:val="auto"/>
                <w:sz w:val="24"/>
              </w:rPr>
              <w:t>900-041-49</w:t>
            </w:r>
            <w:r>
              <w:rPr>
                <w:rFonts w:hint="default" w:ascii="Times New Roman" w:hAnsi="Times New Roman" w:cs="Times New Roman"/>
                <w:color w:val="auto"/>
                <w:kern w:val="0"/>
                <w:sz w:val="24"/>
                <w:szCs w:val="20"/>
                <w:lang w:eastAsia="zh-CN"/>
              </w:rPr>
              <w:t>。</w:t>
            </w:r>
            <w:r>
              <w:rPr>
                <w:rFonts w:hint="default" w:ascii="Times New Roman" w:hAnsi="Times New Roman" w:cs="Times New Roman"/>
                <w:color w:val="auto"/>
                <w:sz w:val="24"/>
                <w:lang w:val="zh-CN"/>
              </w:rPr>
              <w:t>收集后暂存于厂区</w:t>
            </w:r>
            <w:r>
              <w:rPr>
                <w:rFonts w:hint="default" w:ascii="Times New Roman" w:hAnsi="Times New Roman" w:cs="Times New Roman"/>
                <w:color w:val="auto"/>
                <w:sz w:val="24"/>
              </w:rPr>
              <w:t>危险废物暂存场所</w:t>
            </w:r>
            <w:r>
              <w:rPr>
                <w:rFonts w:hint="default" w:ascii="Times New Roman" w:hAnsi="Times New Roman" w:cs="Times New Roman"/>
                <w:color w:val="auto"/>
                <w:sz w:val="24"/>
                <w:lang w:val="zh-CN"/>
              </w:rPr>
              <w:t>，定期交</w:t>
            </w:r>
            <w:r>
              <w:rPr>
                <w:rFonts w:hint="default" w:ascii="Times New Roman" w:hAnsi="Times New Roman" w:cs="Times New Roman"/>
                <w:color w:val="auto"/>
                <w:sz w:val="24"/>
              </w:rPr>
              <w:t>由</w:t>
            </w:r>
            <w:r>
              <w:rPr>
                <w:rFonts w:hint="default" w:ascii="Times New Roman" w:hAnsi="Times New Roman" w:cs="Times New Roman"/>
                <w:color w:val="auto"/>
                <w:sz w:val="24"/>
                <w:lang w:val="zh-CN"/>
              </w:rPr>
              <w:t>有资质单位进行处理。</w:t>
            </w:r>
          </w:p>
          <w:p w14:paraId="2709519B">
            <w:pPr>
              <w:keepNext w:val="0"/>
              <w:keepLines w:val="0"/>
              <w:widowControl/>
              <w:suppressLineNumbers w:val="0"/>
              <w:spacing w:line="360" w:lineRule="auto"/>
              <w:ind w:firstLine="480" w:firstLineChars="200"/>
              <w:jc w:val="left"/>
              <w:rPr>
                <w:rFonts w:hint="default" w:ascii="Times New Roman" w:hAnsi="Times New Roman" w:cs="Times New Roman"/>
                <w:color w:val="auto"/>
                <w:sz w:val="24"/>
                <w:lang w:val="en-US" w:eastAsia="zh-CN"/>
              </w:rPr>
            </w:pPr>
            <w:r>
              <w:rPr>
                <w:rFonts w:hint="default" w:ascii="Times New Roman" w:hAnsi="Times New Roman" w:cs="Times New Roman"/>
                <w:color w:val="auto"/>
                <w:sz w:val="24"/>
              </w:rPr>
              <w:t>②</w:t>
            </w:r>
            <w:r>
              <w:rPr>
                <w:rFonts w:hint="default" w:ascii="Times New Roman" w:hAnsi="Times New Roman" w:cs="Times New Roman"/>
                <w:color w:val="auto"/>
                <w:sz w:val="24"/>
                <w:lang w:val="en-US" w:eastAsia="zh-CN"/>
              </w:rPr>
              <w:t>废切削液</w:t>
            </w:r>
          </w:p>
          <w:p w14:paraId="7F9BC1BE">
            <w:pPr>
              <w:keepNext w:val="0"/>
              <w:keepLines w:val="0"/>
              <w:widowControl/>
              <w:suppressLineNumbers w:val="0"/>
              <w:spacing w:line="360" w:lineRule="auto"/>
              <w:ind w:firstLine="480" w:firstLineChars="200"/>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highlight w:val="none"/>
                <w:lang w:val="en-US" w:eastAsia="zh-CN" w:bidi="ar-SA"/>
              </w:rPr>
              <w:t>本项目</w:t>
            </w:r>
            <w:r>
              <w:rPr>
                <w:rFonts w:hint="eastAsia" w:cs="Times New Roman"/>
                <w:color w:val="auto"/>
                <w:sz w:val="24"/>
                <w:szCs w:val="24"/>
                <w:lang w:val="en-US" w:eastAsia="zh-CN"/>
              </w:rPr>
              <w:t>粗加工</w:t>
            </w:r>
            <w:r>
              <w:rPr>
                <w:rFonts w:hint="default" w:ascii="Times New Roman" w:hAnsi="Times New Roman" w:cs="Times New Roman"/>
                <w:color w:val="auto"/>
                <w:sz w:val="24"/>
                <w:szCs w:val="24"/>
                <w:lang w:val="en-US" w:eastAsia="zh-CN"/>
              </w:rPr>
              <w:t>、</w:t>
            </w:r>
            <w:r>
              <w:rPr>
                <w:rFonts w:hint="eastAsia" w:cs="Times New Roman"/>
                <w:color w:val="auto"/>
                <w:sz w:val="24"/>
                <w:szCs w:val="24"/>
                <w:lang w:val="en-US" w:eastAsia="zh-CN"/>
              </w:rPr>
              <w:t>精加工</w:t>
            </w:r>
            <w:r>
              <w:rPr>
                <w:rFonts w:hint="default" w:ascii="Times New Roman" w:hAnsi="Times New Roman" w:eastAsia="宋体" w:cs="Times New Roman"/>
                <w:color w:val="auto"/>
                <w:kern w:val="2"/>
                <w:sz w:val="24"/>
                <w:szCs w:val="24"/>
                <w:highlight w:val="none"/>
                <w:lang w:val="en-US" w:eastAsia="zh-CN" w:bidi="ar-SA"/>
              </w:rPr>
              <w:t>等设备使用切削液，</w:t>
            </w:r>
            <w:r>
              <w:rPr>
                <w:rFonts w:hint="default" w:ascii="Times New Roman" w:hAnsi="Times New Roman" w:cs="Times New Roman"/>
                <w:color w:val="auto"/>
                <w:kern w:val="2"/>
                <w:sz w:val="24"/>
                <w:szCs w:val="24"/>
                <w:highlight w:val="none"/>
                <w:lang w:val="en-US" w:eastAsia="zh-CN" w:bidi="ar-SA"/>
              </w:rPr>
              <w:t>根据前述工程可知，</w:t>
            </w:r>
            <w:r>
              <w:rPr>
                <w:rFonts w:hint="default" w:ascii="Times New Roman" w:hAnsi="Times New Roman" w:eastAsia="宋体" w:cs="Times New Roman"/>
                <w:color w:val="auto"/>
                <w:kern w:val="2"/>
                <w:sz w:val="24"/>
                <w:szCs w:val="24"/>
                <w:highlight w:val="none"/>
                <w:lang w:val="en-US" w:eastAsia="zh-CN" w:bidi="ar-SA"/>
              </w:rPr>
              <w:t>废切削液产生量为</w:t>
            </w:r>
            <w:r>
              <w:rPr>
                <w:rFonts w:hint="default" w:ascii="Times New Roman" w:hAnsi="Times New Roman" w:cs="Times New Roman"/>
                <w:color w:val="auto"/>
                <w:kern w:val="2"/>
                <w:sz w:val="24"/>
                <w:szCs w:val="24"/>
                <w:highlight w:val="none"/>
                <w:lang w:val="en-US" w:eastAsia="zh-CN" w:bidi="ar-SA"/>
              </w:rPr>
              <w:t>2.52</w:t>
            </w:r>
            <w:r>
              <w:rPr>
                <w:rFonts w:hint="default" w:ascii="Times New Roman" w:hAnsi="Times New Roman" w:eastAsia="宋体" w:cs="Times New Roman"/>
                <w:color w:val="auto"/>
                <w:kern w:val="2"/>
                <w:sz w:val="24"/>
                <w:szCs w:val="24"/>
                <w:highlight w:val="none"/>
                <w:lang w:val="en-US" w:eastAsia="zh-CN" w:bidi="ar-SA"/>
              </w:rPr>
              <w:t>t/a。</w:t>
            </w:r>
            <w:r>
              <w:rPr>
                <w:rFonts w:hint="default" w:ascii="Times New Roman" w:hAnsi="Times New Roman" w:eastAsia="宋体" w:cs="Times New Roman"/>
                <w:color w:val="auto"/>
                <w:kern w:val="0"/>
                <w:sz w:val="24"/>
                <w:szCs w:val="24"/>
              </w:rPr>
              <w:t>根据</w:t>
            </w:r>
            <w:r>
              <w:rPr>
                <w:rFonts w:hint="default" w:ascii="Times New Roman" w:hAnsi="Times New Roman" w:cs="Times New Roman"/>
                <w:color w:val="auto"/>
                <w:sz w:val="24"/>
              </w:rPr>
              <w:t>《国家危险废物名录》（202</w:t>
            </w:r>
            <w:r>
              <w:rPr>
                <w:rFonts w:hint="default" w:ascii="Times New Roman" w:hAnsi="Times New Roman" w:cs="Times New Roman"/>
                <w:color w:val="auto"/>
                <w:sz w:val="24"/>
                <w:lang w:val="en-US" w:eastAsia="zh-CN"/>
              </w:rPr>
              <w:t>5</w:t>
            </w:r>
            <w:r>
              <w:rPr>
                <w:rFonts w:hint="default" w:ascii="Times New Roman" w:hAnsi="Times New Roman" w:cs="Times New Roman"/>
                <w:color w:val="auto"/>
                <w:sz w:val="24"/>
              </w:rPr>
              <w:t>年版），</w:t>
            </w:r>
            <w:r>
              <w:rPr>
                <w:rFonts w:hint="default" w:ascii="Times New Roman" w:hAnsi="Times New Roman" w:eastAsia="宋体" w:cs="Times New Roman"/>
                <w:color w:val="auto"/>
                <w:spacing w:val="0"/>
                <w:kern w:val="0"/>
                <w:sz w:val="24"/>
                <w:szCs w:val="24"/>
                <w:highlight w:val="none"/>
                <w:lang w:eastAsia="zh-CN"/>
              </w:rPr>
              <w:t>废切削液</w:t>
            </w:r>
            <w:r>
              <w:rPr>
                <w:rFonts w:hint="default" w:ascii="Times New Roman" w:hAnsi="Times New Roman" w:eastAsia="宋体" w:cs="Times New Roman"/>
                <w:color w:val="auto"/>
                <w:kern w:val="2"/>
                <w:sz w:val="24"/>
                <w:szCs w:val="24"/>
                <w:lang w:val="en-US" w:eastAsia="zh-CN" w:bidi="ar-SA"/>
              </w:rPr>
              <w:t>属于危险废物，危废类别为HW09油/水、烃 /水混合物或乳化液 ，危废代码为900-006-09。</w:t>
            </w:r>
            <w:r>
              <w:rPr>
                <w:rFonts w:hint="default" w:ascii="Times New Roman" w:hAnsi="Times New Roman" w:eastAsia="宋体" w:cs="Times New Roman"/>
                <w:color w:val="auto"/>
                <w:kern w:val="2"/>
                <w:sz w:val="24"/>
                <w:szCs w:val="24"/>
                <w:lang w:val="zh-CN" w:eastAsia="zh-CN" w:bidi="ar-SA"/>
              </w:rPr>
              <w:t>收集后暂存于厂区</w:t>
            </w:r>
            <w:r>
              <w:rPr>
                <w:rFonts w:hint="default" w:ascii="Times New Roman" w:hAnsi="Times New Roman" w:eastAsia="宋体" w:cs="Times New Roman"/>
                <w:color w:val="auto"/>
                <w:kern w:val="2"/>
                <w:sz w:val="24"/>
                <w:szCs w:val="24"/>
                <w:lang w:val="en-US" w:eastAsia="zh-CN" w:bidi="ar-SA"/>
              </w:rPr>
              <w:t>危险废物暂存场所</w:t>
            </w:r>
            <w:r>
              <w:rPr>
                <w:rFonts w:hint="default" w:ascii="Times New Roman" w:hAnsi="Times New Roman" w:eastAsia="宋体" w:cs="Times New Roman"/>
                <w:color w:val="auto"/>
                <w:kern w:val="2"/>
                <w:sz w:val="24"/>
                <w:szCs w:val="24"/>
                <w:lang w:val="zh-CN" w:eastAsia="zh-CN" w:bidi="ar-SA"/>
              </w:rPr>
              <w:t>，</w:t>
            </w:r>
            <w:r>
              <w:rPr>
                <w:rFonts w:hint="default" w:ascii="Times New Roman" w:hAnsi="Times New Roman" w:eastAsia="宋体" w:cs="Times New Roman"/>
                <w:color w:val="auto"/>
                <w:kern w:val="2"/>
                <w:sz w:val="24"/>
                <w:szCs w:val="24"/>
                <w:lang w:val="en-US" w:eastAsia="zh-CN" w:bidi="ar-SA"/>
              </w:rPr>
              <w:t>定期交有资质单位进行处理。</w:t>
            </w:r>
          </w:p>
          <w:p w14:paraId="4FAEFAF2">
            <w:pPr>
              <w:autoSpaceDE w:val="0"/>
              <w:autoSpaceDN w:val="0"/>
              <w:adjustRightInd w:val="0"/>
              <w:spacing w:line="360" w:lineRule="auto"/>
              <w:ind w:firstLine="480" w:firstLineChars="200"/>
              <w:rPr>
                <w:rFonts w:hint="default" w:ascii="Times New Roman" w:hAnsi="Times New Roman" w:cs="Times New Roman"/>
                <w:color w:val="auto"/>
                <w:sz w:val="24"/>
                <w:lang w:eastAsia="zh-CN"/>
              </w:rPr>
            </w:pPr>
            <w:r>
              <w:rPr>
                <w:rFonts w:hint="default" w:ascii="Times New Roman" w:hAnsi="Times New Roman" w:eastAsia="宋体" w:cs="Times New Roman"/>
                <w:color w:val="auto"/>
                <w:sz w:val="24"/>
              </w:rPr>
              <w:t>③</w:t>
            </w:r>
            <w:r>
              <w:rPr>
                <w:rFonts w:hint="default" w:ascii="Times New Roman" w:hAnsi="Times New Roman" w:cs="Times New Roman"/>
                <w:color w:val="auto"/>
                <w:sz w:val="24"/>
              </w:rPr>
              <w:t>废</w:t>
            </w:r>
            <w:r>
              <w:rPr>
                <w:rFonts w:hint="default" w:ascii="Times New Roman" w:hAnsi="Times New Roman" w:cs="Times New Roman"/>
                <w:color w:val="auto"/>
                <w:sz w:val="24"/>
                <w:lang w:eastAsia="zh-CN"/>
              </w:rPr>
              <w:t>润滑油</w:t>
            </w:r>
          </w:p>
          <w:p w14:paraId="3CB7D765">
            <w:pPr>
              <w:autoSpaceDE w:val="0"/>
              <w:autoSpaceDN w:val="0"/>
              <w:adjustRightInd w:val="0"/>
              <w:spacing w:line="360" w:lineRule="auto"/>
              <w:ind w:firstLine="480" w:firstLineChars="200"/>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cs="Times New Roman"/>
                <w:color w:val="auto"/>
                <w:sz w:val="24"/>
              </w:rPr>
              <w:t>项目机械设备在运行过程中会产生</w:t>
            </w:r>
            <w:r>
              <w:rPr>
                <w:rFonts w:hint="default" w:ascii="Times New Roman" w:hAnsi="Times New Roman" w:cs="Times New Roman"/>
                <w:color w:val="auto"/>
                <w:sz w:val="24"/>
                <w:lang w:eastAsia="zh-CN"/>
              </w:rPr>
              <w:t>废润滑油</w:t>
            </w:r>
            <w:r>
              <w:rPr>
                <w:rFonts w:hint="default" w:ascii="Times New Roman" w:hAnsi="Times New Roman" w:cs="Times New Roman"/>
                <w:color w:val="auto"/>
                <w:sz w:val="24"/>
              </w:rPr>
              <w:t>，</w:t>
            </w:r>
            <w:r>
              <w:rPr>
                <w:rFonts w:hint="default" w:ascii="Times New Roman" w:hAnsi="Times New Roman" w:cs="Times New Roman" w:eastAsiaTheme="minorEastAsia"/>
                <w:color w:val="auto"/>
                <w:kern w:val="0"/>
                <w:sz w:val="24"/>
                <w:szCs w:val="20"/>
              </w:rPr>
              <w:t>其产生量一般为年用量的5-10%，本环评以最大量10%计，项目年使用</w:t>
            </w:r>
            <w:r>
              <w:rPr>
                <w:rFonts w:hint="default" w:ascii="Times New Roman" w:hAnsi="Times New Roman" w:cs="Times New Roman"/>
                <w:color w:val="auto"/>
                <w:sz w:val="24"/>
                <w:lang w:eastAsia="zh-CN"/>
              </w:rPr>
              <w:t>润滑油</w:t>
            </w:r>
            <w:r>
              <w:rPr>
                <w:rFonts w:hint="default" w:ascii="Times New Roman" w:hAnsi="Times New Roman" w:cs="Times New Roman" w:eastAsiaTheme="minorEastAsia"/>
                <w:color w:val="auto"/>
                <w:kern w:val="0"/>
                <w:sz w:val="24"/>
                <w:szCs w:val="20"/>
              </w:rPr>
              <w:t>约</w:t>
            </w:r>
            <w:r>
              <w:rPr>
                <w:rFonts w:hint="eastAsia" w:cs="Times New Roman" w:eastAsiaTheme="minorEastAsia"/>
                <w:color w:val="auto"/>
                <w:kern w:val="0"/>
                <w:sz w:val="24"/>
                <w:szCs w:val="20"/>
                <w:lang w:val="en-US" w:eastAsia="zh-CN"/>
              </w:rPr>
              <w:t>4</w:t>
            </w:r>
            <w:r>
              <w:rPr>
                <w:rFonts w:hint="default" w:ascii="Times New Roman" w:hAnsi="Times New Roman" w:cs="Times New Roman" w:eastAsiaTheme="minorEastAsia"/>
                <w:color w:val="auto"/>
                <w:kern w:val="0"/>
                <w:sz w:val="24"/>
                <w:szCs w:val="20"/>
              </w:rPr>
              <w:t>t</w:t>
            </w: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则</w:t>
            </w:r>
            <w:r>
              <w:rPr>
                <w:rFonts w:hint="default" w:ascii="Times New Roman" w:hAnsi="Times New Roman" w:cs="Times New Roman"/>
                <w:color w:val="auto"/>
                <w:sz w:val="24"/>
              </w:rPr>
              <w:t>废</w:t>
            </w:r>
            <w:r>
              <w:rPr>
                <w:rFonts w:hint="default" w:ascii="Times New Roman" w:hAnsi="Times New Roman" w:cs="Times New Roman"/>
                <w:color w:val="auto"/>
                <w:sz w:val="24"/>
                <w:lang w:eastAsia="zh-CN"/>
              </w:rPr>
              <w:t>润滑油</w:t>
            </w:r>
            <w:r>
              <w:rPr>
                <w:rFonts w:hint="default" w:ascii="Times New Roman" w:hAnsi="Times New Roman" w:cs="Times New Roman"/>
                <w:color w:val="auto"/>
                <w:sz w:val="24"/>
              </w:rPr>
              <w:t>产生量为0</w:t>
            </w:r>
            <w:r>
              <w:rPr>
                <w:rFonts w:hint="default" w:ascii="Times New Roman" w:hAnsi="Times New Roman" w:cs="Times New Roman"/>
                <w:color w:val="auto"/>
                <w:sz w:val="24"/>
                <w:lang w:val="en-US" w:eastAsia="zh-CN"/>
              </w:rPr>
              <w:t>.</w:t>
            </w:r>
            <w:r>
              <w:rPr>
                <w:rFonts w:hint="eastAsia" w:cs="Times New Roman"/>
                <w:color w:val="auto"/>
                <w:sz w:val="24"/>
                <w:lang w:val="en-US" w:eastAsia="zh-CN"/>
              </w:rPr>
              <w:t>4</w:t>
            </w:r>
            <w:r>
              <w:rPr>
                <w:rFonts w:hint="default" w:ascii="Times New Roman" w:hAnsi="Times New Roman" w:cs="Times New Roman"/>
                <w:color w:val="auto"/>
                <w:sz w:val="24"/>
              </w:rPr>
              <w:t>/a。</w:t>
            </w:r>
            <w:r>
              <w:rPr>
                <w:rFonts w:hint="default" w:ascii="Times New Roman" w:hAnsi="Times New Roman" w:eastAsia="宋体" w:cs="Times New Roman"/>
                <w:color w:val="auto"/>
                <w:kern w:val="0"/>
                <w:sz w:val="24"/>
                <w:szCs w:val="24"/>
              </w:rPr>
              <w:t>根据</w:t>
            </w:r>
            <w:r>
              <w:rPr>
                <w:rFonts w:hint="default" w:ascii="Times New Roman" w:hAnsi="Times New Roman" w:cs="Times New Roman"/>
                <w:color w:val="auto"/>
                <w:sz w:val="24"/>
              </w:rPr>
              <w:t>《国家危险废物名录》（202</w:t>
            </w:r>
            <w:r>
              <w:rPr>
                <w:rFonts w:hint="default" w:ascii="Times New Roman" w:hAnsi="Times New Roman" w:cs="Times New Roman"/>
                <w:color w:val="auto"/>
                <w:sz w:val="24"/>
                <w:lang w:val="en-US" w:eastAsia="zh-CN"/>
              </w:rPr>
              <w:t>5</w:t>
            </w:r>
            <w:r>
              <w:rPr>
                <w:rFonts w:hint="default" w:ascii="Times New Roman" w:hAnsi="Times New Roman" w:cs="Times New Roman"/>
                <w:color w:val="auto"/>
                <w:sz w:val="24"/>
              </w:rPr>
              <w:t>年版），废</w:t>
            </w:r>
            <w:r>
              <w:rPr>
                <w:rFonts w:hint="default" w:ascii="Times New Roman" w:hAnsi="Times New Roman" w:cs="Times New Roman"/>
                <w:color w:val="auto"/>
                <w:sz w:val="24"/>
                <w:lang w:eastAsia="zh-CN"/>
              </w:rPr>
              <w:t>润滑油</w:t>
            </w:r>
            <w:r>
              <w:rPr>
                <w:rFonts w:hint="default" w:ascii="Times New Roman" w:hAnsi="Times New Roman" w:cs="Times New Roman"/>
                <w:color w:val="auto"/>
                <w:sz w:val="24"/>
              </w:rPr>
              <w:t>属于危险废物，危废类别HW08废矿物油与含矿物油废物，代码900-21</w:t>
            </w:r>
            <w:r>
              <w:rPr>
                <w:rFonts w:hint="default" w:ascii="Times New Roman" w:hAnsi="Times New Roman" w:cs="Times New Roman"/>
                <w:color w:val="auto"/>
                <w:sz w:val="24"/>
                <w:lang w:val="en-US" w:eastAsia="zh-CN"/>
              </w:rPr>
              <w:t>7</w:t>
            </w:r>
            <w:r>
              <w:rPr>
                <w:rFonts w:hint="default" w:ascii="Times New Roman" w:hAnsi="Times New Roman" w:cs="Times New Roman"/>
                <w:color w:val="auto"/>
                <w:sz w:val="24"/>
              </w:rPr>
              <w:t>-08。</w:t>
            </w:r>
            <w:r>
              <w:rPr>
                <w:rFonts w:hint="default" w:ascii="Times New Roman" w:hAnsi="Times New Roman" w:cs="Times New Roman"/>
                <w:bCs/>
                <w:color w:val="auto"/>
                <w:sz w:val="24"/>
              </w:rPr>
              <w:t>收集后暂存于厂区危废暂存场所，定期交由有资质的单位接收处理。</w:t>
            </w:r>
          </w:p>
          <w:p w14:paraId="7C05E223">
            <w:pPr>
              <w:keepNext w:val="0"/>
              <w:keepLines w:val="0"/>
              <w:widowControl/>
              <w:suppressLineNumbers w:val="0"/>
              <w:spacing w:line="360" w:lineRule="auto"/>
              <w:ind w:firstLine="480" w:firstLineChars="200"/>
              <w:jc w:val="left"/>
              <w:rPr>
                <w:rFonts w:hint="default" w:ascii="Times New Roman" w:hAnsi="Times New Roman" w:eastAsia="宋体" w:cs="Times New Roman"/>
                <w:color w:val="auto"/>
                <w:sz w:val="24"/>
                <w:lang w:eastAsia="zh-CN"/>
              </w:rPr>
            </w:pPr>
            <w:r>
              <w:rPr>
                <w:rFonts w:hint="default" w:ascii="Times New Roman" w:hAnsi="Times New Roman" w:cs="Times New Roman"/>
                <w:color w:val="auto"/>
                <w:sz w:val="24"/>
              </w:rPr>
              <w:t>④</w:t>
            </w:r>
            <w:r>
              <w:rPr>
                <w:rFonts w:hint="default" w:ascii="Times New Roman" w:hAnsi="Times New Roman" w:cs="Times New Roman"/>
                <w:color w:val="auto"/>
                <w:sz w:val="24"/>
                <w:lang w:eastAsia="zh-CN"/>
              </w:rPr>
              <w:t>废液压油</w:t>
            </w:r>
          </w:p>
          <w:p w14:paraId="571A4CE1">
            <w:pPr>
              <w:keepNext w:val="0"/>
              <w:keepLines w:val="0"/>
              <w:widowControl/>
              <w:suppressLineNumbers w:val="0"/>
              <w:spacing w:line="360" w:lineRule="auto"/>
              <w:ind w:firstLine="480" w:firstLineChars="200"/>
              <w:jc w:val="left"/>
              <w:rPr>
                <w:rFonts w:hint="default" w:ascii="Times New Roman" w:hAnsi="Times New Roman" w:eastAsia="宋体" w:cs="Times New Roman"/>
                <w:b/>
                <w:bCs/>
                <w:color w:val="auto"/>
                <w:sz w:val="24"/>
              </w:rPr>
            </w:pPr>
            <w:r>
              <w:rPr>
                <w:rFonts w:hint="default" w:ascii="Times New Roman" w:hAnsi="Times New Roman" w:cs="Times New Roman"/>
                <w:color w:val="auto"/>
                <w:sz w:val="24"/>
              </w:rPr>
              <w:t>项目机械设备在运行过程中会产生</w:t>
            </w:r>
            <w:r>
              <w:rPr>
                <w:rFonts w:hint="default" w:ascii="Times New Roman" w:hAnsi="Times New Roman" w:cs="Times New Roman"/>
                <w:color w:val="auto"/>
                <w:sz w:val="24"/>
                <w:lang w:eastAsia="zh-CN"/>
              </w:rPr>
              <w:t>废液压油</w:t>
            </w:r>
            <w:r>
              <w:rPr>
                <w:rFonts w:hint="default" w:ascii="Times New Roman" w:hAnsi="Times New Roman" w:cs="Times New Roman"/>
                <w:color w:val="auto"/>
                <w:sz w:val="24"/>
              </w:rPr>
              <w:t>，</w:t>
            </w:r>
            <w:r>
              <w:rPr>
                <w:rFonts w:hint="default" w:ascii="Times New Roman" w:hAnsi="Times New Roman" w:cs="Times New Roman" w:eastAsiaTheme="minorEastAsia"/>
                <w:color w:val="auto"/>
                <w:kern w:val="0"/>
                <w:sz w:val="24"/>
                <w:szCs w:val="20"/>
              </w:rPr>
              <w:t>其产生量一般为年用量的5-10%，本环评以最大量10%计，项目年使用</w:t>
            </w:r>
            <w:r>
              <w:rPr>
                <w:rFonts w:hint="default" w:ascii="Times New Roman" w:hAnsi="Times New Roman" w:cs="Times New Roman"/>
                <w:color w:val="auto"/>
                <w:sz w:val="24"/>
                <w:lang w:eastAsia="zh-CN"/>
              </w:rPr>
              <w:t>年使用液压油约</w:t>
            </w:r>
            <w:r>
              <w:rPr>
                <w:rFonts w:hint="default" w:ascii="Times New Roman" w:hAnsi="Times New Roman" w:cs="Times New Roman"/>
                <w:color w:val="auto"/>
                <w:sz w:val="24"/>
                <w:lang w:val="en-US" w:eastAsia="zh-CN"/>
              </w:rPr>
              <w:t>3t/a，则</w:t>
            </w:r>
            <w:r>
              <w:rPr>
                <w:rFonts w:hint="default" w:ascii="Times New Roman" w:hAnsi="Times New Roman" w:cs="Times New Roman"/>
                <w:color w:val="auto"/>
                <w:sz w:val="24"/>
              </w:rPr>
              <w:t>废</w:t>
            </w:r>
            <w:r>
              <w:rPr>
                <w:rFonts w:hint="default" w:ascii="Times New Roman" w:hAnsi="Times New Roman" w:cs="Times New Roman"/>
                <w:color w:val="auto"/>
                <w:sz w:val="24"/>
                <w:lang w:eastAsia="zh-CN"/>
              </w:rPr>
              <w:t>液压油</w:t>
            </w:r>
            <w:r>
              <w:rPr>
                <w:rFonts w:hint="default" w:ascii="Times New Roman" w:hAnsi="Times New Roman" w:cs="Times New Roman"/>
                <w:color w:val="auto"/>
                <w:sz w:val="24"/>
              </w:rPr>
              <w:t>产生量为0</w:t>
            </w:r>
            <w:r>
              <w:rPr>
                <w:rFonts w:hint="default" w:ascii="Times New Roman" w:hAnsi="Times New Roman" w:cs="Times New Roman"/>
                <w:color w:val="auto"/>
                <w:sz w:val="24"/>
                <w:lang w:val="en-US" w:eastAsia="zh-CN"/>
              </w:rPr>
              <w:t>.3</w:t>
            </w:r>
            <w:r>
              <w:rPr>
                <w:rFonts w:hint="default" w:ascii="Times New Roman" w:hAnsi="Times New Roman" w:cs="Times New Roman"/>
                <w:color w:val="auto"/>
                <w:sz w:val="24"/>
              </w:rPr>
              <w:t>t/a。</w:t>
            </w:r>
            <w:r>
              <w:rPr>
                <w:rFonts w:hint="default" w:ascii="Times New Roman" w:hAnsi="Times New Roman" w:eastAsia="宋体" w:cs="Times New Roman"/>
                <w:color w:val="auto"/>
                <w:kern w:val="0"/>
                <w:sz w:val="24"/>
                <w:szCs w:val="24"/>
              </w:rPr>
              <w:t>根据</w:t>
            </w:r>
            <w:r>
              <w:rPr>
                <w:rFonts w:hint="default" w:ascii="Times New Roman" w:hAnsi="Times New Roman" w:cs="Times New Roman"/>
                <w:color w:val="auto"/>
                <w:sz w:val="24"/>
              </w:rPr>
              <w:t>《国家危险废物名录》（202</w:t>
            </w:r>
            <w:r>
              <w:rPr>
                <w:rFonts w:hint="default" w:ascii="Times New Roman" w:hAnsi="Times New Roman" w:cs="Times New Roman"/>
                <w:color w:val="auto"/>
                <w:sz w:val="24"/>
                <w:lang w:val="en-US" w:eastAsia="zh-CN"/>
              </w:rPr>
              <w:t>5</w:t>
            </w:r>
            <w:r>
              <w:rPr>
                <w:rFonts w:hint="default" w:ascii="Times New Roman" w:hAnsi="Times New Roman" w:cs="Times New Roman"/>
                <w:color w:val="auto"/>
                <w:sz w:val="24"/>
              </w:rPr>
              <w:t>年版），废</w:t>
            </w:r>
            <w:r>
              <w:rPr>
                <w:rFonts w:hint="default" w:ascii="Times New Roman" w:hAnsi="Times New Roman" w:cs="Times New Roman"/>
                <w:color w:val="auto"/>
                <w:sz w:val="24"/>
                <w:lang w:eastAsia="zh-CN"/>
              </w:rPr>
              <w:t>液压油</w:t>
            </w:r>
            <w:r>
              <w:rPr>
                <w:rFonts w:hint="default" w:ascii="Times New Roman" w:hAnsi="Times New Roman" w:cs="Times New Roman"/>
                <w:color w:val="auto"/>
                <w:sz w:val="24"/>
              </w:rPr>
              <w:t>属于危险废物，危废类别HW08废矿物油与含矿物油废物，代码900-21</w:t>
            </w:r>
            <w:r>
              <w:rPr>
                <w:rFonts w:hint="default" w:ascii="Times New Roman" w:hAnsi="Times New Roman" w:cs="Times New Roman"/>
                <w:color w:val="auto"/>
                <w:sz w:val="24"/>
                <w:lang w:val="en-US" w:eastAsia="zh-CN"/>
              </w:rPr>
              <w:t>8-</w:t>
            </w:r>
            <w:r>
              <w:rPr>
                <w:rFonts w:hint="default" w:ascii="Times New Roman" w:hAnsi="Times New Roman" w:cs="Times New Roman"/>
                <w:color w:val="auto"/>
                <w:sz w:val="24"/>
              </w:rPr>
              <w:t>08。</w:t>
            </w:r>
            <w:r>
              <w:rPr>
                <w:rFonts w:hint="default" w:ascii="Times New Roman" w:hAnsi="Times New Roman" w:cs="Times New Roman"/>
                <w:bCs/>
                <w:color w:val="auto"/>
                <w:sz w:val="24"/>
              </w:rPr>
              <w:t>收集后暂存于厂区危废暂存场所，定期交由有资质的单位接收处理。</w:t>
            </w:r>
          </w:p>
          <w:p w14:paraId="2CE6E4DF">
            <w:pPr>
              <w:spacing w:line="360" w:lineRule="auto"/>
              <w:ind w:firstLine="480" w:firstLineChars="200"/>
              <w:rPr>
                <w:rFonts w:hint="default" w:ascii="Times New Roman" w:hAnsi="Times New Roman" w:eastAsia="宋体" w:cs="Times New Roman"/>
                <w:color w:val="auto"/>
                <w:sz w:val="24"/>
                <w:lang w:eastAsia="zh-CN"/>
              </w:rPr>
            </w:pPr>
            <w:r>
              <w:rPr>
                <w:rFonts w:hint="default" w:ascii="Times New Roman" w:hAnsi="Times New Roman" w:cs="Times New Roman"/>
                <w:color w:val="auto"/>
                <w:sz w:val="24"/>
              </w:rPr>
              <w:t>⑤</w:t>
            </w:r>
            <w:r>
              <w:rPr>
                <w:rFonts w:hint="default" w:ascii="Times New Roman" w:hAnsi="Times New Roman" w:cs="Times New Roman"/>
                <w:color w:val="auto"/>
                <w:sz w:val="24"/>
                <w:lang w:eastAsia="zh-CN"/>
              </w:rPr>
              <w:t>含油金属屑</w:t>
            </w:r>
          </w:p>
          <w:p w14:paraId="323B2196">
            <w:pPr>
              <w:keepNext w:val="0"/>
              <w:keepLines w:val="0"/>
              <w:widowControl/>
              <w:suppressLineNumbers w:val="0"/>
              <w:spacing w:line="360" w:lineRule="auto"/>
              <w:ind w:firstLine="480" w:firstLineChars="200"/>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w:t>
            </w:r>
            <w:r>
              <w:rPr>
                <w:rFonts w:hint="eastAsia" w:cs="Times New Roman"/>
                <w:color w:val="auto"/>
                <w:sz w:val="24"/>
                <w:szCs w:val="24"/>
                <w:lang w:val="en-US" w:eastAsia="zh-CN"/>
              </w:rPr>
              <w:t>粗加工</w:t>
            </w:r>
            <w:r>
              <w:rPr>
                <w:rFonts w:hint="default" w:ascii="Times New Roman" w:hAnsi="Times New Roman" w:cs="Times New Roman"/>
                <w:color w:val="auto"/>
                <w:sz w:val="24"/>
                <w:szCs w:val="24"/>
                <w:lang w:val="en-US" w:eastAsia="zh-CN"/>
              </w:rPr>
              <w:t>、</w:t>
            </w:r>
            <w:r>
              <w:rPr>
                <w:rFonts w:hint="eastAsia" w:cs="Times New Roman"/>
                <w:color w:val="auto"/>
                <w:sz w:val="24"/>
                <w:szCs w:val="24"/>
                <w:lang w:val="en-US" w:eastAsia="zh-CN"/>
              </w:rPr>
              <w:t>精加工</w:t>
            </w:r>
            <w:r>
              <w:rPr>
                <w:rFonts w:hint="default" w:ascii="Times New Roman" w:hAnsi="Times New Roman" w:eastAsia="宋体" w:cs="Times New Roman"/>
                <w:color w:val="auto"/>
                <w:kern w:val="2"/>
                <w:sz w:val="24"/>
                <w:szCs w:val="24"/>
                <w:lang w:val="en-US" w:eastAsia="zh-CN" w:bidi="ar-SA"/>
              </w:rPr>
              <w:t>过程中会产生沾有废切削液的含油</w:t>
            </w:r>
            <w:r>
              <w:rPr>
                <w:rFonts w:hint="default" w:ascii="Times New Roman" w:hAnsi="Times New Roman" w:cs="Times New Roman"/>
                <w:color w:val="auto"/>
                <w:kern w:val="2"/>
                <w:sz w:val="24"/>
                <w:szCs w:val="24"/>
                <w:lang w:val="en-US" w:eastAsia="zh-CN" w:bidi="ar-SA"/>
              </w:rPr>
              <w:t>金属屑</w:t>
            </w:r>
            <w:r>
              <w:rPr>
                <w:rFonts w:hint="default" w:ascii="Times New Roman" w:hAnsi="Times New Roman" w:eastAsia="宋体" w:cs="Times New Roman"/>
                <w:color w:val="auto"/>
                <w:kern w:val="2"/>
                <w:sz w:val="24"/>
                <w:szCs w:val="24"/>
                <w:lang w:val="en-US" w:eastAsia="zh-CN" w:bidi="ar-SA"/>
              </w:rPr>
              <w:t>。根据建设单位提供的资料，含油</w:t>
            </w:r>
            <w:r>
              <w:rPr>
                <w:rFonts w:hint="default" w:ascii="Times New Roman" w:hAnsi="Times New Roman" w:cs="Times New Roman"/>
                <w:color w:val="auto"/>
                <w:kern w:val="2"/>
                <w:sz w:val="24"/>
                <w:szCs w:val="24"/>
                <w:lang w:val="en-US" w:eastAsia="zh-CN" w:bidi="ar-SA"/>
              </w:rPr>
              <w:t>金属屑</w:t>
            </w:r>
            <w:r>
              <w:rPr>
                <w:rFonts w:hint="default" w:ascii="Times New Roman" w:hAnsi="Times New Roman" w:eastAsia="宋体" w:cs="Times New Roman"/>
                <w:color w:val="auto"/>
                <w:kern w:val="2"/>
                <w:sz w:val="24"/>
                <w:szCs w:val="24"/>
                <w:lang w:val="en-US" w:eastAsia="zh-CN" w:bidi="ar-SA"/>
              </w:rPr>
              <w:t>产生量约为</w:t>
            </w:r>
            <w:r>
              <w:rPr>
                <w:rFonts w:hint="default" w:ascii="Times New Roman" w:hAnsi="Times New Roman" w:cs="Times New Roman"/>
                <w:color w:val="auto"/>
                <w:kern w:val="2"/>
                <w:sz w:val="24"/>
                <w:szCs w:val="24"/>
                <w:lang w:val="en-US" w:eastAsia="zh-CN" w:bidi="ar-SA"/>
              </w:rPr>
              <w:t>9</w:t>
            </w:r>
            <w:r>
              <w:rPr>
                <w:rFonts w:hint="default" w:ascii="Times New Roman" w:hAnsi="Times New Roman" w:eastAsia="宋体" w:cs="Times New Roman"/>
                <w:color w:val="auto"/>
                <w:kern w:val="2"/>
                <w:sz w:val="24"/>
                <w:szCs w:val="24"/>
                <w:lang w:val="en-US" w:eastAsia="zh-CN" w:bidi="ar-SA"/>
              </w:rPr>
              <w:t>t/a（约为原料使用量的0.05%）。</w:t>
            </w:r>
            <w:r>
              <w:rPr>
                <w:rFonts w:hint="default" w:ascii="Times New Roman" w:hAnsi="Times New Roman" w:eastAsia="宋体" w:cs="Times New Roman"/>
                <w:color w:val="auto"/>
                <w:kern w:val="0"/>
                <w:sz w:val="24"/>
                <w:szCs w:val="24"/>
              </w:rPr>
              <w:t>根据</w:t>
            </w:r>
            <w:r>
              <w:rPr>
                <w:rFonts w:hint="default" w:ascii="Times New Roman" w:hAnsi="Times New Roman" w:cs="Times New Roman"/>
                <w:color w:val="auto"/>
                <w:sz w:val="24"/>
              </w:rPr>
              <w:t>《国家危险废物名录》（202</w:t>
            </w:r>
            <w:r>
              <w:rPr>
                <w:rFonts w:hint="default" w:ascii="Times New Roman" w:hAnsi="Times New Roman" w:cs="Times New Roman"/>
                <w:color w:val="auto"/>
                <w:sz w:val="24"/>
                <w:lang w:val="en-US" w:eastAsia="zh-CN"/>
              </w:rPr>
              <w:t>5</w:t>
            </w:r>
            <w:r>
              <w:rPr>
                <w:rFonts w:hint="default" w:ascii="Times New Roman" w:hAnsi="Times New Roman" w:cs="Times New Roman"/>
                <w:color w:val="auto"/>
                <w:sz w:val="24"/>
              </w:rPr>
              <w:t>年版），</w:t>
            </w:r>
            <w:r>
              <w:rPr>
                <w:rFonts w:hint="default" w:ascii="Times New Roman" w:hAnsi="Times New Roman" w:eastAsia="宋体" w:cs="Times New Roman"/>
                <w:color w:val="auto"/>
                <w:kern w:val="2"/>
                <w:sz w:val="24"/>
                <w:szCs w:val="24"/>
                <w:lang w:val="en-US" w:eastAsia="zh-CN" w:bidi="ar-SA"/>
              </w:rPr>
              <w:t>含油</w:t>
            </w:r>
            <w:r>
              <w:rPr>
                <w:rFonts w:hint="default" w:ascii="Times New Roman" w:hAnsi="Times New Roman" w:cs="Times New Roman"/>
                <w:color w:val="auto"/>
                <w:kern w:val="2"/>
                <w:sz w:val="24"/>
                <w:szCs w:val="24"/>
                <w:lang w:val="en-US" w:eastAsia="zh-CN" w:bidi="ar-SA"/>
              </w:rPr>
              <w:t>金属屑</w:t>
            </w:r>
            <w:r>
              <w:rPr>
                <w:rFonts w:hint="default" w:ascii="Times New Roman" w:hAnsi="Times New Roman" w:eastAsia="宋体" w:cs="Times New Roman"/>
                <w:color w:val="auto"/>
                <w:kern w:val="2"/>
                <w:sz w:val="24"/>
                <w:szCs w:val="24"/>
                <w:lang w:val="en-US" w:eastAsia="zh-CN" w:bidi="ar-SA"/>
              </w:rPr>
              <w:t>属于危险废物，危废类别为HW09油/水、烃 /水混合物或乳化液 ，危废代码为900-006-09。</w:t>
            </w:r>
            <w:r>
              <w:rPr>
                <w:rFonts w:hint="default" w:ascii="Times New Roman" w:hAnsi="Times New Roman" w:eastAsia="宋体" w:cs="Times New Roman"/>
                <w:color w:val="auto"/>
                <w:kern w:val="2"/>
                <w:sz w:val="24"/>
                <w:szCs w:val="24"/>
                <w:lang w:val="zh-CN" w:eastAsia="zh-CN" w:bidi="ar-SA"/>
              </w:rPr>
              <w:t>收集后暂存于厂区</w:t>
            </w:r>
            <w:r>
              <w:rPr>
                <w:rFonts w:hint="default" w:ascii="Times New Roman" w:hAnsi="Times New Roman" w:eastAsia="宋体" w:cs="Times New Roman"/>
                <w:color w:val="auto"/>
                <w:kern w:val="2"/>
                <w:sz w:val="24"/>
                <w:szCs w:val="24"/>
                <w:lang w:val="en-US" w:eastAsia="zh-CN" w:bidi="ar-SA"/>
              </w:rPr>
              <w:t>危险废物暂存场所</w:t>
            </w:r>
            <w:r>
              <w:rPr>
                <w:rFonts w:hint="default" w:ascii="Times New Roman" w:hAnsi="Times New Roman" w:eastAsia="宋体" w:cs="Times New Roman"/>
                <w:color w:val="auto"/>
                <w:kern w:val="2"/>
                <w:sz w:val="24"/>
                <w:szCs w:val="24"/>
                <w:lang w:val="zh-CN" w:eastAsia="zh-CN" w:bidi="ar-SA"/>
              </w:rPr>
              <w:t>，</w:t>
            </w:r>
            <w:r>
              <w:rPr>
                <w:rFonts w:hint="default" w:ascii="Times New Roman" w:hAnsi="Times New Roman" w:eastAsia="宋体" w:cs="Times New Roman"/>
                <w:color w:val="auto"/>
                <w:kern w:val="2"/>
                <w:sz w:val="24"/>
                <w:szCs w:val="24"/>
                <w:lang w:val="en-US" w:eastAsia="zh-CN" w:bidi="ar-SA"/>
              </w:rPr>
              <w:t>定期交有资质单位进行处理。</w:t>
            </w:r>
          </w:p>
          <w:p w14:paraId="2FD13688">
            <w:pPr>
              <w:keepNext w:val="0"/>
              <w:keepLines w:val="0"/>
              <w:widowControl/>
              <w:suppressLineNumbers w:val="0"/>
              <w:spacing w:line="360" w:lineRule="auto"/>
              <w:ind w:firstLine="480" w:firstLineChars="200"/>
              <w:jc w:val="left"/>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⑥废</w:t>
            </w:r>
            <w:r>
              <w:rPr>
                <w:rFonts w:hint="eastAsia" w:cs="Times New Roman"/>
                <w:color w:val="auto"/>
                <w:kern w:val="2"/>
                <w:sz w:val="24"/>
                <w:szCs w:val="24"/>
                <w:lang w:val="en-US" w:eastAsia="zh-CN" w:bidi="ar-SA"/>
              </w:rPr>
              <w:t>水性脱模剂</w:t>
            </w:r>
          </w:p>
          <w:p w14:paraId="0182BB6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pacing w:val="0"/>
                <w:sz w:val="24"/>
                <w:szCs w:val="24"/>
                <w:lang w:val="en-US" w:eastAsia="zh-CN"/>
              </w:rPr>
            </w:pPr>
            <w:r>
              <w:rPr>
                <w:rFonts w:hint="default" w:ascii="Times New Roman" w:hAnsi="Times New Roman" w:eastAsia="宋体" w:cs="Times New Roman"/>
                <w:color w:val="auto"/>
                <w:spacing w:val="0"/>
                <w:sz w:val="24"/>
                <w:szCs w:val="24"/>
                <w:highlight w:val="none"/>
                <w:lang w:eastAsia="zh-CN"/>
              </w:rPr>
              <w:t>项目</w:t>
            </w:r>
            <w:r>
              <w:rPr>
                <w:rFonts w:hint="eastAsia" w:cs="Times New Roman"/>
                <w:color w:val="auto"/>
                <w:sz w:val="24"/>
                <w:lang w:val="en-US" w:eastAsia="zh-CN"/>
              </w:rPr>
              <w:t>锻造</w:t>
            </w:r>
            <w:r>
              <w:rPr>
                <w:rFonts w:hint="default" w:ascii="Times New Roman" w:hAnsi="Times New Roman" w:cs="Times New Roman"/>
                <w:color w:val="auto"/>
                <w:sz w:val="24"/>
                <w:lang w:eastAsia="zh-CN"/>
              </w:rPr>
              <w:t>过程</w:t>
            </w:r>
            <w:r>
              <w:rPr>
                <w:rFonts w:hint="eastAsia" w:cs="Times New Roman"/>
                <w:color w:val="auto"/>
                <w:sz w:val="24"/>
                <w:lang w:val="en-US" w:eastAsia="zh-CN"/>
              </w:rPr>
              <w:t>水性脱模剂和水配比</w:t>
            </w:r>
            <w:r>
              <w:rPr>
                <w:rFonts w:hint="default" w:ascii="Times New Roman" w:hAnsi="Times New Roman" w:cs="Times New Roman"/>
                <w:color w:val="auto"/>
                <w:sz w:val="24"/>
                <w:lang w:eastAsia="zh-CN"/>
              </w:rPr>
              <w:t>中会产生废</w:t>
            </w:r>
            <w:r>
              <w:rPr>
                <w:rFonts w:hint="eastAsia" w:cs="Times New Roman"/>
                <w:color w:val="auto"/>
                <w:sz w:val="24"/>
                <w:lang w:eastAsia="zh-CN"/>
              </w:rPr>
              <w:t>水性脱模剂</w:t>
            </w:r>
            <w:r>
              <w:rPr>
                <w:rFonts w:hint="default" w:ascii="Times New Roman" w:hAnsi="Times New Roman" w:eastAsia="宋体" w:cs="Times New Roman"/>
                <w:color w:val="auto"/>
                <w:spacing w:val="0"/>
                <w:sz w:val="24"/>
                <w:szCs w:val="24"/>
                <w:highlight w:val="none"/>
                <w:lang w:eastAsia="zh-CN"/>
              </w:rPr>
              <w:t>，</w:t>
            </w:r>
            <w:r>
              <w:rPr>
                <w:rFonts w:hint="default" w:ascii="Times New Roman" w:hAnsi="Times New Roman" w:eastAsia="宋体" w:cs="Times New Roman"/>
                <w:b w:val="0"/>
                <w:bCs w:val="0"/>
                <w:i w:val="0"/>
                <w:iCs w:val="0"/>
                <w:color w:val="auto"/>
                <w:spacing w:val="0"/>
                <w:sz w:val="24"/>
                <w:szCs w:val="24"/>
                <w:highlight w:val="none"/>
                <w:lang w:eastAsia="zh-CN"/>
              </w:rPr>
              <w:t>根据</w:t>
            </w:r>
            <w:r>
              <w:rPr>
                <w:rFonts w:hint="default" w:ascii="Times New Roman" w:hAnsi="Times New Roman" w:cs="Times New Roman"/>
                <w:b w:val="0"/>
                <w:bCs w:val="0"/>
                <w:i w:val="0"/>
                <w:iCs w:val="0"/>
                <w:color w:val="auto"/>
                <w:spacing w:val="0"/>
                <w:sz w:val="24"/>
                <w:szCs w:val="24"/>
                <w:highlight w:val="none"/>
                <w:lang w:val="en-US" w:eastAsia="zh-CN"/>
              </w:rPr>
              <w:t>前述工程可知</w:t>
            </w:r>
            <w:r>
              <w:rPr>
                <w:rFonts w:hint="default" w:ascii="Times New Roman" w:hAnsi="Times New Roman" w:eastAsia="宋体" w:cs="Times New Roman"/>
                <w:b w:val="0"/>
                <w:bCs w:val="0"/>
                <w:i w:val="0"/>
                <w:iCs w:val="0"/>
                <w:color w:val="auto"/>
                <w:spacing w:val="0"/>
                <w:sz w:val="24"/>
                <w:szCs w:val="24"/>
                <w:highlight w:val="none"/>
                <w:lang w:eastAsia="zh-CN"/>
              </w:rPr>
              <w:t>，</w:t>
            </w:r>
            <w:r>
              <w:rPr>
                <w:rFonts w:hint="default" w:ascii="Times New Roman" w:hAnsi="Times New Roman" w:eastAsia="宋体" w:cs="Times New Roman"/>
                <w:color w:val="auto"/>
                <w:spacing w:val="0"/>
                <w:sz w:val="24"/>
                <w:szCs w:val="24"/>
                <w:highlight w:val="none"/>
                <w:lang w:val="en-US" w:eastAsia="zh-CN"/>
              </w:rPr>
              <w:t>废</w:t>
            </w:r>
            <w:r>
              <w:rPr>
                <w:rFonts w:hint="eastAsia" w:cs="Times New Roman"/>
                <w:color w:val="auto"/>
                <w:spacing w:val="0"/>
                <w:sz w:val="24"/>
                <w:szCs w:val="24"/>
                <w:highlight w:val="none"/>
                <w:lang w:val="en-US" w:eastAsia="zh-CN"/>
              </w:rPr>
              <w:t>水性脱模剂</w:t>
            </w:r>
            <w:r>
              <w:rPr>
                <w:rFonts w:hint="default" w:ascii="Times New Roman" w:hAnsi="Times New Roman" w:eastAsia="宋体" w:cs="Times New Roman"/>
                <w:color w:val="auto"/>
                <w:spacing w:val="0"/>
                <w:sz w:val="24"/>
                <w:szCs w:val="24"/>
                <w:highlight w:val="none"/>
                <w:lang w:val="en-US" w:eastAsia="zh-CN"/>
              </w:rPr>
              <w:t>产生量为</w:t>
            </w:r>
            <w:r>
              <w:rPr>
                <w:rFonts w:hint="eastAsia" w:ascii="Times New Roman" w:hAnsi="Times New Roman" w:cs="Times New Roman"/>
                <w:color w:val="auto"/>
                <w:spacing w:val="0"/>
                <w:sz w:val="24"/>
                <w:szCs w:val="24"/>
                <w:highlight w:val="none"/>
                <w:lang w:val="en-US" w:eastAsia="zh-CN"/>
              </w:rPr>
              <w:t>4.536</w:t>
            </w:r>
            <w:r>
              <w:rPr>
                <w:rFonts w:hint="default" w:ascii="Times New Roman" w:hAnsi="Times New Roman" w:eastAsia="宋体" w:cs="Times New Roman"/>
                <w:color w:val="auto"/>
                <w:spacing w:val="0"/>
                <w:sz w:val="24"/>
                <w:szCs w:val="24"/>
                <w:highlight w:val="none"/>
                <w:lang w:val="en-US" w:eastAsia="zh-CN"/>
              </w:rPr>
              <w:t>t/a。</w:t>
            </w:r>
            <w:r>
              <w:rPr>
                <w:rFonts w:hint="default" w:ascii="Times New Roman" w:hAnsi="Times New Roman" w:eastAsia="宋体" w:cs="Times New Roman"/>
                <w:color w:val="auto"/>
                <w:kern w:val="0"/>
                <w:sz w:val="24"/>
                <w:szCs w:val="24"/>
              </w:rPr>
              <w:t>根据</w:t>
            </w:r>
            <w:r>
              <w:rPr>
                <w:rFonts w:hint="default" w:ascii="Times New Roman" w:hAnsi="Times New Roman" w:cs="Times New Roman"/>
                <w:color w:val="auto"/>
                <w:sz w:val="24"/>
              </w:rPr>
              <w:t>《国家危险废物名录》（202</w:t>
            </w:r>
            <w:r>
              <w:rPr>
                <w:rFonts w:hint="default" w:ascii="Times New Roman" w:hAnsi="Times New Roman" w:cs="Times New Roman"/>
                <w:color w:val="auto"/>
                <w:sz w:val="24"/>
                <w:lang w:val="en-US" w:eastAsia="zh-CN"/>
              </w:rPr>
              <w:t>5</w:t>
            </w:r>
            <w:r>
              <w:rPr>
                <w:rFonts w:hint="default" w:ascii="Times New Roman" w:hAnsi="Times New Roman" w:cs="Times New Roman"/>
                <w:color w:val="auto"/>
                <w:sz w:val="24"/>
              </w:rPr>
              <w:t>年版），</w:t>
            </w:r>
            <w:r>
              <w:rPr>
                <w:rFonts w:hint="default" w:ascii="Times New Roman" w:hAnsi="Times New Roman" w:eastAsia="宋体" w:cs="Times New Roman"/>
                <w:color w:val="auto"/>
                <w:spacing w:val="0"/>
                <w:sz w:val="24"/>
                <w:szCs w:val="24"/>
                <w:highlight w:val="none"/>
                <w:lang w:val="en-US" w:eastAsia="zh-CN"/>
              </w:rPr>
              <w:t>废</w:t>
            </w:r>
            <w:r>
              <w:rPr>
                <w:rFonts w:hint="eastAsia" w:cs="Times New Roman"/>
                <w:color w:val="auto"/>
                <w:spacing w:val="0"/>
                <w:sz w:val="24"/>
                <w:szCs w:val="24"/>
                <w:highlight w:val="none"/>
                <w:lang w:val="en-US" w:eastAsia="zh-CN"/>
              </w:rPr>
              <w:t>水性脱模剂</w:t>
            </w:r>
            <w:r>
              <w:rPr>
                <w:rFonts w:hint="default" w:ascii="Times New Roman" w:hAnsi="Times New Roman" w:eastAsia="宋体" w:cs="Times New Roman"/>
                <w:color w:val="auto"/>
                <w:sz w:val="24"/>
                <w:lang w:val="en-US" w:eastAsia="zh-CN"/>
              </w:rPr>
              <w:t>属于危险废物，危废类别为HW08废矿物油与含矿物油废物，危废代码为900-210-08</w:t>
            </w:r>
            <w:r>
              <w:rPr>
                <w:rFonts w:hint="eastAsia" w:ascii="Times New Roman" w:hAnsi="Times New Roman" w:cs="Times New Roman"/>
                <w:color w:val="auto"/>
                <w:sz w:val="24"/>
                <w:lang w:val="en-US" w:eastAsia="zh-CN"/>
              </w:rPr>
              <w:t>。</w:t>
            </w:r>
            <w:r>
              <w:rPr>
                <w:rFonts w:hint="default" w:ascii="Times New Roman" w:hAnsi="Times New Roman" w:cs="Times New Roman"/>
                <w:color w:val="auto"/>
                <w:sz w:val="24"/>
                <w:lang w:val="zh-CN"/>
              </w:rPr>
              <w:t>收集后暂存于厂区</w:t>
            </w:r>
            <w:r>
              <w:rPr>
                <w:rFonts w:hint="default" w:ascii="Times New Roman" w:hAnsi="Times New Roman" w:cs="Times New Roman"/>
                <w:color w:val="auto"/>
                <w:sz w:val="24"/>
              </w:rPr>
              <w:t>危险废物暂存场所</w:t>
            </w:r>
            <w:r>
              <w:rPr>
                <w:rFonts w:hint="default" w:ascii="Times New Roman" w:hAnsi="Times New Roman" w:cs="Times New Roman"/>
                <w:color w:val="auto"/>
                <w:sz w:val="24"/>
                <w:lang w:val="zh-CN"/>
              </w:rPr>
              <w:t>，</w:t>
            </w:r>
            <w:r>
              <w:rPr>
                <w:rFonts w:hint="default" w:ascii="Times New Roman" w:hAnsi="Times New Roman" w:eastAsia="宋体" w:cs="Times New Roman"/>
                <w:color w:val="auto"/>
                <w:spacing w:val="0"/>
                <w:sz w:val="24"/>
                <w:szCs w:val="24"/>
                <w:lang w:val="en-US" w:eastAsia="zh-CN"/>
              </w:rPr>
              <w:t>定期交有资质单位进行处理。</w:t>
            </w:r>
          </w:p>
          <w:p w14:paraId="22DF8AF5">
            <w:pPr>
              <w:keepNext w:val="0"/>
              <w:keepLines w:val="0"/>
              <w:widowControl/>
              <w:suppressLineNumbers w:val="0"/>
              <w:spacing w:line="360" w:lineRule="auto"/>
              <w:ind w:firstLine="480" w:firstLineChars="200"/>
              <w:jc w:val="left"/>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⑦废活性炭</w:t>
            </w:r>
          </w:p>
          <w:p w14:paraId="454E9822">
            <w:pPr>
              <w:keepNext w:val="0"/>
              <w:keepLines w:val="0"/>
              <w:widowControl/>
              <w:suppressLineNumbers w:val="0"/>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cs="Times New Roman"/>
                <w:bCs/>
                <w:color w:val="auto"/>
                <w:sz w:val="24"/>
                <w:lang w:eastAsia="zh-CN"/>
              </w:rPr>
              <w:t>本项目使用的活性炭碘值</w:t>
            </w:r>
            <w:r>
              <w:rPr>
                <w:rFonts w:hint="default" w:ascii="Times New Roman" w:hAnsi="Times New Roman" w:eastAsia="宋体" w:cs="Times New Roman"/>
                <w:color w:val="auto"/>
                <w:kern w:val="0"/>
                <w:sz w:val="24"/>
                <w:szCs w:val="24"/>
                <w:lang w:val="en-US" w:eastAsia="zh-CN" w:bidi="ar"/>
              </w:rPr>
              <w:t>值＞800mg/g，该两级活性炭年吸附处理有机废气约</w:t>
            </w:r>
            <w:r>
              <w:rPr>
                <w:rFonts w:hint="eastAsia" w:cs="Times New Roman"/>
                <w:color w:val="auto"/>
                <w:kern w:val="0"/>
                <w:sz w:val="24"/>
                <w:szCs w:val="24"/>
                <w:lang w:val="en-US" w:eastAsia="zh-CN" w:bidi="ar"/>
              </w:rPr>
              <w:t>0.6124</w:t>
            </w:r>
            <w:r>
              <w:rPr>
                <w:rFonts w:hint="default" w:ascii="Times New Roman" w:hAnsi="Times New Roman" w:eastAsia="宋体" w:cs="Times New Roman"/>
                <w:color w:val="auto"/>
                <w:kern w:val="0"/>
                <w:sz w:val="24"/>
                <w:szCs w:val="24"/>
                <w:lang w:val="en-US" w:eastAsia="zh-CN" w:bidi="ar"/>
              </w:rPr>
              <w:t>t，</w:t>
            </w:r>
            <w:r>
              <w:rPr>
                <w:rFonts w:hint="default" w:ascii="Times New Roman" w:hAnsi="Times New Roman" w:cs="Times New Roman"/>
                <w:bCs/>
                <w:color w:val="auto"/>
                <w:sz w:val="24"/>
              </w:rPr>
              <w:t>每吨活性炭可净化有机废气0.3t，</w:t>
            </w:r>
            <w:r>
              <w:rPr>
                <w:rFonts w:hint="default" w:ascii="Times New Roman" w:hAnsi="Times New Roman" w:cs="Times New Roman"/>
                <w:bCs/>
                <w:color w:val="auto"/>
                <w:sz w:val="24"/>
                <w:lang w:eastAsia="zh-CN"/>
              </w:rPr>
              <w:t>则活性炭年用量</w:t>
            </w:r>
            <w:r>
              <w:rPr>
                <w:rFonts w:hint="eastAsia" w:cs="Times New Roman"/>
                <w:bCs/>
                <w:color w:val="auto"/>
                <w:sz w:val="24"/>
                <w:lang w:val="en-US" w:eastAsia="zh-CN"/>
              </w:rPr>
              <w:t>2.04</w:t>
            </w:r>
            <w:r>
              <w:rPr>
                <w:rFonts w:hint="default" w:ascii="Times New Roman" w:hAnsi="Times New Roman" w:cs="Times New Roman"/>
                <w:bCs/>
                <w:color w:val="auto"/>
                <w:sz w:val="24"/>
                <w:lang w:val="en-US" w:eastAsia="zh-CN"/>
              </w:rPr>
              <w:t>t，</w:t>
            </w:r>
            <w:r>
              <w:rPr>
                <w:rFonts w:hint="default" w:ascii="Times New Roman" w:hAnsi="Times New Roman" w:eastAsia="宋体" w:cs="Times New Roman"/>
                <w:bCs/>
                <w:color w:val="auto"/>
                <w:sz w:val="24"/>
                <w:lang w:eastAsia="zh-CN"/>
              </w:rPr>
              <w:t>废活性炭量包括新活性炭及其吸附的有机废气，则废活性炭量理论产生量约</w:t>
            </w:r>
            <w:r>
              <w:rPr>
                <w:rFonts w:hint="eastAsia" w:cs="Times New Roman"/>
                <w:bCs/>
                <w:color w:val="auto"/>
                <w:sz w:val="24"/>
                <w:lang w:val="en-US" w:eastAsia="zh-CN"/>
              </w:rPr>
              <w:t>2.6524</w:t>
            </w:r>
            <w:r>
              <w:rPr>
                <w:rFonts w:hint="default" w:ascii="Times New Roman" w:hAnsi="Times New Roman" w:eastAsia="宋体" w:cs="Times New Roman"/>
                <w:bCs/>
                <w:color w:val="auto"/>
                <w:sz w:val="24"/>
                <w:lang w:eastAsia="zh-CN"/>
              </w:rPr>
              <w:t>t/a。</w:t>
            </w:r>
            <w:r>
              <w:rPr>
                <w:rFonts w:hint="default" w:ascii="Times New Roman" w:hAnsi="Times New Roman" w:cs="Times New Roman"/>
                <w:bCs/>
                <w:color w:val="auto"/>
                <w:sz w:val="24"/>
              </w:rPr>
              <w:t>颗粒状活性炭的堆积密度约0.45～0.65g/cm</w:t>
            </w:r>
            <w:r>
              <w:rPr>
                <w:rFonts w:hint="default" w:ascii="Times New Roman" w:hAnsi="Times New Roman" w:cs="Times New Roman"/>
                <w:bCs/>
                <w:color w:val="auto"/>
                <w:sz w:val="24"/>
                <w:vertAlign w:val="superscript"/>
              </w:rPr>
              <w:t>3</w:t>
            </w:r>
            <w:r>
              <w:rPr>
                <w:rFonts w:hint="default" w:ascii="Times New Roman" w:hAnsi="Times New Roman" w:cs="Times New Roman"/>
                <w:bCs/>
                <w:color w:val="auto"/>
                <w:sz w:val="24"/>
              </w:rPr>
              <w:t>，本环评取0.5g/cm</w:t>
            </w:r>
            <w:r>
              <w:rPr>
                <w:rFonts w:hint="default" w:ascii="Times New Roman" w:hAnsi="Times New Roman" w:cs="Times New Roman"/>
                <w:bCs/>
                <w:color w:val="auto"/>
                <w:sz w:val="24"/>
                <w:vertAlign w:val="superscript"/>
              </w:rPr>
              <w:t>3</w:t>
            </w:r>
            <w:r>
              <w:rPr>
                <w:rFonts w:hint="default" w:ascii="Times New Roman" w:hAnsi="Times New Roman" w:cs="Times New Roman"/>
                <w:bCs/>
                <w:color w:val="auto"/>
                <w:sz w:val="24"/>
              </w:rPr>
              <w:t>。根据设计方案，活性炭</w:t>
            </w:r>
            <w:r>
              <w:rPr>
                <w:rFonts w:hint="default" w:ascii="Times New Roman" w:hAnsi="Times New Roman" w:cs="Times New Roman"/>
                <w:bCs/>
                <w:color w:val="auto"/>
                <w:sz w:val="24"/>
                <w:lang w:eastAsia="zh-CN"/>
              </w:rPr>
              <w:t>吸附装置</w:t>
            </w:r>
            <w:r>
              <w:rPr>
                <w:rFonts w:hint="default" w:ascii="Times New Roman" w:hAnsi="Times New Roman" w:cs="Times New Roman"/>
                <w:bCs/>
                <w:color w:val="auto"/>
                <w:sz w:val="24"/>
              </w:rPr>
              <w:t>过滤面积</w:t>
            </w:r>
            <w:r>
              <w:rPr>
                <w:rFonts w:hint="default" w:ascii="Times New Roman" w:hAnsi="Times New Roman" w:cs="Times New Roman"/>
                <w:color w:val="auto"/>
                <w:kern w:val="0"/>
                <w:sz w:val="24"/>
              </w:rPr>
              <w:t>不低于</w:t>
            </w:r>
            <w:r>
              <w:rPr>
                <w:rFonts w:hint="eastAsia" w:cs="Times New Roman"/>
                <w:bCs/>
                <w:color w:val="auto"/>
                <w:sz w:val="24"/>
                <w:lang w:val="en-US" w:eastAsia="zh-CN"/>
              </w:rPr>
              <w:t>4</w:t>
            </w:r>
            <w:r>
              <w:rPr>
                <w:rFonts w:hint="default" w:ascii="Times New Roman" w:hAnsi="Times New Roman" w:cs="Times New Roman"/>
                <w:bCs/>
                <w:color w:val="auto"/>
                <w:sz w:val="24"/>
              </w:rPr>
              <w:t>m</w:t>
            </w:r>
            <w:r>
              <w:rPr>
                <w:rFonts w:hint="default" w:ascii="Times New Roman" w:hAnsi="Times New Roman" w:cs="Times New Roman"/>
                <w:bCs/>
                <w:color w:val="auto"/>
                <w:sz w:val="24"/>
                <w:vertAlign w:val="superscript"/>
              </w:rPr>
              <w:t>2</w:t>
            </w:r>
            <w:r>
              <w:rPr>
                <w:rFonts w:hint="default" w:ascii="Times New Roman" w:hAnsi="Times New Roman" w:cs="Times New Roman"/>
                <w:bCs/>
                <w:color w:val="auto"/>
                <w:sz w:val="24"/>
              </w:rPr>
              <w:t>，活性炭层厚</w:t>
            </w:r>
            <w:r>
              <w:rPr>
                <w:rFonts w:hint="eastAsia" w:cs="Times New Roman"/>
                <w:bCs/>
                <w:color w:val="auto"/>
                <w:sz w:val="24"/>
                <w:lang w:val="en-US" w:eastAsia="zh-CN"/>
              </w:rPr>
              <w:t>5</w:t>
            </w:r>
            <w:r>
              <w:rPr>
                <w:rFonts w:hint="default" w:ascii="Times New Roman" w:hAnsi="Times New Roman" w:cs="Times New Roman"/>
                <w:bCs/>
                <w:color w:val="auto"/>
                <w:sz w:val="24"/>
              </w:rPr>
              <w:t>00mm，则一次填充量=</w:t>
            </w:r>
            <w:r>
              <w:rPr>
                <w:rFonts w:hint="eastAsia" w:cs="Times New Roman"/>
                <w:color w:val="auto"/>
                <w:spacing w:val="0"/>
                <w:sz w:val="24"/>
                <w:szCs w:val="24"/>
                <w:lang w:val="en-US" w:eastAsia="zh-CN"/>
              </w:rPr>
              <w:t>4</w:t>
            </w:r>
            <w:r>
              <w:rPr>
                <w:rFonts w:hint="default" w:ascii="Times New Roman" w:hAnsi="Times New Roman" w:eastAsia="宋体" w:cs="Times New Roman"/>
                <w:color w:val="auto"/>
                <w:spacing w:val="0"/>
                <w:sz w:val="24"/>
                <w:szCs w:val="24"/>
                <w:lang w:val="en-US" w:eastAsia="zh-CN"/>
              </w:rPr>
              <w:t>×0</w:t>
            </w:r>
            <w:r>
              <w:rPr>
                <w:rFonts w:hint="default" w:ascii="Times New Roman" w:hAnsi="Times New Roman" w:eastAsia="宋体" w:cs="Times New Roman"/>
                <w:color w:val="auto"/>
                <w:sz w:val="24"/>
                <w:lang w:val="en-US" w:eastAsia="zh-CN"/>
              </w:rPr>
              <w:t>.</w:t>
            </w:r>
            <w:r>
              <w:rPr>
                <w:rFonts w:hint="eastAsia" w:ascii="Times New Roman" w:hAnsi="Times New Roman" w:eastAsia="宋体" w:cs="Times New Roman"/>
                <w:color w:val="auto"/>
                <w:sz w:val="24"/>
                <w:lang w:val="en-US" w:eastAsia="zh-CN"/>
              </w:rPr>
              <w:t>5</w:t>
            </w:r>
            <w:r>
              <w:rPr>
                <w:rFonts w:hint="default" w:ascii="Times New Roman" w:hAnsi="Times New Roman" w:eastAsia="宋体" w:cs="Times New Roman"/>
                <w:color w:val="auto"/>
                <w:sz w:val="24"/>
                <w:lang w:val="en-US" w:eastAsia="zh-CN"/>
              </w:rPr>
              <w:t>×0.5=1t，</w:t>
            </w:r>
            <w:r>
              <w:rPr>
                <w:rFonts w:hint="default" w:ascii="Times New Roman" w:hAnsi="Times New Roman" w:eastAsia="宋体" w:cs="Times New Roman"/>
                <w:color w:val="auto"/>
                <w:sz w:val="24"/>
              </w:rPr>
              <w:t>根据前述工程，处理有机废气所更换活性炭约为</w:t>
            </w:r>
            <w:r>
              <w:rPr>
                <w:rFonts w:hint="eastAsia" w:ascii="Times New Roman" w:hAnsi="Times New Roman" w:eastAsia="宋体" w:cs="Times New Roman"/>
                <w:color w:val="auto"/>
                <w:sz w:val="24"/>
                <w:lang w:val="en-US" w:eastAsia="zh-CN"/>
              </w:rPr>
              <w:t>3</w:t>
            </w:r>
            <w:r>
              <w:rPr>
                <w:rFonts w:hint="default" w:ascii="Times New Roman" w:hAnsi="Times New Roman" w:eastAsia="宋体" w:cs="Times New Roman"/>
                <w:color w:val="auto"/>
                <w:sz w:val="24"/>
              </w:rPr>
              <w:t>次/年。</w:t>
            </w:r>
            <w:r>
              <w:rPr>
                <w:rFonts w:hint="default" w:ascii="Times New Roman" w:hAnsi="Times New Roman" w:eastAsia="宋体" w:cs="Times New Roman"/>
                <w:color w:val="auto"/>
                <w:kern w:val="0"/>
                <w:sz w:val="24"/>
                <w:szCs w:val="24"/>
              </w:rPr>
              <w:t>根据</w:t>
            </w:r>
            <w:r>
              <w:rPr>
                <w:rFonts w:hint="default" w:ascii="Times New Roman" w:hAnsi="Times New Roman" w:cs="Times New Roman"/>
                <w:color w:val="auto"/>
                <w:sz w:val="24"/>
              </w:rPr>
              <w:t>《国家危险废物名录》（202</w:t>
            </w:r>
            <w:r>
              <w:rPr>
                <w:rFonts w:hint="default" w:ascii="Times New Roman" w:hAnsi="Times New Roman" w:cs="Times New Roman"/>
                <w:color w:val="auto"/>
                <w:sz w:val="24"/>
                <w:lang w:val="en-US" w:eastAsia="zh-CN"/>
              </w:rPr>
              <w:t>5</w:t>
            </w:r>
            <w:r>
              <w:rPr>
                <w:rFonts w:hint="default" w:ascii="Times New Roman" w:hAnsi="Times New Roman" w:cs="Times New Roman"/>
                <w:color w:val="auto"/>
                <w:sz w:val="24"/>
              </w:rPr>
              <w:t>年版），</w:t>
            </w:r>
            <w:r>
              <w:rPr>
                <w:rFonts w:hint="default" w:ascii="Times New Roman" w:hAnsi="Times New Roman" w:cs="Times New Roman"/>
                <w:bCs/>
                <w:color w:val="auto"/>
                <w:sz w:val="24"/>
              </w:rPr>
              <w:t>废活性炭属于危险废物，危废代码为HW49 900-039-49</w:t>
            </w:r>
            <w:r>
              <w:rPr>
                <w:rFonts w:hint="default" w:ascii="Times New Roman" w:hAnsi="Times New Roman" w:cs="Times New Roman"/>
                <w:bCs/>
                <w:color w:val="auto"/>
                <w:sz w:val="24"/>
                <w:lang w:eastAsia="zh-CN"/>
              </w:rPr>
              <w:t>。</w:t>
            </w:r>
            <w:r>
              <w:rPr>
                <w:rFonts w:hint="default" w:ascii="Times New Roman" w:hAnsi="Times New Roman" w:cs="Times New Roman"/>
                <w:bCs/>
                <w:color w:val="auto"/>
                <w:sz w:val="24"/>
              </w:rPr>
              <w:t>收集后暂存于厂区危废暂存场所，定期交由有资质的单位接收处理。</w:t>
            </w:r>
          </w:p>
          <w:p w14:paraId="2D236DF4">
            <w:pPr>
              <w:keepNext w:val="0"/>
              <w:keepLines w:val="0"/>
              <w:widowControl/>
              <w:suppressLineNumbers w:val="0"/>
              <w:spacing w:line="360" w:lineRule="auto"/>
              <w:ind w:firstLine="480" w:firstLineChars="200"/>
              <w:jc w:val="left"/>
              <w:rPr>
                <w:rFonts w:hint="default" w:ascii="Times New Roman" w:hAnsi="Times New Roman" w:cs="Times New Roman"/>
                <w:bCs/>
                <w:color w:val="auto"/>
                <w:sz w:val="24"/>
                <w:lang w:val="en-US" w:eastAsia="zh-CN"/>
              </w:rPr>
            </w:pPr>
            <w:r>
              <w:rPr>
                <w:rFonts w:hint="eastAsia" w:ascii="Times New Roman" w:hAnsi="Times New Roman" w:eastAsia="宋体" w:cs="Times New Roman"/>
                <w:color w:val="auto"/>
                <w:sz w:val="24"/>
                <w:lang w:val="en-US" w:eastAsia="zh-CN"/>
              </w:rPr>
              <w:t>⑧</w:t>
            </w:r>
            <w:r>
              <w:rPr>
                <w:rFonts w:hint="default" w:ascii="Times New Roman" w:hAnsi="Times New Roman" w:cs="Times New Roman"/>
                <w:bCs/>
                <w:color w:val="auto"/>
                <w:sz w:val="24"/>
                <w:lang w:val="en-US" w:eastAsia="zh-CN"/>
              </w:rPr>
              <w:t>油雾净化器收集的废油</w:t>
            </w:r>
          </w:p>
          <w:p w14:paraId="78B70EE9">
            <w:pPr>
              <w:keepNext w:val="0"/>
              <w:keepLines w:val="0"/>
              <w:widowControl/>
              <w:suppressLineNumbers w:val="0"/>
              <w:spacing w:line="360" w:lineRule="auto"/>
              <w:ind w:firstLine="480" w:firstLineChars="200"/>
              <w:jc w:val="left"/>
              <w:rPr>
                <w:rFonts w:hint="default" w:ascii="Times New Roman" w:hAnsi="Times New Roman" w:eastAsia="宋体" w:cs="Times New Roman"/>
                <w:color w:val="auto"/>
                <w:sz w:val="24"/>
                <w:lang w:val="en-US" w:eastAsia="zh-CN"/>
              </w:rPr>
            </w:pPr>
            <w:r>
              <w:rPr>
                <w:rFonts w:hint="default" w:ascii="Times New Roman" w:hAnsi="Times New Roman" w:cs="Times New Roman"/>
                <w:bCs/>
                <w:color w:val="auto"/>
                <w:sz w:val="24"/>
                <w:lang w:val="en-US" w:eastAsia="zh-CN"/>
              </w:rPr>
              <w:t>类比同类项目</w:t>
            </w:r>
            <w:r>
              <w:rPr>
                <w:rFonts w:hint="default" w:ascii="Times New Roman" w:hAnsi="Times New Roman" w:cs="Times New Roman"/>
                <w:bCs/>
                <w:color w:val="auto"/>
                <w:sz w:val="24"/>
                <w:lang w:eastAsia="zh-CN"/>
              </w:rPr>
              <w:t>，</w:t>
            </w:r>
            <w:r>
              <w:rPr>
                <w:rFonts w:hint="default" w:ascii="Times New Roman" w:hAnsi="Times New Roman" w:cs="Times New Roman"/>
                <w:bCs/>
                <w:color w:val="auto"/>
                <w:sz w:val="24"/>
                <w:lang w:val="en-US" w:eastAsia="zh-CN"/>
              </w:rPr>
              <w:t>油雾净化器收集的废油产生量为0.05t/a。</w:t>
            </w:r>
            <w:r>
              <w:rPr>
                <w:rFonts w:hint="default" w:ascii="Times New Roman" w:hAnsi="Times New Roman" w:eastAsia="宋体" w:cs="Times New Roman"/>
                <w:color w:val="auto"/>
                <w:kern w:val="0"/>
                <w:sz w:val="24"/>
                <w:szCs w:val="24"/>
              </w:rPr>
              <w:t>根据</w:t>
            </w:r>
            <w:r>
              <w:rPr>
                <w:rFonts w:hint="default" w:ascii="Times New Roman" w:hAnsi="Times New Roman" w:cs="Times New Roman"/>
                <w:color w:val="auto"/>
                <w:sz w:val="24"/>
              </w:rPr>
              <w:t>《国家危险废物名录》（202</w:t>
            </w:r>
            <w:r>
              <w:rPr>
                <w:rFonts w:hint="default" w:ascii="Times New Roman" w:hAnsi="Times New Roman" w:cs="Times New Roman"/>
                <w:color w:val="auto"/>
                <w:sz w:val="24"/>
                <w:lang w:val="en-US" w:eastAsia="zh-CN"/>
              </w:rPr>
              <w:t>5</w:t>
            </w:r>
            <w:r>
              <w:rPr>
                <w:rFonts w:hint="default" w:ascii="Times New Roman" w:hAnsi="Times New Roman" w:cs="Times New Roman"/>
                <w:color w:val="auto"/>
                <w:sz w:val="24"/>
              </w:rPr>
              <w:t>年版），</w:t>
            </w:r>
            <w:r>
              <w:rPr>
                <w:rFonts w:hint="default" w:ascii="Times New Roman" w:hAnsi="Times New Roman" w:cs="Times New Roman"/>
                <w:bCs/>
                <w:color w:val="auto"/>
                <w:sz w:val="24"/>
                <w:lang w:val="en-US" w:eastAsia="zh-CN"/>
              </w:rPr>
              <w:t>项目油雾净化器收集的废油属于危废，</w:t>
            </w:r>
            <w:r>
              <w:rPr>
                <w:rFonts w:hint="default" w:ascii="Times New Roman" w:hAnsi="Times New Roman" w:eastAsia="宋体" w:cs="Times New Roman"/>
                <w:color w:val="auto"/>
                <w:sz w:val="24"/>
                <w:lang w:val="en-US" w:eastAsia="zh-CN"/>
              </w:rPr>
              <w:t>危废类别为HW08废矿物油与含矿物油废物，危废代码为</w:t>
            </w:r>
            <w:r>
              <w:rPr>
                <w:rFonts w:hint="default" w:ascii="Times New Roman" w:hAnsi="Times New Roman" w:eastAsia="宋体" w:cs="Times New Roman"/>
                <w:color w:val="auto"/>
                <w:spacing w:val="0"/>
                <w:sz w:val="24"/>
                <w:szCs w:val="24"/>
                <w:lang w:val="en-US" w:eastAsia="zh-CN"/>
              </w:rPr>
              <w:t>900-214-08</w:t>
            </w:r>
            <w:r>
              <w:rPr>
                <w:rFonts w:hint="eastAsia" w:eastAsia="宋体" w:cs="Times New Roman"/>
                <w:color w:val="auto"/>
                <w:spacing w:val="0"/>
                <w:sz w:val="24"/>
                <w:szCs w:val="24"/>
                <w:lang w:val="en-US" w:eastAsia="zh-CN"/>
              </w:rPr>
              <w:t>。</w:t>
            </w:r>
            <w:r>
              <w:rPr>
                <w:rFonts w:hint="default" w:ascii="Times New Roman" w:hAnsi="Times New Roman" w:cs="Times New Roman"/>
                <w:color w:val="auto"/>
                <w:sz w:val="24"/>
                <w:lang w:val="zh-CN"/>
              </w:rPr>
              <w:t>收集后暂存于厂区</w:t>
            </w:r>
            <w:r>
              <w:rPr>
                <w:rFonts w:hint="default" w:ascii="Times New Roman" w:hAnsi="Times New Roman" w:cs="Times New Roman"/>
                <w:color w:val="auto"/>
                <w:sz w:val="24"/>
              </w:rPr>
              <w:t>危险废物暂存场所</w:t>
            </w:r>
            <w:r>
              <w:rPr>
                <w:rFonts w:hint="default" w:ascii="Times New Roman" w:hAnsi="Times New Roman" w:cs="Times New Roman"/>
                <w:color w:val="auto"/>
                <w:sz w:val="24"/>
                <w:lang w:val="zh-CN"/>
              </w:rPr>
              <w:t>，</w:t>
            </w:r>
            <w:r>
              <w:rPr>
                <w:rFonts w:hint="default" w:ascii="Times New Roman" w:hAnsi="Times New Roman" w:eastAsia="宋体" w:cs="Times New Roman"/>
                <w:color w:val="auto"/>
                <w:spacing w:val="0"/>
                <w:sz w:val="24"/>
                <w:szCs w:val="24"/>
                <w:lang w:val="en-US" w:eastAsia="zh-CN"/>
              </w:rPr>
              <w:t>定期交有资质单位进行处理。</w:t>
            </w:r>
          </w:p>
          <w:p w14:paraId="61930D34">
            <w:pPr>
              <w:keepNext w:val="0"/>
              <w:keepLines w:val="0"/>
              <w:widowControl/>
              <w:suppressLineNumbers w:val="0"/>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（3）生活垃圾</w:t>
            </w:r>
          </w:p>
          <w:p w14:paraId="4C06798B">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项目劳动定员</w:t>
            </w:r>
            <w:r>
              <w:rPr>
                <w:rFonts w:hint="eastAsia" w:cs="Times New Roman"/>
                <w:color w:val="auto"/>
                <w:sz w:val="24"/>
                <w:lang w:val="en-US" w:eastAsia="zh-CN"/>
              </w:rPr>
              <w:t>100</w:t>
            </w:r>
            <w:r>
              <w:rPr>
                <w:rFonts w:hint="default" w:ascii="Times New Roman" w:hAnsi="Times New Roman" w:cs="Times New Roman"/>
                <w:color w:val="auto"/>
                <w:sz w:val="24"/>
              </w:rPr>
              <w:t>人，生活垃圾产生系数按0.5kg/（人·d）计，则项目生活垃圾产生量约为</w:t>
            </w:r>
            <w:r>
              <w:rPr>
                <w:rFonts w:hint="eastAsia" w:cs="Times New Roman"/>
                <w:color w:val="auto"/>
                <w:sz w:val="24"/>
                <w:lang w:val="en-US" w:eastAsia="zh-CN"/>
              </w:rPr>
              <w:t>16</w:t>
            </w:r>
            <w:r>
              <w:rPr>
                <w:rFonts w:hint="default" w:ascii="Times New Roman" w:hAnsi="Times New Roman" w:cs="Times New Roman"/>
                <w:color w:val="auto"/>
                <w:sz w:val="24"/>
              </w:rPr>
              <w:t>t/a。生活垃圾利用垃圾桶收集后，由环卫部门定期清运处理。</w:t>
            </w:r>
          </w:p>
          <w:p w14:paraId="2E119C64">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kern w:val="0"/>
                <w:sz w:val="24"/>
              </w:rPr>
              <w:t>本项目固体废弃物处理措施见</w:t>
            </w:r>
            <w:r>
              <w:rPr>
                <w:rFonts w:hint="default" w:ascii="Times New Roman" w:hAnsi="Times New Roman" w:cs="Times New Roman"/>
                <w:color w:val="auto"/>
                <w:kern w:val="0"/>
                <w:sz w:val="24"/>
                <w:lang w:eastAsia="zh-CN"/>
              </w:rPr>
              <w:t>下</w:t>
            </w:r>
            <w:r>
              <w:rPr>
                <w:rFonts w:hint="default" w:ascii="Times New Roman" w:hAnsi="Times New Roman" w:cs="Times New Roman"/>
                <w:color w:val="auto"/>
                <w:kern w:val="0"/>
                <w:sz w:val="24"/>
              </w:rPr>
              <w:t>表。</w:t>
            </w:r>
          </w:p>
          <w:p w14:paraId="0C20CB88">
            <w:pPr>
              <w:keepNext w:val="0"/>
              <w:keepLines w:val="0"/>
              <w:pageBreakBefore w:val="0"/>
              <w:widowControl/>
              <w:kinsoku/>
              <w:wordWrap/>
              <w:overflowPunct/>
              <w:topLinePunct w:val="0"/>
              <w:autoSpaceDE/>
              <w:autoSpaceDN/>
              <w:bidi w:val="0"/>
              <w:adjustRightInd/>
              <w:snapToGrid/>
              <w:spacing w:beforeAutospacing="0"/>
              <w:jc w:val="center"/>
              <w:textAlignment w:val="auto"/>
              <w:rPr>
                <w:rFonts w:hint="default" w:ascii="Times New Roman" w:hAnsi="Times New Roman" w:eastAsia="宋体" w:cs="Times New Roman"/>
                <w:b/>
                <w:color w:val="auto"/>
                <w:kern w:val="0"/>
                <w:sz w:val="24"/>
                <w:lang w:val="en-US" w:eastAsia="zh-CN"/>
              </w:rPr>
            </w:pPr>
            <w:r>
              <w:rPr>
                <w:rFonts w:hint="default" w:ascii="Times New Roman" w:hAnsi="Times New Roman" w:eastAsia="宋体" w:cs="Times New Roman"/>
                <w:b/>
                <w:color w:val="auto"/>
                <w:kern w:val="0"/>
                <w:sz w:val="24"/>
              </w:rPr>
              <w:t>表</w:t>
            </w:r>
            <w:r>
              <w:rPr>
                <w:rFonts w:hint="default" w:ascii="Times New Roman" w:hAnsi="Times New Roman" w:eastAsia="宋体" w:cs="Times New Roman"/>
                <w:b/>
                <w:color w:val="auto"/>
                <w:kern w:val="0"/>
                <w:sz w:val="24"/>
                <w:lang w:val="en-US" w:eastAsia="zh-CN"/>
              </w:rPr>
              <w:t>4-2</w:t>
            </w:r>
            <w:r>
              <w:rPr>
                <w:rFonts w:hint="eastAsia" w:ascii="Times New Roman" w:hAnsi="Times New Roman" w:eastAsia="宋体" w:cs="Times New Roman"/>
                <w:b/>
                <w:color w:val="auto"/>
                <w:kern w:val="0"/>
                <w:sz w:val="24"/>
                <w:lang w:val="en-US" w:eastAsia="zh-CN"/>
              </w:rPr>
              <w:t>2</w:t>
            </w:r>
            <w:r>
              <w:rPr>
                <w:rFonts w:hint="default" w:ascii="Times New Roman" w:hAnsi="Times New Roman" w:eastAsia="宋体" w:cs="Times New Roman"/>
                <w:b/>
                <w:color w:val="auto"/>
                <w:kern w:val="0"/>
                <w:sz w:val="24"/>
              </w:rPr>
              <w:t xml:space="preserve"> </w:t>
            </w:r>
            <w:r>
              <w:rPr>
                <w:rFonts w:hint="default" w:ascii="Times New Roman" w:hAnsi="Times New Roman" w:eastAsia="宋体" w:cs="Times New Roman"/>
                <w:b/>
                <w:color w:val="auto"/>
                <w:kern w:val="0"/>
                <w:sz w:val="24"/>
                <w:lang w:val="en-US" w:eastAsia="zh-CN"/>
              </w:rPr>
              <w:t xml:space="preserve">  </w:t>
            </w:r>
            <w:r>
              <w:rPr>
                <w:rFonts w:hint="default" w:ascii="Times New Roman" w:hAnsi="Times New Roman" w:eastAsia="宋体" w:cs="Times New Roman"/>
                <w:b/>
                <w:color w:val="auto"/>
                <w:kern w:val="0"/>
                <w:sz w:val="24"/>
              </w:rPr>
              <w:t>固体废弃物处理措施一览表</w:t>
            </w:r>
          </w:p>
          <w:tbl>
            <w:tblPr>
              <w:tblStyle w:val="63"/>
              <w:tblW w:w="84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388"/>
              <w:gridCol w:w="900"/>
              <w:gridCol w:w="709"/>
              <w:gridCol w:w="645"/>
              <w:gridCol w:w="1710"/>
              <w:gridCol w:w="518"/>
              <w:gridCol w:w="962"/>
              <w:gridCol w:w="790"/>
              <w:gridCol w:w="623"/>
              <w:gridCol w:w="389"/>
              <w:gridCol w:w="773"/>
            </w:tblGrid>
            <w:tr w14:paraId="50B2D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3" w:hRule="atLeast"/>
                <w:jc w:val="center"/>
              </w:trPr>
              <w:tc>
                <w:tcPr>
                  <w:tcW w:w="388" w:type="dxa"/>
                  <w:noWrap w:val="0"/>
                  <w:vAlign w:val="center"/>
                </w:tcPr>
                <w:p w14:paraId="2836A1E0">
                  <w:pPr>
                    <w:spacing w:line="360" w:lineRule="exact"/>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序号</w:t>
                  </w:r>
                </w:p>
              </w:tc>
              <w:tc>
                <w:tcPr>
                  <w:tcW w:w="900" w:type="dxa"/>
                  <w:noWrap w:val="0"/>
                  <w:vAlign w:val="center"/>
                </w:tcPr>
                <w:p w14:paraId="0BBFB9CF">
                  <w:pPr>
                    <w:spacing w:line="360" w:lineRule="exact"/>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名称</w:t>
                  </w:r>
                </w:p>
              </w:tc>
              <w:tc>
                <w:tcPr>
                  <w:tcW w:w="709" w:type="dxa"/>
                  <w:noWrap w:val="0"/>
                  <w:vAlign w:val="center"/>
                </w:tcPr>
                <w:p w14:paraId="5D1F78F1">
                  <w:pPr>
                    <w:spacing w:line="360" w:lineRule="exact"/>
                    <w:jc w:val="center"/>
                    <w:rPr>
                      <w:rFonts w:hint="default" w:ascii="Times New Roman" w:hAnsi="Times New Roman" w:eastAsia="宋体" w:cs="Times New Roman"/>
                      <w:b/>
                      <w:bCs/>
                      <w:caps w:val="0"/>
                      <w:color w:val="auto"/>
                      <w:sz w:val="21"/>
                      <w:szCs w:val="21"/>
                      <w:lang w:eastAsia="zh-CN"/>
                    </w:rPr>
                  </w:pPr>
                  <w:r>
                    <w:rPr>
                      <w:rFonts w:hint="default" w:ascii="Times New Roman" w:hAnsi="Times New Roman" w:eastAsia="宋体" w:cs="Times New Roman"/>
                      <w:b/>
                      <w:bCs/>
                      <w:caps w:val="0"/>
                      <w:color w:val="auto"/>
                      <w:sz w:val="21"/>
                      <w:szCs w:val="21"/>
                      <w:lang w:eastAsia="zh-CN"/>
                    </w:rPr>
                    <w:t>产生</w:t>
                  </w:r>
                </w:p>
                <w:p w14:paraId="6F025E23">
                  <w:pPr>
                    <w:spacing w:line="360" w:lineRule="exact"/>
                    <w:jc w:val="center"/>
                    <w:rPr>
                      <w:rFonts w:hint="default" w:ascii="Times New Roman" w:hAnsi="Times New Roman" w:eastAsia="宋体" w:cs="Times New Roman"/>
                      <w:b/>
                      <w:bCs/>
                      <w:caps w:val="0"/>
                      <w:color w:val="auto"/>
                      <w:sz w:val="21"/>
                      <w:szCs w:val="21"/>
                      <w:lang w:eastAsia="zh-CN"/>
                    </w:rPr>
                  </w:pPr>
                  <w:r>
                    <w:rPr>
                      <w:rFonts w:hint="default" w:ascii="Times New Roman" w:hAnsi="Times New Roman" w:eastAsia="宋体" w:cs="Times New Roman"/>
                      <w:b/>
                      <w:bCs/>
                      <w:caps w:val="0"/>
                      <w:color w:val="auto"/>
                      <w:sz w:val="21"/>
                      <w:szCs w:val="21"/>
                      <w:lang w:eastAsia="zh-CN"/>
                    </w:rPr>
                    <w:t>环节</w:t>
                  </w:r>
                </w:p>
              </w:tc>
              <w:tc>
                <w:tcPr>
                  <w:tcW w:w="645" w:type="dxa"/>
                  <w:noWrap w:val="0"/>
                  <w:vAlign w:val="center"/>
                </w:tcPr>
                <w:p w14:paraId="27AF3EBC">
                  <w:pPr>
                    <w:spacing w:line="360" w:lineRule="exact"/>
                    <w:jc w:val="center"/>
                    <w:rPr>
                      <w:rFonts w:hint="default" w:ascii="Times New Roman" w:hAnsi="Times New Roman" w:eastAsia="宋体" w:cs="Times New Roman"/>
                      <w:b/>
                      <w:bCs/>
                      <w:caps w:val="0"/>
                      <w:color w:val="auto"/>
                      <w:sz w:val="21"/>
                      <w:szCs w:val="21"/>
                      <w:lang w:eastAsia="zh-CN"/>
                    </w:rPr>
                  </w:pPr>
                  <w:r>
                    <w:rPr>
                      <w:rFonts w:hint="default" w:ascii="Times New Roman" w:hAnsi="Times New Roman" w:eastAsia="宋体" w:cs="Times New Roman"/>
                      <w:b/>
                      <w:bCs/>
                      <w:caps w:val="0"/>
                      <w:color w:val="auto"/>
                      <w:sz w:val="21"/>
                      <w:szCs w:val="21"/>
                    </w:rPr>
                    <w:t>废物</w:t>
                  </w:r>
                  <w:r>
                    <w:rPr>
                      <w:rFonts w:hint="default" w:ascii="Times New Roman" w:hAnsi="Times New Roman" w:eastAsia="宋体" w:cs="Times New Roman"/>
                      <w:b/>
                      <w:bCs/>
                      <w:caps w:val="0"/>
                      <w:color w:val="auto"/>
                      <w:sz w:val="21"/>
                      <w:szCs w:val="21"/>
                      <w:lang w:eastAsia="zh-CN"/>
                    </w:rPr>
                    <w:t>属性</w:t>
                  </w:r>
                </w:p>
              </w:tc>
              <w:tc>
                <w:tcPr>
                  <w:tcW w:w="1710" w:type="dxa"/>
                  <w:noWrap w:val="0"/>
                  <w:vAlign w:val="center"/>
                </w:tcPr>
                <w:p w14:paraId="0A4F357A">
                  <w:pPr>
                    <w:spacing w:line="360" w:lineRule="exact"/>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caps w:val="0"/>
                      <w:color w:val="auto"/>
                      <w:sz w:val="21"/>
                      <w:szCs w:val="21"/>
                    </w:rPr>
                    <w:t>废物类型</w:t>
                  </w:r>
                  <w:r>
                    <w:rPr>
                      <w:rFonts w:hint="default" w:ascii="Times New Roman" w:hAnsi="Times New Roman" w:eastAsia="宋体" w:cs="Times New Roman"/>
                      <w:b/>
                      <w:caps w:val="0"/>
                      <w:color w:val="auto"/>
                      <w:sz w:val="21"/>
                      <w:szCs w:val="21"/>
                      <w:lang w:eastAsia="zh-CN"/>
                    </w:rPr>
                    <w:t>及代码</w:t>
                  </w:r>
                </w:p>
              </w:tc>
              <w:tc>
                <w:tcPr>
                  <w:tcW w:w="518" w:type="dxa"/>
                  <w:noWrap w:val="0"/>
                  <w:vAlign w:val="center"/>
                </w:tcPr>
                <w:p w14:paraId="07A064CC">
                  <w:pPr>
                    <w:spacing w:line="360" w:lineRule="exact"/>
                    <w:jc w:val="center"/>
                    <w:rPr>
                      <w:rFonts w:hint="default" w:ascii="Times New Roman" w:hAnsi="Times New Roman" w:eastAsia="宋体" w:cs="Times New Roman"/>
                      <w:b/>
                      <w:bCs/>
                      <w:caps w:val="0"/>
                      <w:color w:val="auto"/>
                      <w:sz w:val="21"/>
                      <w:szCs w:val="21"/>
                      <w:lang w:eastAsia="zh-CN"/>
                    </w:rPr>
                  </w:pPr>
                  <w:r>
                    <w:rPr>
                      <w:rFonts w:hint="default" w:ascii="Times New Roman" w:hAnsi="Times New Roman" w:eastAsia="宋体" w:cs="Times New Roman"/>
                      <w:b/>
                      <w:bCs/>
                      <w:caps w:val="0"/>
                      <w:color w:val="auto"/>
                      <w:sz w:val="21"/>
                      <w:szCs w:val="21"/>
                      <w:lang w:eastAsia="zh-CN"/>
                    </w:rPr>
                    <w:t>物理</w:t>
                  </w:r>
                  <w:r>
                    <w:rPr>
                      <w:rFonts w:hint="default" w:ascii="Times New Roman" w:hAnsi="Times New Roman" w:cs="Times New Roman"/>
                      <w:b/>
                      <w:bCs/>
                      <w:caps w:val="0"/>
                      <w:color w:val="auto"/>
                      <w:sz w:val="21"/>
                      <w:szCs w:val="21"/>
                      <w:lang w:eastAsia="zh-CN"/>
                    </w:rPr>
                    <w:t>性状</w:t>
                  </w:r>
                </w:p>
              </w:tc>
              <w:tc>
                <w:tcPr>
                  <w:tcW w:w="962" w:type="dxa"/>
                  <w:noWrap w:val="0"/>
                  <w:vAlign w:val="center"/>
                </w:tcPr>
                <w:p w14:paraId="4CF1ED44">
                  <w:pPr>
                    <w:spacing w:line="360" w:lineRule="exact"/>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产生量（t/a）</w:t>
                  </w:r>
                </w:p>
              </w:tc>
              <w:tc>
                <w:tcPr>
                  <w:tcW w:w="790" w:type="dxa"/>
                  <w:noWrap w:val="0"/>
                  <w:vAlign w:val="center"/>
                </w:tcPr>
                <w:p w14:paraId="737F452B">
                  <w:pPr>
                    <w:spacing w:line="360" w:lineRule="exact"/>
                    <w:jc w:val="center"/>
                    <w:rPr>
                      <w:rFonts w:hint="default" w:ascii="Times New Roman" w:hAnsi="Times New Roman" w:cs="Times New Roman"/>
                      <w:b/>
                      <w:bCs/>
                      <w:caps w:val="0"/>
                      <w:color w:val="auto"/>
                      <w:sz w:val="21"/>
                      <w:szCs w:val="21"/>
                      <w:lang w:eastAsia="zh-CN"/>
                    </w:rPr>
                  </w:pPr>
                  <w:r>
                    <w:rPr>
                      <w:rFonts w:hint="default" w:ascii="Times New Roman" w:hAnsi="Times New Roman" w:cs="Times New Roman"/>
                      <w:b/>
                      <w:bCs/>
                      <w:caps w:val="0"/>
                      <w:color w:val="auto"/>
                      <w:sz w:val="21"/>
                      <w:szCs w:val="21"/>
                      <w:lang w:eastAsia="zh-CN"/>
                    </w:rPr>
                    <w:t>主要</w:t>
                  </w:r>
                </w:p>
                <w:p w14:paraId="384ECEDF">
                  <w:pPr>
                    <w:spacing w:line="360" w:lineRule="exact"/>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成分</w:t>
                  </w:r>
                </w:p>
              </w:tc>
              <w:tc>
                <w:tcPr>
                  <w:tcW w:w="623" w:type="dxa"/>
                  <w:noWrap w:val="0"/>
                  <w:vAlign w:val="center"/>
                </w:tcPr>
                <w:p w14:paraId="55AADA24">
                  <w:pPr>
                    <w:spacing w:line="360" w:lineRule="exact"/>
                    <w:jc w:val="center"/>
                    <w:rPr>
                      <w:rFonts w:hint="default" w:ascii="Times New Roman" w:hAnsi="Times New Roman" w:eastAsia="宋体" w:cs="Times New Roman"/>
                      <w:b/>
                      <w:bCs/>
                      <w:caps w:val="0"/>
                      <w:color w:val="auto"/>
                      <w:sz w:val="21"/>
                      <w:szCs w:val="21"/>
                    </w:rPr>
                  </w:pPr>
                  <w:r>
                    <w:rPr>
                      <w:rFonts w:hint="default" w:ascii="Times New Roman" w:hAnsi="Times New Roman" w:eastAsia="宋体" w:cs="Times New Roman"/>
                      <w:b/>
                      <w:bCs/>
                      <w:caps w:val="0"/>
                      <w:color w:val="auto"/>
                      <w:sz w:val="21"/>
                      <w:szCs w:val="21"/>
                    </w:rPr>
                    <w:t>危险特性</w:t>
                  </w:r>
                </w:p>
              </w:tc>
              <w:tc>
                <w:tcPr>
                  <w:tcW w:w="389" w:type="dxa"/>
                  <w:noWrap w:val="0"/>
                  <w:vAlign w:val="center"/>
                </w:tcPr>
                <w:p w14:paraId="443B9EDA">
                  <w:pPr>
                    <w:spacing w:line="360" w:lineRule="exact"/>
                    <w:jc w:val="center"/>
                    <w:rPr>
                      <w:rFonts w:hint="default" w:ascii="Times New Roman" w:hAnsi="Times New Roman" w:eastAsia="宋体" w:cs="Times New Roman"/>
                      <w:b/>
                      <w:bCs/>
                      <w:caps w:val="0"/>
                      <w:color w:val="auto"/>
                      <w:sz w:val="21"/>
                      <w:szCs w:val="21"/>
                      <w:lang w:eastAsia="zh-CN"/>
                    </w:rPr>
                  </w:pPr>
                  <w:r>
                    <w:rPr>
                      <w:rFonts w:hint="default" w:ascii="Times New Roman" w:hAnsi="Times New Roman" w:eastAsia="宋体" w:cs="Times New Roman"/>
                      <w:b/>
                      <w:bCs/>
                      <w:caps w:val="0"/>
                      <w:color w:val="auto"/>
                      <w:sz w:val="21"/>
                      <w:szCs w:val="21"/>
                      <w:lang w:eastAsia="zh-CN"/>
                    </w:rPr>
                    <w:t>贮存</w:t>
                  </w:r>
                </w:p>
                <w:p w14:paraId="512338E0">
                  <w:pPr>
                    <w:spacing w:line="360" w:lineRule="exact"/>
                    <w:jc w:val="center"/>
                    <w:rPr>
                      <w:rFonts w:hint="default" w:ascii="Times New Roman" w:hAnsi="Times New Roman" w:eastAsia="宋体" w:cs="Times New Roman"/>
                      <w:b/>
                      <w:bCs/>
                      <w:caps w:val="0"/>
                      <w:color w:val="auto"/>
                      <w:sz w:val="21"/>
                      <w:szCs w:val="21"/>
                      <w:lang w:eastAsia="zh-CN"/>
                    </w:rPr>
                  </w:pPr>
                  <w:r>
                    <w:rPr>
                      <w:rFonts w:hint="default" w:ascii="Times New Roman" w:hAnsi="Times New Roman" w:eastAsia="宋体" w:cs="Times New Roman"/>
                      <w:b/>
                      <w:bCs/>
                      <w:caps w:val="0"/>
                      <w:color w:val="auto"/>
                      <w:sz w:val="21"/>
                      <w:szCs w:val="21"/>
                      <w:lang w:eastAsia="zh-CN"/>
                    </w:rPr>
                    <w:t>方式</w:t>
                  </w:r>
                </w:p>
              </w:tc>
              <w:tc>
                <w:tcPr>
                  <w:tcW w:w="773" w:type="dxa"/>
                  <w:noWrap w:val="0"/>
                  <w:vAlign w:val="center"/>
                </w:tcPr>
                <w:p w14:paraId="0C47D73C">
                  <w:pPr>
                    <w:spacing w:line="360" w:lineRule="exact"/>
                    <w:jc w:val="center"/>
                    <w:rPr>
                      <w:rFonts w:hint="default" w:ascii="Times New Roman" w:hAnsi="Times New Roman" w:eastAsia="宋体" w:cs="Times New Roman"/>
                      <w:b/>
                      <w:bCs/>
                      <w:caps w:val="0"/>
                      <w:color w:val="auto"/>
                      <w:sz w:val="21"/>
                      <w:szCs w:val="21"/>
                    </w:rPr>
                  </w:pPr>
                  <w:r>
                    <w:rPr>
                      <w:rFonts w:hint="default" w:ascii="Times New Roman" w:hAnsi="Times New Roman" w:cs="Times New Roman" w:eastAsiaTheme="minorEastAsia"/>
                      <w:b/>
                      <w:bCs/>
                      <w:color w:val="auto"/>
                      <w:kern w:val="0"/>
                      <w:sz w:val="21"/>
                      <w:szCs w:val="21"/>
                    </w:rPr>
                    <w:t>处置途径</w:t>
                  </w:r>
                </w:p>
              </w:tc>
            </w:tr>
            <w:tr w14:paraId="5EAA4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05" w:hRule="atLeast"/>
                <w:jc w:val="center"/>
              </w:trPr>
              <w:tc>
                <w:tcPr>
                  <w:tcW w:w="388" w:type="dxa"/>
                  <w:noWrap w:val="0"/>
                  <w:vAlign w:val="center"/>
                </w:tcPr>
                <w:p w14:paraId="68293511">
                  <w:pPr>
                    <w:spacing w:line="360" w:lineRule="exact"/>
                    <w:jc w:val="center"/>
                    <w:rPr>
                      <w:rFonts w:hint="default" w:ascii="Times New Roman" w:hAnsi="Times New Roman" w:eastAsia="宋体" w:cs="Times New Roman"/>
                      <w:caps w:val="0"/>
                      <w:color w:val="auto"/>
                      <w:sz w:val="21"/>
                      <w:szCs w:val="21"/>
                      <w:lang w:eastAsia="zh-CN"/>
                    </w:rPr>
                  </w:pPr>
                  <w:r>
                    <w:rPr>
                      <w:rFonts w:hint="default" w:ascii="Times New Roman" w:hAnsi="Times New Roman" w:eastAsia="宋体" w:cs="Times New Roman"/>
                      <w:caps w:val="0"/>
                      <w:color w:val="auto"/>
                      <w:sz w:val="21"/>
                      <w:szCs w:val="21"/>
                      <w:lang w:val="en-US" w:eastAsia="zh-CN"/>
                    </w:rPr>
                    <w:t>1</w:t>
                  </w:r>
                </w:p>
              </w:tc>
              <w:tc>
                <w:tcPr>
                  <w:tcW w:w="900" w:type="dxa"/>
                  <w:noWrap w:val="0"/>
                  <w:vAlign w:val="center"/>
                </w:tcPr>
                <w:p w14:paraId="4BB5736A">
                  <w:pPr>
                    <w:spacing w:line="360" w:lineRule="exact"/>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不合</w:t>
                  </w:r>
                </w:p>
                <w:p w14:paraId="7C1E7449">
                  <w:pPr>
                    <w:spacing w:line="360" w:lineRule="exact"/>
                    <w:jc w:val="center"/>
                    <w:rPr>
                      <w:rFonts w:hint="default" w:ascii="Times New Roman" w:hAnsi="Times New Roman" w:eastAsia="宋体" w:cs="Times New Roman"/>
                      <w:caps w:val="0"/>
                      <w:color w:val="auto"/>
                      <w:sz w:val="21"/>
                      <w:szCs w:val="21"/>
                      <w:lang w:eastAsia="zh-CN"/>
                    </w:rPr>
                  </w:pPr>
                  <w:r>
                    <w:rPr>
                      <w:rFonts w:hint="default" w:ascii="Times New Roman" w:hAnsi="Times New Roman" w:cs="Times New Roman"/>
                      <w:color w:val="auto"/>
                      <w:sz w:val="21"/>
                      <w:szCs w:val="21"/>
                      <w:lang w:eastAsia="zh-CN"/>
                    </w:rPr>
                    <w:t>格品</w:t>
                  </w:r>
                </w:p>
              </w:tc>
              <w:tc>
                <w:tcPr>
                  <w:tcW w:w="709" w:type="dxa"/>
                  <w:noWrap w:val="0"/>
                  <w:vAlign w:val="center"/>
                </w:tcPr>
                <w:p w14:paraId="0F5FA4E9">
                  <w:pPr>
                    <w:spacing w:line="360" w:lineRule="exact"/>
                    <w:jc w:val="center"/>
                    <w:rPr>
                      <w:rFonts w:hint="default" w:ascii="Times New Roman" w:hAnsi="Times New Roman" w:cs="Times New Roman"/>
                      <w:caps w:val="0"/>
                      <w:color w:val="auto"/>
                      <w:sz w:val="21"/>
                      <w:szCs w:val="21"/>
                      <w:lang w:val="en-US" w:eastAsia="zh-CN"/>
                    </w:rPr>
                  </w:pPr>
                  <w:r>
                    <w:rPr>
                      <w:rFonts w:hint="default" w:ascii="Times New Roman" w:hAnsi="Times New Roman" w:cs="Times New Roman"/>
                      <w:caps w:val="0"/>
                      <w:color w:val="auto"/>
                      <w:sz w:val="21"/>
                      <w:szCs w:val="21"/>
                      <w:lang w:val="en-US" w:eastAsia="zh-CN"/>
                    </w:rPr>
                    <w:t>检验</w:t>
                  </w:r>
                </w:p>
                <w:p w14:paraId="3B37E8C5">
                  <w:pPr>
                    <w:spacing w:line="360" w:lineRule="exact"/>
                    <w:jc w:val="center"/>
                    <w:rPr>
                      <w:rFonts w:hint="default" w:ascii="Times New Roman" w:hAnsi="Times New Roman" w:eastAsia="宋体" w:cs="Times New Roman"/>
                      <w:caps w:val="0"/>
                      <w:color w:val="auto"/>
                      <w:sz w:val="21"/>
                      <w:szCs w:val="21"/>
                      <w:lang w:val="en-US" w:eastAsia="zh-CN"/>
                    </w:rPr>
                  </w:pPr>
                  <w:r>
                    <w:rPr>
                      <w:rFonts w:hint="default" w:ascii="Times New Roman" w:hAnsi="Times New Roman" w:cs="Times New Roman"/>
                      <w:caps w:val="0"/>
                      <w:color w:val="auto"/>
                      <w:sz w:val="21"/>
                      <w:szCs w:val="21"/>
                      <w:lang w:val="en-US" w:eastAsia="zh-CN"/>
                    </w:rPr>
                    <w:t>工序</w:t>
                  </w:r>
                </w:p>
              </w:tc>
              <w:tc>
                <w:tcPr>
                  <w:tcW w:w="645" w:type="dxa"/>
                  <w:vMerge w:val="restart"/>
                  <w:noWrap w:val="0"/>
                  <w:vAlign w:val="center"/>
                </w:tcPr>
                <w:p w14:paraId="33AF61E0">
                  <w:pPr>
                    <w:spacing w:line="360" w:lineRule="exact"/>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一般</w:t>
                  </w:r>
                  <w:r>
                    <w:rPr>
                      <w:rFonts w:hint="default" w:ascii="Times New Roman" w:hAnsi="Times New Roman" w:eastAsia="宋体" w:cs="Times New Roman"/>
                      <w:caps w:val="0"/>
                      <w:color w:val="auto"/>
                      <w:sz w:val="21"/>
                      <w:szCs w:val="21"/>
                      <w:lang w:eastAsia="zh-CN"/>
                    </w:rPr>
                    <w:t>工业</w:t>
                  </w:r>
                  <w:r>
                    <w:rPr>
                      <w:rFonts w:hint="default" w:ascii="Times New Roman" w:hAnsi="Times New Roman" w:eastAsia="宋体" w:cs="Times New Roman"/>
                      <w:caps w:val="0"/>
                      <w:color w:val="auto"/>
                      <w:sz w:val="21"/>
                      <w:szCs w:val="21"/>
                    </w:rPr>
                    <w:t>固废</w:t>
                  </w:r>
                </w:p>
              </w:tc>
              <w:tc>
                <w:tcPr>
                  <w:tcW w:w="1710" w:type="dxa"/>
                  <w:noWrap w:val="0"/>
                  <w:vAlign w:val="center"/>
                </w:tcPr>
                <w:p w14:paraId="74212A4B">
                  <w:pPr>
                    <w:pStyle w:val="78"/>
                    <w:keepNext w:val="0"/>
                    <w:keepLines w:val="0"/>
                    <w:pageBreakBefore w:val="0"/>
                    <w:kinsoku/>
                    <w:wordWrap/>
                    <w:overflowPunct/>
                    <w:topLinePunct w:val="0"/>
                    <w:bidi w:val="0"/>
                    <w:snapToGrid/>
                    <w:spacing w:line="240" w:lineRule="auto"/>
                    <w:ind w:left="-42" w:leftChars="-20" w:right="-42" w:rightChars="-20" w:firstLine="0" w:firstLineChars="0"/>
                    <w:jc w:val="center"/>
                    <w:rPr>
                      <w:rFonts w:hint="default" w:ascii="Times New Roman" w:hAnsi="Times New Roman" w:eastAsia="宋体" w:cs="Times New Roman"/>
                      <w:caps w:val="0"/>
                      <w:color w:val="auto"/>
                      <w:sz w:val="21"/>
                      <w:szCs w:val="21"/>
                      <w:lang w:val="en-US" w:eastAsia="zh-CN"/>
                    </w:rPr>
                  </w:pPr>
                  <w:r>
                    <w:rPr>
                      <w:rFonts w:hint="default" w:ascii="Times New Roman" w:hAnsi="Times New Roman" w:eastAsia="宋体" w:cs="Times New Roman"/>
                      <w:color w:val="auto"/>
                      <w:sz w:val="21"/>
                      <w:szCs w:val="21"/>
                      <w:lang w:val="en-US" w:eastAsia="zh-CN"/>
                    </w:rPr>
                    <w:t>SW17</w:t>
                  </w:r>
                  <w:r>
                    <w:rPr>
                      <w:rFonts w:hint="default" w:ascii="Times New Roman" w:hAnsi="Times New Roman" w:eastAsia="宋体" w:cs="Times New Roman"/>
                      <w:b w:val="0"/>
                      <w:bCs/>
                      <w:color w:val="auto"/>
                      <w:sz w:val="21"/>
                      <w:szCs w:val="21"/>
                    </w:rPr>
                    <w:t>/</w:t>
                  </w:r>
                  <w:r>
                    <w:rPr>
                      <w:rFonts w:hint="default" w:ascii="Times New Roman" w:hAnsi="Times New Roman" w:eastAsia="宋体" w:cs="Times New Roman"/>
                      <w:color w:val="auto"/>
                      <w:sz w:val="21"/>
                      <w:szCs w:val="21"/>
                      <w:lang w:val="en-US" w:eastAsia="zh-CN"/>
                    </w:rPr>
                    <w:t>900-00</w:t>
                  </w:r>
                  <w:r>
                    <w:rPr>
                      <w:rFonts w:hint="default" w:ascii="Times New Roman" w:hAnsi="Times New Roman" w:cs="Times New Roman"/>
                      <w:color w:val="auto"/>
                      <w:sz w:val="21"/>
                      <w:szCs w:val="21"/>
                      <w:lang w:val="en-US" w:eastAsia="zh-CN"/>
                    </w:rPr>
                    <w:t>1</w:t>
                  </w:r>
                  <w:r>
                    <w:rPr>
                      <w:rFonts w:hint="default" w:ascii="Times New Roman" w:hAnsi="Times New Roman" w:eastAsia="宋体" w:cs="Times New Roman"/>
                      <w:color w:val="auto"/>
                      <w:sz w:val="21"/>
                      <w:szCs w:val="21"/>
                      <w:lang w:val="en-US" w:eastAsia="zh-CN"/>
                    </w:rPr>
                    <w:t>-S17</w:t>
                  </w:r>
                </w:p>
              </w:tc>
              <w:tc>
                <w:tcPr>
                  <w:tcW w:w="518" w:type="dxa"/>
                  <w:noWrap w:val="0"/>
                  <w:vAlign w:val="center"/>
                </w:tcPr>
                <w:p w14:paraId="60D79688">
                  <w:pPr>
                    <w:pStyle w:val="219"/>
                    <w:spacing w:line="320" w:lineRule="exact"/>
                    <w:ind w:left="-105" w:leftChars="-50" w:right="-105" w:rightChars="-5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固态</w:t>
                  </w:r>
                </w:p>
              </w:tc>
              <w:tc>
                <w:tcPr>
                  <w:tcW w:w="962" w:type="dxa"/>
                  <w:noWrap w:val="0"/>
                  <w:vAlign w:val="center"/>
                </w:tcPr>
                <w:p w14:paraId="38CF2566">
                  <w:pPr>
                    <w:pStyle w:val="219"/>
                    <w:spacing w:line="320" w:lineRule="exact"/>
                    <w:ind w:left="-105" w:leftChars="-50" w:right="-105" w:rightChars="-50"/>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cs="Times New Roman"/>
                      <w:caps w:val="0"/>
                      <w:color w:val="auto"/>
                      <w:kern w:val="2"/>
                      <w:sz w:val="21"/>
                      <w:szCs w:val="21"/>
                      <w:lang w:val="en-US" w:eastAsia="zh-CN" w:bidi="ar-SA"/>
                    </w:rPr>
                    <w:t>1</w:t>
                  </w:r>
                </w:p>
              </w:tc>
              <w:tc>
                <w:tcPr>
                  <w:tcW w:w="790" w:type="dxa"/>
                  <w:noWrap w:val="0"/>
                  <w:vAlign w:val="center"/>
                </w:tcPr>
                <w:p w14:paraId="2AB5EBC2">
                  <w:pPr>
                    <w:spacing w:line="360" w:lineRule="exact"/>
                    <w:jc w:val="center"/>
                    <w:rPr>
                      <w:rFonts w:hint="default" w:ascii="Times New Roman" w:hAnsi="Times New Roman" w:eastAsia="宋体" w:cs="Times New Roman"/>
                      <w:caps w:val="0"/>
                      <w:color w:val="auto"/>
                      <w:sz w:val="21"/>
                      <w:szCs w:val="21"/>
                      <w:lang w:eastAsia="zh-CN"/>
                    </w:rPr>
                  </w:pPr>
                  <w:r>
                    <w:rPr>
                      <w:rFonts w:hint="default" w:ascii="Times New Roman" w:hAnsi="Times New Roman" w:cs="Times New Roman"/>
                      <w:caps w:val="0"/>
                      <w:color w:val="auto"/>
                      <w:sz w:val="21"/>
                      <w:szCs w:val="21"/>
                      <w:lang w:val="en-US" w:eastAsia="zh-CN"/>
                    </w:rPr>
                    <w:t>金属</w:t>
                  </w:r>
                </w:p>
              </w:tc>
              <w:tc>
                <w:tcPr>
                  <w:tcW w:w="623" w:type="dxa"/>
                  <w:noWrap w:val="0"/>
                  <w:vAlign w:val="center"/>
                </w:tcPr>
                <w:p w14:paraId="082D40D9">
                  <w:pPr>
                    <w:spacing w:line="360" w:lineRule="exact"/>
                    <w:jc w:val="center"/>
                    <w:rPr>
                      <w:rFonts w:hint="default" w:ascii="Times New Roman" w:hAnsi="Times New Roman" w:eastAsia="宋体" w:cs="Times New Roman"/>
                      <w:caps w:val="0"/>
                      <w:color w:val="auto"/>
                      <w:sz w:val="21"/>
                      <w:szCs w:val="21"/>
                      <w:lang w:eastAsia="zh-CN"/>
                    </w:rPr>
                  </w:pPr>
                  <w:r>
                    <w:rPr>
                      <w:rFonts w:hint="default" w:ascii="Times New Roman" w:hAnsi="Times New Roman" w:eastAsia="宋体" w:cs="Times New Roman"/>
                      <w:caps w:val="0"/>
                      <w:color w:val="auto"/>
                      <w:sz w:val="21"/>
                      <w:szCs w:val="21"/>
                      <w:lang w:val="en-US" w:eastAsia="zh-CN"/>
                    </w:rPr>
                    <w:t>/</w:t>
                  </w:r>
                </w:p>
              </w:tc>
              <w:tc>
                <w:tcPr>
                  <w:tcW w:w="389" w:type="dxa"/>
                  <w:noWrap w:val="0"/>
                  <w:vAlign w:val="center"/>
                </w:tcPr>
                <w:p w14:paraId="76111D55">
                  <w:pPr>
                    <w:spacing w:line="360" w:lineRule="exact"/>
                    <w:jc w:val="center"/>
                    <w:rPr>
                      <w:rFonts w:hint="default" w:ascii="Times New Roman" w:hAnsi="Times New Roman" w:eastAsia="宋体" w:cs="Times New Roman"/>
                      <w:caps w:val="0"/>
                      <w:color w:val="auto"/>
                      <w:sz w:val="21"/>
                      <w:szCs w:val="21"/>
                      <w:lang w:eastAsia="zh-CN"/>
                    </w:rPr>
                  </w:pPr>
                  <w:r>
                    <w:rPr>
                      <w:rFonts w:hint="default" w:ascii="Times New Roman" w:hAnsi="Times New Roman" w:eastAsia="宋体" w:cs="Times New Roman"/>
                      <w:caps w:val="0"/>
                      <w:color w:val="auto"/>
                      <w:sz w:val="21"/>
                      <w:szCs w:val="21"/>
                      <w:lang w:eastAsia="zh-CN"/>
                    </w:rPr>
                    <w:t>袋袋</w:t>
                  </w:r>
                </w:p>
              </w:tc>
              <w:tc>
                <w:tcPr>
                  <w:tcW w:w="773" w:type="dxa"/>
                  <w:vMerge w:val="restart"/>
                  <w:noWrap w:val="0"/>
                  <w:vAlign w:val="center"/>
                </w:tcPr>
                <w:p w14:paraId="7CD7D4C7">
                  <w:pPr>
                    <w:spacing w:line="360" w:lineRule="exact"/>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lang w:eastAsia="zh-CN"/>
                    </w:rPr>
                    <w:t>收集后外售</w:t>
                  </w:r>
                </w:p>
              </w:tc>
            </w:tr>
            <w:tr w14:paraId="13370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88" w:type="dxa"/>
                  <w:noWrap w:val="0"/>
                  <w:vAlign w:val="center"/>
                </w:tcPr>
                <w:p w14:paraId="7487EA7A">
                  <w:pPr>
                    <w:spacing w:line="360" w:lineRule="exact"/>
                    <w:jc w:val="center"/>
                    <w:rPr>
                      <w:rFonts w:hint="default" w:ascii="Times New Roman" w:hAnsi="Times New Roman" w:eastAsia="宋体" w:cs="Times New Roman"/>
                      <w:caps w:val="0"/>
                      <w:color w:val="auto"/>
                      <w:sz w:val="21"/>
                      <w:szCs w:val="21"/>
                      <w:lang w:val="en-US" w:eastAsia="zh-CN"/>
                    </w:rPr>
                  </w:pPr>
                  <w:r>
                    <w:rPr>
                      <w:rFonts w:hint="default" w:ascii="Times New Roman" w:hAnsi="Times New Roman" w:eastAsia="宋体" w:cs="Times New Roman"/>
                      <w:caps w:val="0"/>
                      <w:color w:val="auto"/>
                      <w:sz w:val="21"/>
                      <w:szCs w:val="21"/>
                      <w:lang w:val="en-US" w:eastAsia="zh-CN"/>
                    </w:rPr>
                    <w:t>2</w:t>
                  </w:r>
                </w:p>
              </w:tc>
              <w:tc>
                <w:tcPr>
                  <w:tcW w:w="900" w:type="dxa"/>
                  <w:shd w:val="clear" w:color="auto" w:fill="auto"/>
                  <w:noWrap w:val="0"/>
                  <w:vAlign w:val="center"/>
                </w:tcPr>
                <w:p w14:paraId="0FE03629">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cs="Times New Roman"/>
                      <w:color w:val="auto"/>
                      <w:kern w:val="0"/>
                      <w:sz w:val="21"/>
                      <w:szCs w:val="21"/>
                    </w:rPr>
                    <w:t>废包装材料</w:t>
                  </w:r>
                </w:p>
              </w:tc>
              <w:tc>
                <w:tcPr>
                  <w:tcW w:w="709" w:type="dxa"/>
                  <w:shd w:val="clear" w:color="auto" w:fill="auto"/>
                  <w:noWrap w:val="0"/>
                  <w:vAlign w:val="center"/>
                </w:tcPr>
                <w:p w14:paraId="0DBDFFF4">
                  <w:pPr>
                    <w:pStyle w:val="219"/>
                    <w:spacing w:line="320" w:lineRule="exact"/>
                    <w:ind w:left="-105" w:leftChars="-50" w:right="-105" w:rightChars="-5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原辅材料使</w:t>
                  </w:r>
                </w:p>
                <w:p w14:paraId="59CB52F9">
                  <w:pPr>
                    <w:pStyle w:val="219"/>
                    <w:spacing w:line="320" w:lineRule="exact"/>
                    <w:ind w:left="-105" w:leftChars="-50" w:right="-105" w:rightChars="-50"/>
                    <w:jc w:val="center"/>
                    <w:rPr>
                      <w:rFonts w:hint="default" w:ascii="Times New Roman" w:hAnsi="Times New Roman" w:cs="Times New Roman"/>
                      <w:color w:val="auto"/>
                      <w:kern w:val="0"/>
                      <w:sz w:val="21"/>
                      <w:szCs w:val="21"/>
                      <w:lang w:eastAsia="zh-CN"/>
                    </w:rPr>
                  </w:pPr>
                  <w:r>
                    <w:rPr>
                      <w:rFonts w:hint="default" w:ascii="Times New Roman" w:hAnsi="Times New Roman" w:cs="Times New Roman"/>
                      <w:color w:val="auto"/>
                      <w:kern w:val="0"/>
                      <w:sz w:val="21"/>
                      <w:szCs w:val="21"/>
                    </w:rPr>
                    <w:t>用</w:t>
                  </w:r>
                  <w:r>
                    <w:rPr>
                      <w:rFonts w:hint="default" w:ascii="Times New Roman" w:hAnsi="Times New Roman" w:cs="Times New Roman"/>
                      <w:color w:val="auto"/>
                      <w:kern w:val="0"/>
                      <w:sz w:val="21"/>
                      <w:szCs w:val="21"/>
                      <w:lang w:eastAsia="zh-CN"/>
                    </w:rPr>
                    <w:t>、包</w:t>
                  </w:r>
                </w:p>
                <w:p w14:paraId="3CA3DB5E">
                  <w:pPr>
                    <w:pStyle w:val="219"/>
                    <w:spacing w:line="320" w:lineRule="exact"/>
                    <w:ind w:left="-105" w:leftChars="-50" w:right="-105" w:rightChars="-50"/>
                    <w:jc w:val="center"/>
                    <w:rPr>
                      <w:rFonts w:hint="default" w:ascii="Times New Roman" w:hAnsi="Times New Roman" w:eastAsia="宋体" w:cs="Times New Roman"/>
                      <w:caps w:val="0"/>
                      <w:color w:val="auto"/>
                      <w:kern w:val="0"/>
                      <w:sz w:val="21"/>
                      <w:szCs w:val="21"/>
                      <w:lang w:val="en-US" w:eastAsia="zh-CN" w:bidi="ar-SA"/>
                    </w:rPr>
                  </w:pPr>
                  <w:r>
                    <w:rPr>
                      <w:rFonts w:hint="default" w:ascii="Times New Roman" w:hAnsi="Times New Roman" w:cs="Times New Roman"/>
                      <w:color w:val="auto"/>
                      <w:kern w:val="0"/>
                      <w:sz w:val="21"/>
                      <w:szCs w:val="21"/>
                      <w:lang w:eastAsia="zh-CN"/>
                    </w:rPr>
                    <w:t>装入库</w:t>
                  </w:r>
                </w:p>
              </w:tc>
              <w:tc>
                <w:tcPr>
                  <w:tcW w:w="645" w:type="dxa"/>
                  <w:vMerge w:val="continue"/>
                  <w:shd w:val="clear" w:color="auto" w:fill="auto"/>
                  <w:noWrap w:val="0"/>
                  <w:vAlign w:val="center"/>
                </w:tcPr>
                <w:p w14:paraId="3E611DF6">
                  <w:pPr>
                    <w:spacing w:line="360" w:lineRule="exact"/>
                    <w:jc w:val="center"/>
                    <w:rPr>
                      <w:rFonts w:hint="default" w:ascii="Times New Roman" w:hAnsi="Times New Roman" w:eastAsia="宋体" w:cs="Times New Roman"/>
                      <w:caps w:val="0"/>
                      <w:color w:val="auto"/>
                      <w:kern w:val="2"/>
                      <w:sz w:val="21"/>
                      <w:szCs w:val="21"/>
                      <w:lang w:val="en-US" w:eastAsia="zh-CN" w:bidi="ar-SA"/>
                    </w:rPr>
                  </w:pPr>
                </w:p>
              </w:tc>
              <w:tc>
                <w:tcPr>
                  <w:tcW w:w="1710" w:type="dxa"/>
                  <w:shd w:val="clear" w:color="auto" w:fill="auto"/>
                  <w:noWrap w:val="0"/>
                  <w:vAlign w:val="center"/>
                </w:tcPr>
                <w:p w14:paraId="51A4FB1C">
                  <w:pPr>
                    <w:pStyle w:val="78"/>
                    <w:keepNext w:val="0"/>
                    <w:keepLines w:val="0"/>
                    <w:pageBreakBefore w:val="0"/>
                    <w:kinsoku/>
                    <w:wordWrap/>
                    <w:overflowPunct/>
                    <w:topLinePunct w:val="0"/>
                    <w:bidi w:val="0"/>
                    <w:snapToGrid/>
                    <w:spacing w:line="240" w:lineRule="auto"/>
                    <w:ind w:left="-42" w:leftChars="-20" w:right="-42" w:rightChars="-20" w:firstLine="0" w:firstLineChars="0"/>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SW17</w:t>
                  </w:r>
                  <w:r>
                    <w:rPr>
                      <w:rFonts w:hint="default" w:ascii="Times New Roman" w:hAnsi="Times New Roman" w:eastAsia="宋体" w:cs="Times New Roman"/>
                      <w:b w:val="0"/>
                      <w:bCs/>
                      <w:color w:val="auto"/>
                      <w:sz w:val="21"/>
                      <w:szCs w:val="21"/>
                    </w:rPr>
                    <w:t>/</w:t>
                  </w:r>
                  <w:r>
                    <w:rPr>
                      <w:rFonts w:hint="default" w:ascii="Times New Roman" w:hAnsi="Times New Roman" w:eastAsia="宋体" w:cs="Times New Roman"/>
                      <w:color w:val="auto"/>
                      <w:sz w:val="21"/>
                      <w:szCs w:val="21"/>
                      <w:lang w:val="en-US" w:eastAsia="zh-CN"/>
                    </w:rPr>
                    <w:t>900-00</w:t>
                  </w:r>
                  <w:r>
                    <w:rPr>
                      <w:rFonts w:hint="default" w:ascii="Times New Roman" w:hAnsi="Times New Roman" w:cs="Times New Roman"/>
                      <w:color w:val="auto"/>
                      <w:sz w:val="21"/>
                      <w:szCs w:val="21"/>
                      <w:lang w:val="en-US" w:eastAsia="zh-CN"/>
                    </w:rPr>
                    <w:t>3</w:t>
                  </w:r>
                  <w:r>
                    <w:rPr>
                      <w:rFonts w:hint="default" w:ascii="Times New Roman" w:hAnsi="Times New Roman" w:eastAsia="宋体" w:cs="Times New Roman"/>
                      <w:color w:val="auto"/>
                      <w:sz w:val="21"/>
                      <w:szCs w:val="21"/>
                      <w:lang w:val="en-US" w:eastAsia="zh-CN"/>
                    </w:rPr>
                    <w:t>-S17</w:t>
                  </w:r>
                </w:p>
              </w:tc>
              <w:tc>
                <w:tcPr>
                  <w:tcW w:w="518" w:type="dxa"/>
                  <w:shd w:val="clear" w:color="auto" w:fill="auto"/>
                  <w:noWrap w:val="0"/>
                  <w:vAlign w:val="center"/>
                </w:tcPr>
                <w:p w14:paraId="0F2926A8">
                  <w:pPr>
                    <w:spacing w:line="320" w:lineRule="exact"/>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aps w:val="0"/>
                      <w:color w:val="auto"/>
                      <w:sz w:val="21"/>
                      <w:szCs w:val="21"/>
                      <w:lang w:val="en-US" w:eastAsia="zh-CN"/>
                    </w:rPr>
                    <w:t>固态</w:t>
                  </w:r>
                </w:p>
              </w:tc>
              <w:tc>
                <w:tcPr>
                  <w:tcW w:w="962" w:type="dxa"/>
                  <w:shd w:val="clear" w:color="auto" w:fill="auto"/>
                  <w:noWrap w:val="0"/>
                  <w:vAlign w:val="center"/>
                </w:tcPr>
                <w:p w14:paraId="1ED78266">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eastAsia" w:ascii="Times New Roman" w:hAnsi="Times New Roman" w:cs="Times New Roman"/>
                      <w:caps w:val="0"/>
                      <w:color w:val="auto"/>
                      <w:kern w:val="2"/>
                      <w:sz w:val="21"/>
                      <w:szCs w:val="21"/>
                      <w:lang w:val="en-US" w:eastAsia="zh-CN" w:bidi="ar-SA"/>
                    </w:rPr>
                    <w:t>2</w:t>
                  </w:r>
                </w:p>
              </w:tc>
              <w:tc>
                <w:tcPr>
                  <w:tcW w:w="790" w:type="dxa"/>
                  <w:shd w:val="clear" w:color="auto" w:fill="auto"/>
                  <w:noWrap w:val="0"/>
                  <w:vAlign w:val="center"/>
                </w:tcPr>
                <w:p w14:paraId="544D12E0">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cs="Times New Roman"/>
                      <w:caps w:val="0"/>
                      <w:color w:val="auto"/>
                      <w:sz w:val="21"/>
                      <w:szCs w:val="21"/>
                      <w:lang w:val="en-US" w:eastAsia="zh-CN"/>
                    </w:rPr>
                    <w:t>塑料</w:t>
                  </w:r>
                </w:p>
              </w:tc>
              <w:tc>
                <w:tcPr>
                  <w:tcW w:w="623" w:type="dxa"/>
                  <w:shd w:val="clear" w:color="auto" w:fill="auto"/>
                  <w:noWrap w:val="0"/>
                  <w:vAlign w:val="center"/>
                </w:tcPr>
                <w:p w14:paraId="7ED20A65">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aps w:val="0"/>
                      <w:color w:val="auto"/>
                      <w:sz w:val="21"/>
                      <w:szCs w:val="21"/>
                      <w:lang w:val="en-US" w:eastAsia="zh-CN"/>
                    </w:rPr>
                    <w:t>/</w:t>
                  </w:r>
                </w:p>
              </w:tc>
              <w:tc>
                <w:tcPr>
                  <w:tcW w:w="389" w:type="dxa"/>
                  <w:shd w:val="clear" w:color="auto" w:fill="auto"/>
                  <w:noWrap w:val="0"/>
                  <w:vAlign w:val="center"/>
                </w:tcPr>
                <w:p w14:paraId="0B2D2CA7">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aps w:val="0"/>
                      <w:color w:val="auto"/>
                      <w:sz w:val="21"/>
                      <w:szCs w:val="21"/>
                      <w:lang w:eastAsia="zh-CN"/>
                    </w:rPr>
                    <w:t>袋袋</w:t>
                  </w:r>
                </w:p>
              </w:tc>
              <w:tc>
                <w:tcPr>
                  <w:tcW w:w="773" w:type="dxa"/>
                  <w:vMerge w:val="continue"/>
                  <w:noWrap w:val="0"/>
                  <w:vAlign w:val="center"/>
                </w:tcPr>
                <w:p w14:paraId="3548EB31">
                  <w:pPr>
                    <w:spacing w:line="360" w:lineRule="exact"/>
                    <w:jc w:val="center"/>
                    <w:rPr>
                      <w:rFonts w:hint="default" w:ascii="Times New Roman" w:hAnsi="Times New Roman" w:eastAsia="宋体" w:cs="Times New Roman"/>
                      <w:caps w:val="0"/>
                      <w:color w:val="auto"/>
                      <w:sz w:val="21"/>
                      <w:szCs w:val="21"/>
                    </w:rPr>
                  </w:pPr>
                </w:p>
              </w:tc>
            </w:tr>
            <w:tr w14:paraId="2690F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88" w:type="dxa"/>
                  <w:noWrap w:val="0"/>
                  <w:vAlign w:val="center"/>
                </w:tcPr>
                <w:p w14:paraId="7AC69F2E">
                  <w:pPr>
                    <w:spacing w:line="360" w:lineRule="exact"/>
                    <w:jc w:val="center"/>
                    <w:rPr>
                      <w:rFonts w:hint="default" w:ascii="Times New Roman" w:hAnsi="Times New Roman" w:eastAsia="宋体" w:cs="Times New Roman"/>
                      <w:caps w:val="0"/>
                      <w:color w:val="auto"/>
                      <w:sz w:val="21"/>
                      <w:szCs w:val="21"/>
                      <w:lang w:val="en-US" w:eastAsia="zh-CN"/>
                    </w:rPr>
                  </w:pPr>
                  <w:r>
                    <w:rPr>
                      <w:rFonts w:hint="default" w:ascii="Times New Roman" w:hAnsi="Times New Roman" w:eastAsia="宋体" w:cs="Times New Roman"/>
                      <w:caps w:val="0"/>
                      <w:color w:val="auto"/>
                      <w:sz w:val="21"/>
                      <w:szCs w:val="21"/>
                      <w:lang w:val="en-US" w:eastAsia="zh-CN"/>
                    </w:rPr>
                    <w:t>3</w:t>
                  </w:r>
                </w:p>
              </w:tc>
              <w:tc>
                <w:tcPr>
                  <w:tcW w:w="900" w:type="dxa"/>
                  <w:shd w:val="clear" w:color="auto" w:fill="auto"/>
                  <w:noWrap w:val="0"/>
                  <w:vAlign w:val="center"/>
                </w:tcPr>
                <w:p w14:paraId="64F42109">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cs="Times New Roman"/>
                      <w:bCs/>
                      <w:color w:val="auto"/>
                      <w:sz w:val="21"/>
                      <w:szCs w:val="21"/>
                      <w:lang w:eastAsia="zh-CN"/>
                    </w:rPr>
                    <w:t>布袋除尘器收集的粉尘</w:t>
                  </w:r>
                </w:p>
              </w:tc>
              <w:tc>
                <w:tcPr>
                  <w:tcW w:w="709" w:type="dxa"/>
                  <w:shd w:val="clear" w:color="auto" w:fill="auto"/>
                  <w:noWrap w:val="0"/>
                  <w:vAlign w:val="center"/>
                </w:tcPr>
                <w:p w14:paraId="1805E52B">
                  <w:pPr>
                    <w:pStyle w:val="219"/>
                    <w:spacing w:line="320" w:lineRule="exact"/>
                    <w:ind w:left="-105" w:leftChars="-50" w:right="-105" w:rightChars="-50"/>
                    <w:jc w:val="center"/>
                    <w:rPr>
                      <w:rFonts w:hint="default" w:ascii="Times New Roman" w:hAnsi="Times New Roman" w:cs="Times New Roman"/>
                      <w:caps w:val="0"/>
                      <w:color w:val="auto"/>
                      <w:kern w:val="0"/>
                      <w:sz w:val="21"/>
                      <w:szCs w:val="21"/>
                      <w:lang w:val="en-US" w:eastAsia="zh-CN" w:bidi="ar-SA"/>
                    </w:rPr>
                  </w:pPr>
                  <w:r>
                    <w:rPr>
                      <w:rFonts w:hint="default" w:ascii="Times New Roman" w:hAnsi="Times New Roman" w:cs="Times New Roman"/>
                      <w:caps w:val="0"/>
                      <w:color w:val="auto"/>
                      <w:kern w:val="0"/>
                      <w:sz w:val="21"/>
                      <w:szCs w:val="21"/>
                      <w:lang w:val="en-US" w:eastAsia="zh-CN" w:bidi="ar-SA"/>
                    </w:rPr>
                    <w:t>粉尘治</w:t>
                  </w:r>
                </w:p>
                <w:p w14:paraId="7BE31A29">
                  <w:pPr>
                    <w:pStyle w:val="219"/>
                    <w:spacing w:line="320" w:lineRule="exact"/>
                    <w:ind w:left="-105" w:leftChars="-50" w:right="-105" w:rightChars="-50"/>
                    <w:jc w:val="center"/>
                    <w:rPr>
                      <w:rFonts w:hint="default" w:ascii="Times New Roman" w:hAnsi="Times New Roman" w:eastAsia="宋体" w:cs="Times New Roman"/>
                      <w:caps w:val="0"/>
                      <w:color w:val="auto"/>
                      <w:kern w:val="0"/>
                      <w:sz w:val="21"/>
                      <w:szCs w:val="21"/>
                      <w:lang w:val="en-US" w:eastAsia="zh-CN" w:bidi="ar-SA"/>
                    </w:rPr>
                  </w:pPr>
                  <w:r>
                    <w:rPr>
                      <w:rFonts w:hint="default" w:ascii="Times New Roman" w:hAnsi="Times New Roman" w:cs="Times New Roman"/>
                      <w:caps w:val="0"/>
                      <w:color w:val="auto"/>
                      <w:kern w:val="0"/>
                      <w:sz w:val="21"/>
                      <w:szCs w:val="21"/>
                      <w:lang w:val="en-US" w:eastAsia="zh-CN" w:bidi="ar-SA"/>
                    </w:rPr>
                    <w:t>理设施</w:t>
                  </w:r>
                </w:p>
              </w:tc>
              <w:tc>
                <w:tcPr>
                  <w:tcW w:w="645" w:type="dxa"/>
                  <w:vMerge w:val="continue"/>
                  <w:shd w:val="clear" w:color="auto" w:fill="auto"/>
                  <w:noWrap w:val="0"/>
                  <w:vAlign w:val="center"/>
                </w:tcPr>
                <w:p w14:paraId="4B80A3D8">
                  <w:pPr>
                    <w:spacing w:line="360" w:lineRule="exact"/>
                    <w:jc w:val="center"/>
                    <w:rPr>
                      <w:rFonts w:hint="default" w:ascii="Times New Roman" w:hAnsi="Times New Roman" w:eastAsia="宋体" w:cs="Times New Roman"/>
                      <w:caps w:val="0"/>
                      <w:color w:val="auto"/>
                      <w:kern w:val="2"/>
                      <w:sz w:val="21"/>
                      <w:szCs w:val="21"/>
                      <w:lang w:val="en-US" w:eastAsia="zh-CN" w:bidi="ar-SA"/>
                    </w:rPr>
                  </w:pPr>
                </w:p>
              </w:tc>
              <w:tc>
                <w:tcPr>
                  <w:tcW w:w="1710" w:type="dxa"/>
                  <w:shd w:val="clear" w:color="auto" w:fill="auto"/>
                  <w:noWrap w:val="0"/>
                  <w:vAlign w:val="center"/>
                </w:tcPr>
                <w:p w14:paraId="0C3F73E6">
                  <w:pPr>
                    <w:pStyle w:val="78"/>
                    <w:keepNext w:val="0"/>
                    <w:keepLines w:val="0"/>
                    <w:pageBreakBefore w:val="0"/>
                    <w:kinsoku/>
                    <w:wordWrap/>
                    <w:overflowPunct/>
                    <w:topLinePunct w:val="0"/>
                    <w:bidi w:val="0"/>
                    <w:snapToGrid/>
                    <w:spacing w:line="240" w:lineRule="auto"/>
                    <w:ind w:left="-42" w:leftChars="-20" w:right="-42" w:rightChars="-20" w:firstLine="0" w:firstLineChars="0"/>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SW</w:t>
                  </w:r>
                  <w:r>
                    <w:rPr>
                      <w:rFonts w:hint="default" w:ascii="Times New Roman" w:hAnsi="Times New Roman" w:cs="Times New Roman"/>
                      <w:color w:val="auto"/>
                      <w:sz w:val="21"/>
                      <w:szCs w:val="21"/>
                      <w:lang w:val="en-US" w:eastAsia="zh-CN"/>
                    </w:rPr>
                    <w:t>59</w:t>
                  </w:r>
                  <w:r>
                    <w:rPr>
                      <w:rFonts w:hint="default" w:ascii="Times New Roman" w:hAnsi="Times New Roman" w:eastAsia="宋体" w:cs="Times New Roman"/>
                      <w:b w:val="0"/>
                      <w:bCs/>
                      <w:color w:val="auto"/>
                      <w:sz w:val="21"/>
                      <w:szCs w:val="21"/>
                    </w:rPr>
                    <w:t>/</w:t>
                  </w:r>
                  <w:r>
                    <w:rPr>
                      <w:rFonts w:hint="default" w:ascii="Times New Roman" w:hAnsi="Times New Roman" w:eastAsia="宋体" w:cs="Times New Roman"/>
                      <w:color w:val="auto"/>
                      <w:sz w:val="21"/>
                      <w:szCs w:val="21"/>
                      <w:lang w:val="en-US" w:eastAsia="zh-CN"/>
                    </w:rPr>
                    <w:t>900-0</w:t>
                  </w:r>
                  <w:r>
                    <w:rPr>
                      <w:rFonts w:hint="default" w:ascii="Times New Roman" w:hAnsi="Times New Roman" w:cs="Times New Roman"/>
                      <w:color w:val="auto"/>
                      <w:sz w:val="21"/>
                      <w:szCs w:val="21"/>
                      <w:lang w:val="en-US" w:eastAsia="zh-CN"/>
                    </w:rPr>
                    <w:t>99</w:t>
                  </w:r>
                  <w:r>
                    <w:rPr>
                      <w:rFonts w:hint="default" w:ascii="Times New Roman" w:hAnsi="Times New Roman" w:eastAsia="宋体" w:cs="Times New Roman"/>
                      <w:color w:val="auto"/>
                      <w:sz w:val="21"/>
                      <w:szCs w:val="21"/>
                      <w:lang w:val="en-US" w:eastAsia="zh-CN"/>
                    </w:rPr>
                    <w:t>-S</w:t>
                  </w:r>
                  <w:r>
                    <w:rPr>
                      <w:rFonts w:hint="default" w:ascii="Times New Roman" w:hAnsi="Times New Roman" w:cs="Times New Roman"/>
                      <w:color w:val="auto"/>
                      <w:sz w:val="21"/>
                      <w:szCs w:val="21"/>
                      <w:lang w:val="en-US" w:eastAsia="zh-CN"/>
                    </w:rPr>
                    <w:t>59</w:t>
                  </w:r>
                </w:p>
              </w:tc>
              <w:tc>
                <w:tcPr>
                  <w:tcW w:w="518" w:type="dxa"/>
                  <w:shd w:val="clear" w:color="auto" w:fill="auto"/>
                  <w:noWrap w:val="0"/>
                  <w:vAlign w:val="center"/>
                </w:tcPr>
                <w:p w14:paraId="33F34ACE">
                  <w:pPr>
                    <w:pStyle w:val="219"/>
                    <w:spacing w:line="320" w:lineRule="exact"/>
                    <w:ind w:left="-105" w:leftChars="-50" w:right="-105" w:rightChars="-50"/>
                    <w:jc w:val="center"/>
                    <w:rPr>
                      <w:rFonts w:hint="default" w:ascii="Times New Roman" w:hAnsi="Times New Roman" w:eastAsia="宋体" w:cs="Times New Roman"/>
                      <w:caps w:val="0"/>
                      <w:color w:val="auto"/>
                      <w:kern w:val="0"/>
                      <w:sz w:val="21"/>
                      <w:szCs w:val="21"/>
                      <w:lang w:val="en-US" w:eastAsia="zh-CN" w:bidi="ar-SA"/>
                    </w:rPr>
                  </w:pPr>
                  <w:r>
                    <w:rPr>
                      <w:rFonts w:hint="default" w:ascii="Times New Roman" w:hAnsi="Times New Roman" w:eastAsia="宋体" w:cs="Times New Roman"/>
                      <w:caps w:val="0"/>
                      <w:color w:val="auto"/>
                      <w:sz w:val="21"/>
                      <w:szCs w:val="21"/>
                    </w:rPr>
                    <w:t>固态</w:t>
                  </w:r>
                </w:p>
              </w:tc>
              <w:tc>
                <w:tcPr>
                  <w:tcW w:w="962" w:type="dxa"/>
                  <w:shd w:val="clear" w:color="auto" w:fill="auto"/>
                  <w:noWrap w:val="0"/>
                  <w:vAlign w:val="center"/>
                </w:tcPr>
                <w:p w14:paraId="51A5CC49">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eastAsia" w:cs="Times New Roman"/>
                      <w:caps w:val="0"/>
                      <w:color w:val="auto"/>
                      <w:kern w:val="2"/>
                      <w:sz w:val="21"/>
                      <w:szCs w:val="21"/>
                      <w:lang w:val="en-US" w:eastAsia="zh-CN" w:bidi="ar-SA"/>
                    </w:rPr>
                    <w:t>1.951</w:t>
                  </w:r>
                </w:p>
              </w:tc>
              <w:tc>
                <w:tcPr>
                  <w:tcW w:w="790" w:type="dxa"/>
                  <w:shd w:val="clear" w:color="auto" w:fill="auto"/>
                  <w:noWrap w:val="0"/>
                  <w:vAlign w:val="center"/>
                </w:tcPr>
                <w:p w14:paraId="7C53A5C7">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aps w:val="0"/>
                      <w:color w:val="auto"/>
                      <w:kern w:val="2"/>
                      <w:sz w:val="21"/>
                      <w:szCs w:val="21"/>
                      <w:lang w:val="en-US" w:eastAsia="zh-CN" w:bidi="ar-SA"/>
                    </w:rPr>
                    <w:t>金属、粉尘</w:t>
                  </w:r>
                </w:p>
              </w:tc>
              <w:tc>
                <w:tcPr>
                  <w:tcW w:w="623" w:type="dxa"/>
                  <w:shd w:val="clear" w:color="auto" w:fill="auto"/>
                  <w:noWrap w:val="0"/>
                  <w:vAlign w:val="center"/>
                </w:tcPr>
                <w:p w14:paraId="0E0CFBFA">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cs="Times New Roman"/>
                      <w:color w:val="auto"/>
                      <w:sz w:val="21"/>
                      <w:szCs w:val="21"/>
                      <w:lang w:val="en-US" w:eastAsia="zh-CN"/>
                    </w:rPr>
                    <w:t>/</w:t>
                  </w:r>
                </w:p>
              </w:tc>
              <w:tc>
                <w:tcPr>
                  <w:tcW w:w="389" w:type="dxa"/>
                  <w:shd w:val="clear" w:color="auto" w:fill="auto"/>
                  <w:noWrap w:val="0"/>
                  <w:vAlign w:val="center"/>
                </w:tcPr>
                <w:p w14:paraId="1EAF9B2D">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aps w:val="0"/>
                      <w:color w:val="auto"/>
                      <w:sz w:val="21"/>
                      <w:szCs w:val="21"/>
                      <w:lang w:eastAsia="zh-CN"/>
                    </w:rPr>
                    <w:t>袋袋</w:t>
                  </w:r>
                </w:p>
              </w:tc>
              <w:tc>
                <w:tcPr>
                  <w:tcW w:w="773" w:type="dxa"/>
                  <w:vMerge w:val="continue"/>
                  <w:noWrap w:val="0"/>
                  <w:vAlign w:val="center"/>
                </w:tcPr>
                <w:p w14:paraId="11B39563">
                  <w:pPr>
                    <w:spacing w:line="360" w:lineRule="exact"/>
                    <w:jc w:val="center"/>
                    <w:rPr>
                      <w:rFonts w:hint="default" w:ascii="Times New Roman" w:hAnsi="Times New Roman" w:eastAsia="宋体" w:cs="Times New Roman"/>
                      <w:caps w:val="0"/>
                      <w:color w:val="auto"/>
                      <w:sz w:val="21"/>
                      <w:szCs w:val="21"/>
                    </w:rPr>
                  </w:pPr>
                </w:p>
              </w:tc>
            </w:tr>
            <w:tr w14:paraId="4916C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88" w:type="dxa"/>
                  <w:noWrap w:val="0"/>
                  <w:vAlign w:val="center"/>
                </w:tcPr>
                <w:p w14:paraId="41184ADF">
                  <w:pPr>
                    <w:spacing w:line="360" w:lineRule="exact"/>
                    <w:jc w:val="center"/>
                    <w:rPr>
                      <w:rFonts w:hint="default" w:ascii="Times New Roman" w:hAnsi="Times New Roman" w:eastAsia="宋体" w:cs="Times New Roman"/>
                      <w:caps w:val="0"/>
                      <w:color w:val="auto"/>
                      <w:sz w:val="21"/>
                      <w:szCs w:val="21"/>
                      <w:lang w:val="en-US" w:eastAsia="zh-CN"/>
                    </w:rPr>
                  </w:pPr>
                  <w:r>
                    <w:rPr>
                      <w:rFonts w:hint="default" w:ascii="Times New Roman" w:hAnsi="Times New Roman" w:eastAsia="宋体" w:cs="Times New Roman"/>
                      <w:caps w:val="0"/>
                      <w:color w:val="auto"/>
                      <w:sz w:val="21"/>
                      <w:szCs w:val="21"/>
                      <w:lang w:val="en-US" w:eastAsia="zh-CN"/>
                    </w:rPr>
                    <w:t>4</w:t>
                  </w:r>
                </w:p>
              </w:tc>
              <w:tc>
                <w:tcPr>
                  <w:tcW w:w="900" w:type="dxa"/>
                  <w:shd w:val="clear" w:color="auto" w:fill="auto"/>
                  <w:noWrap w:val="0"/>
                  <w:vAlign w:val="center"/>
                </w:tcPr>
                <w:p w14:paraId="0E7C0E96">
                  <w:pPr>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cs="Times New Roman"/>
                      <w:color w:val="auto"/>
                      <w:lang w:eastAsia="zh-CN"/>
                    </w:rPr>
                    <w:t>废</w:t>
                  </w:r>
                  <w:r>
                    <w:rPr>
                      <w:rFonts w:hint="eastAsia" w:ascii="Times New Roman" w:hAnsi="Times New Roman" w:cs="Times New Roman"/>
                      <w:color w:val="auto"/>
                      <w:lang w:val="en-US" w:eastAsia="zh-CN"/>
                    </w:rPr>
                    <w:t>钢丸</w:t>
                  </w:r>
                </w:p>
              </w:tc>
              <w:tc>
                <w:tcPr>
                  <w:tcW w:w="709" w:type="dxa"/>
                  <w:shd w:val="clear" w:color="auto" w:fill="auto"/>
                  <w:noWrap w:val="0"/>
                  <w:vAlign w:val="center"/>
                </w:tcPr>
                <w:p w14:paraId="1C88811C">
                  <w:pPr>
                    <w:pStyle w:val="219"/>
                    <w:spacing w:line="320" w:lineRule="exact"/>
                    <w:ind w:left="-105" w:leftChars="-50" w:right="-105" w:rightChars="-50"/>
                    <w:jc w:val="center"/>
                    <w:rPr>
                      <w:rFonts w:hint="default" w:ascii="Times New Roman" w:hAnsi="Times New Roman" w:cs="Times New Roman"/>
                      <w:caps w:val="0"/>
                      <w:color w:val="auto"/>
                      <w:sz w:val="21"/>
                      <w:szCs w:val="21"/>
                      <w:lang w:eastAsia="zh-CN"/>
                    </w:rPr>
                  </w:pPr>
                  <w:r>
                    <w:rPr>
                      <w:rFonts w:hint="default" w:ascii="Times New Roman" w:hAnsi="Times New Roman" w:cs="Times New Roman"/>
                      <w:caps w:val="0"/>
                      <w:color w:val="auto"/>
                      <w:sz w:val="21"/>
                      <w:szCs w:val="21"/>
                      <w:lang w:eastAsia="zh-CN"/>
                    </w:rPr>
                    <w:t>喷砂</w:t>
                  </w:r>
                </w:p>
                <w:p w14:paraId="41384E66">
                  <w:pPr>
                    <w:pStyle w:val="219"/>
                    <w:spacing w:line="320" w:lineRule="exact"/>
                    <w:ind w:left="-105" w:leftChars="-50" w:right="-105" w:rightChars="-50"/>
                    <w:jc w:val="center"/>
                    <w:rPr>
                      <w:rFonts w:hint="default" w:ascii="Times New Roman" w:hAnsi="Times New Roman" w:eastAsia="宋体" w:cs="Times New Roman"/>
                      <w:caps w:val="0"/>
                      <w:color w:val="auto"/>
                      <w:kern w:val="0"/>
                      <w:sz w:val="21"/>
                      <w:szCs w:val="21"/>
                      <w:lang w:val="en-US" w:eastAsia="zh-CN" w:bidi="ar-SA"/>
                    </w:rPr>
                  </w:pPr>
                  <w:r>
                    <w:rPr>
                      <w:rFonts w:hint="default" w:ascii="Times New Roman" w:hAnsi="Times New Roman" w:eastAsia="宋体" w:cs="Times New Roman"/>
                      <w:caps w:val="0"/>
                      <w:color w:val="auto"/>
                      <w:sz w:val="21"/>
                      <w:szCs w:val="21"/>
                      <w:lang w:eastAsia="zh-CN"/>
                    </w:rPr>
                    <w:t>工序</w:t>
                  </w:r>
                </w:p>
              </w:tc>
              <w:tc>
                <w:tcPr>
                  <w:tcW w:w="645" w:type="dxa"/>
                  <w:vMerge w:val="continue"/>
                  <w:shd w:val="clear" w:color="auto" w:fill="auto"/>
                  <w:noWrap w:val="0"/>
                  <w:vAlign w:val="center"/>
                </w:tcPr>
                <w:p w14:paraId="1F675D54">
                  <w:pPr>
                    <w:spacing w:line="360" w:lineRule="exact"/>
                    <w:jc w:val="center"/>
                    <w:rPr>
                      <w:rFonts w:hint="default" w:ascii="Times New Roman" w:hAnsi="Times New Roman" w:eastAsia="宋体" w:cs="Times New Roman"/>
                      <w:caps w:val="0"/>
                      <w:color w:val="auto"/>
                      <w:kern w:val="2"/>
                      <w:sz w:val="21"/>
                      <w:szCs w:val="21"/>
                      <w:lang w:val="en-US" w:eastAsia="zh-CN" w:bidi="ar-SA"/>
                    </w:rPr>
                  </w:pPr>
                </w:p>
              </w:tc>
              <w:tc>
                <w:tcPr>
                  <w:tcW w:w="1710" w:type="dxa"/>
                  <w:shd w:val="clear" w:color="auto" w:fill="auto"/>
                  <w:noWrap w:val="0"/>
                  <w:vAlign w:val="center"/>
                </w:tcPr>
                <w:p w14:paraId="6BD313FA">
                  <w:pPr>
                    <w:pStyle w:val="78"/>
                    <w:keepNext w:val="0"/>
                    <w:keepLines w:val="0"/>
                    <w:pageBreakBefore w:val="0"/>
                    <w:kinsoku/>
                    <w:wordWrap/>
                    <w:overflowPunct/>
                    <w:topLinePunct w:val="0"/>
                    <w:bidi w:val="0"/>
                    <w:snapToGrid/>
                    <w:spacing w:line="240" w:lineRule="auto"/>
                    <w:ind w:left="-42" w:leftChars="-20" w:right="-42" w:rightChars="-20" w:firstLine="0" w:firstLineChars="0"/>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SW</w:t>
                  </w:r>
                  <w:r>
                    <w:rPr>
                      <w:rFonts w:hint="default" w:ascii="Times New Roman" w:hAnsi="Times New Roman" w:cs="Times New Roman"/>
                      <w:color w:val="auto"/>
                      <w:sz w:val="21"/>
                      <w:szCs w:val="21"/>
                      <w:lang w:val="en-US" w:eastAsia="zh-CN"/>
                    </w:rPr>
                    <w:t>59</w:t>
                  </w:r>
                  <w:r>
                    <w:rPr>
                      <w:rFonts w:hint="default" w:ascii="Times New Roman" w:hAnsi="Times New Roman" w:eastAsia="宋体" w:cs="Times New Roman"/>
                      <w:b w:val="0"/>
                      <w:bCs/>
                      <w:color w:val="auto"/>
                      <w:sz w:val="21"/>
                      <w:szCs w:val="21"/>
                    </w:rPr>
                    <w:t>/</w:t>
                  </w:r>
                  <w:r>
                    <w:rPr>
                      <w:rFonts w:hint="default" w:ascii="Times New Roman" w:hAnsi="Times New Roman" w:eastAsia="宋体" w:cs="Times New Roman"/>
                      <w:color w:val="auto"/>
                      <w:sz w:val="21"/>
                      <w:szCs w:val="21"/>
                      <w:lang w:val="en-US" w:eastAsia="zh-CN"/>
                    </w:rPr>
                    <w:t>900-0</w:t>
                  </w:r>
                  <w:r>
                    <w:rPr>
                      <w:rFonts w:hint="default" w:ascii="Times New Roman" w:hAnsi="Times New Roman" w:cs="Times New Roman"/>
                      <w:color w:val="auto"/>
                      <w:sz w:val="21"/>
                      <w:szCs w:val="21"/>
                      <w:lang w:val="en-US" w:eastAsia="zh-CN"/>
                    </w:rPr>
                    <w:t>99</w:t>
                  </w:r>
                  <w:r>
                    <w:rPr>
                      <w:rFonts w:hint="default" w:ascii="Times New Roman" w:hAnsi="Times New Roman" w:eastAsia="宋体" w:cs="Times New Roman"/>
                      <w:color w:val="auto"/>
                      <w:sz w:val="21"/>
                      <w:szCs w:val="21"/>
                      <w:lang w:val="en-US" w:eastAsia="zh-CN"/>
                    </w:rPr>
                    <w:t>-S</w:t>
                  </w:r>
                  <w:r>
                    <w:rPr>
                      <w:rFonts w:hint="default" w:ascii="Times New Roman" w:hAnsi="Times New Roman" w:cs="Times New Roman"/>
                      <w:color w:val="auto"/>
                      <w:sz w:val="21"/>
                      <w:szCs w:val="21"/>
                      <w:lang w:val="en-US" w:eastAsia="zh-CN"/>
                    </w:rPr>
                    <w:t>59</w:t>
                  </w:r>
                </w:p>
              </w:tc>
              <w:tc>
                <w:tcPr>
                  <w:tcW w:w="518" w:type="dxa"/>
                  <w:shd w:val="clear" w:color="auto" w:fill="auto"/>
                  <w:noWrap w:val="0"/>
                  <w:vAlign w:val="center"/>
                </w:tcPr>
                <w:p w14:paraId="466488BA">
                  <w:pPr>
                    <w:pStyle w:val="78"/>
                    <w:keepNext w:val="0"/>
                    <w:keepLines w:val="0"/>
                    <w:pageBreakBefore w:val="0"/>
                    <w:kinsoku/>
                    <w:wordWrap/>
                    <w:overflowPunct/>
                    <w:topLinePunct w:val="0"/>
                    <w:bidi w:val="0"/>
                    <w:snapToGrid/>
                    <w:spacing w:line="240" w:lineRule="auto"/>
                    <w:ind w:left="-42" w:leftChars="-20" w:right="-42" w:rightChars="-2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固态</w:t>
                  </w:r>
                </w:p>
              </w:tc>
              <w:tc>
                <w:tcPr>
                  <w:tcW w:w="962" w:type="dxa"/>
                  <w:shd w:val="clear" w:color="auto" w:fill="auto"/>
                  <w:noWrap w:val="0"/>
                  <w:vAlign w:val="center"/>
                </w:tcPr>
                <w:p w14:paraId="15B6E294">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cs="Times New Roman"/>
                      <w:caps w:val="0"/>
                      <w:color w:val="auto"/>
                      <w:kern w:val="2"/>
                      <w:sz w:val="21"/>
                      <w:szCs w:val="21"/>
                      <w:lang w:val="en-US" w:eastAsia="zh-CN" w:bidi="ar-SA"/>
                    </w:rPr>
                    <w:t>0.01</w:t>
                  </w:r>
                </w:p>
              </w:tc>
              <w:tc>
                <w:tcPr>
                  <w:tcW w:w="790" w:type="dxa"/>
                  <w:shd w:val="clear" w:color="auto" w:fill="auto"/>
                  <w:noWrap w:val="0"/>
                  <w:vAlign w:val="center"/>
                </w:tcPr>
                <w:p w14:paraId="38092F83">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cs="Times New Roman"/>
                      <w:caps w:val="0"/>
                      <w:color w:val="auto"/>
                      <w:sz w:val="21"/>
                      <w:szCs w:val="21"/>
                      <w:lang w:val="en-US" w:eastAsia="zh-CN"/>
                    </w:rPr>
                    <w:t>金属</w:t>
                  </w:r>
                </w:p>
              </w:tc>
              <w:tc>
                <w:tcPr>
                  <w:tcW w:w="623" w:type="dxa"/>
                  <w:shd w:val="clear" w:color="auto" w:fill="auto"/>
                  <w:noWrap w:val="0"/>
                  <w:vAlign w:val="center"/>
                </w:tcPr>
                <w:p w14:paraId="3CDAFA41">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aps w:val="0"/>
                      <w:color w:val="auto"/>
                      <w:sz w:val="21"/>
                      <w:szCs w:val="21"/>
                      <w:lang w:val="en-US" w:eastAsia="zh-CN"/>
                    </w:rPr>
                    <w:t>/</w:t>
                  </w:r>
                </w:p>
              </w:tc>
              <w:tc>
                <w:tcPr>
                  <w:tcW w:w="389" w:type="dxa"/>
                  <w:shd w:val="clear" w:color="auto" w:fill="auto"/>
                  <w:noWrap w:val="0"/>
                  <w:vAlign w:val="center"/>
                </w:tcPr>
                <w:p w14:paraId="22D3BDC0">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aps w:val="0"/>
                      <w:color w:val="auto"/>
                      <w:sz w:val="21"/>
                      <w:szCs w:val="21"/>
                      <w:lang w:eastAsia="zh-CN"/>
                    </w:rPr>
                    <w:t>袋袋</w:t>
                  </w:r>
                </w:p>
              </w:tc>
              <w:tc>
                <w:tcPr>
                  <w:tcW w:w="773" w:type="dxa"/>
                  <w:vMerge w:val="continue"/>
                  <w:noWrap w:val="0"/>
                  <w:vAlign w:val="center"/>
                </w:tcPr>
                <w:p w14:paraId="604BEDE5">
                  <w:pPr>
                    <w:spacing w:line="360" w:lineRule="exact"/>
                    <w:jc w:val="center"/>
                    <w:rPr>
                      <w:rFonts w:hint="default" w:ascii="Times New Roman" w:hAnsi="Times New Roman" w:eastAsia="宋体" w:cs="Times New Roman"/>
                      <w:caps w:val="0"/>
                      <w:color w:val="auto"/>
                      <w:sz w:val="21"/>
                      <w:szCs w:val="21"/>
                    </w:rPr>
                  </w:pPr>
                </w:p>
              </w:tc>
            </w:tr>
            <w:tr w14:paraId="41050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88" w:type="dxa"/>
                  <w:noWrap w:val="0"/>
                  <w:vAlign w:val="center"/>
                </w:tcPr>
                <w:p w14:paraId="10F343C9">
                  <w:pPr>
                    <w:spacing w:line="360" w:lineRule="exact"/>
                    <w:jc w:val="center"/>
                    <w:rPr>
                      <w:rFonts w:hint="default" w:ascii="Times New Roman" w:hAnsi="Times New Roman" w:eastAsia="宋体" w:cs="Times New Roman"/>
                      <w:caps w:val="0"/>
                      <w:color w:val="auto"/>
                      <w:sz w:val="21"/>
                      <w:szCs w:val="21"/>
                      <w:lang w:val="en-US" w:eastAsia="zh-CN"/>
                    </w:rPr>
                  </w:pPr>
                  <w:r>
                    <w:rPr>
                      <w:rFonts w:hint="default" w:ascii="Times New Roman" w:hAnsi="Times New Roman" w:cs="Times New Roman"/>
                      <w:caps w:val="0"/>
                      <w:color w:val="auto"/>
                      <w:sz w:val="21"/>
                      <w:szCs w:val="21"/>
                      <w:lang w:val="en-US" w:eastAsia="zh-CN"/>
                    </w:rPr>
                    <w:t>5</w:t>
                  </w:r>
                </w:p>
              </w:tc>
              <w:tc>
                <w:tcPr>
                  <w:tcW w:w="900" w:type="dxa"/>
                  <w:shd w:val="clear" w:color="auto" w:fill="auto"/>
                  <w:noWrap w:val="0"/>
                  <w:vAlign w:val="center"/>
                </w:tcPr>
                <w:p w14:paraId="5EDEB321">
                  <w:pPr>
                    <w:jc w:val="center"/>
                    <w:rPr>
                      <w:rFonts w:hint="default" w:ascii="Times New Roman" w:hAnsi="Times New Roman" w:cs="Times New Roman"/>
                      <w:color w:val="auto"/>
                      <w:lang w:eastAsia="zh-CN"/>
                    </w:rPr>
                  </w:pPr>
                  <w:r>
                    <w:rPr>
                      <w:rFonts w:hint="eastAsia" w:ascii="Times New Roman" w:hAnsi="Times New Roman" w:cs="Times New Roman"/>
                      <w:color w:val="auto"/>
                      <w:lang w:eastAsia="zh-CN"/>
                    </w:rPr>
                    <w:t>废金属屑及边角料</w:t>
                  </w:r>
                </w:p>
              </w:tc>
              <w:tc>
                <w:tcPr>
                  <w:tcW w:w="709" w:type="dxa"/>
                  <w:shd w:val="clear" w:color="auto" w:fill="auto"/>
                  <w:noWrap w:val="0"/>
                  <w:vAlign w:val="center"/>
                </w:tcPr>
                <w:p w14:paraId="13463936">
                  <w:pPr>
                    <w:pStyle w:val="219"/>
                    <w:spacing w:line="320" w:lineRule="exact"/>
                    <w:ind w:left="-105" w:leftChars="-50" w:right="-105" w:rightChars="-50"/>
                    <w:jc w:val="center"/>
                    <w:rPr>
                      <w:rFonts w:hint="eastAsia" w:cs="Times New Roman"/>
                      <w:caps w:val="0"/>
                      <w:color w:val="auto"/>
                      <w:sz w:val="21"/>
                      <w:szCs w:val="21"/>
                      <w:lang w:val="en-US" w:eastAsia="zh-CN"/>
                    </w:rPr>
                  </w:pPr>
                  <w:r>
                    <w:rPr>
                      <w:rFonts w:hint="eastAsia" w:cs="Times New Roman"/>
                      <w:caps w:val="0"/>
                      <w:color w:val="auto"/>
                      <w:sz w:val="21"/>
                      <w:szCs w:val="21"/>
                      <w:lang w:val="en-US" w:eastAsia="zh-CN"/>
                    </w:rPr>
                    <w:t>粗加工</w:t>
                  </w:r>
                </w:p>
                <w:p w14:paraId="7CB23BCC">
                  <w:pPr>
                    <w:pStyle w:val="219"/>
                    <w:spacing w:line="320" w:lineRule="exact"/>
                    <w:ind w:left="-105" w:leftChars="-50" w:right="-105" w:rightChars="-50"/>
                    <w:jc w:val="center"/>
                    <w:rPr>
                      <w:rFonts w:hint="eastAsia"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w:t>
                  </w:r>
                  <w:r>
                    <w:rPr>
                      <w:rFonts w:hint="eastAsia" w:cs="Times New Roman"/>
                      <w:caps w:val="0"/>
                      <w:color w:val="auto"/>
                      <w:sz w:val="21"/>
                      <w:szCs w:val="21"/>
                      <w:lang w:val="en-US" w:eastAsia="zh-CN"/>
                    </w:rPr>
                    <w:t>精加</w:t>
                  </w:r>
                </w:p>
                <w:p w14:paraId="46AF17B7">
                  <w:pPr>
                    <w:pStyle w:val="219"/>
                    <w:spacing w:line="320" w:lineRule="exact"/>
                    <w:ind w:left="-105" w:leftChars="-50" w:right="-105" w:rightChars="-50"/>
                    <w:jc w:val="center"/>
                    <w:rPr>
                      <w:rFonts w:hint="default" w:ascii="Times New Roman" w:hAnsi="Times New Roman" w:eastAsia="宋体" w:cs="Times New Roman"/>
                      <w:caps w:val="0"/>
                      <w:color w:val="auto"/>
                      <w:sz w:val="21"/>
                      <w:szCs w:val="21"/>
                      <w:lang w:val="en-US" w:eastAsia="zh-CN"/>
                    </w:rPr>
                  </w:pPr>
                  <w:r>
                    <w:rPr>
                      <w:rFonts w:hint="eastAsia" w:cs="Times New Roman"/>
                      <w:caps w:val="0"/>
                      <w:color w:val="auto"/>
                      <w:sz w:val="21"/>
                      <w:szCs w:val="21"/>
                      <w:lang w:val="en-US" w:eastAsia="zh-CN"/>
                    </w:rPr>
                    <w:t>工</w:t>
                  </w:r>
                  <w:r>
                    <w:rPr>
                      <w:rFonts w:hint="eastAsia" w:ascii="Times New Roman" w:hAnsi="Times New Roman" w:eastAsia="宋体" w:cs="Times New Roman"/>
                      <w:caps w:val="0"/>
                      <w:color w:val="auto"/>
                      <w:sz w:val="21"/>
                      <w:szCs w:val="21"/>
                      <w:lang w:val="en-US" w:eastAsia="zh-CN"/>
                    </w:rPr>
                    <w:t>工序</w:t>
                  </w:r>
                </w:p>
              </w:tc>
              <w:tc>
                <w:tcPr>
                  <w:tcW w:w="645" w:type="dxa"/>
                  <w:vMerge w:val="continue"/>
                  <w:shd w:val="clear" w:color="auto" w:fill="auto"/>
                  <w:noWrap w:val="0"/>
                  <w:vAlign w:val="center"/>
                </w:tcPr>
                <w:p w14:paraId="13F9DE51">
                  <w:pPr>
                    <w:spacing w:line="360" w:lineRule="exact"/>
                    <w:jc w:val="center"/>
                    <w:rPr>
                      <w:rFonts w:hint="default" w:ascii="Times New Roman" w:hAnsi="Times New Roman" w:eastAsia="宋体" w:cs="Times New Roman"/>
                      <w:caps w:val="0"/>
                      <w:color w:val="auto"/>
                      <w:kern w:val="2"/>
                      <w:sz w:val="21"/>
                      <w:szCs w:val="21"/>
                      <w:lang w:val="en-US" w:eastAsia="zh-CN" w:bidi="ar-SA"/>
                    </w:rPr>
                  </w:pPr>
                </w:p>
              </w:tc>
              <w:tc>
                <w:tcPr>
                  <w:tcW w:w="1710" w:type="dxa"/>
                  <w:shd w:val="clear" w:color="auto" w:fill="auto"/>
                  <w:noWrap w:val="0"/>
                  <w:vAlign w:val="center"/>
                </w:tcPr>
                <w:p w14:paraId="4D0AD61B">
                  <w:pPr>
                    <w:pStyle w:val="78"/>
                    <w:keepNext w:val="0"/>
                    <w:keepLines w:val="0"/>
                    <w:pageBreakBefore w:val="0"/>
                    <w:kinsoku/>
                    <w:wordWrap/>
                    <w:overflowPunct/>
                    <w:topLinePunct w:val="0"/>
                    <w:bidi w:val="0"/>
                    <w:snapToGrid/>
                    <w:spacing w:line="240" w:lineRule="auto"/>
                    <w:ind w:left="-42" w:leftChars="-20" w:right="-42" w:rightChars="-20" w:firstLine="0" w:firstLineChars="0"/>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SW</w:t>
                  </w:r>
                  <w:r>
                    <w:rPr>
                      <w:rFonts w:hint="eastAsia" w:ascii="Times New Roman" w:hAnsi="Times New Roman" w:cs="Times New Roman"/>
                      <w:color w:val="auto"/>
                      <w:sz w:val="21"/>
                      <w:szCs w:val="21"/>
                      <w:lang w:val="en-US" w:eastAsia="zh-CN"/>
                    </w:rPr>
                    <w:t>17</w:t>
                  </w:r>
                  <w:r>
                    <w:rPr>
                      <w:rFonts w:hint="default" w:ascii="Times New Roman" w:hAnsi="Times New Roman" w:eastAsia="宋体" w:cs="Times New Roman"/>
                      <w:b w:val="0"/>
                      <w:bCs/>
                      <w:color w:val="auto"/>
                      <w:sz w:val="21"/>
                      <w:szCs w:val="21"/>
                    </w:rPr>
                    <w:t>/</w:t>
                  </w:r>
                  <w:r>
                    <w:rPr>
                      <w:rFonts w:hint="default" w:ascii="Times New Roman" w:hAnsi="Times New Roman" w:eastAsia="宋体" w:cs="Times New Roman"/>
                      <w:color w:val="auto"/>
                      <w:sz w:val="21"/>
                      <w:szCs w:val="21"/>
                      <w:lang w:val="en-US" w:eastAsia="zh-CN"/>
                    </w:rPr>
                    <w:t>900-00</w:t>
                  </w:r>
                  <w:r>
                    <w:rPr>
                      <w:rFonts w:hint="eastAsia" w:ascii="Times New Roman" w:hAnsi="Times New Roman" w:cs="Times New Roman"/>
                      <w:color w:val="auto"/>
                      <w:sz w:val="21"/>
                      <w:szCs w:val="21"/>
                      <w:lang w:val="en-US" w:eastAsia="zh-CN"/>
                    </w:rPr>
                    <w:t>1</w:t>
                  </w:r>
                  <w:r>
                    <w:rPr>
                      <w:rFonts w:hint="default" w:ascii="Times New Roman" w:hAnsi="Times New Roman" w:eastAsia="宋体" w:cs="Times New Roman"/>
                      <w:color w:val="auto"/>
                      <w:sz w:val="21"/>
                      <w:szCs w:val="21"/>
                      <w:lang w:val="en-US" w:eastAsia="zh-CN"/>
                    </w:rPr>
                    <w:t>-S</w:t>
                  </w:r>
                  <w:r>
                    <w:rPr>
                      <w:rFonts w:hint="eastAsia" w:ascii="Times New Roman" w:hAnsi="Times New Roman" w:cs="Times New Roman"/>
                      <w:color w:val="auto"/>
                      <w:sz w:val="21"/>
                      <w:szCs w:val="21"/>
                      <w:lang w:val="en-US" w:eastAsia="zh-CN"/>
                    </w:rPr>
                    <w:t>17</w:t>
                  </w:r>
                </w:p>
              </w:tc>
              <w:tc>
                <w:tcPr>
                  <w:tcW w:w="518" w:type="dxa"/>
                  <w:shd w:val="clear" w:color="auto" w:fill="auto"/>
                  <w:noWrap w:val="0"/>
                  <w:vAlign w:val="center"/>
                </w:tcPr>
                <w:p w14:paraId="7A63C1C5">
                  <w:pPr>
                    <w:pStyle w:val="78"/>
                    <w:keepNext w:val="0"/>
                    <w:keepLines w:val="0"/>
                    <w:pageBreakBefore w:val="0"/>
                    <w:kinsoku/>
                    <w:wordWrap/>
                    <w:overflowPunct/>
                    <w:topLinePunct w:val="0"/>
                    <w:bidi w:val="0"/>
                    <w:snapToGrid/>
                    <w:spacing w:line="240" w:lineRule="auto"/>
                    <w:ind w:left="-42" w:leftChars="-20" w:right="-42" w:rightChars="-2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固态</w:t>
                  </w:r>
                </w:p>
              </w:tc>
              <w:tc>
                <w:tcPr>
                  <w:tcW w:w="962" w:type="dxa"/>
                  <w:shd w:val="clear" w:color="auto" w:fill="auto"/>
                  <w:noWrap w:val="0"/>
                  <w:vAlign w:val="center"/>
                </w:tcPr>
                <w:p w14:paraId="5B17724C">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eastAsia" w:ascii="Times New Roman" w:hAnsi="Times New Roman" w:cs="Times New Roman"/>
                      <w:caps w:val="0"/>
                      <w:color w:val="auto"/>
                      <w:kern w:val="2"/>
                      <w:sz w:val="21"/>
                      <w:szCs w:val="21"/>
                      <w:lang w:val="en-US" w:eastAsia="zh-CN" w:bidi="ar-SA"/>
                    </w:rPr>
                    <w:t>18</w:t>
                  </w:r>
                </w:p>
              </w:tc>
              <w:tc>
                <w:tcPr>
                  <w:tcW w:w="790" w:type="dxa"/>
                  <w:shd w:val="clear" w:color="auto" w:fill="auto"/>
                  <w:noWrap w:val="0"/>
                  <w:vAlign w:val="center"/>
                </w:tcPr>
                <w:p w14:paraId="3E7DFB9A">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cs="Times New Roman"/>
                      <w:caps w:val="0"/>
                      <w:color w:val="auto"/>
                      <w:sz w:val="21"/>
                      <w:szCs w:val="21"/>
                      <w:lang w:val="en-US" w:eastAsia="zh-CN"/>
                    </w:rPr>
                    <w:t>金属</w:t>
                  </w:r>
                </w:p>
              </w:tc>
              <w:tc>
                <w:tcPr>
                  <w:tcW w:w="623" w:type="dxa"/>
                  <w:shd w:val="clear" w:color="auto" w:fill="auto"/>
                  <w:noWrap w:val="0"/>
                  <w:vAlign w:val="center"/>
                </w:tcPr>
                <w:p w14:paraId="614FC091">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aps w:val="0"/>
                      <w:color w:val="auto"/>
                      <w:sz w:val="21"/>
                      <w:szCs w:val="21"/>
                      <w:lang w:val="en-US" w:eastAsia="zh-CN"/>
                    </w:rPr>
                    <w:t>/</w:t>
                  </w:r>
                </w:p>
              </w:tc>
              <w:tc>
                <w:tcPr>
                  <w:tcW w:w="389" w:type="dxa"/>
                  <w:shd w:val="clear" w:color="auto" w:fill="auto"/>
                  <w:noWrap w:val="0"/>
                  <w:vAlign w:val="center"/>
                </w:tcPr>
                <w:p w14:paraId="2FB069BC">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aps w:val="0"/>
                      <w:color w:val="auto"/>
                      <w:sz w:val="21"/>
                      <w:szCs w:val="21"/>
                      <w:lang w:eastAsia="zh-CN"/>
                    </w:rPr>
                    <w:t>袋袋</w:t>
                  </w:r>
                </w:p>
              </w:tc>
              <w:tc>
                <w:tcPr>
                  <w:tcW w:w="773" w:type="dxa"/>
                  <w:vMerge w:val="continue"/>
                  <w:noWrap w:val="0"/>
                  <w:vAlign w:val="center"/>
                </w:tcPr>
                <w:p w14:paraId="6B943D05">
                  <w:pPr>
                    <w:spacing w:line="360" w:lineRule="exact"/>
                    <w:jc w:val="center"/>
                    <w:rPr>
                      <w:rFonts w:hint="default" w:ascii="Times New Roman" w:hAnsi="Times New Roman" w:eastAsia="宋体" w:cs="Times New Roman"/>
                      <w:caps w:val="0"/>
                      <w:color w:val="auto"/>
                      <w:sz w:val="21"/>
                      <w:szCs w:val="21"/>
                    </w:rPr>
                  </w:pPr>
                </w:p>
              </w:tc>
            </w:tr>
            <w:tr w14:paraId="2FE07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88" w:type="dxa"/>
                  <w:noWrap w:val="0"/>
                  <w:vAlign w:val="center"/>
                </w:tcPr>
                <w:p w14:paraId="40FEFAA9">
                  <w:pPr>
                    <w:spacing w:line="360" w:lineRule="exact"/>
                    <w:jc w:val="center"/>
                    <w:rPr>
                      <w:rFonts w:hint="default" w:ascii="Times New Roman" w:hAnsi="Times New Roman" w:cs="Times New Roman"/>
                      <w:caps w:val="0"/>
                      <w:color w:val="auto"/>
                      <w:sz w:val="21"/>
                      <w:szCs w:val="21"/>
                      <w:lang w:val="en-US" w:eastAsia="zh-CN"/>
                    </w:rPr>
                  </w:pPr>
                  <w:r>
                    <w:rPr>
                      <w:rFonts w:hint="eastAsia" w:ascii="Times New Roman" w:hAnsi="Times New Roman" w:cs="Times New Roman"/>
                      <w:caps w:val="0"/>
                      <w:color w:val="auto"/>
                      <w:sz w:val="21"/>
                      <w:szCs w:val="21"/>
                      <w:lang w:val="en-US" w:eastAsia="zh-CN"/>
                    </w:rPr>
                    <w:t>6</w:t>
                  </w:r>
                </w:p>
              </w:tc>
              <w:tc>
                <w:tcPr>
                  <w:tcW w:w="900" w:type="dxa"/>
                  <w:shd w:val="clear" w:color="auto" w:fill="auto"/>
                  <w:noWrap w:val="0"/>
                  <w:vAlign w:val="center"/>
                </w:tcPr>
                <w:p w14:paraId="453D7DDE">
                  <w:pPr>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废砂轮</w:t>
                  </w:r>
                </w:p>
              </w:tc>
              <w:tc>
                <w:tcPr>
                  <w:tcW w:w="709" w:type="dxa"/>
                  <w:shd w:val="clear" w:color="auto" w:fill="auto"/>
                  <w:noWrap w:val="0"/>
                  <w:vAlign w:val="center"/>
                </w:tcPr>
                <w:p w14:paraId="779923F9">
                  <w:pPr>
                    <w:pStyle w:val="219"/>
                    <w:spacing w:line="320" w:lineRule="exact"/>
                    <w:ind w:left="-105" w:leftChars="-50" w:right="-105" w:rightChars="-50"/>
                    <w:jc w:val="center"/>
                    <w:rPr>
                      <w:rFonts w:hint="default" w:ascii="Times New Roman" w:hAnsi="Times New Roman" w:eastAsia="宋体" w:cs="Times New Roman"/>
                      <w:caps w:val="0"/>
                      <w:color w:val="auto"/>
                      <w:sz w:val="21"/>
                      <w:szCs w:val="21"/>
                      <w:lang w:val="en-US" w:eastAsia="zh-CN"/>
                    </w:rPr>
                  </w:pPr>
                  <w:r>
                    <w:rPr>
                      <w:rFonts w:hint="default" w:ascii="Times New Roman" w:hAnsi="Times New Roman" w:eastAsia="宋体" w:cs="Times New Roman"/>
                      <w:caps w:val="0"/>
                      <w:color w:val="auto"/>
                      <w:sz w:val="21"/>
                      <w:szCs w:val="21"/>
                      <w:lang w:val="en-US" w:eastAsia="zh-CN"/>
                    </w:rPr>
                    <w:t>湿式磨</w:t>
                  </w:r>
                </w:p>
                <w:p w14:paraId="419C3AE3">
                  <w:pPr>
                    <w:pStyle w:val="219"/>
                    <w:spacing w:line="320" w:lineRule="exact"/>
                    <w:ind w:left="-105" w:leftChars="-50" w:right="-105" w:rightChars="-50"/>
                    <w:jc w:val="center"/>
                    <w:rPr>
                      <w:rFonts w:hint="eastAsia" w:ascii="Times New Roman" w:hAnsi="Times New Roman" w:eastAsia="宋体" w:cs="Times New Roman"/>
                      <w:caps w:val="0"/>
                      <w:color w:val="auto"/>
                      <w:sz w:val="21"/>
                      <w:szCs w:val="21"/>
                      <w:lang w:val="en-US" w:eastAsia="zh-CN"/>
                    </w:rPr>
                  </w:pPr>
                  <w:r>
                    <w:rPr>
                      <w:rFonts w:hint="default" w:ascii="Times New Roman" w:hAnsi="Times New Roman" w:eastAsia="宋体" w:cs="Times New Roman"/>
                      <w:caps w:val="0"/>
                      <w:color w:val="auto"/>
                      <w:sz w:val="21"/>
                      <w:szCs w:val="21"/>
                      <w:lang w:val="en-US" w:eastAsia="zh-CN"/>
                    </w:rPr>
                    <w:t>削工序</w:t>
                  </w:r>
                </w:p>
              </w:tc>
              <w:tc>
                <w:tcPr>
                  <w:tcW w:w="645" w:type="dxa"/>
                  <w:vMerge w:val="continue"/>
                  <w:shd w:val="clear" w:color="auto" w:fill="auto"/>
                  <w:noWrap w:val="0"/>
                  <w:vAlign w:val="center"/>
                </w:tcPr>
                <w:p w14:paraId="60D763FB">
                  <w:pPr>
                    <w:spacing w:line="360" w:lineRule="exact"/>
                    <w:jc w:val="center"/>
                    <w:rPr>
                      <w:rFonts w:hint="default" w:ascii="Times New Roman" w:hAnsi="Times New Roman" w:eastAsia="宋体" w:cs="Times New Roman"/>
                      <w:caps w:val="0"/>
                      <w:color w:val="auto"/>
                      <w:kern w:val="2"/>
                      <w:sz w:val="21"/>
                      <w:szCs w:val="21"/>
                      <w:lang w:val="en-US" w:eastAsia="zh-CN" w:bidi="ar-SA"/>
                    </w:rPr>
                  </w:pPr>
                </w:p>
              </w:tc>
              <w:tc>
                <w:tcPr>
                  <w:tcW w:w="1710" w:type="dxa"/>
                  <w:shd w:val="clear" w:color="auto" w:fill="auto"/>
                  <w:noWrap w:val="0"/>
                  <w:vAlign w:val="center"/>
                </w:tcPr>
                <w:p w14:paraId="20560ADF">
                  <w:pPr>
                    <w:pStyle w:val="78"/>
                    <w:keepNext w:val="0"/>
                    <w:keepLines w:val="0"/>
                    <w:pageBreakBefore w:val="0"/>
                    <w:kinsoku/>
                    <w:wordWrap/>
                    <w:overflowPunct/>
                    <w:topLinePunct w:val="0"/>
                    <w:bidi w:val="0"/>
                    <w:snapToGrid/>
                    <w:spacing w:line="240" w:lineRule="auto"/>
                    <w:ind w:left="-42" w:leftChars="-20" w:right="-42" w:rightChars="-20" w:firstLine="0" w:firstLineChars="0"/>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SW</w:t>
                  </w:r>
                  <w:r>
                    <w:rPr>
                      <w:rFonts w:hint="default" w:ascii="Times New Roman" w:hAnsi="Times New Roman" w:cs="Times New Roman"/>
                      <w:color w:val="auto"/>
                      <w:sz w:val="21"/>
                      <w:szCs w:val="21"/>
                      <w:lang w:val="en-US" w:eastAsia="zh-CN"/>
                    </w:rPr>
                    <w:t>59</w:t>
                  </w:r>
                  <w:r>
                    <w:rPr>
                      <w:rFonts w:hint="default" w:ascii="Times New Roman" w:hAnsi="Times New Roman" w:eastAsia="宋体" w:cs="Times New Roman"/>
                      <w:b w:val="0"/>
                      <w:bCs/>
                      <w:color w:val="auto"/>
                      <w:sz w:val="21"/>
                      <w:szCs w:val="21"/>
                    </w:rPr>
                    <w:t>/</w:t>
                  </w:r>
                  <w:r>
                    <w:rPr>
                      <w:rFonts w:hint="default" w:ascii="Times New Roman" w:hAnsi="Times New Roman" w:eastAsia="宋体" w:cs="Times New Roman"/>
                      <w:color w:val="auto"/>
                      <w:sz w:val="21"/>
                      <w:szCs w:val="21"/>
                      <w:lang w:val="en-US" w:eastAsia="zh-CN"/>
                    </w:rPr>
                    <w:t>900-0</w:t>
                  </w:r>
                  <w:r>
                    <w:rPr>
                      <w:rFonts w:hint="default" w:ascii="Times New Roman" w:hAnsi="Times New Roman" w:cs="Times New Roman"/>
                      <w:color w:val="auto"/>
                      <w:sz w:val="21"/>
                      <w:szCs w:val="21"/>
                      <w:lang w:val="en-US" w:eastAsia="zh-CN"/>
                    </w:rPr>
                    <w:t>99</w:t>
                  </w:r>
                  <w:r>
                    <w:rPr>
                      <w:rFonts w:hint="default" w:ascii="Times New Roman" w:hAnsi="Times New Roman" w:eastAsia="宋体" w:cs="Times New Roman"/>
                      <w:color w:val="auto"/>
                      <w:sz w:val="21"/>
                      <w:szCs w:val="21"/>
                      <w:lang w:val="en-US" w:eastAsia="zh-CN"/>
                    </w:rPr>
                    <w:t>-S</w:t>
                  </w:r>
                  <w:r>
                    <w:rPr>
                      <w:rFonts w:hint="default" w:ascii="Times New Roman" w:hAnsi="Times New Roman" w:cs="Times New Roman"/>
                      <w:color w:val="auto"/>
                      <w:sz w:val="21"/>
                      <w:szCs w:val="21"/>
                      <w:lang w:val="en-US" w:eastAsia="zh-CN"/>
                    </w:rPr>
                    <w:t>59</w:t>
                  </w:r>
                </w:p>
              </w:tc>
              <w:tc>
                <w:tcPr>
                  <w:tcW w:w="518" w:type="dxa"/>
                  <w:shd w:val="clear" w:color="auto" w:fill="auto"/>
                  <w:noWrap w:val="0"/>
                  <w:vAlign w:val="center"/>
                </w:tcPr>
                <w:p w14:paraId="4BF6A226">
                  <w:pPr>
                    <w:pStyle w:val="78"/>
                    <w:keepNext w:val="0"/>
                    <w:keepLines w:val="0"/>
                    <w:pageBreakBefore w:val="0"/>
                    <w:kinsoku/>
                    <w:wordWrap/>
                    <w:overflowPunct/>
                    <w:topLinePunct w:val="0"/>
                    <w:bidi w:val="0"/>
                    <w:snapToGrid/>
                    <w:spacing w:line="240" w:lineRule="auto"/>
                    <w:ind w:left="-42" w:leftChars="-20" w:right="-42" w:rightChars="-2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固态</w:t>
                  </w:r>
                </w:p>
              </w:tc>
              <w:tc>
                <w:tcPr>
                  <w:tcW w:w="962" w:type="dxa"/>
                  <w:shd w:val="clear" w:color="auto" w:fill="auto"/>
                  <w:noWrap w:val="0"/>
                  <w:vAlign w:val="center"/>
                </w:tcPr>
                <w:p w14:paraId="1BD35E56">
                  <w:pPr>
                    <w:spacing w:line="360" w:lineRule="exact"/>
                    <w:jc w:val="center"/>
                    <w:rPr>
                      <w:rFonts w:hint="default" w:ascii="Times New Roman" w:hAnsi="Times New Roman" w:cs="Times New Roman"/>
                      <w:caps w:val="0"/>
                      <w:color w:val="auto"/>
                      <w:kern w:val="2"/>
                      <w:sz w:val="21"/>
                      <w:szCs w:val="21"/>
                      <w:lang w:val="en-US" w:eastAsia="zh-CN" w:bidi="ar-SA"/>
                    </w:rPr>
                  </w:pPr>
                  <w:r>
                    <w:rPr>
                      <w:rFonts w:hint="eastAsia" w:ascii="Times New Roman" w:hAnsi="Times New Roman" w:cs="Times New Roman"/>
                      <w:caps w:val="0"/>
                      <w:color w:val="auto"/>
                      <w:kern w:val="2"/>
                      <w:sz w:val="21"/>
                      <w:szCs w:val="21"/>
                      <w:lang w:val="en-US" w:eastAsia="zh-CN" w:bidi="ar-SA"/>
                    </w:rPr>
                    <w:t>0.01</w:t>
                  </w:r>
                </w:p>
              </w:tc>
              <w:tc>
                <w:tcPr>
                  <w:tcW w:w="790" w:type="dxa"/>
                  <w:shd w:val="clear" w:color="auto" w:fill="auto"/>
                  <w:noWrap w:val="0"/>
                  <w:vAlign w:val="center"/>
                </w:tcPr>
                <w:p w14:paraId="0893928C">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cs="Times New Roman"/>
                      <w:caps w:val="0"/>
                      <w:color w:val="auto"/>
                      <w:sz w:val="21"/>
                      <w:szCs w:val="21"/>
                      <w:lang w:val="en-US" w:eastAsia="zh-CN"/>
                    </w:rPr>
                    <w:t>金属</w:t>
                  </w:r>
                </w:p>
              </w:tc>
              <w:tc>
                <w:tcPr>
                  <w:tcW w:w="623" w:type="dxa"/>
                  <w:shd w:val="clear" w:color="auto" w:fill="auto"/>
                  <w:noWrap w:val="0"/>
                  <w:vAlign w:val="center"/>
                </w:tcPr>
                <w:p w14:paraId="341D0F6B">
                  <w:pPr>
                    <w:spacing w:line="360" w:lineRule="exact"/>
                    <w:jc w:val="center"/>
                    <w:rPr>
                      <w:rFonts w:hint="default" w:ascii="Times New Roman" w:hAnsi="Times New Roman" w:eastAsia="宋体" w:cs="Times New Roman"/>
                      <w:caps w:val="0"/>
                      <w:color w:val="auto"/>
                      <w:sz w:val="21"/>
                      <w:szCs w:val="21"/>
                      <w:lang w:val="en-US" w:eastAsia="zh-CN"/>
                    </w:rPr>
                  </w:pPr>
                  <w:r>
                    <w:rPr>
                      <w:rFonts w:hint="default" w:ascii="Times New Roman" w:hAnsi="Times New Roman" w:eastAsia="宋体" w:cs="Times New Roman"/>
                      <w:caps w:val="0"/>
                      <w:color w:val="auto"/>
                      <w:sz w:val="21"/>
                      <w:szCs w:val="21"/>
                      <w:lang w:val="en-US" w:eastAsia="zh-CN"/>
                    </w:rPr>
                    <w:t>/</w:t>
                  </w:r>
                </w:p>
              </w:tc>
              <w:tc>
                <w:tcPr>
                  <w:tcW w:w="389" w:type="dxa"/>
                  <w:shd w:val="clear" w:color="auto" w:fill="auto"/>
                  <w:noWrap w:val="0"/>
                  <w:vAlign w:val="center"/>
                </w:tcPr>
                <w:p w14:paraId="28159671">
                  <w:pPr>
                    <w:spacing w:line="360" w:lineRule="exact"/>
                    <w:jc w:val="center"/>
                    <w:rPr>
                      <w:rFonts w:hint="default" w:ascii="Times New Roman" w:hAnsi="Times New Roman" w:eastAsia="宋体" w:cs="Times New Roman"/>
                      <w:caps w:val="0"/>
                      <w:color w:val="auto"/>
                      <w:sz w:val="21"/>
                      <w:szCs w:val="21"/>
                      <w:lang w:eastAsia="zh-CN"/>
                    </w:rPr>
                  </w:pPr>
                  <w:r>
                    <w:rPr>
                      <w:rFonts w:hint="default" w:ascii="Times New Roman" w:hAnsi="Times New Roman" w:eastAsia="宋体" w:cs="Times New Roman"/>
                      <w:caps w:val="0"/>
                      <w:color w:val="auto"/>
                      <w:sz w:val="21"/>
                      <w:szCs w:val="21"/>
                      <w:lang w:eastAsia="zh-CN"/>
                    </w:rPr>
                    <w:t>袋袋</w:t>
                  </w:r>
                </w:p>
              </w:tc>
              <w:tc>
                <w:tcPr>
                  <w:tcW w:w="773" w:type="dxa"/>
                  <w:vMerge w:val="continue"/>
                  <w:noWrap w:val="0"/>
                  <w:vAlign w:val="center"/>
                </w:tcPr>
                <w:p w14:paraId="6AF1DB87">
                  <w:pPr>
                    <w:spacing w:line="360" w:lineRule="exact"/>
                    <w:jc w:val="center"/>
                    <w:rPr>
                      <w:rFonts w:hint="default" w:ascii="Times New Roman" w:hAnsi="Times New Roman" w:eastAsia="宋体" w:cs="Times New Roman"/>
                      <w:caps w:val="0"/>
                      <w:color w:val="auto"/>
                      <w:sz w:val="21"/>
                      <w:szCs w:val="21"/>
                    </w:rPr>
                  </w:pPr>
                </w:p>
              </w:tc>
            </w:tr>
            <w:tr w14:paraId="7C215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88" w:type="dxa"/>
                  <w:noWrap w:val="0"/>
                  <w:vAlign w:val="center"/>
                </w:tcPr>
                <w:p w14:paraId="2C517563">
                  <w:pPr>
                    <w:spacing w:line="360" w:lineRule="exact"/>
                    <w:jc w:val="center"/>
                    <w:rPr>
                      <w:rFonts w:hint="default" w:ascii="Times New Roman" w:hAnsi="Times New Roman" w:cs="Times New Roman"/>
                      <w:caps w:val="0"/>
                      <w:color w:val="auto"/>
                      <w:sz w:val="21"/>
                      <w:szCs w:val="21"/>
                      <w:lang w:val="en-US" w:eastAsia="zh-CN"/>
                    </w:rPr>
                  </w:pPr>
                  <w:r>
                    <w:rPr>
                      <w:rFonts w:hint="eastAsia" w:ascii="Times New Roman" w:hAnsi="Times New Roman" w:cs="Times New Roman"/>
                      <w:caps w:val="0"/>
                      <w:color w:val="auto"/>
                      <w:sz w:val="21"/>
                      <w:szCs w:val="21"/>
                      <w:lang w:val="en-US" w:eastAsia="zh-CN"/>
                    </w:rPr>
                    <w:t>7</w:t>
                  </w:r>
                </w:p>
              </w:tc>
              <w:tc>
                <w:tcPr>
                  <w:tcW w:w="900" w:type="dxa"/>
                  <w:shd w:val="clear" w:color="auto" w:fill="auto"/>
                  <w:noWrap w:val="0"/>
                  <w:vAlign w:val="center"/>
                </w:tcPr>
                <w:p w14:paraId="62CA1537">
                  <w:pPr>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沉淀池沉渣</w:t>
                  </w:r>
                </w:p>
              </w:tc>
              <w:tc>
                <w:tcPr>
                  <w:tcW w:w="709" w:type="dxa"/>
                  <w:shd w:val="clear" w:color="auto" w:fill="auto"/>
                  <w:noWrap w:val="0"/>
                  <w:vAlign w:val="center"/>
                </w:tcPr>
                <w:p w14:paraId="38922216">
                  <w:pPr>
                    <w:pStyle w:val="219"/>
                    <w:spacing w:line="320" w:lineRule="exact"/>
                    <w:ind w:left="-105" w:leftChars="-50" w:right="-105" w:rightChars="-50"/>
                    <w:jc w:val="center"/>
                    <w:rPr>
                      <w:rFonts w:hint="default" w:ascii="Times New Roman" w:hAnsi="Times New Roman" w:eastAsia="宋体" w:cs="Times New Roman"/>
                      <w:caps w:val="0"/>
                      <w:color w:val="auto"/>
                      <w:sz w:val="21"/>
                      <w:szCs w:val="21"/>
                      <w:lang w:val="en-US" w:eastAsia="zh-CN"/>
                    </w:rPr>
                  </w:pPr>
                  <w:r>
                    <w:rPr>
                      <w:rFonts w:hint="default" w:ascii="Times New Roman" w:hAnsi="Times New Roman" w:eastAsia="宋体" w:cs="Times New Roman"/>
                      <w:caps w:val="0"/>
                      <w:color w:val="auto"/>
                      <w:sz w:val="21"/>
                      <w:szCs w:val="21"/>
                      <w:lang w:val="en-US" w:eastAsia="zh-CN"/>
                    </w:rPr>
                    <w:t>湿式磨</w:t>
                  </w:r>
                </w:p>
                <w:p w14:paraId="60F7A831">
                  <w:pPr>
                    <w:pStyle w:val="219"/>
                    <w:spacing w:line="320" w:lineRule="exact"/>
                    <w:ind w:left="-105" w:leftChars="-50" w:right="-105" w:rightChars="-50"/>
                    <w:jc w:val="center"/>
                    <w:rPr>
                      <w:rFonts w:hint="eastAsia" w:ascii="Times New Roman" w:hAnsi="Times New Roman" w:eastAsia="宋体" w:cs="Times New Roman"/>
                      <w:caps w:val="0"/>
                      <w:color w:val="auto"/>
                      <w:sz w:val="21"/>
                      <w:szCs w:val="21"/>
                      <w:lang w:val="en-US" w:eastAsia="zh-CN"/>
                    </w:rPr>
                  </w:pPr>
                  <w:r>
                    <w:rPr>
                      <w:rFonts w:hint="default" w:ascii="Times New Roman" w:hAnsi="Times New Roman" w:eastAsia="宋体" w:cs="Times New Roman"/>
                      <w:caps w:val="0"/>
                      <w:color w:val="auto"/>
                      <w:sz w:val="21"/>
                      <w:szCs w:val="21"/>
                      <w:lang w:val="en-US" w:eastAsia="zh-CN"/>
                    </w:rPr>
                    <w:t>削工序</w:t>
                  </w:r>
                </w:p>
              </w:tc>
              <w:tc>
                <w:tcPr>
                  <w:tcW w:w="645" w:type="dxa"/>
                  <w:vMerge w:val="continue"/>
                  <w:shd w:val="clear" w:color="auto" w:fill="auto"/>
                  <w:noWrap w:val="0"/>
                  <w:vAlign w:val="center"/>
                </w:tcPr>
                <w:p w14:paraId="743A20E8">
                  <w:pPr>
                    <w:spacing w:line="360" w:lineRule="exact"/>
                    <w:jc w:val="center"/>
                    <w:rPr>
                      <w:rFonts w:hint="default" w:ascii="Times New Roman" w:hAnsi="Times New Roman" w:eastAsia="宋体" w:cs="Times New Roman"/>
                      <w:caps w:val="0"/>
                      <w:color w:val="auto"/>
                      <w:kern w:val="2"/>
                      <w:sz w:val="21"/>
                      <w:szCs w:val="21"/>
                      <w:lang w:val="en-US" w:eastAsia="zh-CN" w:bidi="ar-SA"/>
                    </w:rPr>
                  </w:pPr>
                </w:p>
              </w:tc>
              <w:tc>
                <w:tcPr>
                  <w:tcW w:w="1710" w:type="dxa"/>
                  <w:shd w:val="clear" w:color="auto" w:fill="auto"/>
                  <w:noWrap w:val="0"/>
                  <w:vAlign w:val="center"/>
                </w:tcPr>
                <w:p w14:paraId="7D2F38D9">
                  <w:pPr>
                    <w:pStyle w:val="78"/>
                    <w:keepNext w:val="0"/>
                    <w:keepLines w:val="0"/>
                    <w:pageBreakBefore w:val="0"/>
                    <w:kinsoku/>
                    <w:wordWrap/>
                    <w:overflowPunct/>
                    <w:topLinePunct w:val="0"/>
                    <w:bidi w:val="0"/>
                    <w:snapToGrid/>
                    <w:spacing w:line="240" w:lineRule="auto"/>
                    <w:ind w:left="-42" w:leftChars="-20" w:right="-42" w:rightChars="-20" w:firstLine="0" w:firstLineChars="0"/>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SW</w:t>
                  </w:r>
                  <w:r>
                    <w:rPr>
                      <w:rFonts w:hint="default" w:ascii="Times New Roman" w:hAnsi="Times New Roman" w:cs="Times New Roman"/>
                      <w:color w:val="auto"/>
                      <w:sz w:val="21"/>
                      <w:szCs w:val="21"/>
                      <w:lang w:val="en-US" w:eastAsia="zh-CN"/>
                    </w:rPr>
                    <w:t>59</w:t>
                  </w:r>
                  <w:r>
                    <w:rPr>
                      <w:rFonts w:hint="default" w:ascii="Times New Roman" w:hAnsi="Times New Roman" w:eastAsia="宋体" w:cs="Times New Roman"/>
                      <w:b w:val="0"/>
                      <w:bCs/>
                      <w:color w:val="auto"/>
                      <w:sz w:val="21"/>
                      <w:szCs w:val="21"/>
                    </w:rPr>
                    <w:t>/</w:t>
                  </w:r>
                  <w:r>
                    <w:rPr>
                      <w:rFonts w:hint="default" w:ascii="Times New Roman" w:hAnsi="Times New Roman" w:eastAsia="宋体" w:cs="Times New Roman"/>
                      <w:color w:val="auto"/>
                      <w:sz w:val="21"/>
                      <w:szCs w:val="21"/>
                      <w:lang w:val="en-US" w:eastAsia="zh-CN"/>
                    </w:rPr>
                    <w:t>900-0</w:t>
                  </w:r>
                  <w:r>
                    <w:rPr>
                      <w:rFonts w:hint="default" w:ascii="Times New Roman" w:hAnsi="Times New Roman" w:cs="Times New Roman"/>
                      <w:color w:val="auto"/>
                      <w:sz w:val="21"/>
                      <w:szCs w:val="21"/>
                      <w:lang w:val="en-US" w:eastAsia="zh-CN"/>
                    </w:rPr>
                    <w:t>99</w:t>
                  </w:r>
                  <w:r>
                    <w:rPr>
                      <w:rFonts w:hint="default" w:ascii="Times New Roman" w:hAnsi="Times New Roman" w:eastAsia="宋体" w:cs="Times New Roman"/>
                      <w:color w:val="auto"/>
                      <w:sz w:val="21"/>
                      <w:szCs w:val="21"/>
                      <w:lang w:val="en-US" w:eastAsia="zh-CN"/>
                    </w:rPr>
                    <w:t>-S</w:t>
                  </w:r>
                  <w:r>
                    <w:rPr>
                      <w:rFonts w:hint="default" w:ascii="Times New Roman" w:hAnsi="Times New Roman" w:cs="Times New Roman"/>
                      <w:color w:val="auto"/>
                      <w:sz w:val="21"/>
                      <w:szCs w:val="21"/>
                      <w:lang w:val="en-US" w:eastAsia="zh-CN"/>
                    </w:rPr>
                    <w:t>59</w:t>
                  </w:r>
                </w:p>
              </w:tc>
              <w:tc>
                <w:tcPr>
                  <w:tcW w:w="518" w:type="dxa"/>
                  <w:shd w:val="clear" w:color="auto" w:fill="auto"/>
                  <w:noWrap w:val="0"/>
                  <w:vAlign w:val="center"/>
                </w:tcPr>
                <w:p w14:paraId="09594B73">
                  <w:pPr>
                    <w:pStyle w:val="219"/>
                    <w:spacing w:line="320" w:lineRule="exact"/>
                    <w:ind w:left="-105" w:leftChars="-50" w:right="-105" w:rightChars="-5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aps w:val="0"/>
                      <w:color w:val="auto"/>
                      <w:kern w:val="0"/>
                      <w:sz w:val="21"/>
                      <w:szCs w:val="21"/>
                      <w:lang w:val="en-US" w:eastAsia="zh-CN" w:bidi="ar-SA"/>
                    </w:rPr>
                    <w:t>半固态</w:t>
                  </w:r>
                </w:p>
              </w:tc>
              <w:tc>
                <w:tcPr>
                  <w:tcW w:w="962" w:type="dxa"/>
                  <w:shd w:val="clear" w:color="auto" w:fill="auto"/>
                  <w:noWrap w:val="0"/>
                  <w:vAlign w:val="center"/>
                </w:tcPr>
                <w:p w14:paraId="5A2D10C1">
                  <w:pPr>
                    <w:spacing w:line="360" w:lineRule="exact"/>
                    <w:jc w:val="center"/>
                    <w:rPr>
                      <w:rFonts w:hint="default" w:ascii="Times New Roman" w:hAnsi="Times New Roman" w:cs="Times New Roman"/>
                      <w:caps w:val="0"/>
                      <w:color w:val="auto"/>
                      <w:kern w:val="2"/>
                      <w:sz w:val="21"/>
                      <w:szCs w:val="21"/>
                      <w:lang w:val="en-US" w:eastAsia="zh-CN" w:bidi="ar-SA"/>
                    </w:rPr>
                  </w:pPr>
                  <w:r>
                    <w:rPr>
                      <w:rFonts w:hint="eastAsia" w:ascii="Times New Roman" w:hAnsi="Times New Roman" w:cs="Times New Roman"/>
                      <w:caps w:val="0"/>
                      <w:color w:val="auto"/>
                      <w:kern w:val="2"/>
                      <w:sz w:val="21"/>
                      <w:szCs w:val="21"/>
                      <w:lang w:val="en-US" w:eastAsia="zh-CN" w:bidi="ar-SA"/>
                    </w:rPr>
                    <w:t>0.1</w:t>
                  </w:r>
                </w:p>
              </w:tc>
              <w:tc>
                <w:tcPr>
                  <w:tcW w:w="790" w:type="dxa"/>
                  <w:shd w:val="clear" w:color="auto" w:fill="auto"/>
                  <w:noWrap w:val="0"/>
                  <w:vAlign w:val="center"/>
                </w:tcPr>
                <w:p w14:paraId="0C8A6B61">
                  <w:pPr>
                    <w:spacing w:line="360" w:lineRule="exact"/>
                    <w:jc w:val="center"/>
                    <w:rPr>
                      <w:rFonts w:hint="default" w:ascii="Times New Roman" w:hAnsi="Times New Roman" w:cs="Times New Roman"/>
                      <w:caps w:val="0"/>
                      <w:color w:val="auto"/>
                      <w:sz w:val="21"/>
                      <w:szCs w:val="21"/>
                      <w:lang w:val="en-US" w:eastAsia="zh-CN"/>
                    </w:rPr>
                  </w:pPr>
                  <w:r>
                    <w:rPr>
                      <w:rFonts w:hint="default" w:ascii="Times New Roman" w:hAnsi="Times New Roman" w:eastAsia="宋体" w:cs="Times New Roman"/>
                      <w:caps w:val="0"/>
                      <w:color w:val="auto"/>
                      <w:kern w:val="2"/>
                      <w:sz w:val="21"/>
                      <w:szCs w:val="21"/>
                      <w:lang w:val="en-US" w:eastAsia="zh-CN" w:bidi="ar-SA"/>
                    </w:rPr>
                    <w:t>金属、粉尘</w:t>
                  </w:r>
                </w:p>
              </w:tc>
              <w:tc>
                <w:tcPr>
                  <w:tcW w:w="623" w:type="dxa"/>
                  <w:shd w:val="clear" w:color="auto" w:fill="auto"/>
                  <w:noWrap w:val="0"/>
                  <w:vAlign w:val="center"/>
                </w:tcPr>
                <w:p w14:paraId="62BE4018">
                  <w:pPr>
                    <w:spacing w:line="360" w:lineRule="exact"/>
                    <w:jc w:val="center"/>
                    <w:rPr>
                      <w:rFonts w:hint="default" w:ascii="Times New Roman" w:hAnsi="Times New Roman" w:eastAsia="宋体" w:cs="Times New Roman"/>
                      <w:caps w:val="0"/>
                      <w:color w:val="auto"/>
                      <w:sz w:val="21"/>
                      <w:szCs w:val="21"/>
                      <w:lang w:val="en-US" w:eastAsia="zh-CN"/>
                    </w:rPr>
                  </w:pPr>
                  <w:r>
                    <w:rPr>
                      <w:rFonts w:hint="default" w:ascii="Times New Roman" w:hAnsi="Times New Roman" w:eastAsia="宋体" w:cs="Times New Roman"/>
                      <w:caps w:val="0"/>
                      <w:color w:val="auto"/>
                      <w:sz w:val="21"/>
                      <w:szCs w:val="21"/>
                      <w:lang w:val="en-US" w:eastAsia="zh-CN"/>
                    </w:rPr>
                    <w:t>/</w:t>
                  </w:r>
                </w:p>
              </w:tc>
              <w:tc>
                <w:tcPr>
                  <w:tcW w:w="389" w:type="dxa"/>
                  <w:shd w:val="clear" w:color="auto" w:fill="auto"/>
                  <w:noWrap w:val="0"/>
                  <w:vAlign w:val="center"/>
                </w:tcPr>
                <w:p w14:paraId="7B940141">
                  <w:pPr>
                    <w:spacing w:line="360" w:lineRule="exact"/>
                    <w:jc w:val="center"/>
                    <w:rPr>
                      <w:rFonts w:hint="default" w:ascii="Times New Roman" w:hAnsi="Times New Roman" w:eastAsia="宋体" w:cs="Times New Roman"/>
                      <w:caps w:val="0"/>
                      <w:color w:val="auto"/>
                      <w:sz w:val="21"/>
                      <w:szCs w:val="21"/>
                      <w:lang w:eastAsia="zh-CN"/>
                    </w:rPr>
                  </w:pPr>
                  <w:r>
                    <w:rPr>
                      <w:rFonts w:hint="default" w:ascii="Times New Roman" w:hAnsi="Times New Roman" w:eastAsia="宋体" w:cs="Times New Roman"/>
                      <w:caps w:val="0"/>
                      <w:color w:val="auto"/>
                      <w:sz w:val="21"/>
                      <w:szCs w:val="21"/>
                      <w:lang w:eastAsia="zh-CN"/>
                    </w:rPr>
                    <w:t>袋袋</w:t>
                  </w:r>
                </w:p>
              </w:tc>
              <w:tc>
                <w:tcPr>
                  <w:tcW w:w="773" w:type="dxa"/>
                  <w:vMerge w:val="continue"/>
                  <w:noWrap w:val="0"/>
                  <w:vAlign w:val="center"/>
                </w:tcPr>
                <w:p w14:paraId="1E3A91FA">
                  <w:pPr>
                    <w:spacing w:line="360" w:lineRule="exact"/>
                    <w:jc w:val="center"/>
                    <w:rPr>
                      <w:rFonts w:hint="default" w:ascii="Times New Roman" w:hAnsi="Times New Roman" w:eastAsia="宋体" w:cs="Times New Roman"/>
                      <w:caps w:val="0"/>
                      <w:color w:val="auto"/>
                      <w:sz w:val="21"/>
                      <w:szCs w:val="21"/>
                    </w:rPr>
                  </w:pPr>
                </w:p>
              </w:tc>
            </w:tr>
            <w:tr w14:paraId="5DF33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88" w:type="dxa"/>
                  <w:noWrap w:val="0"/>
                  <w:vAlign w:val="center"/>
                </w:tcPr>
                <w:p w14:paraId="6208CC5B">
                  <w:pPr>
                    <w:spacing w:line="360" w:lineRule="exact"/>
                    <w:jc w:val="center"/>
                    <w:rPr>
                      <w:rFonts w:hint="default" w:ascii="Times New Roman" w:hAnsi="Times New Roman" w:cs="Times New Roman"/>
                      <w:caps w:val="0"/>
                      <w:color w:val="auto"/>
                      <w:sz w:val="21"/>
                      <w:szCs w:val="21"/>
                      <w:lang w:val="en-US" w:eastAsia="zh-CN"/>
                    </w:rPr>
                  </w:pPr>
                  <w:r>
                    <w:rPr>
                      <w:rFonts w:hint="eastAsia" w:ascii="Times New Roman" w:hAnsi="Times New Roman" w:cs="Times New Roman"/>
                      <w:caps w:val="0"/>
                      <w:color w:val="auto"/>
                      <w:sz w:val="21"/>
                      <w:szCs w:val="21"/>
                      <w:lang w:val="en-US" w:eastAsia="zh-CN"/>
                    </w:rPr>
                    <w:t>8</w:t>
                  </w:r>
                </w:p>
              </w:tc>
              <w:tc>
                <w:tcPr>
                  <w:tcW w:w="900" w:type="dxa"/>
                  <w:shd w:val="clear" w:color="auto" w:fill="auto"/>
                  <w:noWrap w:val="0"/>
                  <w:vAlign w:val="center"/>
                </w:tcPr>
                <w:p w14:paraId="288F2DCF">
                  <w:pPr>
                    <w:jc w:val="center"/>
                    <w:rPr>
                      <w:rFonts w:hint="eastAsia" w:ascii="Times New Roman" w:hAnsi="Times New Roman" w:cs="Times New Roman"/>
                      <w:color w:val="auto"/>
                      <w:lang w:eastAsia="zh-CN"/>
                    </w:rPr>
                  </w:pPr>
                  <w:r>
                    <w:rPr>
                      <w:rFonts w:hint="eastAsia" w:ascii="Times New Roman" w:hAnsi="Times New Roman" w:cs="Times New Roman"/>
                      <w:color w:val="auto"/>
                      <w:lang w:val="en-US" w:eastAsia="zh-CN"/>
                    </w:rPr>
                    <w:t>淬火槽槽渣</w:t>
                  </w:r>
                </w:p>
              </w:tc>
              <w:tc>
                <w:tcPr>
                  <w:tcW w:w="709" w:type="dxa"/>
                  <w:shd w:val="clear" w:color="auto" w:fill="auto"/>
                  <w:noWrap w:val="0"/>
                  <w:vAlign w:val="center"/>
                </w:tcPr>
                <w:p w14:paraId="74C3AA21">
                  <w:pPr>
                    <w:pStyle w:val="219"/>
                    <w:spacing w:line="320" w:lineRule="exact"/>
                    <w:ind w:left="-105" w:leftChars="-50" w:right="-105" w:rightChars="-50"/>
                    <w:jc w:val="center"/>
                    <w:rPr>
                      <w:rFonts w:hint="eastAsia"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淬火</w:t>
                  </w:r>
                </w:p>
                <w:p w14:paraId="486D8B3E">
                  <w:pPr>
                    <w:pStyle w:val="219"/>
                    <w:spacing w:line="320" w:lineRule="exact"/>
                    <w:ind w:left="-105" w:leftChars="-50" w:right="-105" w:rightChars="-50"/>
                    <w:jc w:val="center"/>
                    <w:rPr>
                      <w:rFonts w:hint="default"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工序</w:t>
                  </w:r>
                </w:p>
              </w:tc>
              <w:tc>
                <w:tcPr>
                  <w:tcW w:w="645" w:type="dxa"/>
                  <w:vMerge w:val="continue"/>
                  <w:shd w:val="clear" w:color="auto" w:fill="auto"/>
                  <w:noWrap w:val="0"/>
                  <w:vAlign w:val="center"/>
                </w:tcPr>
                <w:p w14:paraId="2136E782">
                  <w:pPr>
                    <w:spacing w:line="360" w:lineRule="exact"/>
                    <w:jc w:val="center"/>
                    <w:rPr>
                      <w:rFonts w:hint="default" w:ascii="Times New Roman" w:hAnsi="Times New Roman" w:eastAsia="宋体" w:cs="Times New Roman"/>
                      <w:caps w:val="0"/>
                      <w:color w:val="auto"/>
                      <w:kern w:val="2"/>
                      <w:sz w:val="21"/>
                      <w:szCs w:val="21"/>
                      <w:lang w:val="en-US" w:eastAsia="zh-CN" w:bidi="ar-SA"/>
                    </w:rPr>
                  </w:pPr>
                </w:p>
              </w:tc>
              <w:tc>
                <w:tcPr>
                  <w:tcW w:w="1710" w:type="dxa"/>
                  <w:shd w:val="clear" w:color="auto" w:fill="auto"/>
                  <w:noWrap w:val="0"/>
                  <w:vAlign w:val="center"/>
                </w:tcPr>
                <w:p w14:paraId="08EC7589">
                  <w:pPr>
                    <w:pStyle w:val="78"/>
                    <w:keepNext w:val="0"/>
                    <w:keepLines w:val="0"/>
                    <w:pageBreakBefore w:val="0"/>
                    <w:kinsoku/>
                    <w:wordWrap/>
                    <w:overflowPunct/>
                    <w:topLinePunct w:val="0"/>
                    <w:bidi w:val="0"/>
                    <w:snapToGrid/>
                    <w:spacing w:line="240" w:lineRule="auto"/>
                    <w:ind w:left="-42" w:leftChars="-20" w:right="-42" w:rightChars="-20" w:firstLine="0" w:firstLineChars="0"/>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SW</w:t>
                  </w:r>
                  <w:r>
                    <w:rPr>
                      <w:rFonts w:hint="default" w:ascii="Times New Roman" w:hAnsi="Times New Roman" w:cs="Times New Roman"/>
                      <w:color w:val="auto"/>
                      <w:sz w:val="21"/>
                      <w:szCs w:val="21"/>
                      <w:lang w:val="en-US" w:eastAsia="zh-CN"/>
                    </w:rPr>
                    <w:t>59</w:t>
                  </w:r>
                  <w:r>
                    <w:rPr>
                      <w:rFonts w:hint="default" w:ascii="Times New Roman" w:hAnsi="Times New Roman" w:eastAsia="宋体" w:cs="Times New Roman"/>
                      <w:b w:val="0"/>
                      <w:bCs/>
                      <w:color w:val="auto"/>
                      <w:sz w:val="21"/>
                      <w:szCs w:val="21"/>
                    </w:rPr>
                    <w:t>/</w:t>
                  </w:r>
                  <w:r>
                    <w:rPr>
                      <w:rFonts w:hint="default" w:ascii="Times New Roman" w:hAnsi="Times New Roman" w:eastAsia="宋体" w:cs="Times New Roman"/>
                      <w:color w:val="auto"/>
                      <w:sz w:val="21"/>
                      <w:szCs w:val="21"/>
                      <w:lang w:val="en-US" w:eastAsia="zh-CN"/>
                    </w:rPr>
                    <w:t>900-0</w:t>
                  </w:r>
                  <w:r>
                    <w:rPr>
                      <w:rFonts w:hint="default" w:ascii="Times New Roman" w:hAnsi="Times New Roman" w:cs="Times New Roman"/>
                      <w:color w:val="auto"/>
                      <w:sz w:val="21"/>
                      <w:szCs w:val="21"/>
                      <w:lang w:val="en-US" w:eastAsia="zh-CN"/>
                    </w:rPr>
                    <w:t>99</w:t>
                  </w:r>
                  <w:r>
                    <w:rPr>
                      <w:rFonts w:hint="default" w:ascii="Times New Roman" w:hAnsi="Times New Roman" w:eastAsia="宋体" w:cs="Times New Roman"/>
                      <w:color w:val="auto"/>
                      <w:sz w:val="21"/>
                      <w:szCs w:val="21"/>
                      <w:lang w:val="en-US" w:eastAsia="zh-CN"/>
                    </w:rPr>
                    <w:t>-S</w:t>
                  </w:r>
                  <w:r>
                    <w:rPr>
                      <w:rFonts w:hint="default" w:ascii="Times New Roman" w:hAnsi="Times New Roman" w:cs="Times New Roman"/>
                      <w:color w:val="auto"/>
                      <w:sz w:val="21"/>
                      <w:szCs w:val="21"/>
                      <w:lang w:val="en-US" w:eastAsia="zh-CN"/>
                    </w:rPr>
                    <w:t>59</w:t>
                  </w:r>
                </w:p>
              </w:tc>
              <w:tc>
                <w:tcPr>
                  <w:tcW w:w="518" w:type="dxa"/>
                  <w:shd w:val="clear" w:color="auto" w:fill="auto"/>
                  <w:noWrap w:val="0"/>
                  <w:vAlign w:val="center"/>
                </w:tcPr>
                <w:p w14:paraId="56827E6B">
                  <w:pPr>
                    <w:pStyle w:val="219"/>
                    <w:spacing w:line="320" w:lineRule="exact"/>
                    <w:ind w:left="-105" w:leftChars="-50" w:right="-105" w:rightChars="-5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aps w:val="0"/>
                      <w:color w:val="auto"/>
                      <w:kern w:val="0"/>
                      <w:sz w:val="21"/>
                      <w:szCs w:val="21"/>
                      <w:lang w:val="en-US" w:eastAsia="zh-CN" w:bidi="ar-SA"/>
                    </w:rPr>
                    <w:t>半固态</w:t>
                  </w:r>
                </w:p>
              </w:tc>
              <w:tc>
                <w:tcPr>
                  <w:tcW w:w="962" w:type="dxa"/>
                  <w:shd w:val="clear" w:color="auto" w:fill="auto"/>
                  <w:noWrap w:val="0"/>
                  <w:vAlign w:val="center"/>
                </w:tcPr>
                <w:p w14:paraId="109D5980">
                  <w:pPr>
                    <w:spacing w:line="360" w:lineRule="exact"/>
                    <w:jc w:val="center"/>
                    <w:rPr>
                      <w:rFonts w:hint="default" w:ascii="Times New Roman" w:hAnsi="Times New Roman" w:cs="Times New Roman"/>
                      <w:caps w:val="0"/>
                      <w:color w:val="auto"/>
                      <w:kern w:val="2"/>
                      <w:sz w:val="21"/>
                      <w:szCs w:val="21"/>
                      <w:lang w:val="en-US" w:eastAsia="zh-CN" w:bidi="ar-SA"/>
                    </w:rPr>
                  </w:pPr>
                  <w:r>
                    <w:rPr>
                      <w:rFonts w:hint="eastAsia" w:ascii="Times New Roman" w:hAnsi="Times New Roman" w:cs="Times New Roman"/>
                      <w:caps w:val="0"/>
                      <w:color w:val="auto"/>
                      <w:kern w:val="2"/>
                      <w:sz w:val="21"/>
                      <w:szCs w:val="21"/>
                      <w:lang w:val="en-US" w:eastAsia="zh-CN" w:bidi="ar-SA"/>
                    </w:rPr>
                    <w:t>0.1</w:t>
                  </w:r>
                </w:p>
              </w:tc>
              <w:tc>
                <w:tcPr>
                  <w:tcW w:w="790" w:type="dxa"/>
                  <w:shd w:val="clear" w:color="auto" w:fill="auto"/>
                  <w:noWrap w:val="0"/>
                  <w:vAlign w:val="center"/>
                </w:tcPr>
                <w:p w14:paraId="705ABC4C">
                  <w:pPr>
                    <w:spacing w:line="360" w:lineRule="exact"/>
                    <w:jc w:val="center"/>
                    <w:rPr>
                      <w:rFonts w:hint="default" w:ascii="Times New Roman" w:hAnsi="Times New Roman" w:cs="Times New Roman"/>
                      <w:caps w:val="0"/>
                      <w:color w:val="auto"/>
                      <w:sz w:val="21"/>
                      <w:szCs w:val="21"/>
                      <w:lang w:val="en-US" w:eastAsia="zh-CN"/>
                    </w:rPr>
                  </w:pPr>
                  <w:r>
                    <w:rPr>
                      <w:rFonts w:hint="default" w:ascii="Times New Roman" w:hAnsi="Times New Roman" w:eastAsia="宋体" w:cs="Times New Roman"/>
                      <w:caps w:val="0"/>
                      <w:color w:val="auto"/>
                      <w:kern w:val="2"/>
                      <w:sz w:val="21"/>
                      <w:szCs w:val="21"/>
                      <w:lang w:val="en-US" w:eastAsia="zh-CN" w:bidi="ar-SA"/>
                    </w:rPr>
                    <w:t>金属</w:t>
                  </w:r>
                </w:p>
              </w:tc>
              <w:tc>
                <w:tcPr>
                  <w:tcW w:w="623" w:type="dxa"/>
                  <w:shd w:val="clear" w:color="auto" w:fill="auto"/>
                  <w:noWrap w:val="0"/>
                  <w:vAlign w:val="center"/>
                </w:tcPr>
                <w:p w14:paraId="726A4F54">
                  <w:pPr>
                    <w:spacing w:line="360" w:lineRule="exact"/>
                    <w:jc w:val="center"/>
                    <w:rPr>
                      <w:rFonts w:hint="default" w:ascii="Times New Roman" w:hAnsi="Times New Roman" w:eastAsia="宋体" w:cs="Times New Roman"/>
                      <w:caps w:val="0"/>
                      <w:color w:val="auto"/>
                      <w:sz w:val="21"/>
                      <w:szCs w:val="21"/>
                      <w:lang w:val="en-US" w:eastAsia="zh-CN"/>
                    </w:rPr>
                  </w:pPr>
                  <w:r>
                    <w:rPr>
                      <w:rFonts w:hint="default" w:ascii="Times New Roman" w:hAnsi="Times New Roman" w:eastAsia="宋体" w:cs="Times New Roman"/>
                      <w:caps w:val="0"/>
                      <w:color w:val="auto"/>
                      <w:sz w:val="21"/>
                      <w:szCs w:val="21"/>
                      <w:lang w:val="en-US" w:eastAsia="zh-CN"/>
                    </w:rPr>
                    <w:t>/</w:t>
                  </w:r>
                </w:p>
              </w:tc>
              <w:tc>
                <w:tcPr>
                  <w:tcW w:w="389" w:type="dxa"/>
                  <w:shd w:val="clear" w:color="auto" w:fill="auto"/>
                  <w:noWrap w:val="0"/>
                  <w:vAlign w:val="center"/>
                </w:tcPr>
                <w:p w14:paraId="12B8FBEB">
                  <w:pPr>
                    <w:spacing w:line="360" w:lineRule="exact"/>
                    <w:jc w:val="center"/>
                    <w:rPr>
                      <w:rFonts w:hint="default" w:ascii="Times New Roman" w:hAnsi="Times New Roman" w:eastAsia="宋体" w:cs="Times New Roman"/>
                      <w:caps w:val="0"/>
                      <w:color w:val="auto"/>
                      <w:sz w:val="21"/>
                      <w:szCs w:val="21"/>
                      <w:lang w:eastAsia="zh-CN"/>
                    </w:rPr>
                  </w:pPr>
                  <w:r>
                    <w:rPr>
                      <w:rFonts w:hint="default" w:ascii="Times New Roman" w:hAnsi="Times New Roman" w:eastAsia="宋体" w:cs="Times New Roman"/>
                      <w:caps w:val="0"/>
                      <w:color w:val="auto"/>
                      <w:sz w:val="21"/>
                      <w:szCs w:val="21"/>
                      <w:lang w:eastAsia="zh-CN"/>
                    </w:rPr>
                    <w:t>袋袋</w:t>
                  </w:r>
                </w:p>
              </w:tc>
              <w:tc>
                <w:tcPr>
                  <w:tcW w:w="773" w:type="dxa"/>
                  <w:vMerge w:val="continue"/>
                  <w:noWrap w:val="0"/>
                  <w:vAlign w:val="center"/>
                </w:tcPr>
                <w:p w14:paraId="042A8A8E">
                  <w:pPr>
                    <w:spacing w:line="360" w:lineRule="exact"/>
                    <w:jc w:val="center"/>
                    <w:rPr>
                      <w:rFonts w:hint="default" w:ascii="Times New Roman" w:hAnsi="Times New Roman" w:eastAsia="宋体" w:cs="Times New Roman"/>
                      <w:caps w:val="0"/>
                      <w:color w:val="auto"/>
                      <w:sz w:val="21"/>
                      <w:szCs w:val="21"/>
                    </w:rPr>
                  </w:pPr>
                </w:p>
              </w:tc>
            </w:tr>
            <w:tr w14:paraId="51A0D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88" w:type="dxa"/>
                  <w:shd w:val="clear" w:color="auto" w:fill="auto"/>
                  <w:noWrap w:val="0"/>
                  <w:vAlign w:val="center"/>
                </w:tcPr>
                <w:p w14:paraId="7C83552A">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eastAsia" w:ascii="Times New Roman" w:hAnsi="Times New Roman" w:cs="Times New Roman"/>
                      <w:caps w:val="0"/>
                      <w:color w:val="auto"/>
                      <w:sz w:val="21"/>
                      <w:szCs w:val="21"/>
                      <w:lang w:val="en-US" w:eastAsia="zh-CN"/>
                    </w:rPr>
                    <w:t>9</w:t>
                  </w:r>
                </w:p>
              </w:tc>
              <w:tc>
                <w:tcPr>
                  <w:tcW w:w="900" w:type="dxa"/>
                  <w:shd w:val="clear" w:color="auto" w:fill="auto"/>
                  <w:noWrap w:val="0"/>
                  <w:vAlign w:val="center"/>
                </w:tcPr>
                <w:p w14:paraId="2EB5CA8C">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eastAsia" w:ascii="Times New Roman" w:hAnsi="Times New Roman" w:cs="Times New Roman"/>
                      <w:color w:val="auto"/>
                      <w:sz w:val="21"/>
                      <w:szCs w:val="21"/>
                      <w:lang w:eastAsia="zh-CN"/>
                    </w:rPr>
                    <w:t>废化学品包装桶</w:t>
                  </w:r>
                </w:p>
              </w:tc>
              <w:tc>
                <w:tcPr>
                  <w:tcW w:w="709" w:type="dxa"/>
                  <w:shd w:val="clear" w:color="auto" w:fill="auto"/>
                  <w:noWrap w:val="0"/>
                  <w:vAlign w:val="center"/>
                </w:tcPr>
                <w:p w14:paraId="0A86409F">
                  <w:pPr>
                    <w:pStyle w:val="219"/>
                    <w:spacing w:line="320" w:lineRule="exact"/>
                    <w:ind w:left="-105" w:leftChars="-50" w:right="-105" w:rightChars="-50"/>
                    <w:jc w:val="center"/>
                    <w:rPr>
                      <w:rFonts w:hint="default" w:ascii="Times New Roman" w:hAnsi="Times New Roman" w:cs="Times New Roman"/>
                      <w:caps w:val="0"/>
                      <w:color w:val="auto"/>
                      <w:sz w:val="21"/>
                      <w:szCs w:val="21"/>
                      <w:lang w:val="en-US" w:eastAsia="zh-CN"/>
                    </w:rPr>
                  </w:pPr>
                  <w:r>
                    <w:rPr>
                      <w:rFonts w:hint="default" w:ascii="Times New Roman" w:hAnsi="Times New Roman" w:cs="Times New Roman"/>
                      <w:caps w:val="0"/>
                      <w:color w:val="auto"/>
                      <w:sz w:val="21"/>
                      <w:szCs w:val="21"/>
                      <w:lang w:val="en-US" w:eastAsia="zh-CN"/>
                    </w:rPr>
                    <w:t>原料</w:t>
                  </w:r>
                </w:p>
                <w:p w14:paraId="79917AFB">
                  <w:pPr>
                    <w:pStyle w:val="219"/>
                    <w:spacing w:line="320" w:lineRule="exact"/>
                    <w:ind w:left="-105" w:leftChars="-50" w:right="-105" w:rightChars="-50"/>
                    <w:jc w:val="center"/>
                    <w:rPr>
                      <w:rFonts w:hint="default" w:ascii="Times New Roman" w:hAnsi="Times New Roman" w:eastAsia="宋体" w:cs="Times New Roman"/>
                      <w:caps w:val="0"/>
                      <w:color w:val="auto"/>
                      <w:kern w:val="0"/>
                      <w:sz w:val="21"/>
                      <w:szCs w:val="21"/>
                      <w:lang w:val="en-US" w:eastAsia="zh-CN" w:bidi="ar-SA"/>
                    </w:rPr>
                  </w:pPr>
                  <w:r>
                    <w:rPr>
                      <w:rFonts w:hint="default" w:ascii="Times New Roman" w:hAnsi="Times New Roman" w:cs="Times New Roman"/>
                      <w:caps w:val="0"/>
                      <w:color w:val="auto"/>
                      <w:sz w:val="21"/>
                      <w:szCs w:val="21"/>
                      <w:lang w:val="en-US" w:eastAsia="zh-CN"/>
                    </w:rPr>
                    <w:t>使用</w:t>
                  </w:r>
                </w:p>
              </w:tc>
              <w:tc>
                <w:tcPr>
                  <w:tcW w:w="645" w:type="dxa"/>
                  <w:vMerge w:val="restart"/>
                  <w:shd w:val="clear" w:color="auto" w:fill="auto"/>
                  <w:noWrap w:val="0"/>
                  <w:vAlign w:val="center"/>
                </w:tcPr>
                <w:p w14:paraId="2231722D">
                  <w:pPr>
                    <w:spacing w:line="360" w:lineRule="exact"/>
                    <w:jc w:val="center"/>
                    <w:rPr>
                      <w:rFonts w:hint="default" w:ascii="Times New Roman" w:hAnsi="Times New Roman" w:eastAsia="宋体" w:cs="Times New Roman"/>
                      <w:caps w:val="0"/>
                      <w:color w:val="auto"/>
                      <w:kern w:val="0"/>
                      <w:sz w:val="21"/>
                      <w:szCs w:val="21"/>
                      <w:lang w:val="en-US" w:eastAsia="zh-CN" w:bidi="ar-SA"/>
                    </w:rPr>
                  </w:pPr>
                  <w:r>
                    <w:rPr>
                      <w:rFonts w:hint="default" w:ascii="Times New Roman" w:hAnsi="Times New Roman" w:eastAsia="宋体" w:cs="Times New Roman"/>
                      <w:caps w:val="0"/>
                      <w:color w:val="auto"/>
                      <w:kern w:val="2"/>
                      <w:sz w:val="21"/>
                      <w:szCs w:val="21"/>
                      <w:lang w:val="en-US" w:eastAsia="zh-CN" w:bidi="ar-SA"/>
                    </w:rPr>
                    <w:t>危险废物</w:t>
                  </w:r>
                </w:p>
                <w:p w14:paraId="732BA1B1">
                  <w:pPr>
                    <w:spacing w:line="360" w:lineRule="exact"/>
                    <w:jc w:val="center"/>
                    <w:rPr>
                      <w:rFonts w:hint="default" w:ascii="Times New Roman" w:hAnsi="Times New Roman" w:eastAsia="宋体" w:cs="Times New Roman"/>
                      <w:caps w:val="0"/>
                      <w:color w:val="auto"/>
                      <w:kern w:val="2"/>
                      <w:sz w:val="21"/>
                      <w:szCs w:val="21"/>
                      <w:lang w:val="en-US" w:eastAsia="zh-CN" w:bidi="ar-SA"/>
                    </w:rPr>
                  </w:pPr>
                </w:p>
              </w:tc>
              <w:tc>
                <w:tcPr>
                  <w:tcW w:w="1710" w:type="dxa"/>
                  <w:shd w:val="clear" w:color="auto" w:fill="auto"/>
                  <w:noWrap w:val="0"/>
                  <w:vAlign w:val="center"/>
                </w:tcPr>
                <w:p w14:paraId="6AAEDB84">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cs="Times New Roman" w:eastAsiaTheme="minorEastAsia"/>
                      <w:color w:val="auto"/>
                      <w:kern w:val="0"/>
                      <w:sz w:val="21"/>
                      <w:szCs w:val="21"/>
                    </w:rPr>
                    <w:t>HW49 900-041-49</w:t>
                  </w:r>
                </w:p>
              </w:tc>
              <w:tc>
                <w:tcPr>
                  <w:tcW w:w="518" w:type="dxa"/>
                  <w:shd w:val="clear" w:color="auto" w:fill="auto"/>
                  <w:noWrap w:val="0"/>
                  <w:vAlign w:val="center"/>
                </w:tcPr>
                <w:p w14:paraId="05A93E0D">
                  <w:pPr>
                    <w:spacing w:line="320" w:lineRule="exact"/>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aps w:val="0"/>
                      <w:color w:val="auto"/>
                      <w:sz w:val="21"/>
                      <w:szCs w:val="21"/>
                      <w:lang w:eastAsia="zh-CN"/>
                    </w:rPr>
                    <w:t>固态</w:t>
                  </w:r>
                </w:p>
              </w:tc>
              <w:tc>
                <w:tcPr>
                  <w:tcW w:w="962" w:type="dxa"/>
                  <w:shd w:val="clear" w:color="auto" w:fill="auto"/>
                  <w:noWrap w:val="0"/>
                  <w:vAlign w:val="center"/>
                </w:tcPr>
                <w:p w14:paraId="660BB211">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eastAsia" w:cs="Times New Roman"/>
                      <w:caps w:val="0"/>
                      <w:color w:val="auto"/>
                      <w:kern w:val="2"/>
                      <w:sz w:val="21"/>
                      <w:szCs w:val="21"/>
                      <w:lang w:val="en-US" w:eastAsia="zh-CN" w:bidi="ar-SA"/>
                    </w:rPr>
                    <w:t>1.8054</w:t>
                  </w:r>
                </w:p>
              </w:tc>
              <w:tc>
                <w:tcPr>
                  <w:tcW w:w="790" w:type="dxa"/>
                  <w:shd w:val="clear" w:color="auto" w:fill="auto"/>
                  <w:noWrap w:val="0"/>
                  <w:vAlign w:val="center"/>
                </w:tcPr>
                <w:p w14:paraId="46C6AE9C">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cs="Times New Roman"/>
                      <w:caps w:val="0"/>
                      <w:color w:val="auto"/>
                      <w:kern w:val="2"/>
                      <w:sz w:val="21"/>
                      <w:szCs w:val="21"/>
                      <w:lang w:val="en-US" w:eastAsia="zh-CN" w:bidi="ar-SA"/>
                    </w:rPr>
                    <w:t>矿物油、溶剂</w:t>
                  </w:r>
                </w:p>
              </w:tc>
              <w:tc>
                <w:tcPr>
                  <w:tcW w:w="623" w:type="dxa"/>
                  <w:shd w:val="clear" w:color="auto" w:fill="auto"/>
                  <w:noWrap w:val="0"/>
                  <w:vAlign w:val="center"/>
                </w:tcPr>
                <w:p w14:paraId="0A66A056">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olor w:val="auto"/>
                      <w:sz w:val="21"/>
                      <w:szCs w:val="21"/>
                    </w:rPr>
                    <w:t>T/In</w:t>
                  </w:r>
                </w:p>
              </w:tc>
              <w:tc>
                <w:tcPr>
                  <w:tcW w:w="389" w:type="dxa"/>
                  <w:shd w:val="clear" w:color="auto" w:fill="auto"/>
                  <w:noWrap w:val="0"/>
                  <w:vAlign w:val="center"/>
                </w:tcPr>
                <w:p w14:paraId="2BF93330">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aps w:val="0"/>
                      <w:color w:val="auto"/>
                      <w:sz w:val="21"/>
                      <w:szCs w:val="21"/>
                      <w:lang w:eastAsia="zh-CN"/>
                    </w:rPr>
                    <w:t>桶装</w:t>
                  </w:r>
                </w:p>
              </w:tc>
              <w:tc>
                <w:tcPr>
                  <w:tcW w:w="773" w:type="dxa"/>
                  <w:vMerge w:val="restart"/>
                  <w:noWrap w:val="0"/>
                  <w:vAlign w:val="center"/>
                </w:tcPr>
                <w:p w14:paraId="4C3D0B44">
                  <w:pPr>
                    <w:spacing w:line="360" w:lineRule="exact"/>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lang w:val="en-US" w:eastAsia="zh-CN"/>
                    </w:rPr>
                    <w:t>交由资质单位处置</w:t>
                  </w:r>
                </w:p>
              </w:tc>
            </w:tr>
            <w:tr w14:paraId="0244C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88" w:type="dxa"/>
                  <w:shd w:val="clear" w:color="auto" w:fill="auto"/>
                  <w:noWrap w:val="0"/>
                  <w:vAlign w:val="center"/>
                </w:tcPr>
                <w:p w14:paraId="6FC7F9F6">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eastAsia" w:ascii="Times New Roman" w:hAnsi="Times New Roman" w:cs="Times New Roman"/>
                      <w:caps w:val="0"/>
                      <w:color w:val="auto"/>
                      <w:kern w:val="2"/>
                      <w:sz w:val="21"/>
                      <w:szCs w:val="21"/>
                      <w:lang w:val="en-US" w:eastAsia="zh-CN" w:bidi="ar-SA"/>
                    </w:rPr>
                    <w:t>10</w:t>
                  </w:r>
                </w:p>
              </w:tc>
              <w:tc>
                <w:tcPr>
                  <w:tcW w:w="900" w:type="dxa"/>
                  <w:shd w:val="clear" w:color="auto" w:fill="auto"/>
                  <w:noWrap w:val="0"/>
                  <w:vAlign w:val="center"/>
                </w:tcPr>
                <w:p w14:paraId="17C8D067">
                  <w:pPr>
                    <w:spacing w:line="360" w:lineRule="exact"/>
                    <w:jc w:val="center"/>
                    <w:rPr>
                      <w:rFonts w:hint="default" w:ascii="Times New Roman" w:hAnsi="Times New Roman" w:cs="Times New Roman"/>
                      <w:bCs/>
                      <w:color w:val="auto"/>
                      <w:sz w:val="21"/>
                      <w:szCs w:val="21"/>
                      <w:lang w:eastAsia="zh-CN"/>
                    </w:rPr>
                  </w:pPr>
                  <w:r>
                    <w:rPr>
                      <w:rFonts w:hint="default" w:ascii="Times New Roman" w:hAnsi="Times New Roman" w:cs="Times New Roman"/>
                      <w:bCs/>
                      <w:color w:val="auto"/>
                      <w:sz w:val="21"/>
                      <w:szCs w:val="21"/>
                      <w:lang w:eastAsia="zh-CN"/>
                    </w:rPr>
                    <w:t>废切</w:t>
                  </w:r>
                </w:p>
                <w:p w14:paraId="379E09F8">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cs="Times New Roman"/>
                      <w:bCs/>
                      <w:color w:val="auto"/>
                      <w:sz w:val="21"/>
                      <w:szCs w:val="21"/>
                      <w:lang w:eastAsia="zh-CN"/>
                    </w:rPr>
                    <w:t>削液</w:t>
                  </w:r>
                </w:p>
              </w:tc>
              <w:tc>
                <w:tcPr>
                  <w:tcW w:w="709" w:type="dxa"/>
                  <w:shd w:val="clear" w:color="auto" w:fill="auto"/>
                  <w:noWrap w:val="0"/>
                  <w:vAlign w:val="center"/>
                </w:tcPr>
                <w:p w14:paraId="1112C370">
                  <w:pPr>
                    <w:pStyle w:val="219"/>
                    <w:spacing w:line="320" w:lineRule="exact"/>
                    <w:ind w:left="-105" w:leftChars="-50" w:right="-105" w:rightChars="-50"/>
                    <w:jc w:val="center"/>
                    <w:rPr>
                      <w:rFonts w:hint="eastAsia" w:cs="Times New Roman"/>
                      <w:caps w:val="0"/>
                      <w:color w:val="auto"/>
                      <w:sz w:val="21"/>
                      <w:szCs w:val="21"/>
                      <w:lang w:val="en-US" w:eastAsia="zh-CN"/>
                    </w:rPr>
                  </w:pPr>
                  <w:r>
                    <w:rPr>
                      <w:rFonts w:hint="eastAsia" w:cs="Times New Roman"/>
                      <w:caps w:val="0"/>
                      <w:color w:val="auto"/>
                      <w:sz w:val="21"/>
                      <w:szCs w:val="21"/>
                      <w:lang w:val="en-US" w:eastAsia="zh-CN"/>
                    </w:rPr>
                    <w:t>粗加工</w:t>
                  </w:r>
                </w:p>
                <w:p w14:paraId="71857814">
                  <w:pPr>
                    <w:pStyle w:val="219"/>
                    <w:spacing w:line="320" w:lineRule="exact"/>
                    <w:ind w:left="-105" w:leftChars="-50" w:right="-105" w:rightChars="-50"/>
                    <w:jc w:val="center"/>
                    <w:rPr>
                      <w:rFonts w:hint="eastAsia"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w:t>
                  </w:r>
                  <w:r>
                    <w:rPr>
                      <w:rFonts w:hint="eastAsia" w:cs="Times New Roman"/>
                      <w:caps w:val="0"/>
                      <w:color w:val="auto"/>
                      <w:sz w:val="21"/>
                      <w:szCs w:val="21"/>
                      <w:lang w:val="en-US" w:eastAsia="zh-CN"/>
                    </w:rPr>
                    <w:t>精加</w:t>
                  </w:r>
                </w:p>
                <w:p w14:paraId="32353F21">
                  <w:pPr>
                    <w:pStyle w:val="219"/>
                    <w:spacing w:line="320" w:lineRule="exact"/>
                    <w:ind w:left="-105" w:leftChars="-50" w:right="-105" w:rightChars="-50"/>
                    <w:jc w:val="center"/>
                    <w:rPr>
                      <w:rFonts w:hint="default" w:ascii="Times New Roman" w:hAnsi="Times New Roman" w:eastAsia="宋体" w:cs="Times New Roman"/>
                      <w:caps w:val="0"/>
                      <w:color w:val="auto"/>
                      <w:kern w:val="0"/>
                      <w:sz w:val="21"/>
                      <w:szCs w:val="21"/>
                      <w:lang w:val="en-US" w:eastAsia="zh-CN" w:bidi="ar-SA"/>
                    </w:rPr>
                  </w:pPr>
                  <w:r>
                    <w:rPr>
                      <w:rFonts w:hint="eastAsia" w:cs="Times New Roman"/>
                      <w:caps w:val="0"/>
                      <w:color w:val="auto"/>
                      <w:sz w:val="21"/>
                      <w:szCs w:val="21"/>
                      <w:lang w:val="en-US" w:eastAsia="zh-CN"/>
                    </w:rPr>
                    <w:t>工</w:t>
                  </w:r>
                  <w:r>
                    <w:rPr>
                      <w:rFonts w:hint="eastAsia" w:ascii="Times New Roman" w:hAnsi="Times New Roman" w:eastAsia="宋体" w:cs="Times New Roman"/>
                      <w:caps w:val="0"/>
                      <w:color w:val="auto"/>
                      <w:sz w:val="21"/>
                      <w:szCs w:val="21"/>
                      <w:lang w:val="en-US" w:eastAsia="zh-CN"/>
                    </w:rPr>
                    <w:t>工序</w:t>
                  </w:r>
                </w:p>
              </w:tc>
              <w:tc>
                <w:tcPr>
                  <w:tcW w:w="645" w:type="dxa"/>
                  <w:vMerge w:val="continue"/>
                  <w:shd w:val="clear" w:color="auto" w:fill="auto"/>
                  <w:noWrap w:val="0"/>
                  <w:vAlign w:val="center"/>
                </w:tcPr>
                <w:p w14:paraId="43565120">
                  <w:pPr>
                    <w:spacing w:line="360" w:lineRule="exact"/>
                    <w:jc w:val="center"/>
                    <w:rPr>
                      <w:rFonts w:hint="default" w:ascii="Times New Roman" w:hAnsi="Times New Roman" w:eastAsia="宋体" w:cs="Times New Roman"/>
                      <w:caps w:val="0"/>
                      <w:color w:val="auto"/>
                      <w:kern w:val="2"/>
                      <w:sz w:val="21"/>
                      <w:szCs w:val="21"/>
                      <w:lang w:val="en-US" w:eastAsia="zh-CN" w:bidi="ar-SA"/>
                    </w:rPr>
                  </w:pPr>
                </w:p>
              </w:tc>
              <w:tc>
                <w:tcPr>
                  <w:tcW w:w="1710" w:type="dxa"/>
                  <w:shd w:val="clear" w:color="auto" w:fill="auto"/>
                  <w:noWrap w:val="0"/>
                  <w:vAlign w:val="center"/>
                </w:tcPr>
                <w:p w14:paraId="4E38DEFB">
                  <w:pPr>
                    <w:spacing w:line="360" w:lineRule="exact"/>
                    <w:jc w:val="center"/>
                    <w:rPr>
                      <w:rFonts w:hint="default" w:ascii="Times New Roman" w:hAnsi="Times New Roman" w:cs="Times New Roman" w:eastAsiaTheme="minorEastAsia"/>
                      <w:caps w:val="0"/>
                      <w:color w:val="auto"/>
                      <w:kern w:val="2"/>
                      <w:sz w:val="21"/>
                      <w:szCs w:val="21"/>
                      <w:lang w:val="en-US" w:eastAsia="zh-CN" w:bidi="ar-SA"/>
                    </w:rPr>
                  </w:pPr>
                  <w:r>
                    <w:rPr>
                      <w:rFonts w:hint="default" w:ascii="Times New Roman" w:hAnsi="Times New Roman" w:cs="Times New Roman" w:eastAsiaTheme="minorEastAsia"/>
                      <w:color w:val="auto"/>
                      <w:kern w:val="0"/>
                      <w:sz w:val="21"/>
                      <w:szCs w:val="21"/>
                    </w:rPr>
                    <w:t>HW</w:t>
                  </w:r>
                  <w:r>
                    <w:rPr>
                      <w:rFonts w:hint="default" w:ascii="Times New Roman" w:hAnsi="Times New Roman" w:cs="Times New Roman" w:eastAsiaTheme="minorEastAsia"/>
                      <w:color w:val="auto"/>
                      <w:kern w:val="0"/>
                      <w:sz w:val="21"/>
                      <w:szCs w:val="21"/>
                      <w:lang w:val="en-US" w:eastAsia="zh-CN"/>
                    </w:rPr>
                    <w:t>09</w:t>
                  </w:r>
                  <w:r>
                    <w:rPr>
                      <w:rFonts w:hint="default" w:ascii="Times New Roman" w:hAnsi="Times New Roman" w:cs="Times New Roman" w:eastAsiaTheme="minorEastAsia"/>
                      <w:color w:val="auto"/>
                      <w:kern w:val="0"/>
                      <w:sz w:val="21"/>
                      <w:szCs w:val="21"/>
                    </w:rPr>
                    <w:t xml:space="preserve"> 900-0</w:t>
                  </w:r>
                  <w:r>
                    <w:rPr>
                      <w:rFonts w:hint="default" w:ascii="Times New Roman" w:hAnsi="Times New Roman" w:cs="Times New Roman" w:eastAsiaTheme="minorEastAsia"/>
                      <w:color w:val="auto"/>
                      <w:kern w:val="0"/>
                      <w:sz w:val="21"/>
                      <w:szCs w:val="21"/>
                      <w:lang w:val="en-US" w:eastAsia="zh-CN"/>
                    </w:rPr>
                    <w:t>06</w:t>
                  </w:r>
                  <w:r>
                    <w:rPr>
                      <w:rFonts w:hint="default" w:ascii="Times New Roman" w:hAnsi="Times New Roman" w:cs="Times New Roman" w:eastAsiaTheme="minorEastAsia"/>
                      <w:color w:val="auto"/>
                      <w:kern w:val="0"/>
                      <w:sz w:val="21"/>
                      <w:szCs w:val="21"/>
                    </w:rPr>
                    <w:t>-</w:t>
                  </w:r>
                  <w:r>
                    <w:rPr>
                      <w:rFonts w:hint="default" w:ascii="Times New Roman" w:hAnsi="Times New Roman" w:cs="Times New Roman" w:eastAsiaTheme="minorEastAsia"/>
                      <w:color w:val="auto"/>
                      <w:kern w:val="0"/>
                      <w:sz w:val="21"/>
                      <w:szCs w:val="21"/>
                      <w:lang w:val="en-US" w:eastAsia="zh-CN"/>
                    </w:rPr>
                    <w:t>09</w:t>
                  </w:r>
                </w:p>
              </w:tc>
              <w:tc>
                <w:tcPr>
                  <w:tcW w:w="518" w:type="dxa"/>
                  <w:shd w:val="clear" w:color="auto" w:fill="auto"/>
                  <w:noWrap w:val="0"/>
                  <w:vAlign w:val="center"/>
                </w:tcPr>
                <w:p w14:paraId="7A4E1605">
                  <w:pPr>
                    <w:pStyle w:val="219"/>
                    <w:spacing w:line="320" w:lineRule="exact"/>
                    <w:ind w:left="-105" w:leftChars="-50" w:right="-105" w:rightChars="-50"/>
                    <w:jc w:val="center"/>
                    <w:rPr>
                      <w:rFonts w:hint="default" w:ascii="Times New Roman" w:hAnsi="Times New Roman" w:cs="Times New Roman"/>
                      <w:caps w:val="0"/>
                      <w:color w:val="auto"/>
                      <w:kern w:val="0"/>
                      <w:sz w:val="21"/>
                      <w:szCs w:val="21"/>
                      <w:lang w:val="en-US" w:eastAsia="zh-CN" w:bidi="ar-SA"/>
                    </w:rPr>
                  </w:pPr>
                  <w:r>
                    <w:rPr>
                      <w:rFonts w:hint="default" w:ascii="Times New Roman" w:hAnsi="Times New Roman" w:cs="Times New Roman"/>
                      <w:caps w:val="0"/>
                      <w:color w:val="auto"/>
                      <w:kern w:val="0"/>
                      <w:sz w:val="21"/>
                      <w:szCs w:val="21"/>
                      <w:lang w:val="en-US" w:eastAsia="zh-CN" w:bidi="ar-SA"/>
                    </w:rPr>
                    <w:t>液</w:t>
                  </w:r>
                </w:p>
                <w:p w14:paraId="1A57A262">
                  <w:pPr>
                    <w:pStyle w:val="219"/>
                    <w:spacing w:line="320" w:lineRule="exact"/>
                    <w:ind w:left="-105" w:leftChars="-50" w:right="-105" w:rightChars="-50"/>
                    <w:jc w:val="center"/>
                    <w:rPr>
                      <w:rFonts w:hint="default" w:ascii="Times New Roman" w:hAnsi="Times New Roman" w:eastAsia="宋体" w:cs="Times New Roman"/>
                      <w:caps w:val="0"/>
                      <w:color w:val="auto"/>
                      <w:kern w:val="0"/>
                      <w:sz w:val="21"/>
                      <w:szCs w:val="21"/>
                      <w:lang w:val="en-US" w:eastAsia="zh-CN" w:bidi="ar-SA"/>
                    </w:rPr>
                  </w:pPr>
                  <w:r>
                    <w:rPr>
                      <w:rFonts w:hint="default" w:ascii="Times New Roman" w:hAnsi="Times New Roman" w:cs="Times New Roman"/>
                      <w:caps w:val="0"/>
                      <w:color w:val="auto"/>
                      <w:kern w:val="0"/>
                      <w:sz w:val="21"/>
                      <w:szCs w:val="21"/>
                      <w:lang w:val="en-US" w:eastAsia="zh-CN" w:bidi="ar-SA"/>
                    </w:rPr>
                    <w:t>态</w:t>
                  </w:r>
                </w:p>
              </w:tc>
              <w:tc>
                <w:tcPr>
                  <w:tcW w:w="962" w:type="dxa"/>
                  <w:shd w:val="clear" w:color="auto" w:fill="auto"/>
                  <w:noWrap w:val="0"/>
                  <w:vAlign w:val="center"/>
                </w:tcPr>
                <w:p w14:paraId="5359B658">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eastAsia" w:ascii="Times New Roman" w:hAnsi="Times New Roman" w:cs="Times New Roman" w:eastAsiaTheme="minorEastAsia"/>
                      <w:color w:val="auto"/>
                      <w:kern w:val="0"/>
                      <w:sz w:val="21"/>
                      <w:szCs w:val="21"/>
                      <w:lang w:val="en-US" w:eastAsia="zh-CN"/>
                    </w:rPr>
                    <w:t>2.52</w:t>
                  </w:r>
                </w:p>
              </w:tc>
              <w:tc>
                <w:tcPr>
                  <w:tcW w:w="790" w:type="dxa"/>
                  <w:shd w:val="clear" w:color="auto" w:fill="auto"/>
                  <w:noWrap w:val="0"/>
                  <w:vAlign w:val="center"/>
                </w:tcPr>
                <w:p w14:paraId="1A5AF24C">
                  <w:pPr>
                    <w:spacing w:line="360" w:lineRule="exact"/>
                    <w:ind w:left="-63" w:leftChars="-30" w:right="-63" w:rightChars="-3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kern w:val="2"/>
                      <w:sz w:val="21"/>
                      <w:szCs w:val="21"/>
                      <w:lang w:val="en-US" w:eastAsia="zh-CN" w:bidi="ar-SA"/>
                    </w:rPr>
                    <w:t>切削液</w:t>
                  </w:r>
                </w:p>
              </w:tc>
              <w:tc>
                <w:tcPr>
                  <w:tcW w:w="623" w:type="dxa"/>
                  <w:shd w:val="clear" w:color="auto" w:fill="auto"/>
                  <w:noWrap w:val="0"/>
                  <w:vAlign w:val="center"/>
                </w:tcPr>
                <w:p w14:paraId="75DCE371">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olor w:val="auto"/>
                      <w:sz w:val="21"/>
                      <w:szCs w:val="21"/>
                    </w:rPr>
                    <w:t>T</w:t>
                  </w:r>
                </w:p>
              </w:tc>
              <w:tc>
                <w:tcPr>
                  <w:tcW w:w="389" w:type="dxa"/>
                  <w:shd w:val="clear" w:color="auto" w:fill="auto"/>
                  <w:noWrap w:val="0"/>
                  <w:vAlign w:val="center"/>
                </w:tcPr>
                <w:p w14:paraId="7A2B0278">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aps w:val="0"/>
                      <w:color w:val="auto"/>
                      <w:sz w:val="21"/>
                      <w:szCs w:val="21"/>
                      <w:lang w:eastAsia="zh-CN"/>
                    </w:rPr>
                    <w:t>桶装</w:t>
                  </w:r>
                </w:p>
              </w:tc>
              <w:tc>
                <w:tcPr>
                  <w:tcW w:w="773" w:type="dxa"/>
                  <w:vMerge w:val="continue"/>
                  <w:noWrap w:val="0"/>
                  <w:vAlign w:val="center"/>
                </w:tcPr>
                <w:p w14:paraId="3D20C033">
                  <w:pPr>
                    <w:spacing w:line="360" w:lineRule="exact"/>
                    <w:jc w:val="center"/>
                    <w:rPr>
                      <w:rFonts w:hint="default" w:ascii="Times New Roman" w:hAnsi="Times New Roman" w:eastAsia="宋体" w:cs="Times New Roman"/>
                      <w:caps w:val="0"/>
                      <w:color w:val="auto"/>
                      <w:sz w:val="21"/>
                      <w:szCs w:val="21"/>
                    </w:rPr>
                  </w:pPr>
                </w:p>
              </w:tc>
            </w:tr>
            <w:tr w14:paraId="0C6D9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88" w:type="dxa"/>
                  <w:shd w:val="clear" w:color="auto" w:fill="auto"/>
                  <w:noWrap w:val="0"/>
                  <w:vAlign w:val="center"/>
                </w:tcPr>
                <w:p w14:paraId="75D50354">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eastAsia" w:ascii="Times New Roman" w:hAnsi="Times New Roman" w:cs="Times New Roman"/>
                      <w:caps w:val="0"/>
                      <w:color w:val="auto"/>
                      <w:sz w:val="21"/>
                      <w:szCs w:val="21"/>
                      <w:lang w:val="en-US" w:eastAsia="zh-CN"/>
                    </w:rPr>
                    <w:t>11</w:t>
                  </w:r>
                </w:p>
              </w:tc>
              <w:tc>
                <w:tcPr>
                  <w:tcW w:w="900" w:type="dxa"/>
                  <w:shd w:val="clear" w:color="auto" w:fill="auto"/>
                  <w:noWrap w:val="0"/>
                  <w:vAlign w:val="center"/>
                </w:tcPr>
                <w:p w14:paraId="2E67FEB2">
                  <w:pPr>
                    <w:spacing w:line="360" w:lineRule="exact"/>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废润</w:t>
                  </w:r>
                </w:p>
                <w:p w14:paraId="1300EB11">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cs="Times New Roman"/>
                      <w:color w:val="auto"/>
                      <w:sz w:val="21"/>
                      <w:szCs w:val="21"/>
                      <w:lang w:eastAsia="zh-CN"/>
                    </w:rPr>
                    <w:t>滑油</w:t>
                  </w:r>
                </w:p>
              </w:tc>
              <w:tc>
                <w:tcPr>
                  <w:tcW w:w="709" w:type="dxa"/>
                  <w:shd w:val="clear" w:color="auto" w:fill="auto"/>
                  <w:noWrap w:val="0"/>
                  <w:vAlign w:val="center"/>
                </w:tcPr>
                <w:p w14:paraId="475A8E04">
                  <w:pPr>
                    <w:pStyle w:val="219"/>
                    <w:spacing w:line="320" w:lineRule="exact"/>
                    <w:ind w:left="-105" w:leftChars="-50" w:right="-105" w:rightChars="-50"/>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机械</w:t>
                  </w:r>
                </w:p>
                <w:p w14:paraId="22F85851">
                  <w:pPr>
                    <w:pStyle w:val="219"/>
                    <w:spacing w:line="320" w:lineRule="exact"/>
                    <w:ind w:left="-105" w:leftChars="-50" w:right="-105" w:rightChars="-50"/>
                    <w:jc w:val="center"/>
                    <w:rPr>
                      <w:rFonts w:hint="default" w:ascii="Times New Roman" w:hAnsi="Times New Roman" w:eastAsia="宋体" w:cs="Times New Roman"/>
                      <w:caps w:val="0"/>
                      <w:color w:val="auto"/>
                      <w:kern w:val="0"/>
                      <w:sz w:val="21"/>
                      <w:szCs w:val="21"/>
                      <w:lang w:val="en-US" w:eastAsia="zh-CN" w:bidi="ar-SA"/>
                    </w:rPr>
                  </w:pPr>
                  <w:r>
                    <w:rPr>
                      <w:rFonts w:hint="default" w:ascii="Times New Roman" w:hAnsi="Times New Roman" w:eastAsia="宋体" w:cs="Times New Roman"/>
                      <w:caps w:val="0"/>
                      <w:color w:val="auto"/>
                      <w:sz w:val="21"/>
                      <w:szCs w:val="21"/>
                    </w:rPr>
                    <w:t>设备</w:t>
                  </w:r>
                </w:p>
              </w:tc>
              <w:tc>
                <w:tcPr>
                  <w:tcW w:w="645" w:type="dxa"/>
                  <w:vMerge w:val="continue"/>
                  <w:noWrap w:val="0"/>
                  <w:vAlign w:val="center"/>
                </w:tcPr>
                <w:p w14:paraId="0908AF2A">
                  <w:pPr>
                    <w:spacing w:line="360" w:lineRule="exact"/>
                    <w:jc w:val="center"/>
                    <w:rPr>
                      <w:rFonts w:hint="default" w:ascii="Times New Roman" w:hAnsi="Times New Roman" w:eastAsia="宋体" w:cs="Times New Roman"/>
                      <w:caps w:val="0"/>
                      <w:color w:val="auto"/>
                      <w:kern w:val="0"/>
                      <w:sz w:val="21"/>
                      <w:szCs w:val="21"/>
                      <w:lang w:val="en-US" w:eastAsia="zh-CN" w:bidi="ar-SA"/>
                    </w:rPr>
                  </w:pPr>
                </w:p>
              </w:tc>
              <w:tc>
                <w:tcPr>
                  <w:tcW w:w="1710" w:type="dxa"/>
                  <w:shd w:val="clear" w:color="auto" w:fill="auto"/>
                  <w:noWrap w:val="0"/>
                  <w:vAlign w:val="center"/>
                </w:tcPr>
                <w:p w14:paraId="51F6DF46">
                  <w:pPr>
                    <w:spacing w:line="360" w:lineRule="exact"/>
                    <w:jc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rPr>
                    <w:t>HW</w:t>
                  </w:r>
                  <w:r>
                    <w:rPr>
                      <w:rFonts w:hint="default" w:ascii="Times New Roman" w:hAnsi="Times New Roman" w:cs="Times New Roman" w:eastAsiaTheme="minorEastAsia"/>
                      <w:color w:val="auto"/>
                      <w:kern w:val="0"/>
                      <w:sz w:val="21"/>
                      <w:szCs w:val="21"/>
                      <w:lang w:val="en-US" w:eastAsia="zh-CN"/>
                    </w:rPr>
                    <w:t xml:space="preserve">08 </w:t>
                  </w:r>
                  <w:r>
                    <w:rPr>
                      <w:rFonts w:hint="default" w:ascii="Times New Roman" w:hAnsi="Times New Roman" w:cs="Times New Roman" w:eastAsiaTheme="minorEastAsia"/>
                      <w:color w:val="auto"/>
                      <w:kern w:val="0"/>
                      <w:sz w:val="21"/>
                      <w:szCs w:val="21"/>
                    </w:rPr>
                    <w:t>900-</w:t>
                  </w:r>
                  <w:r>
                    <w:rPr>
                      <w:rFonts w:hint="default" w:ascii="Times New Roman" w:hAnsi="Times New Roman" w:cs="Times New Roman" w:eastAsiaTheme="minorEastAsia"/>
                      <w:color w:val="auto"/>
                      <w:kern w:val="0"/>
                      <w:sz w:val="21"/>
                      <w:szCs w:val="21"/>
                      <w:lang w:val="en-US" w:eastAsia="zh-CN"/>
                    </w:rPr>
                    <w:t>217</w:t>
                  </w:r>
                  <w:r>
                    <w:rPr>
                      <w:rFonts w:hint="default" w:ascii="Times New Roman" w:hAnsi="Times New Roman" w:cs="Times New Roman" w:eastAsiaTheme="minorEastAsia"/>
                      <w:color w:val="auto"/>
                      <w:kern w:val="0"/>
                      <w:sz w:val="21"/>
                      <w:szCs w:val="21"/>
                    </w:rPr>
                    <w:t>-</w:t>
                  </w:r>
                  <w:r>
                    <w:rPr>
                      <w:rFonts w:hint="default" w:ascii="Times New Roman" w:hAnsi="Times New Roman" w:cs="Times New Roman" w:eastAsiaTheme="minorEastAsia"/>
                      <w:color w:val="auto"/>
                      <w:kern w:val="0"/>
                      <w:sz w:val="21"/>
                      <w:szCs w:val="21"/>
                      <w:lang w:val="en-US" w:eastAsia="zh-CN"/>
                    </w:rPr>
                    <w:t>08</w:t>
                  </w:r>
                </w:p>
              </w:tc>
              <w:tc>
                <w:tcPr>
                  <w:tcW w:w="518" w:type="dxa"/>
                  <w:shd w:val="clear" w:color="auto" w:fill="auto"/>
                  <w:noWrap w:val="0"/>
                  <w:vAlign w:val="center"/>
                </w:tcPr>
                <w:p w14:paraId="40DDCFEE">
                  <w:pPr>
                    <w:pStyle w:val="219"/>
                    <w:spacing w:line="320" w:lineRule="exact"/>
                    <w:ind w:left="-105" w:leftChars="-50" w:right="-105" w:rightChars="-50"/>
                    <w:jc w:val="center"/>
                    <w:rPr>
                      <w:rFonts w:hint="default" w:ascii="Times New Roman" w:hAnsi="Times New Roman" w:cs="Times New Roman"/>
                      <w:caps w:val="0"/>
                      <w:color w:val="auto"/>
                      <w:kern w:val="0"/>
                      <w:sz w:val="21"/>
                      <w:szCs w:val="21"/>
                      <w:lang w:val="en-US" w:eastAsia="zh-CN" w:bidi="ar-SA"/>
                    </w:rPr>
                  </w:pPr>
                  <w:r>
                    <w:rPr>
                      <w:rFonts w:hint="default" w:ascii="Times New Roman" w:hAnsi="Times New Roman" w:cs="Times New Roman"/>
                      <w:caps w:val="0"/>
                      <w:color w:val="auto"/>
                      <w:kern w:val="0"/>
                      <w:sz w:val="21"/>
                      <w:szCs w:val="21"/>
                      <w:lang w:val="en-US" w:eastAsia="zh-CN" w:bidi="ar-SA"/>
                    </w:rPr>
                    <w:t>液</w:t>
                  </w:r>
                </w:p>
                <w:p w14:paraId="2285CC8B">
                  <w:pPr>
                    <w:pStyle w:val="219"/>
                    <w:spacing w:line="320" w:lineRule="exact"/>
                    <w:ind w:left="-105" w:leftChars="-50" w:right="-105" w:rightChars="-50"/>
                    <w:jc w:val="center"/>
                    <w:rPr>
                      <w:rFonts w:hint="default" w:ascii="Times New Roman" w:hAnsi="Times New Roman" w:eastAsia="宋体" w:cs="Times New Roman"/>
                      <w:caps w:val="0"/>
                      <w:color w:val="auto"/>
                      <w:kern w:val="0"/>
                      <w:sz w:val="21"/>
                      <w:szCs w:val="21"/>
                      <w:lang w:val="en-US" w:eastAsia="zh-CN" w:bidi="ar-SA"/>
                    </w:rPr>
                  </w:pPr>
                  <w:r>
                    <w:rPr>
                      <w:rFonts w:hint="default" w:ascii="Times New Roman" w:hAnsi="Times New Roman" w:eastAsia="宋体" w:cs="Times New Roman"/>
                      <w:caps w:val="0"/>
                      <w:color w:val="auto"/>
                      <w:kern w:val="0"/>
                      <w:sz w:val="21"/>
                      <w:szCs w:val="21"/>
                      <w:lang w:val="en-US" w:eastAsia="zh-CN" w:bidi="ar-SA"/>
                    </w:rPr>
                    <w:t>态</w:t>
                  </w:r>
                </w:p>
              </w:tc>
              <w:tc>
                <w:tcPr>
                  <w:tcW w:w="962" w:type="dxa"/>
                  <w:shd w:val="clear" w:color="auto" w:fill="auto"/>
                  <w:noWrap w:val="0"/>
                  <w:vAlign w:val="center"/>
                </w:tcPr>
                <w:p w14:paraId="27F8DABC">
                  <w:pPr>
                    <w:pStyle w:val="219"/>
                    <w:spacing w:line="320" w:lineRule="exact"/>
                    <w:ind w:left="-105" w:leftChars="-50" w:right="-105" w:rightChars="-50"/>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aps w:val="0"/>
                      <w:color w:val="auto"/>
                      <w:kern w:val="2"/>
                      <w:sz w:val="21"/>
                      <w:szCs w:val="21"/>
                      <w:lang w:val="en-US" w:eastAsia="zh-CN" w:bidi="ar-SA"/>
                    </w:rPr>
                    <w:t>0.</w:t>
                  </w:r>
                  <w:r>
                    <w:rPr>
                      <w:rFonts w:hint="eastAsia" w:cs="Times New Roman"/>
                      <w:caps w:val="0"/>
                      <w:color w:val="auto"/>
                      <w:kern w:val="2"/>
                      <w:sz w:val="21"/>
                      <w:szCs w:val="21"/>
                      <w:lang w:val="en-US" w:eastAsia="zh-CN" w:bidi="ar-SA"/>
                    </w:rPr>
                    <w:t>4</w:t>
                  </w:r>
                </w:p>
              </w:tc>
              <w:tc>
                <w:tcPr>
                  <w:tcW w:w="790" w:type="dxa"/>
                  <w:shd w:val="clear" w:color="auto" w:fill="auto"/>
                  <w:noWrap w:val="0"/>
                  <w:vAlign w:val="center"/>
                </w:tcPr>
                <w:p w14:paraId="5F2731F7">
                  <w:pPr>
                    <w:spacing w:line="360" w:lineRule="exact"/>
                    <w:ind w:left="-63" w:leftChars="-30" w:right="-63" w:rightChars="-30"/>
                    <w:jc w:val="center"/>
                    <w:rPr>
                      <w:rFonts w:hint="default" w:ascii="Times New Roman" w:hAnsi="Times New Roman" w:eastAsia="宋体" w:cs="Times New Roman"/>
                      <w:caps w:val="0"/>
                      <w:color w:val="auto"/>
                      <w:kern w:val="0"/>
                      <w:sz w:val="21"/>
                      <w:szCs w:val="21"/>
                      <w:lang w:val="en-US" w:eastAsia="zh-CN" w:bidi="ar-SA"/>
                    </w:rPr>
                  </w:pPr>
                  <w:r>
                    <w:rPr>
                      <w:rFonts w:hint="default" w:ascii="Times New Roman" w:hAnsi="Times New Roman" w:cs="Times New Roman"/>
                      <w:caps w:val="0"/>
                      <w:color w:val="auto"/>
                      <w:kern w:val="0"/>
                      <w:sz w:val="21"/>
                      <w:szCs w:val="21"/>
                      <w:lang w:val="en-US" w:eastAsia="zh-CN" w:bidi="ar-SA"/>
                    </w:rPr>
                    <w:t>润滑油</w:t>
                  </w:r>
                </w:p>
              </w:tc>
              <w:tc>
                <w:tcPr>
                  <w:tcW w:w="623" w:type="dxa"/>
                  <w:shd w:val="clear" w:color="auto" w:fill="auto"/>
                  <w:noWrap w:val="0"/>
                  <w:vAlign w:val="center"/>
                </w:tcPr>
                <w:p w14:paraId="740748F8">
                  <w:pPr>
                    <w:spacing w:line="360" w:lineRule="exact"/>
                    <w:jc w:val="center"/>
                    <w:rPr>
                      <w:rFonts w:hint="default" w:ascii="Times New Roman" w:hAnsi="Times New Roman" w:eastAsia="宋体" w:cs="Times New Roman"/>
                      <w:caps w:val="0"/>
                      <w:color w:val="auto"/>
                      <w:kern w:val="0"/>
                      <w:sz w:val="21"/>
                      <w:szCs w:val="21"/>
                      <w:lang w:val="en-US" w:eastAsia="zh-CN" w:bidi="ar-SA"/>
                    </w:rPr>
                  </w:pPr>
                  <w:r>
                    <w:rPr>
                      <w:rFonts w:hint="default" w:ascii="Times New Roman" w:hAnsi="Times New Roman" w:eastAsia="宋体" w:cs="Times New Roman"/>
                      <w:caps w:val="0"/>
                      <w:color w:val="auto"/>
                      <w:kern w:val="0"/>
                      <w:sz w:val="21"/>
                      <w:szCs w:val="21"/>
                      <w:lang w:val="en-US" w:eastAsia="zh-CN" w:bidi="ar-SA"/>
                    </w:rPr>
                    <w:t>T，I</w:t>
                  </w:r>
                </w:p>
              </w:tc>
              <w:tc>
                <w:tcPr>
                  <w:tcW w:w="389" w:type="dxa"/>
                  <w:shd w:val="clear" w:color="auto" w:fill="auto"/>
                  <w:noWrap w:val="0"/>
                  <w:vAlign w:val="center"/>
                </w:tcPr>
                <w:p w14:paraId="46CD6293">
                  <w:pPr>
                    <w:spacing w:line="360" w:lineRule="exact"/>
                    <w:jc w:val="center"/>
                    <w:rPr>
                      <w:rFonts w:hint="default" w:ascii="Times New Roman" w:hAnsi="Times New Roman" w:eastAsia="宋体" w:cs="Times New Roman"/>
                      <w:caps w:val="0"/>
                      <w:color w:val="auto"/>
                      <w:kern w:val="0"/>
                      <w:sz w:val="21"/>
                      <w:szCs w:val="21"/>
                      <w:lang w:val="en-US" w:eastAsia="zh-CN" w:bidi="ar-SA"/>
                    </w:rPr>
                  </w:pPr>
                  <w:r>
                    <w:rPr>
                      <w:rFonts w:hint="default" w:ascii="Times New Roman" w:hAnsi="Times New Roman" w:cs="Times New Roman"/>
                      <w:caps w:val="0"/>
                      <w:color w:val="auto"/>
                      <w:sz w:val="21"/>
                      <w:szCs w:val="21"/>
                      <w:lang w:eastAsia="zh-CN"/>
                    </w:rPr>
                    <w:t>桶装</w:t>
                  </w:r>
                </w:p>
              </w:tc>
              <w:tc>
                <w:tcPr>
                  <w:tcW w:w="773" w:type="dxa"/>
                  <w:vMerge w:val="continue"/>
                  <w:noWrap w:val="0"/>
                  <w:vAlign w:val="center"/>
                </w:tcPr>
                <w:p w14:paraId="33ECC9CA">
                  <w:pPr>
                    <w:spacing w:line="360" w:lineRule="exact"/>
                    <w:jc w:val="center"/>
                    <w:rPr>
                      <w:rFonts w:hint="default" w:ascii="Times New Roman" w:hAnsi="Times New Roman" w:eastAsia="宋体" w:cs="Times New Roman"/>
                      <w:caps w:val="0"/>
                      <w:color w:val="auto"/>
                      <w:sz w:val="21"/>
                      <w:szCs w:val="21"/>
                    </w:rPr>
                  </w:pPr>
                </w:p>
              </w:tc>
            </w:tr>
            <w:tr w14:paraId="39B4F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88" w:type="dxa"/>
                  <w:shd w:val="clear" w:color="auto" w:fill="auto"/>
                  <w:noWrap w:val="0"/>
                  <w:vAlign w:val="center"/>
                </w:tcPr>
                <w:p w14:paraId="1EDB7CE2">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eastAsia" w:ascii="Times New Roman" w:hAnsi="Times New Roman" w:cs="Times New Roman"/>
                      <w:caps w:val="0"/>
                      <w:color w:val="auto"/>
                      <w:sz w:val="21"/>
                      <w:szCs w:val="21"/>
                      <w:lang w:val="en-US" w:eastAsia="zh-CN"/>
                    </w:rPr>
                    <w:t>12</w:t>
                  </w:r>
                </w:p>
              </w:tc>
              <w:tc>
                <w:tcPr>
                  <w:tcW w:w="900" w:type="dxa"/>
                  <w:shd w:val="clear" w:color="auto" w:fill="auto"/>
                  <w:noWrap w:val="0"/>
                  <w:vAlign w:val="center"/>
                </w:tcPr>
                <w:p w14:paraId="6A582443">
                  <w:pPr>
                    <w:spacing w:line="360" w:lineRule="exact"/>
                    <w:jc w:val="center"/>
                    <w:rPr>
                      <w:rFonts w:hint="default" w:ascii="Times New Roman" w:hAnsi="Times New Roman" w:cs="Times New Roman"/>
                      <w:caps w:val="0"/>
                      <w:color w:val="auto"/>
                      <w:sz w:val="21"/>
                      <w:szCs w:val="21"/>
                      <w:lang w:val="en-US" w:eastAsia="zh-CN"/>
                    </w:rPr>
                  </w:pPr>
                  <w:r>
                    <w:rPr>
                      <w:rFonts w:hint="default" w:ascii="Times New Roman" w:hAnsi="Times New Roman" w:eastAsia="宋体" w:cs="Times New Roman"/>
                      <w:caps w:val="0"/>
                      <w:color w:val="auto"/>
                      <w:sz w:val="21"/>
                      <w:szCs w:val="21"/>
                      <w:lang w:val="en-US" w:eastAsia="zh-CN"/>
                    </w:rPr>
                    <w:t>废</w:t>
                  </w:r>
                  <w:r>
                    <w:rPr>
                      <w:rFonts w:hint="default" w:ascii="Times New Roman" w:hAnsi="Times New Roman" w:cs="Times New Roman"/>
                      <w:caps w:val="0"/>
                      <w:color w:val="auto"/>
                      <w:sz w:val="21"/>
                      <w:szCs w:val="21"/>
                      <w:lang w:val="en-US" w:eastAsia="zh-CN"/>
                    </w:rPr>
                    <w:t>液</w:t>
                  </w:r>
                </w:p>
                <w:p w14:paraId="281A3F7F">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cs="Times New Roman"/>
                      <w:caps w:val="0"/>
                      <w:color w:val="auto"/>
                      <w:sz w:val="21"/>
                      <w:szCs w:val="21"/>
                      <w:lang w:val="en-US" w:eastAsia="zh-CN"/>
                    </w:rPr>
                    <w:t>压</w:t>
                  </w:r>
                  <w:r>
                    <w:rPr>
                      <w:rFonts w:hint="default" w:ascii="Times New Roman" w:hAnsi="Times New Roman" w:eastAsia="宋体" w:cs="Times New Roman"/>
                      <w:caps w:val="0"/>
                      <w:color w:val="auto"/>
                      <w:sz w:val="21"/>
                      <w:szCs w:val="21"/>
                      <w:lang w:val="en-US" w:eastAsia="zh-CN"/>
                    </w:rPr>
                    <w:t>油</w:t>
                  </w:r>
                </w:p>
              </w:tc>
              <w:tc>
                <w:tcPr>
                  <w:tcW w:w="709" w:type="dxa"/>
                  <w:shd w:val="clear" w:color="auto" w:fill="auto"/>
                  <w:noWrap w:val="0"/>
                  <w:vAlign w:val="center"/>
                </w:tcPr>
                <w:p w14:paraId="7AFA2DBC">
                  <w:pPr>
                    <w:pStyle w:val="219"/>
                    <w:spacing w:line="320" w:lineRule="exact"/>
                    <w:ind w:left="-105" w:leftChars="-50" w:right="-105" w:rightChars="-50"/>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机械</w:t>
                  </w:r>
                </w:p>
                <w:p w14:paraId="237E48EA">
                  <w:pPr>
                    <w:pStyle w:val="219"/>
                    <w:spacing w:line="320" w:lineRule="exact"/>
                    <w:ind w:left="-105" w:leftChars="-50" w:right="-105" w:rightChars="-50"/>
                    <w:jc w:val="center"/>
                    <w:rPr>
                      <w:rFonts w:hint="default" w:ascii="Times New Roman" w:hAnsi="Times New Roman" w:eastAsia="宋体" w:cs="Times New Roman"/>
                      <w:caps w:val="0"/>
                      <w:color w:val="auto"/>
                      <w:kern w:val="0"/>
                      <w:sz w:val="21"/>
                      <w:szCs w:val="21"/>
                      <w:lang w:val="en-US" w:eastAsia="zh-CN" w:bidi="ar-SA"/>
                    </w:rPr>
                  </w:pPr>
                  <w:r>
                    <w:rPr>
                      <w:rFonts w:hint="default" w:ascii="Times New Roman" w:hAnsi="Times New Roman" w:eastAsia="宋体" w:cs="Times New Roman"/>
                      <w:caps w:val="0"/>
                      <w:color w:val="auto"/>
                      <w:sz w:val="21"/>
                      <w:szCs w:val="21"/>
                    </w:rPr>
                    <w:t>设备</w:t>
                  </w:r>
                </w:p>
              </w:tc>
              <w:tc>
                <w:tcPr>
                  <w:tcW w:w="645" w:type="dxa"/>
                  <w:vMerge w:val="continue"/>
                  <w:noWrap w:val="0"/>
                  <w:vAlign w:val="center"/>
                </w:tcPr>
                <w:p w14:paraId="36535382">
                  <w:pPr>
                    <w:spacing w:line="360" w:lineRule="exact"/>
                    <w:jc w:val="center"/>
                    <w:rPr>
                      <w:rFonts w:hint="default" w:ascii="Times New Roman" w:hAnsi="Times New Roman" w:eastAsia="宋体" w:cs="Times New Roman"/>
                      <w:caps w:val="0"/>
                      <w:color w:val="auto"/>
                      <w:kern w:val="2"/>
                      <w:sz w:val="21"/>
                      <w:szCs w:val="21"/>
                      <w:lang w:val="en-US" w:eastAsia="zh-CN" w:bidi="ar-SA"/>
                    </w:rPr>
                  </w:pPr>
                </w:p>
              </w:tc>
              <w:tc>
                <w:tcPr>
                  <w:tcW w:w="1710" w:type="dxa"/>
                  <w:shd w:val="clear" w:color="auto" w:fill="auto"/>
                  <w:noWrap w:val="0"/>
                  <w:vAlign w:val="center"/>
                </w:tcPr>
                <w:p w14:paraId="62B580A0">
                  <w:pPr>
                    <w:spacing w:line="360" w:lineRule="exact"/>
                    <w:jc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rPr>
                    <w:t>HW</w:t>
                  </w:r>
                  <w:r>
                    <w:rPr>
                      <w:rFonts w:hint="default" w:ascii="Times New Roman" w:hAnsi="Times New Roman" w:cs="Times New Roman" w:eastAsiaTheme="minorEastAsia"/>
                      <w:color w:val="auto"/>
                      <w:kern w:val="0"/>
                      <w:sz w:val="21"/>
                      <w:szCs w:val="21"/>
                      <w:lang w:val="en-US" w:eastAsia="zh-CN"/>
                    </w:rPr>
                    <w:t xml:space="preserve">08 </w:t>
                  </w:r>
                  <w:r>
                    <w:rPr>
                      <w:rFonts w:hint="default" w:ascii="Times New Roman" w:hAnsi="Times New Roman" w:cs="Times New Roman" w:eastAsiaTheme="minorEastAsia"/>
                      <w:color w:val="auto"/>
                      <w:kern w:val="0"/>
                      <w:sz w:val="21"/>
                      <w:szCs w:val="21"/>
                    </w:rPr>
                    <w:t>900-21</w:t>
                  </w:r>
                  <w:r>
                    <w:rPr>
                      <w:rFonts w:hint="default" w:ascii="Times New Roman" w:hAnsi="Times New Roman" w:cs="Times New Roman" w:eastAsiaTheme="minorEastAsia"/>
                      <w:color w:val="auto"/>
                      <w:kern w:val="0"/>
                      <w:sz w:val="21"/>
                      <w:szCs w:val="21"/>
                      <w:lang w:val="en-US" w:eastAsia="zh-CN"/>
                    </w:rPr>
                    <w:t>8</w:t>
                  </w:r>
                  <w:r>
                    <w:rPr>
                      <w:rFonts w:hint="default" w:ascii="Times New Roman" w:hAnsi="Times New Roman" w:cs="Times New Roman" w:eastAsiaTheme="minorEastAsia"/>
                      <w:color w:val="auto"/>
                      <w:kern w:val="0"/>
                      <w:sz w:val="21"/>
                      <w:szCs w:val="21"/>
                    </w:rPr>
                    <w:t>-08</w:t>
                  </w:r>
                </w:p>
              </w:tc>
              <w:tc>
                <w:tcPr>
                  <w:tcW w:w="518" w:type="dxa"/>
                  <w:shd w:val="clear" w:color="auto" w:fill="auto"/>
                  <w:noWrap w:val="0"/>
                  <w:vAlign w:val="center"/>
                </w:tcPr>
                <w:p w14:paraId="365D69A8">
                  <w:pPr>
                    <w:pStyle w:val="219"/>
                    <w:spacing w:line="320" w:lineRule="exact"/>
                    <w:ind w:left="-105" w:leftChars="-50" w:right="-105" w:rightChars="-50"/>
                    <w:jc w:val="center"/>
                    <w:rPr>
                      <w:rFonts w:hint="default" w:ascii="Times New Roman" w:hAnsi="Times New Roman" w:eastAsia="宋体" w:cs="Times New Roman"/>
                      <w:caps w:val="0"/>
                      <w:color w:val="auto"/>
                      <w:kern w:val="0"/>
                      <w:sz w:val="21"/>
                      <w:szCs w:val="21"/>
                      <w:lang w:val="en-US" w:eastAsia="zh-CN" w:bidi="ar-SA"/>
                    </w:rPr>
                  </w:pPr>
                  <w:r>
                    <w:rPr>
                      <w:rFonts w:hint="default" w:ascii="Times New Roman" w:hAnsi="Times New Roman" w:eastAsia="宋体" w:cs="Times New Roman"/>
                      <w:caps w:val="0"/>
                      <w:color w:val="auto"/>
                      <w:kern w:val="0"/>
                      <w:sz w:val="21"/>
                      <w:szCs w:val="21"/>
                      <w:lang w:val="en-US" w:eastAsia="zh-CN" w:bidi="ar-SA"/>
                    </w:rPr>
                    <w:t>液</w:t>
                  </w:r>
                </w:p>
                <w:p w14:paraId="4E4C7A5F">
                  <w:pPr>
                    <w:pStyle w:val="219"/>
                    <w:spacing w:line="320" w:lineRule="exact"/>
                    <w:ind w:left="-105" w:leftChars="-50" w:right="-105" w:rightChars="-50"/>
                    <w:jc w:val="center"/>
                    <w:rPr>
                      <w:rFonts w:hint="default" w:ascii="Times New Roman" w:hAnsi="Times New Roman" w:eastAsia="宋体" w:cs="Times New Roman"/>
                      <w:caps w:val="0"/>
                      <w:color w:val="auto"/>
                      <w:kern w:val="0"/>
                      <w:sz w:val="21"/>
                      <w:szCs w:val="21"/>
                      <w:lang w:val="en-US" w:eastAsia="zh-CN" w:bidi="ar-SA"/>
                    </w:rPr>
                  </w:pPr>
                  <w:r>
                    <w:rPr>
                      <w:rFonts w:hint="default" w:ascii="Times New Roman" w:hAnsi="Times New Roman" w:eastAsia="宋体" w:cs="Times New Roman"/>
                      <w:caps w:val="0"/>
                      <w:color w:val="auto"/>
                      <w:kern w:val="0"/>
                      <w:sz w:val="21"/>
                      <w:szCs w:val="21"/>
                      <w:lang w:val="en-US" w:eastAsia="zh-CN" w:bidi="ar-SA"/>
                    </w:rPr>
                    <w:t>态</w:t>
                  </w:r>
                </w:p>
              </w:tc>
              <w:tc>
                <w:tcPr>
                  <w:tcW w:w="962" w:type="dxa"/>
                  <w:shd w:val="clear" w:color="auto" w:fill="auto"/>
                  <w:noWrap w:val="0"/>
                  <w:vAlign w:val="center"/>
                </w:tcPr>
                <w:p w14:paraId="6DF3B963">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eastAsia" w:ascii="Times New Roman" w:hAnsi="Times New Roman" w:eastAsia="宋体" w:cs="Times New Roman"/>
                      <w:caps w:val="0"/>
                      <w:color w:val="auto"/>
                      <w:kern w:val="2"/>
                      <w:sz w:val="21"/>
                      <w:szCs w:val="21"/>
                      <w:lang w:val="en-US" w:eastAsia="zh-CN" w:bidi="ar-SA"/>
                    </w:rPr>
                    <w:t>0.3</w:t>
                  </w:r>
                </w:p>
              </w:tc>
              <w:tc>
                <w:tcPr>
                  <w:tcW w:w="790" w:type="dxa"/>
                  <w:shd w:val="clear" w:color="auto" w:fill="auto"/>
                  <w:noWrap w:val="0"/>
                  <w:vAlign w:val="center"/>
                </w:tcPr>
                <w:p w14:paraId="29FAAFAF">
                  <w:pPr>
                    <w:spacing w:line="360" w:lineRule="exact"/>
                    <w:ind w:left="-63" w:leftChars="-30" w:right="-63" w:rightChars="-3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液压油</w:t>
                  </w:r>
                </w:p>
              </w:tc>
              <w:tc>
                <w:tcPr>
                  <w:tcW w:w="623" w:type="dxa"/>
                  <w:shd w:val="clear" w:color="auto" w:fill="auto"/>
                  <w:noWrap w:val="0"/>
                  <w:vAlign w:val="center"/>
                </w:tcPr>
                <w:p w14:paraId="7F4F6949">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aps w:val="0"/>
                      <w:color w:val="auto"/>
                      <w:kern w:val="0"/>
                      <w:sz w:val="21"/>
                      <w:szCs w:val="21"/>
                      <w:lang w:val="en-US" w:eastAsia="zh-CN" w:bidi="ar-SA"/>
                    </w:rPr>
                    <w:t>T，I</w:t>
                  </w:r>
                </w:p>
              </w:tc>
              <w:tc>
                <w:tcPr>
                  <w:tcW w:w="389" w:type="dxa"/>
                  <w:shd w:val="clear" w:color="auto" w:fill="auto"/>
                  <w:noWrap w:val="0"/>
                  <w:vAlign w:val="center"/>
                </w:tcPr>
                <w:p w14:paraId="4655E41A">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aps w:val="0"/>
                      <w:color w:val="auto"/>
                      <w:sz w:val="21"/>
                      <w:szCs w:val="21"/>
                      <w:lang w:eastAsia="zh-CN"/>
                    </w:rPr>
                    <w:t>桶装</w:t>
                  </w:r>
                </w:p>
              </w:tc>
              <w:tc>
                <w:tcPr>
                  <w:tcW w:w="773" w:type="dxa"/>
                  <w:vMerge w:val="continue"/>
                  <w:noWrap w:val="0"/>
                  <w:vAlign w:val="center"/>
                </w:tcPr>
                <w:p w14:paraId="729E47A3">
                  <w:pPr>
                    <w:spacing w:line="360" w:lineRule="exact"/>
                    <w:jc w:val="center"/>
                    <w:rPr>
                      <w:rFonts w:hint="default" w:ascii="Times New Roman" w:hAnsi="Times New Roman" w:eastAsia="宋体" w:cs="Times New Roman"/>
                      <w:caps w:val="0"/>
                      <w:color w:val="auto"/>
                      <w:sz w:val="21"/>
                      <w:szCs w:val="21"/>
                    </w:rPr>
                  </w:pPr>
                </w:p>
              </w:tc>
            </w:tr>
            <w:tr w14:paraId="72696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88" w:type="dxa"/>
                  <w:shd w:val="clear" w:color="auto" w:fill="auto"/>
                  <w:noWrap w:val="0"/>
                  <w:vAlign w:val="center"/>
                </w:tcPr>
                <w:p w14:paraId="2F66D5A8">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cs="Times New Roman"/>
                      <w:caps w:val="0"/>
                      <w:color w:val="auto"/>
                      <w:kern w:val="2"/>
                      <w:sz w:val="21"/>
                      <w:szCs w:val="21"/>
                      <w:lang w:val="en-US" w:eastAsia="zh-CN" w:bidi="ar-SA"/>
                    </w:rPr>
                    <w:t>1</w:t>
                  </w:r>
                  <w:r>
                    <w:rPr>
                      <w:rFonts w:hint="eastAsia" w:ascii="Times New Roman" w:hAnsi="Times New Roman" w:cs="Times New Roman"/>
                      <w:caps w:val="0"/>
                      <w:color w:val="auto"/>
                      <w:kern w:val="2"/>
                      <w:sz w:val="21"/>
                      <w:szCs w:val="21"/>
                      <w:lang w:val="en-US" w:eastAsia="zh-CN" w:bidi="ar-SA"/>
                    </w:rPr>
                    <w:t>3</w:t>
                  </w:r>
                </w:p>
              </w:tc>
              <w:tc>
                <w:tcPr>
                  <w:tcW w:w="900" w:type="dxa"/>
                  <w:shd w:val="clear" w:color="auto" w:fill="auto"/>
                  <w:noWrap w:val="0"/>
                  <w:vAlign w:val="center"/>
                </w:tcPr>
                <w:p w14:paraId="57C7A235">
                  <w:pPr>
                    <w:spacing w:line="360" w:lineRule="exact"/>
                    <w:jc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lang w:eastAsia="zh-CN"/>
                    </w:rPr>
                    <w:t>含油金属屑</w:t>
                  </w:r>
                </w:p>
              </w:tc>
              <w:tc>
                <w:tcPr>
                  <w:tcW w:w="709" w:type="dxa"/>
                  <w:shd w:val="clear" w:color="auto" w:fill="auto"/>
                  <w:noWrap w:val="0"/>
                  <w:vAlign w:val="center"/>
                </w:tcPr>
                <w:p w14:paraId="5BB74802">
                  <w:pPr>
                    <w:pStyle w:val="219"/>
                    <w:spacing w:line="320" w:lineRule="exact"/>
                    <w:ind w:left="-105" w:leftChars="-50" w:right="-105" w:rightChars="-50"/>
                    <w:jc w:val="center"/>
                    <w:rPr>
                      <w:rFonts w:hint="eastAsia" w:cs="Times New Roman"/>
                      <w:caps w:val="0"/>
                      <w:color w:val="auto"/>
                      <w:sz w:val="21"/>
                      <w:szCs w:val="21"/>
                      <w:lang w:val="en-US" w:eastAsia="zh-CN"/>
                    </w:rPr>
                  </w:pPr>
                  <w:r>
                    <w:rPr>
                      <w:rFonts w:hint="eastAsia" w:cs="Times New Roman"/>
                      <w:caps w:val="0"/>
                      <w:color w:val="auto"/>
                      <w:sz w:val="21"/>
                      <w:szCs w:val="21"/>
                      <w:lang w:val="en-US" w:eastAsia="zh-CN"/>
                    </w:rPr>
                    <w:t>粗加工</w:t>
                  </w:r>
                </w:p>
                <w:p w14:paraId="2404ABF0">
                  <w:pPr>
                    <w:pStyle w:val="219"/>
                    <w:spacing w:line="320" w:lineRule="exact"/>
                    <w:ind w:left="-105" w:leftChars="-50" w:right="-105" w:rightChars="-50"/>
                    <w:jc w:val="center"/>
                    <w:rPr>
                      <w:rFonts w:hint="eastAsia"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w:t>
                  </w:r>
                  <w:r>
                    <w:rPr>
                      <w:rFonts w:hint="eastAsia" w:cs="Times New Roman"/>
                      <w:caps w:val="0"/>
                      <w:color w:val="auto"/>
                      <w:sz w:val="21"/>
                      <w:szCs w:val="21"/>
                      <w:lang w:val="en-US" w:eastAsia="zh-CN"/>
                    </w:rPr>
                    <w:t>精加</w:t>
                  </w:r>
                </w:p>
                <w:p w14:paraId="2B799357">
                  <w:pPr>
                    <w:pStyle w:val="219"/>
                    <w:spacing w:line="320" w:lineRule="exact"/>
                    <w:ind w:left="-105" w:leftChars="-50" w:right="-105" w:rightChars="-50"/>
                    <w:jc w:val="center"/>
                    <w:rPr>
                      <w:rFonts w:hint="default" w:ascii="Times New Roman" w:hAnsi="Times New Roman" w:cs="Times New Roman" w:eastAsiaTheme="minorEastAsia"/>
                      <w:color w:val="auto"/>
                      <w:kern w:val="0"/>
                      <w:sz w:val="21"/>
                      <w:szCs w:val="21"/>
                      <w:lang w:val="en-US" w:eastAsia="zh-CN" w:bidi="ar-SA"/>
                    </w:rPr>
                  </w:pPr>
                  <w:r>
                    <w:rPr>
                      <w:rFonts w:hint="eastAsia" w:cs="Times New Roman"/>
                      <w:caps w:val="0"/>
                      <w:color w:val="auto"/>
                      <w:sz w:val="21"/>
                      <w:szCs w:val="21"/>
                      <w:lang w:val="en-US" w:eastAsia="zh-CN"/>
                    </w:rPr>
                    <w:t>工</w:t>
                  </w:r>
                  <w:r>
                    <w:rPr>
                      <w:rFonts w:hint="eastAsia" w:ascii="Times New Roman" w:hAnsi="Times New Roman" w:eastAsia="宋体" w:cs="Times New Roman"/>
                      <w:caps w:val="0"/>
                      <w:color w:val="auto"/>
                      <w:sz w:val="21"/>
                      <w:szCs w:val="21"/>
                      <w:lang w:val="en-US" w:eastAsia="zh-CN"/>
                    </w:rPr>
                    <w:t>工序</w:t>
                  </w:r>
                </w:p>
              </w:tc>
              <w:tc>
                <w:tcPr>
                  <w:tcW w:w="645" w:type="dxa"/>
                  <w:vMerge w:val="continue"/>
                  <w:noWrap w:val="0"/>
                  <w:vAlign w:val="center"/>
                </w:tcPr>
                <w:p w14:paraId="38A36E24">
                  <w:pPr>
                    <w:spacing w:line="360" w:lineRule="exact"/>
                    <w:jc w:val="center"/>
                    <w:rPr>
                      <w:rFonts w:hint="default" w:ascii="Times New Roman" w:hAnsi="Times New Roman" w:eastAsia="宋体" w:cs="Times New Roman"/>
                      <w:caps w:val="0"/>
                      <w:color w:val="auto"/>
                      <w:sz w:val="21"/>
                      <w:szCs w:val="21"/>
                      <w:lang w:val="en-US" w:eastAsia="zh-CN"/>
                    </w:rPr>
                  </w:pPr>
                </w:p>
              </w:tc>
              <w:tc>
                <w:tcPr>
                  <w:tcW w:w="1710" w:type="dxa"/>
                  <w:shd w:val="clear" w:color="auto" w:fill="auto"/>
                  <w:noWrap w:val="0"/>
                  <w:vAlign w:val="center"/>
                </w:tcPr>
                <w:p w14:paraId="6D945E46">
                  <w:pPr>
                    <w:spacing w:line="360" w:lineRule="exact"/>
                    <w:jc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lang w:val="en-US" w:eastAsia="zh-CN"/>
                    </w:rPr>
                    <w:t>HW09 900-006-09</w:t>
                  </w:r>
                </w:p>
              </w:tc>
              <w:tc>
                <w:tcPr>
                  <w:tcW w:w="518" w:type="dxa"/>
                  <w:shd w:val="clear" w:color="auto" w:fill="auto"/>
                  <w:noWrap w:val="0"/>
                  <w:vAlign w:val="center"/>
                </w:tcPr>
                <w:p w14:paraId="02A92A0A">
                  <w:pPr>
                    <w:pStyle w:val="219"/>
                    <w:spacing w:line="320" w:lineRule="exact"/>
                    <w:ind w:left="-105" w:leftChars="-50" w:right="-105" w:rightChars="-50"/>
                    <w:jc w:val="center"/>
                    <w:rPr>
                      <w:rFonts w:hint="default" w:ascii="Times New Roman" w:hAnsi="Times New Roman" w:cs="Times New Roman"/>
                      <w:caps w:val="0"/>
                      <w:color w:val="auto"/>
                      <w:sz w:val="21"/>
                      <w:szCs w:val="21"/>
                      <w:lang w:eastAsia="zh-CN"/>
                    </w:rPr>
                  </w:pPr>
                  <w:r>
                    <w:rPr>
                      <w:rFonts w:hint="default" w:ascii="Times New Roman" w:hAnsi="Times New Roman" w:cs="Times New Roman"/>
                      <w:caps w:val="0"/>
                      <w:color w:val="auto"/>
                      <w:sz w:val="21"/>
                      <w:szCs w:val="21"/>
                      <w:lang w:eastAsia="zh-CN"/>
                    </w:rPr>
                    <w:t>半</w:t>
                  </w:r>
                </w:p>
                <w:p w14:paraId="37920059">
                  <w:pPr>
                    <w:pStyle w:val="219"/>
                    <w:spacing w:line="320" w:lineRule="exact"/>
                    <w:ind w:left="-105" w:leftChars="-50" w:right="-105" w:rightChars="-50"/>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固</w:t>
                  </w:r>
                </w:p>
                <w:p w14:paraId="5865B4D1">
                  <w:pPr>
                    <w:pStyle w:val="219"/>
                    <w:spacing w:line="320" w:lineRule="exact"/>
                    <w:ind w:left="-105" w:leftChars="-50" w:right="-105" w:rightChars="-50"/>
                    <w:jc w:val="center"/>
                    <w:rPr>
                      <w:rFonts w:hint="default" w:ascii="Times New Roman" w:hAnsi="Times New Roman" w:eastAsia="宋体" w:cs="Times New Roman"/>
                      <w:caps w:val="0"/>
                      <w:color w:val="auto"/>
                      <w:kern w:val="0"/>
                      <w:sz w:val="21"/>
                      <w:szCs w:val="21"/>
                      <w:lang w:val="en-US" w:eastAsia="zh-CN" w:bidi="ar-SA"/>
                    </w:rPr>
                  </w:pPr>
                  <w:r>
                    <w:rPr>
                      <w:rFonts w:hint="default" w:ascii="Times New Roman" w:hAnsi="Times New Roman" w:eastAsia="宋体" w:cs="Times New Roman"/>
                      <w:caps w:val="0"/>
                      <w:color w:val="auto"/>
                      <w:sz w:val="21"/>
                      <w:szCs w:val="21"/>
                    </w:rPr>
                    <w:t>态</w:t>
                  </w:r>
                </w:p>
              </w:tc>
              <w:tc>
                <w:tcPr>
                  <w:tcW w:w="962" w:type="dxa"/>
                  <w:shd w:val="clear" w:color="auto" w:fill="auto"/>
                  <w:noWrap w:val="0"/>
                  <w:vAlign w:val="center"/>
                </w:tcPr>
                <w:p w14:paraId="113C5225">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eastAsia" w:ascii="Times New Roman" w:hAnsi="Times New Roman" w:cs="Times New Roman"/>
                      <w:caps w:val="0"/>
                      <w:color w:val="auto"/>
                      <w:kern w:val="2"/>
                      <w:sz w:val="21"/>
                      <w:szCs w:val="21"/>
                      <w:lang w:val="en-US" w:eastAsia="zh-CN" w:bidi="ar-SA"/>
                    </w:rPr>
                    <w:t>9</w:t>
                  </w:r>
                </w:p>
              </w:tc>
              <w:tc>
                <w:tcPr>
                  <w:tcW w:w="790" w:type="dxa"/>
                  <w:shd w:val="clear" w:color="auto" w:fill="auto"/>
                  <w:noWrap w:val="0"/>
                  <w:vAlign w:val="center"/>
                </w:tcPr>
                <w:p w14:paraId="306AD222">
                  <w:pPr>
                    <w:pStyle w:val="219"/>
                    <w:spacing w:line="320" w:lineRule="exact"/>
                    <w:ind w:left="-105" w:leftChars="-50" w:right="-105" w:rightChars="-50"/>
                    <w:jc w:val="center"/>
                    <w:rPr>
                      <w:rFonts w:hint="default" w:ascii="Times New Roman" w:hAnsi="Times New Roman" w:cs="Times New Roman"/>
                      <w:caps w:val="0"/>
                      <w:color w:val="auto"/>
                      <w:sz w:val="21"/>
                      <w:szCs w:val="21"/>
                      <w:lang w:val="en-US" w:eastAsia="zh-CN"/>
                    </w:rPr>
                  </w:pPr>
                  <w:r>
                    <w:rPr>
                      <w:rFonts w:hint="default" w:ascii="Times New Roman" w:hAnsi="Times New Roman" w:eastAsia="宋体" w:cs="Times New Roman"/>
                      <w:caps w:val="0"/>
                      <w:color w:val="auto"/>
                      <w:sz w:val="21"/>
                      <w:szCs w:val="21"/>
                      <w:lang w:val="en-US" w:eastAsia="zh-CN"/>
                    </w:rPr>
                    <w:t>金属</w:t>
                  </w:r>
                  <w:r>
                    <w:rPr>
                      <w:rFonts w:hint="default" w:ascii="Times New Roman" w:hAnsi="Times New Roman" w:cs="Times New Roman"/>
                      <w:caps w:val="0"/>
                      <w:color w:val="auto"/>
                      <w:sz w:val="21"/>
                      <w:szCs w:val="21"/>
                      <w:lang w:val="en-US" w:eastAsia="zh-CN"/>
                    </w:rPr>
                    <w:t>、</w:t>
                  </w:r>
                </w:p>
                <w:p w14:paraId="092FAF67">
                  <w:pPr>
                    <w:pStyle w:val="219"/>
                    <w:spacing w:line="320" w:lineRule="exact"/>
                    <w:ind w:left="-105" w:leftChars="-50" w:right="-105" w:rightChars="-50"/>
                    <w:jc w:val="center"/>
                    <w:rPr>
                      <w:rFonts w:hint="default" w:ascii="Times New Roman" w:hAnsi="Times New Roman" w:eastAsia="宋体" w:cs="Times New Roman"/>
                      <w:caps w:val="0"/>
                      <w:color w:val="auto"/>
                      <w:kern w:val="0"/>
                      <w:sz w:val="21"/>
                      <w:szCs w:val="21"/>
                      <w:lang w:val="en-US" w:eastAsia="zh-CN" w:bidi="ar-SA"/>
                    </w:rPr>
                  </w:pPr>
                  <w:r>
                    <w:rPr>
                      <w:rFonts w:hint="default" w:ascii="Times New Roman" w:hAnsi="Times New Roman" w:cs="Times New Roman"/>
                      <w:caps w:val="0"/>
                      <w:color w:val="auto"/>
                      <w:sz w:val="21"/>
                      <w:szCs w:val="21"/>
                      <w:lang w:val="en-US" w:eastAsia="zh-CN"/>
                    </w:rPr>
                    <w:t>废油</w:t>
                  </w:r>
                </w:p>
              </w:tc>
              <w:tc>
                <w:tcPr>
                  <w:tcW w:w="623" w:type="dxa"/>
                  <w:shd w:val="clear" w:color="auto" w:fill="auto"/>
                  <w:noWrap w:val="0"/>
                  <w:vAlign w:val="center"/>
                </w:tcPr>
                <w:p w14:paraId="1D3DDA02">
                  <w:pPr>
                    <w:pStyle w:val="219"/>
                    <w:spacing w:line="320" w:lineRule="exact"/>
                    <w:ind w:left="-105" w:leftChars="-50" w:right="-105" w:rightChars="-50"/>
                    <w:jc w:val="center"/>
                    <w:rPr>
                      <w:rFonts w:hint="default" w:ascii="Times New Roman" w:hAnsi="Times New Roman" w:eastAsia="宋体" w:cs="Times New Roman"/>
                      <w:caps w:val="0"/>
                      <w:color w:val="auto"/>
                      <w:kern w:val="0"/>
                      <w:sz w:val="21"/>
                      <w:szCs w:val="21"/>
                      <w:lang w:val="en-US" w:eastAsia="zh-CN" w:bidi="ar-SA"/>
                    </w:rPr>
                  </w:pPr>
                  <w:r>
                    <w:rPr>
                      <w:rFonts w:hint="default" w:ascii="Times New Roman" w:hAnsi="Times New Roman" w:eastAsia="宋体" w:cs="Times New Roman"/>
                      <w:caps w:val="0"/>
                      <w:color w:val="auto"/>
                      <w:sz w:val="21"/>
                      <w:szCs w:val="21"/>
                    </w:rPr>
                    <w:t>T</w:t>
                  </w:r>
                </w:p>
              </w:tc>
              <w:tc>
                <w:tcPr>
                  <w:tcW w:w="389" w:type="dxa"/>
                  <w:shd w:val="clear" w:color="auto" w:fill="auto"/>
                  <w:noWrap w:val="0"/>
                  <w:vAlign w:val="center"/>
                </w:tcPr>
                <w:p w14:paraId="07DA76FB">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cs="Times New Roman"/>
                      <w:caps w:val="0"/>
                      <w:color w:val="auto"/>
                      <w:sz w:val="21"/>
                      <w:szCs w:val="21"/>
                      <w:lang w:val="en-US" w:eastAsia="zh-CN"/>
                    </w:rPr>
                    <w:t>袋装</w:t>
                  </w:r>
                </w:p>
              </w:tc>
              <w:tc>
                <w:tcPr>
                  <w:tcW w:w="773" w:type="dxa"/>
                  <w:vMerge w:val="continue"/>
                  <w:noWrap w:val="0"/>
                  <w:vAlign w:val="center"/>
                </w:tcPr>
                <w:p w14:paraId="37641B84">
                  <w:pPr>
                    <w:spacing w:line="360" w:lineRule="exact"/>
                    <w:jc w:val="center"/>
                    <w:rPr>
                      <w:rFonts w:hint="default" w:ascii="Times New Roman" w:hAnsi="Times New Roman" w:eastAsia="宋体" w:cs="Times New Roman"/>
                      <w:caps w:val="0"/>
                      <w:color w:val="auto"/>
                      <w:sz w:val="21"/>
                      <w:szCs w:val="21"/>
                    </w:rPr>
                  </w:pPr>
                </w:p>
              </w:tc>
            </w:tr>
            <w:tr w14:paraId="7E559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88" w:type="dxa"/>
                  <w:shd w:val="clear" w:color="auto" w:fill="auto"/>
                  <w:noWrap w:val="0"/>
                  <w:vAlign w:val="center"/>
                </w:tcPr>
                <w:p w14:paraId="73583311">
                  <w:pPr>
                    <w:spacing w:line="360" w:lineRule="exact"/>
                    <w:jc w:val="center"/>
                    <w:rPr>
                      <w:rFonts w:hint="default" w:ascii="Times New Roman" w:hAnsi="Times New Roman" w:cs="Times New Roman"/>
                      <w:caps w:val="0"/>
                      <w:color w:val="auto"/>
                      <w:kern w:val="2"/>
                      <w:sz w:val="21"/>
                      <w:szCs w:val="21"/>
                      <w:lang w:val="en-US" w:eastAsia="zh-CN" w:bidi="ar-SA"/>
                    </w:rPr>
                  </w:pPr>
                  <w:r>
                    <w:rPr>
                      <w:rFonts w:hint="eastAsia" w:cs="Times New Roman"/>
                      <w:caps w:val="0"/>
                      <w:color w:val="auto"/>
                      <w:kern w:val="2"/>
                      <w:sz w:val="21"/>
                      <w:szCs w:val="21"/>
                      <w:lang w:val="en-US" w:eastAsia="zh-CN" w:bidi="ar-SA"/>
                    </w:rPr>
                    <w:t>14</w:t>
                  </w:r>
                </w:p>
              </w:tc>
              <w:tc>
                <w:tcPr>
                  <w:tcW w:w="900" w:type="dxa"/>
                  <w:shd w:val="clear" w:color="auto" w:fill="auto"/>
                  <w:noWrap w:val="0"/>
                  <w:vAlign w:val="center"/>
                </w:tcPr>
                <w:p w14:paraId="60BD8537">
                  <w:pPr>
                    <w:jc w:val="center"/>
                    <w:rPr>
                      <w:rFonts w:hint="default" w:ascii="Times New Roman" w:hAnsi="Times New Roman" w:cs="Times New Roman"/>
                      <w:color w:val="auto"/>
                      <w:spacing w:val="-4"/>
                      <w:sz w:val="21"/>
                      <w:szCs w:val="21"/>
                      <w:lang w:eastAsia="zh-CN"/>
                    </w:rPr>
                  </w:pPr>
                  <w:r>
                    <w:rPr>
                      <w:rFonts w:hint="default" w:ascii="Times New Roman" w:hAnsi="Times New Roman" w:cs="Times New Roman"/>
                      <w:color w:val="auto"/>
                      <w:spacing w:val="-4"/>
                      <w:sz w:val="21"/>
                      <w:szCs w:val="21"/>
                      <w:lang w:eastAsia="zh-CN"/>
                    </w:rPr>
                    <w:t>废脱</w:t>
                  </w:r>
                </w:p>
                <w:p w14:paraId="6A008308">
                  <w:pPr>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cs="Times New Roman"/>
                      <w:color w:val="auto"/>
                      <w:spacing w:val="-4"/>
                      <w:sz w:val="21"/>
                      <w:szCs w:val="21"/>
                      <w:lang w:eastAsia="zh-CN"/>
                    </w:rPr>
                    <w:t>模剂</w:t>
                  </w:r>
                </w:p>
              </w:tc>
              <w:tc>
                <w:tcPr>
                  <w:tcW w:w="709" w:type="dxa"/>
                  <w:shd w:val="clear" w:color="auto" w:fill="auto"/>
                  <w:noWrap w:val="0"/>
                  <w:vAlign w:val="center"/>
                </w:tcPr>
                <w:p w14:paraId="75C181BA">
                  <w:pPr>
                    <w:spacing w:line="360" w:lineRule="exact"/>
                    <w:jc w:val="center"/>
                    <w:rPr>
                      <w:rFonts w:hint="eastAsia" w:cs="Times New Roman"/>
                      <w:caps w:val="0"/>
                      <w:color w:val="auto"/>
                      <w:sz w:val="21"/>
                      <w:szCs w:val="21"/>
                      <w:lang w:val="en-US" w:eastAsia="zh-CN"/>
                    </w:rPr>
                  </w:pPr>
                  <w:r>
                    <w:rPr>
                      <w:rFonts w:hint="eastAsia" w:cs="Times New Roman"/>
                      <w:caps w:val="0"/>
                      <w:color w:val="auto"/>
                      <w:sz w:val="21"/>
                      <w:szCs w:val="21"/>
                      <w:lang w:val="en-US" w:eastAsia="zh-CN"/>
                    </w:rPr>
                    <w:t>锻造</w:t>
                  </w:r>
                </w:p>
                <w:p w14:paraId="6B12B9F9">
                  <w:pPr>
                    <w:spacing w:line="360" w:lineRule="exact"/>
                    <w:jc w:val="center"/>
                    <w:rPr>
                      <w:rFonts w:hint="default" w:cs="Times New Roman"/>
                      <w:caps w:val="0"/>
                      <w:color w:val="auto"/>
                      <w:sz w:val="21"/>
                      <w:szCs w:val="21"/>
                      <w:lang w:val="en-US" w:eastAsia="zh-CN"/>
                    </w:rPr>
                  </w:pPr>
                  <w:r>
                    <w:rPr>
                      <w:rFonts w:hint="eastAsia" w:cs="Times New Roman"/>
                      <w:caps w:val="0"/>
                      <w:color w:val="auto"/>
                      <w:sz w:val="21"/>
                      <w:szCs w:val="21"/>
                      <w:lang w:val="en-US" w:eastAsia="zh-CN"/>
                    </w:rPr>
                    <w:t>工序</w:t>
                  </w:r>
                </w:p>
              </w:tc>
              <w:tc>
                <w:tcPr>
                  <w:tcW w:w="645" w:type="dxa"/>
                  <w:vMerge w:val="continue"/>
                  <w:noWrap w:val="0"/>
                  <w:vAlign w:val="center"/>
                </w:tcPr>
                <w:p w14:paraId="1B77E201">
                  <w:pPr>
                    <w:spacing w:line="360" w:lineRule="exact"/>
                    <w:jc w:val="center"/>
                    <w:rPr>
                      <w:rFonts w:hint="default" w:ascii="Times New Roman" w:hAnsi="Times New Roman" w:eastAsia="宋体" w:cs="Times New Roman"/>
                      <w:caps w:val="0"/>
                      <w:color w:val="auto"/>
                      <w:sz w:val="21"/>
                      <w:szCs w:val="21"/>
                      <w:lang w:val="en-US" w:eastAsia="zh-CN"/>
                    </w:rPr>
                  </w:pPr>
                </w:p>
              </w:tc>
              <w:tc>
                <w:tcPr>
                  <w:tcW w:w="1710" w:type="dxa"/>
                  <w:shd w:val="clear" w:color="auto" w:fill="auto"/>
                  <w:noWrap w:val="0"/>
                  <w:vAlign w:val="center"/>
                </w:tcPr>
                <w:p w14:paraId="30890EBE">
                  <w:pPr>
                    <w:spacing w:line="360" w:lineRule="exact"/>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eastAsia="宋体" w:cs="Times New Roman"/>
                      <w:color w:val="auto"/>
                      <w:kern w:val="0"/>
                      <w:szCs w:val="21"/>
                      <w:lang w:val="en-US" w:eastAsia="zh-CN"/>
                    </w:rPr>
                    <w:t>HW08 900-21</w:t>
                  </w:r>
                  <w:r>
                    <w:rPr>
                      <w:rFonts w:hint="default" w:ascii="Times New Roman" w:hAnsi="Times New Roman" w:cs="Times New Roman"/>
                      <w:color w:val="auto"/>
                      <w:kern w:val="0"/>
                      <w:szCs w:val="21"/>
                      <w:lang w:val="en-US" w:eastAsia="zh-CN"/>
                    </w:rPr>
                    <w:t>0</w:t>
                  </w:r>
                  <w:r>
                    <w:rPr>
                      <w:rFonts w:hint="default" w:ascii="Times New Roman" w:hAnsi="Times New Roman" w:eastAsia="宋体" w:cs="Times New Roman"/>
                      <w:color w:val="auto"/>
                      <w:kern w:val="0"/>
                      <w:szCs w:val="21"/>
                      <w:lang w:val="en-US" w:eastAsia="zh-CN"/>
                    </w:rPr>
                    <w:t>-08</w:t>
                  </w:r>
                </w:p>
              </w:tc>
              <w:tc>
                <w:tcPr>
                  <w:tcW w:w="518" w:type="dxa"/>
                  <w:shd w:val="clear" w:color="auto" w:fill="auto"/>
                  <w:noWrap w:val="0"/>
                  <w:vAlign w:val="center"/>
                </w:tcPr>
                <w:p w14:paraId="2459DFB1">
                  <w:pPr>
                    <w:pStyle w:val="219"/>
                    <w:spacing w:line="320" w:lineRule="exact"/>
                    <w:ind w:left="-105" w:leftChars="-50" w:right="-105" w:rightChars="-50"/>
                    <w:jc w:val="center"/>
                    <w:rPr>
                      <w:rFonts w:hint="eastAsia" w:ascii="Times New Roman" w:hAnsi="Times New Roman" w:eastAsia="宋体" w:cs="Times New Roman"/>
                      <w:caps w:val="0"/>
                      <w:color w:val="auto"/>
                      <w:sz w:val="21"/>
                      <w:szCs w:val="21"/>
                      <w:lang w:val="en-US" w:eastAsia="zh-CN"/>
                    </w:rPr>
                  </w:pPr>
                  <w:r>
                    <w:rPr>
                      <w:rFonts w:hint="eastAsia" w:cs="Times New Roman"/>
                      <w:caps w:val="0"/>
                      <w:color w:val="auto"/>
                      <w:sz w:val="21"/>
                      <w:szCs w:val="21"/>
                      <w:lang w:val="en-US" w:eastAsia="zh-CN"/>
                    </w:rPr>
                    <w:t>液态</w:t>
                  </w:r>
                </w:p>
              </w:tc>
              <w:tc>
                <w:tcPr>
                  <w:tcW w:w="962" w:type="dxa"/>
                  <w:shd w:val="clear" w:color="auto" w:fill="auto"/>
                  <w:noWrap w:val="0"/>
                  <w:vAlign w:val="center"/>
                </w:tcPr>
                <w:p w14:paraId="261221C6">
                  <w:pPr>
                    <w:spacing w:line="360" w:lineRule="exact"/>
                    <w:jc w:val="center"/>
                    <w:rPr>
                      <w:rFonts w:hint="default" w:ascii="Times New Roman" w:hAnsi="Times New Roman" w:cs="Times New Roman"/>
                      <w:caps w:val="0"/>
                      <w:color w:val="auto"/>
                      <w:kern w:val="2"/>
                      <w:sz w:val="21"/>
                      <w:szCs w:val="21"/>
                      <w:lang w:val="en-US" w:eastAsia="zh-CN" w:bidi="ar-SA"/>
                    </w:rPr>
                  </w:pPr>
                  <w:r>
                    <w:rPr>
                      <w:rFonts w:hint="eastAsia" w:cs="Times New Roman"/>
                      <w:caps w:val="0"/>
                      <w:color w:val="auto"/>
                      <w:kern w:val="2"/>
                      <w:sz w:val="21"/>
                      <w:szCs w:val="21"/>
                      <w:lang w:val="en-US" w:eastAsia="zh-CN" w:bidi="ar-SA"/>
                    </w:rPr>
                    <w:t>4.536</w:t>
                  </w:r>
                </w:p>
              </w:tc>
              <w:tc>
                <w:tcPr>
                  <w:tcW w:w="790" w:type="dxa"/>
                  <w:shd w:val="clear" w:color="auto" w:fill="auto"/>
                  <w:noWrap w:val="0"/>
                  <w:vAlign w:val="center"/>
                </w:tcPr>
                <w:p w14:paraId="325BDE90">
                  <w:pPr>
                    <w:pStyle w:val="219"/>
                    <w:spacing w:line="320" w:lineRule="exact"/>
                    <w:ind w:left="-105" w:leftChars="-50" w:right="-105" w:rightChars="-50"/>
                    <w:jc w:val="center"/>
                    <w:rPr>
                      <w:rFonts w:hint="default" w:cs="Times New Roman"/>
                      <w:caps w:val="0"/>
                      <w:color w:val="auto"/>
                      <w:sz w:val="21"/>
                      <w:szCs w:val="21"/>
                      <w:lang w:val="en-US" w:eastAsia="zh-CN"/>
                    </w:rPr>
                  </w:pPr>
                  <w:r>
                    <w:rPr>
                      <w:rFonts w:hint="eastAsia" w:cs="Times New Roman"/>
                      <w:caps w:val="0"/>
                      <w:color w:val="auto"/>
                      <w:sz w:val="21"/>
                      <w:szCs w:val="21"/>
                      <w:lang w:val="en-US" w:eastAsia="zh-CN"/>
                    </w:rPr>
                    <w:t>水性脱模剂</w:t>
                  </w:r>
                </w:p>
              </w:tc>
              <w:tc>
                <w:tcPr>
                  <w:tcW w:w="623" w:type="dxa"/>
                  <w:shd w:val="clear" w:color="auto" w:fill="auto"/>
                  <w:noWrap w:val="0"/>
                  <w:vAlign w:val="center"/>
                </w:tcPr>
                <w:p w14:paraId="6EF2D70C">
                  <w:pPr>
                    <w:pStyle w:val="219"/>
                    <w:spacing w:line="320" w:lineRule="exact"/>
                    <w:ind w:left="-105" w:leftChars="-50" w:right="-105" w:rightChars="-50"/>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bCs/>
                      <w:color w:val="auto"/>
                      <w:sz w:val="21"/>
                      <w:szCs w:val="21"/>
                      <w:lang w:val="en-US" w:eastAsia="zh-CN"/>
                    </w:rPr>
                    <w:t>T，I</w:t>
                  </w:r>
                </w:p>
              </w:tc>
              <w:tc>
                <w:tcPr>
                  <w:tcW w:w="389" w:type="dxa"/>
                  <w:shd w:val="clear" w:color="auto" w:fill="auto"/>
                  <w:noWrap w:val="0"/>
                  <w:vAlign w:val="center"/>
                </w:tcPr>
                <w:p w14:paraId="73D99D7E">
                  <w:pPr>
                    <w:spacing w:line="360" w:lineRule="exact"/>
                    <w:jc w:val="center"/>
                    <w:rPr>
                      <w:rFonts w:hint="default" w:ascii="Times New Roman" w:hAnsi="Times New Roman" w:cs="Times New Roman"/>
                      <w:caps w:val="0"/>
                      <w:color w:val="auto"/>
                      <w:sz w:val="21"/>
                      <w:szCs w:val="21"/>
                      <w:lang w:val="en-US" w:eastAsia="zh-CN"/>
                    </w:rPr>
                  </w:pPr>
                  <w:r>
                    <w:rPr>
                      <w:rFonts w:hint="default" w:ascii="Times New Roman" w:hAnsi="Times New Roman" w:eastAsia="宋体" w:cs="Times New Roman"/>
                      <w:caps w:val="0"/>
                      <w:color w:val="auto"/>
                      <w:sz w:val="21"/>
                      <w:szCs w:val="21"/>
                      <w:lang w:eastAsia="zh-CN"/>
                    </w:rPr>
                    <w:t>桶装</w:t>
                  </w:r>
                </w:p>
              </w:tc>
              <w:tc>
                <w:tcPr>
                  <w:tcW w:w="773" w:type="dxa"/>
                  <w:vMerge w:val="continue"/>
                  <w:noWrap w:val="0"/>
                  <w:vAlign w:val="center"/>
                </w:tcPr>
                <w:p w14:paraId="3E4F71F6">
                  <w:pPr>
                    <w:spacing w:line="360" w:lineRule="exact"/>
                    <w:jc w:val="center"/>
                    <w:rPr>
                      <w:rFonts w:hint="default" w:ascii="Times New Roman" w:hAnsi="Times New Roman" w:eastAsia="宋体" w:cs="Times New Roman"/>
                      <w:caps w:val="0"/>
                      <w:color w:val="auto"/>
                      <w:sz w:val="21"/>
                      <w:szCs w:val="21"/>
                    </w:rPr>
                  </w:pPr>
                </w:p>
              </w:tc>
            </w:tr>
            <w:tr w14:paraId="6CE5D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88" w:type="dxa"/>
                  <w:shd w:val="clear" w:color="auto" w:fill="auto"/>
                  <w:noWrap w:val="0"/>
                  <w:vAlign w:val="center"/>
                </w:tcPr>
                <w:p w14:paraId="1227F826">
                  <w:pPr>
                    <w:spacing w:line="360" w:lineRule="exact"/>
                    <w:jc w:val="center"/>
                    <w:rPr>
                      <w:rFonts w:hint="default" w:ascii="Times New Roman" w:hAnsi="Times New Roman" w:cs="Times New Roman"/>
                      <w:caps w:val="0"/>
                      <w:color w:val="auto"/>
                      <w:kern w:val="2"/>
                      <w:sz w:val="21"/>
                      <w:szCs w:val="21"/>
                      <w:lang w:val="en-US" w:eastAsia="zh-CN" w:bidi="ar-SA"/>
                    </w:rPr>
                  </w:pPr>
                  <w:r>
                    <w:rPr>
                      <w:rFonts w:hint="eastAsia" w:cs="Times New Roman"/>
                      <w:caps w:val="0"/>
                      <w:color w:val="auto"/>
                      <w:kern w:val="2"/>
                      <w:sz w:val="21"/>
                      <w:szCs w:val="21"/>
                      <w:lang w:val="en-US" w:eastAsia="zh-CN" w:bidi="ar-SA"/>
                    </w:rPr>
                    <w:t>15</w:t>
                  </w:r>
                </w:p>
              </w:tc>
              <w:tc>
                <w:tcPr>
                  <w:tcW w:w="900" w:type="dxa"/>
                  <w:shd w:val="clear" w:color="auto" w:fill="auto"/>
                  <w:noWrap w:val="0"/>
                  <w:vAlign w:val="center"/>
                </w:tcPr>
                <w:p w14:paraId="47AE9BAB">
                  <w:pPr>
                    <w:spacing w:line="360" w:lineRule="exact"/>
                    <w:jc w:val="center"/>
                    <w:rPr>
                      <w:rFonts w:hint="default" w:ascii="Times New Roman" w:hAnsi="Times New Roman" w:cs="Times New Roman" w:eastAsiaTheme="minorEastAsia"/>
                      <w:color w:val="auto"/>
                      <w:kern w:val="0"/>
                      <w:sz w:val="21"/>
                      <w:szCs w:val="21"/>
                      <w:lang w:eastAsia="zh-CN"/>
                    </w:rPr>
                  </w:pPr>
                  <w:r>
                    <w:rPr>
                      <w:rFonts w:hint="default" w:ascii="Times New Roman" w:hAnsi="Times New Roman" w:cs="Times New Roman" w:eastAsiaTheme="minorEastAsia"/>
                      <w:color w:val="auto"/>
                      <w:kern w:val="0"/>
                      <w:sz w:val="21"/>
                      <w:szCs w:val="21"/>
                      <w:lang w:eastAsia="zh-CN"/>
                    </w:rPr>
                    <w:t>废活</w:t>
                  </w:r>
                </w:p>
                <w:p w14:paraId="6FE564B7">
                  <w:pPr>
                    <w:spacing w:line="360" w:lineRule="exact"/>
                    <w:jc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lang w:eastAsia="zh-CN"/>
                    </w:rPr>
                    <w:t>性炭</w:t>
                  </w:r>
                </w:p>
              </w:tc>
              <w:tc>
                <w:tcPr>
                  <w:tcW w:w="709" w:type="dxa"/>
                  <w:shd w:val="clear" w:color="auto" w:fill="auto"/>
                  <w:noWrap w:val="0"/>
                  <w:vAlign w:val="center"/>
                </w:tcPr>
                <w:p w14:paraId="6F9C3F31">
                  <w:pPr>
                    <w:spacing w:line="360" w:lineRule="exact"/>
                    <w:jc w:val="center"/>
                    <w:rPr>
                      <w:rFonts w:hint="default" w:ascii="Times New Roman" w:hAnsi="Times New Roman" w:cs="Times New Roman" w:eastAsiaTheme="minorEastAsia"/>
                      <w:color w:val="auto"/>
                      <w:kern w:val="0"/>
                      <w:sz w:val="21"/>
                      <w:szCs w:val="21"/>
                      <w:lang w:eastAsia="zh-CN"/>
                    </w:rPr>
                  </w:pPr>
                  <w:r>
                    <w:rPr>
                      <w:rFonts w:hint="default" w:ascii="Times New Roman" w:hAnsi="Times New Roman" w:cs="Times New Roman" w:eastAsiaTheme="minorEastAsia"/>
                      <w:color w:val="auto"/>
                      <w:kern w:val="0"/>
                      <w:sz w:val="21"/>
                      <w:szCs w:val="21"/>
                      <w:lang w:eastAsia="zh-CN"/>
                    </w:rPr>
                    <w:t>废气</w:t>
                  </w:r>
                </w:p>
                <w:p w14:paraId="2FC76BCF">
                  <w:pPr>
                    <w:spacing w:line="360" w:lineRule="exact"/>
                    <w:jc w:val="center"/>
                    <w:rPr>
                      <w:rFonts w:hint="eastAsia"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lang w:eastAsia="zh-CN"/>
                    </w:rPr>
                    <w:t>治理</w:t>
                  </w:r>
                </w:p>
              </w:tc>
              <w:tc>
                <w:tcPr>
                  <w:tcW w:w="645" w:type="dxa"/>
                  <w:vMerge w:val="continue"/>
                  <w:noWrap w:val="0"/>
                  <w:vAlign w:val="center"/>
                </w:tcPr>
                <w:p w14:paraId="2496E325">
                  <w:pPr>
                    <w:spacing w:line="360" w:lineRule="exact"/>
                    <w:jc w:val="center"/>
                    <w:rPr>
                      <w:rFonts w:hint="default" w:ascii="Times New Roman" w:hAnsi="Times New Roman" w:eastAsia="宋体" w:cs="Times New Roman"/>
                      <w:caps w:val="0"/>
                      <w:color w:val="auto"/>
                      <w:sz w:val="21"/>
                      <w:szCs w:val="21"/>
                      <w:lang w:val="en-US" w:eastAsia="zh-CN"/>
                    </w:rPr>
                  </w:pPr>
                </w:p>
              </w:tc>
              <w:tc>
                <w:tcPr>
                  <w:tcW w:w="1710" w:type="dxa"/>
                  <w:shd w:val="clear" w:color="auto" w:fill="auto"/>
                  <w:noWrap w:val="0"/>
                  <w:vAlign w:val="center"/>
                </w:tcPr>
                <w:p w14:paraId="454A3F0F">
                  <w:pPr>
                    <w:spacing w:line="360" w:lineRule="exact"/>
                    <w:jc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lang w:val="en-US" w:eastAsia="zh-CN"/>
                    </w:rPr>
                    <w:t>HW49 900-039-49</w:t>
                  </w:r>
                </w:p>
              </w:tc>
              <w:tc>
                <w:tcPr>
                  <w:tcW w:w="518" w:type="dxa"/>
                  <w:shd w:val="clear" w:color="auto" w:fill="auto"/>
                  <w:noWrap w:val="0"/>
                  <w:vAlign w:val="center"/>
                </w:tcPr>
                <w:p w14:paraId="0A5DECAA">
                  <w:pPr>
                    <w:pStyle w:val="219"/>
                    <w:spacing w:line="320" w:lineRule="exact"/>
                    <w:ind w:left="-105" w:leftChars="-50" w:right="-105" w:rightChars="-50"/>
                    <w:jc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lang w:val="en-US" w:eastAsia="zh-CN" w:bidi="ar-SA"/>
                    </w:rPr>
                    <w:t>固</w:t>
                  </w:r>
                </w:p>
                <w:p w14:paraId="6EBD68E8">
                  <w:pPr>
                    <w:pStyle w:val="219"/>
                    <w:spacing w:line="320" w:lineRule="exact"/>
                    <w:ind w:left="-105" w:leftChars="-50" w:right="-105" w:rightChars="-50"/>
                    <w:jc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lang w:val="en-US" w:eastAsia="zh-CN" w:bidi="ar-SA"/>
                    </w:rPr>
                    <w:t>态</w:t>
                  </w:r>
                </w:p>
              </w:tc>
              <w:tc>
                <w:tcPr>
                  <w:tcW w:w="962" w:type="dxa"/>
                  <w:shd w:val="clear" w:color="auto" w:fill="auto"/>
                  <w:noWrap w:val="0"/>
                  <w:vAlign w:val="center"/>
                </w:tcPr>
                <w:p w14:paraId="4A85BED6">
                  <w:pPr>
                    <w:spacing w:line="360" w:lineRule="exact"/>
                    <w:jc w:val="center"/>
                    <w:rPr>
                      <w:rFonts w:hint="eastAsia" w:ascii="Times New Roman" w:hAnsi="Times New Roman" w:cs="Times New Roman" w:eastAsiaTheme="minorEastAsia"/>
                      <w:color w:val="auto"/>
                      <w:kern w:val="0"/>
                      <w:sz w:val="21"/>
                      <w:szCs w:val="21"/>
                      <w:lang w:val="en-US" w:eastAsia="zh-CN" w:bidi="ar-SA"/>
                    </w:rPr>
                  </w:pPr>
                  <w:r>
                    <w:rPr>
                      <w:rFonts w:hint="eastAsia" w:cs="Times New Roman" w:eastAsiaTheme="minorEastAsia"/>
                      <w:color w:val="auto"/>
                      <w:kern w:val="0"/>
                      <w:sz w:val="21"/>
                      <w:szCs w:val="21"/>
                      <w:lang w:val="en-US" w:eastAsia="zh-CN" w:bidi="ar-SA"/>
                    </w:rPr>
                    <w:t>2.6524</w:t>
                  </w:r>
                </w:p>
              </w:tc>
              <w:tc>
                <w:tcPr>
                  <w:tcW w:w="790" w:type="dxa"/>
                  <w:shd w:val="clear" w:color="auto" w:fill="auto"/>
                  <w:noWrap w:val="0"/>
                  <w:vAlign w:val="center"/>
                </w:tcPr>
                <w:p w14:paraId="53BE4133">
                  <w:pPr>
                    <w:pStyle w:val="219"/>
                    <w:spacing w:line="320" w:lineRule="exact"/>
                    <w:ind w:left="-105" w:leftChars="-50" w:right="-105" w:rightChars="-50"/>
                    <w:jc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lang w:val="en-US" w:eastAsia="zh-CN" w:bidi="ar-SA"/>
                    </w:rPr>
                    <w:t>有机物</w:t>
                  </w:r>
                </w:p>
              </w:tc>
              <w:tc>
                <w:tcPr>
                  <w:tcW w:w="623" w:type="dxa"/>
                  <w:shd w:val="clear" w:color="auto" w:fill="auto"/>
                  <w:noWrap w:val="0"/>
                  <w:vAlign w:val="center"/>
                </w:tcPr>
                <w:p w14:paraId="64D1AA97">
                  <w:pPr>
                    <w:pStyle w:val="219"/>
                    <w:spacing w:line="320" w:lineRule="exact"/>
                    <w:ind w:left="-105" w:leftChars="-50" w:right="-105" w:rightChars="-50"/>
                    <w:jc w:val="center"/>
                    <w:rPr>
                      <w:rFonts w:hint="default" w:ascii="Times New Roman" w:hAnsi="Times New Roman" w:eastAsia="宋体" w:cs="Times New Roman"/>
                      <w:caps w:val="0"/>
                      <w:color w:val="auto"/>
                      <w:kern w:val="0"/>
                      <w:sz w:val="21"/>
                      <w:szCs w:val="21"/>
                      <w:lang w:val="en-US" w:eastAsia="zh-CN" w:bidi="ar-SA"/>
                    </w:rPr>
                  </w:pPr>
                  <w:r>
                    <w:rPr>
                      <w:rFonts w:hint="default" w:ascii="Times New Roman" w:hAnsi="Times New Roman" w:cs="Times New Roman"/>
                      <w:caps w:val="0"/>
                      <w:color w:val="auto"/>
                      <w:kern w:val="2"/>
                      <w:sz w:val="21"/>
                      <w:szCs w:val="21"/>
                      <w:lang w:val="en-US" w:eastAsia="zh-CN" w:bidi="ar-SA"/>
                    </w:rPr>
                    <w:t>T</w:t>
                  </w:r>
                </w:p>
              </w:tc>
              <w:tc>
                <w:tcPr>
                  <w:tcW w:w="389" w:type="dxa"/>
                  <w:shd w:val="clear" w:color="auto" w:fill="auto"/>
                  <w:noWrap w:val="0"/>
                  <w:vAlign w:val="center"/>
                </w:tcPr>
                <w:p w14:paraId="430E1A85">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cs="Times New Roman"/>
                      <w:caps w:val="0"/>
                      <w:color w:val="auto"/>
                      <w:sz w:val="21"/>
                      <w:szCs w:val="21"/>
                      <w:lang w:val="en-US" w:eastAsia="zh-CN"/>
                    </w:rPr>
                    <w:t>袋装</w:t>
                  </w:r>
                </w:p>
              </w:tc>
              <w:tc>
                <w:tcPr>
                  <w:tcW w:w="773" w:type="dxa"/>
                  <w:vMerge w:val="continue"/>
                  <w:noWrap w:val="0"/>
                  <w:vAlign w:val="center"/>
                </w:tcPr>
                <w:p w14:paraId="19231D7D">
                  <w:pPr>
                    <w:spacing w:line="360" w:lineRule="exact"/>
                    <w:jc w:val="center"/>
                    <w:rPr>
                      <w:rFonts w:hint="default" w:ascii="Times New Roman" w:hAnsi="Times New Roman" w:eastAsia="宋体" w:cs="Times New Roman"/>
                      <w:caps w:val="0"/>
                      <w:color w:val="auto"/>
                      <w:sz w:val="21"/>
                      <w:szCs w:val="21"/>
                    </w:rPr>
                  </w:pPr>
                </w:p>
              </w:tc>
            </w:tr>
            <w:tr w14:paraId="7C076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388" w:type="dxa"/>
                  <w:shd w:val="clear" w:color="auto" w:fill="auto"/>
                  <w:noWrap w:val="0"/>
                  <w:vAlign w:val="center"/>
                </w:tcPr>
                <w:p w14:paraId="65298CFC">
                  <w:pPr>
                    <w:spacing w:line="360" w:lineRule="exact"/>
                    <w:jc w:val="center"/>
                    <w:rPr>
                      <w:rFonts w:hint="default" w:cs="Times New Roman"/>
                      <w:caps w:val="0"/>
                      <w:color w:val="auto"/>
                      <w:kern w:val="2"/>
                      <w:sz w:val="21"/>
                      <w:szCs w:val="21"/>
                      <w:lang w:val="en-US" w:eastAsia="zh-CN" w:bidi="ar-SA"/>
                    </w:rPr>
                  </w:pPr>
                  <w:r>
                    <w:rPr>
                      <w:rFonts w:hint="eastAsia" w:cs="Times New Roman"/>
                      <w:caps w:val="0"/>
                      <w:color w:val="auto"/>
                      <w:kern w:val="2"/>
                      <w:sz w:val="21"/>
                      <w:szCs w:val="21"/>
                      <w:lang w:val="en-US" w:eastAsia="zh-CN" w:bidi="ar-SA"/>
                    </w:rPr>
                    <w:t>16</w:t>
                  </w:r>
                </w:p>
              </w:tc>
              <w:tc>
                <w:tcPr>
                  <w:tcW w:w="900" w:type="dxa"/>
                  <w:shd w:val="clear" w:color="auto" w:fill="auto"/>
                  <w:noWrap w:val="0"/>
                  <w:vAlign w:val="center"/>
                </w:tcPr>
                <w:p w14:paraId="56309261">
                  <w:pPr>
                    <w:spacing w:line="360" w:lineRule="exact"/>
                    <w:jc w:val="center"/>
                    <w:rPr>
                      <w:rFonts w:hint="default" w:ascii="Times New Roman" w:hAnsi="Times New Roman" w:cs="Times New Roman" w:eastAsiaTheme="minorEastAsia"/>
                      <w:color w:val="auto"/>
                      <w:kern w:val="0"/>
                      <w:sz w:val="21"/>
                      <w:szCs w:val="21"/>
                      <w:lang w:eastAsia="zh-CN"/>
                    </w:rPr>
                  </w:pPr>
                  <w:r>
                    <w:rPr>
                      <w:rFonts w:hint="default" w:ascii="Times New Roman" w:hAnsi="Times New Roman" w:cs="Times New Roman"/>
                      <w:color w:val="auto"/>
                      <w:kern w:val="0"/>
                      <w:szCs w:val="21"/>
                      <w:lang w:val="en-US" w:eastAsia="zh-CN"/>
                    </w:rPr>
                    <w:t>油雾净化器收集的废油</w:t>
                  </w:r>
                </w:p>
              </w:tc>
              <w:tc>
                <w:tcPr>
                  <w:tcW w:w="709" w:type="dxa"/>
                  <w:shd w:val="clear" w:color="auto" w:fill="auto"/>
                  <w:noWrap w:val="0"/>
                  <w:vAlign w:val="center"/>
                </w:tcPr>
                <w:p w14:paraId="1A13074A">
                  <w:pPr>
                    <w:spacing w:line="360" w:lineRule="exact"/>
                    <w:jc w:val="center"/>
                    <w:rPr>
                      <w:rFonts w:hint="default" w:ascii="Times New Roman" w:hAnsi="Times New Roman" w:cs="Times New Roman" w:eastAsiaTheme="minorEastAsia"/>
                      <w:color w:val="auto"/>
                      <w:kern w:val="0"/>
                      <w:sz w:val="21"/>
                      <w:szCs w:val="21"/>
                      <w:lang w:eastAsia="zh-CN"/>
                    </w:rPr>
                  </w:pPr>
                  <w:r>
                    <w:rPr>
                      <w:rFonts w:hint="default" w:ascii="Times New Roman" w:hAnsi="Times New Roman" w:cs="Times New Roman" w:eastAsiaTheme="minorEastAsia"/>
                      <w:color w:val="auto"/>
                      <w:kern w:val="0"/>
                      <w:sz w:val="21"/>
                      <w:szCs w:val="21"/>
                      <w:lang w:eastAsia="zh-CN"/>
                    </w:rPr>
                    <w:t>废气</w:t>
                  </w:r>
                </w:p>
                <w:p w14:paraId="332CE9EA">
                  <w:pPr>
                    <w:spacing w:line="360" w:lineRule="exact"/>
                    <w:jc w:val="center"/>
                    <w:rPr>
                      <w:rFonts w:hint="default" w:ascii="Times New Roman" w:hAnsi="Times New Roman" w:cs="Times New Roman" w:eastAsiaTheme="minorEastAsia"/>
                      <w:color w:val="auto"/>
                      <w:kern w:val="0"/>
                      <w:sz w:val="21"/>
                      <w:szCs w:val="21"/>
                      <w:lang w:eastAsia="zh-CN"/>
                    </w:rPr>
                  </w:pPr>
                  <w:r>
                    <w:rPr>
                      <w:rFonts w:hint="default" w:ascii="Times New Roman" w:hAnsi="Times New Roman" w:cs="Times New Roman" w:eastAsiaTheme="minorEastAsia"/>
                      <w:color w:val="auto"/>
                      <w:kern w:val="0"/>
                      <w:sz w:val="21"/>
                      <w:szCs w:val="21"/>
                      <w:lang w:eastAsia="zh-CN"/>
                    </w:rPr>
                    <w:t>治理</w:t>
                  </w:r>
                </w:p>
              </w:tc>
              <w:tc>
                <w:tcPr>
                  <w:tcW w:w="645" w:type="dxa"/>
                  <w:vMerge w:val="continue"/>
                  <w:noWrap w:val="0"/>
                  <w:vAlign w:val="center"/>
                </w:tcPr>
                <w:p w14:paraId="52C75009">
                  <w:pPr>
                    <w:spacing w:line="360" w:lineRule="exact"/>
                    <w:jc w:val="center"/>
                    <w:rPr>
                      <w:rFonts w:hint="default" w:ascii="Times New Roman" w:hAnsi="Times New Roman" w:eastAsia="宋体" w:cs="Times New Roman"/>
                      <w:caps w:val="0"/>
                      <w:color w:val="auto"/>
                      <w:sz w:val="21"/>
                      <w:szCs w:val="21"/>
                      <w:lang w:val="en-US" w:eastAsia="zh-CN"/>
                    </w:rPr>
                  </w:pPr>
                </w:p>
              </w:tc>
              <w:tc>
                <w:tcPr>
                  <w:tcW w:w="1710" w:type="dxa"/>
                  <w:shd w:val="clear" w:color="auto" w:fill="auto"/>
                  <w:noWrap w:val="0"/>
                  <w:vAlign w:val="center"/>
                </w:tcPr>
                <w:p w14:paraId="0E3883AE">
                  <w:pPr>
                    <w:spacing w:line="360" w:lineRule="exact"/>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color w:val="auto"/>
                      <w:kern w:val="0"/>
                      <w:szCs w:val="21"/>
                      <w:lang w:val="en-US" w:eastAsia="zh-CN"/>
                    </w:rPr>
                    <w:t>HW08 900-214-08</w:t>
                  </w:r>
                </w:p>
              </w:tc>
              <w:tc>
                <w:tcPr>
                  <w:tcW w:w="518" w:type="dxa"/>
                  <w:shd w:val="clear" w:color="auto" w:fill="auto"/>
                  <w:noWrap w:val="0"/>
                  <w:vAlign w:val="center"/>
                </w:tcPr>
                <w:p w14:paraId="152E621B">
                  <w:pPr>
                    <w:pStyle w:val="219"/>
                    <w:spacing w:line="320" w:lineRule="exact"/>
                    <w:ind w:left="-105" w:leftChars="-50" w:right="-105" w:rightChars="-50"/>
                    <w:jc w:val="center"/>
                    <w:rPr>
                      <w:rFonts w:hint="default" w:ascii="Times New Roman" w:hAnsi="Times New Roman" w:cs="Times New Roman" w:eastAsiaTheme="minorEastAsia"/>
                      <w:color w:val="auto"/>
                      <w:kern w:val="0"/>
                      <w:sz w:val="21"/>
                      <w:szCs w:val="21"/>
                      <w:lang w:val="en-US" w:eastAsia="zh-CN" w:bidi="ar-SA"/>
                    </w:rPr>
                  </w:pPr>
                  <w:r>
                    <w:rPr>
                      <w:rFonts w:hint="eastAsia" w:cs="Times New Roman" w:eastAsiaTheme="minorEastAsia"/>
                      <w:color w:val="auto"/>
                      <w:kern w:val="0"/>
                      <w:sz w:val="21"/>
                      <w:szCs w:val="21"/>
                      <w:lang w:val="en-US" w:eastAsia="zh-CN" w:bidi="ar-SA"/>
                    </w:rPr>
                    <w:t>液态</w:t>
                  </w:r>
                </w:p>
              </w:tc>
              <w:tc>
                <w:tcPr>
                  <w:tcW w:w="962" w:type="dxa"/>
                  <w:shd w:val="clear" w:color="auto" w:fill="auto"/>
                  <w:noWrap w:val="0"/>
                  <w:vAlign w:val="center"/>
                </w:tcPr>
                <w:p w14:paraId="6F5C23DF">
                  <w:pPr>
                    <w:spacing w:line="360" w:lineRule="exact"/>
                    <w:jc w:val="center"/>
                    <w:rPr>
                      <w:rFonts w:hint="default" w:cs="Times New Roman" w:eastAsiaTheme="minorEastAsia"/>
                      <w:color w:val="auto"/>
                      <w:kern w:val="0"/>
                      <w:sz w:val="21"/>
                      <w:szCs w:val="21"/>
                      <w:lang w:val="en-US" w:eastAsia="zh-CN" w:bidi="ar-SA"/>
                    </w:rPr>
                  </w:pPr>
                  <w:r>
                    <w:rPr>
                      <w:rFonts w:hint="eastAsia" w:cs="Times New Roman" w:eastAsiaTheme="minorEastAsia"/>
                      <w:color w:val="auto"/>
                      <w:kern w:val="0"/>
                      <w:sz w:val="21"/>
                      <w:szCs w:val="21"/>
                      <w:lang w:val="en-US" w:eastAsia="zh-CN" w:bidi="ar-SA"/>
                    </w:rPr>
                    <w:t>0.05</w:t>
                  </w:r>
                </w:p>
              </w:tc>
              <w:tc>
                <w:tcPr>
                  <w:tcW w:w="790" w:type="dxa"/>
                  <w:shd w:val="clear" w:color="auto" w:fill="auto"/>
                  <w:noWrap w:val="0"/>
                  <w:vAlign w:val="center"/>
                </w:tcPr>
                <w:p w14:paraId="42F292D0">
                  <w:pPr>
                    <w:pStyle w:val="219"/>
                    <w:spacing w:line="320" w:lineRule="exact"/>
                    <w:ind w:left="-105" w:leftChars="-50" w:right="-105" w:rightChars="-50"/>
                    <w:jc w:val="center"/>
                    <w:rPr>
                      <w:rFonts w:hint="default" w:ascii="Times New Roman" w:hAnsi="Times New Roman" w:cs="Times New Roman" w:eastAsiaTheme="minorEastAsia"/>
                      <w:color w:val="auto"/>
                      <w:kern w:val="0"/>
                      <w:sz w:val="21"/>
                      <w:szCs w:val="21"/>
                      <w:lang w:val="en-US" w:eastAsia="zh-CN" w:bidi="ar-SA"/>
                    </w:rPr>
                  </w:pPr>
                  <w:r>
                    <w:rPr>
                      <w:rFonts w:hint="eastAsia" w:cs="Times New Roman" w:eastAsiaTheme="minorEastAsia"/>
                      <w:color w:val="auto"/>
                      <w:kern w:val="0"/>
                      <w:sz w:val="21"/>
                      <w:szCs w:val="21"/>
                      <w:lang w:val="en-US" w:eastAsia="zh-CN" w:bidi="ar-SA"/>
                    </w:rPr>
                    <w:t>矿物油</w:t>
                  </w:r>
                </w:p>
              </w:tc>
              <w:tc>
                <w:tcPr>
                  <w:tcW w:w="623" w:type="dxa"/>
                  <w:shd w:val="clear" w:color="auto" w:fill="auto"/>
                  <w:noWrap w:val="0"/>
                  <w:vAlign w:val="center"/>
                </w:tcPr>
                <w:p w14:paraId="2D8648D6">
                  <w:pPr>
                    <w:pStyle w:val="219"/>
                    <w:spacing w:line="320" w:lineRule="exact"/>
                    <w:ind w:left="-105" w:leftChars="-50" w:right="-105" w:rightChars="-50"/>
                    <w:jc w:val="center"/>
                    <w:rPr>
                      <w:rFonts w:hint="default" w:ascii="Times New Roman" w:hAnsi="Times New Roman" w:cs="Times New Roman"/>
                      <w:caps w:val="0"/>
                      <w:color w:val="auto"/>
                      <w:kern w:val="2"/>
                      <w:sz w:val="21"/>
                      <w:szCs w:val="21"/>
                      <w:lang w:val="en-US" w:eastAsia="zh-CN" w:bidi="ar-SA"/>
                    </w:rPr>
                  </w:pPr>
                  <w:r>
                    <w:rPr>
                      <w:rFonts w:hint="default" w:ascii="Times New Roman" w:hAnsi="Times New Roman" w:eastAsia="宋体" w:cs="Times New Roman"/>
                      <w:bCs/>
                      <w:color w:val="auto"/>
                      <w:sz w:val="21"/>
                      <w:szCs w:val="21"/>
                      <w:lang w:val="en-US" w:eastAsia="zh-CN"/>
                    </w:rPr>
                    <w:t>T，I</w:t>
                  </w:r>
                </w:p>
              </w:tc>
              <w:tc>
                <w:tcPr>
                  <w:tcW w:w="389" w:type="dxa"/>
                  <w:shd w:val="clear" w:color="auto" w:fill="auto"/>
                  <w:noWrap w:val="0"/>
                  <w:vAlign w:val="center"/>
                </w:tcPr>
                <w:p w14:paraId="401804F7">
                  <w:pPr>
                    <w:spacing w:line="360" w:lineRule="exact"/>
                    <w:jc w:val="center"/>
                    <w:rPr>
                      <w:rFonts w:hint="default" w:ascii="Times New Roman" w:hAnsi="Times New Roman" w:cs="Times New Roman"/>
                      <w:caps w:val="0"/>
                      <w:color w:val="auto"/>
                      <w:sz w:val="21"/>
                      <w:szCs w:val="21"/>
                      <w:lang w:val="en-US" w:eastAsia="zh-CN"/>
                    </w:rPr>
                  </w:pPr>
                  <w:r>
                    <w:rPr>
                      <w:rFonts w:hint="default" w:ascii="Times New Roman" w:hAnsi="Times New Roman" w:eastAsia="宋体" w:cs="Times New Roman"/>
                      <w:caps w:val="0"/>
                      <w:color w:val="auto"/>
                      <w:sz w:val="21"/>
                      <w:szCs w:val="21"/>
                      <w:lang w:eastAsia="zh-CN"/>
                    </w:rPr>
                    <w:t>桶装</w:t>
                  </w:r>
                </w:p>
              </w:tc>
              <w:tc>
                <w:tcPr>
                  <w:tcW w:w="773" w:type="dxa"/>
                  <w:vMerge w:val="continue"/>
                  <w:noWrap w:val="0"/>
                  <w:vAlign w:val="center"/>
                </w:tcPr>
                <w:p w14:paraId="5778B63D">
                  <w:pPr>
                    <w:spacing w:line="360" w:lineRule="exact"/>
                    <w:jc w:val="center"/>
                    <w:rPr>
                      <w:rFonts w:hint="default" w:ascii="Times New Roman" w:hAnsi="Times New Roman" w:eastAsia="宋体" w:cs="Times New Roman"/>
                      <w:caps w:val="0"/>
                      <w:color w:val="auto"/>
                      <w:sz w:val="21"/>
                      <w:szCs w:val="21"/>
                    </w:rPr>
                  </w:pPr>
                </w:p>
              </w:tc>
            </w:tr>
            <w:tr w14:paraId="19DA6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0" w:hRule="atLeast"/>
                <w:jc w:val="center"/>
              </w:trPr>
              <w:tc>
                <w:tcPr>
                  <w:tcW w:w="388" w:type="dxa"/>
                  <w:shd w:val="clear" w:color="auto" w:fill="auto"/>
                  <w:noWrap w:val="0"/>
                  <w:vAlign w:val="center"/>
                </w:tcPr>
                <w:p w14:paraId="41866C51">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cs="Times New Roman"/>
                      <w:caps w:val="0"/>
                      <w:color w:val="auto"/>
                      <w:kern w:val="2"/>
                      <w:sz w:val="21"/>
                      <w:szCs w:val="21"/>
                      <w:lang w:val="en-US" w:eastAsia="zh-CN" w:bidi="ar-SA"/>
                    </w:rPr>
                    <w:t>1</w:t>
                  </w:r>
                  <w:r>
                    <w:rPr>
                      <w:rFonts w:hint="eastAsia" w:cs="Times New Roman"/>
                      <w:caps w:val="0"/>
                      <w:color w:val="auto"/>
                      <w:kern w:val="2"/>
                      <w:sz w:val="21"/>
                      <w:szCs w:val="21"/>
                      <w:lang w:val="en-US" w:eastAsia="zh-CN" w:bidi="ar-SA"/>
                    </w:rPr>
                    <w:t>7</w:t>
                  </w:r>
                </w:p>
              </w:tc>
              <w:tc>
                <w:tcPr>
                  <w:tcW w:w="900" w:type="dxa"/>
                  <w:noWrap w:val="0"/>
                  <w:vAlign w:val="center"/>
                </w:tcPr>
                <w:p w14:paraId="207A31C7">
                  <w:pPr>
                    <w:spacing w:line="360" w:lineRule="exact"/>
                    <w:jc w:val="center"/>
                    <w:rPr>
                      <w:rFonts w:hint="default" w:ascii="Times New Roman" w:hAnsi="Times New Roman" w:eastAsia="宋体" w:cs="Times New Roman"/>
                      <w:caps w:val="0"/>
                      <w:color w:val="auto"/>
                      <w:sz w:val="21"/>
                      <w:szCs w:val="21"/>
                      <w:lang w:eastAsia="zh-CN"/>
                    </w:rPr>
                  </w:pPr>
                  <w:r>
                    <w:rPr>
                      <w:rFonts w:hint="default" w:ascii="Times New Roman" w:hAnsi="Times New Roman" w:eastAsia="宋体" w:cs="Times New Roman"/>
                      <w:caps w:val="0"/>
                      <w:color w:val="auto"/>
                      <w:sz w:val="21"/>
                      <w:szCs w:val="21"/>
                      <w:lang w:eastAsia="zh-CN"/>
                    </w:rPr>
                    <w:t>办公</w:t>
                  </w:r>
                </w:p>
                <w:p w14:paraId="47D3A5F8">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aps w:val="0"/>
                      <w:color w:val="auto"/>
                      <w:sz w:val="21"/>
                      <w:szCs w:val="21"/>
                    </w:rPr>
                    <w:t>生活</w:t>
                  </w:r>
                </w:p>
              </w:tc>
              <w:tc>
                <w:tcPr>
                  <w:tcW w:w="709" w:type="dxa"/>
                  <w:noWrap w:val="0"/>
                  <w:vAlign w:val="center"/>
                </w:tcPr>
                <w:p w14:paraId="76B469F4">
                  <w:pPr>
                    <w:spacing w:line="360" w:lineRule="exact"/>
                    <w:jc w:val="center"/>
                    <w:rPr>
                      <w:rFonts w:hint="default" w:ascii="Times New Roman" w:hAnsi="Times New Roman" w:eastAsia="宋体" w:cs="Times New Roman"/>
                      <w:caps w:val="0"/>
                      <w:color w:val="auto"/>
                      <w:sz w:val="21"/>
                      <w:szCs w:val="21"/>
                    </w:rPr>
                  </w:pPr>
                  <w:r>
                    <w:rPr>
                      <w:rFonts w:hint="default" w:ascii="Times New Roman" w:hAnsi="Times New Roman" w:eastAsia="宋体" w:cs="Times New Roman"/>
                      <w:caps w:val="0"/>
                      <w:color w:val="auto"/>
                      <w:sz w:val="21"/>
                      <w:szCs w:val="21"/>
                    </w:rPr>
                    <w:t>办公</w:t>
                  </w:r>
                </w:p>
                <w:p w14:paraId="518CF6E3">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aps w:val="0"/>
                      <w:color w:val="auto"/>
                      <w:sz w:val="21"/>
                      <w:szCs w:val="21"/>
                    </w:rPr>
                    <w:t>生活</w:t>
                  </w:r>
                </w:p>
              </w:tc>
              <w:tc>
                <w:tcPr>
                  <w:tcW w:w="645" w:type="dxa"/>
                  <w:noWrap w:val="0"/>
                  <w:vAlign w:val="center"/>
                </w:tcPr>
                <w:p w14:paraId="14065853">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aps w:val="0"/>
                      <w:color w:val="auto"/>
                      <w:sz w:val="21"/>
                      <w:szCs w:val="21"/>
                    </w:rPr>
                    <w:t>生活垃圾</w:t>
                  </w:r>
                </w:p>
              </w:tc>
              <w:tc>
                <w:tcPr>
                  <w:tcW w:w="1710" w:type="dxa"/>
                  <w:noWrap w:val="0"/>
                  <w:vAlign w:val="center"/>
                </w:tcPr>
                <w:p w14:paraId="1883F47C">
                  <w:pPr>
                    <w:pStyle w:val="78"/>
                    <w:keepNext w:val="0"/>
                    <w:keepLines w:val="0"/>
                    <w:pageBreakBefore w:val="0"/>
                    <w:kinsoku/>
                    <w:wordWrap/>
                    <w:overflowPunct/>
                    <w:topLinePunct w:val="0"/>
                    <w:bidi w:val="0"/>
                    <w:snapToGrid/>
                    <w:spacing w:line="240" w:lineRule="auto"/>
                    <w:ind w:left="-42" w:leftChars="-20" w:right="-42" w:rightChars="-20" w:firstLine="0" w:firstLineChars="0"/>
                    <w:jc w:val="center"/>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SW64</w:t>
                  </w:r>
                  <w:r>
                    <w:rPr>
                      <w:rFonts w:hint="default" w:ascii="Times New Roman" w:hAnsi="Times New Roman" w:eastAsia="宋体" w:cs="Times New Roman"/>
                      <w:b w:val="0"/>
                      <w:bCs/>
                      <w:color w:val="auto"/>
                      <w:sz w:val="21"/>
                      <w:szCs w:val="21"/>
                    </w:rPr>
                    <w:t>/</w:t>
                  </w:r>
                  <w:r>
                    <w:rPr>
                      <w:rFonts w:hint="default" w:ascii="Times New Roman" w:hAnsi="Times New Roman" w:eastAsia="宋体" w:cs="Times New Roman"/>
                      <w:color w:val="auto"/>
                      <w:sz w:val="21"/>
                      <w:szCs w:val="21"/>
                      <w:lang w:val="en-US" w:eastAsia="zh-CN"/>
                    </w:rPr>
                    <w:t>900-099-S64</w:t>
                  </w:r>
                </w:p>
              </w:tc>
              <w:tc>
                <w:tcPr>
                  <w:tcW w:w="518" w:type="dxa"/>
                  <w:noWrap w:val="0"/>
                  <w:vAlign w:val="center"/>
                </w:tcPr>
                <w:p w14:paraId="235A6A4E">
                  <w:pPr>
                    <w:pStyle w:val="219"/>
                    <w:spacing w:line="320" w:lineRule="exact"/>
                    <w:ind w:left="-105" w:leftChars="-50" w:right="-105" w:rightChars="-50"/>
                    <w:jc w:val="center"/>
                    <w:rPr>
                      <w:rFonts w:hint="default" w:ascii="Times New Roman" w:hAnsi="Times New Roman" w:eastAsia="宋体" w:cs="Times New Roman"/>
                      <w:caps w:val="0"/>
                      <w:color w:val="auto"/>
                      <w:kern w:val="0"/>
                      <w:sz w:val="21"/>
                      <w:szCs w:val="21"/>
                      <w:lang w:val="en-US" w:eastAsia="zh-CN" w:bidi="ar-SA"/>
                    </w:rPr>
                  </w:pPr>
                  <w:r>
                    <w:rPr>
                      <w:rFonts w:hint="default" w:ascii="Times New Roman" w:hAnsi="Times New Roman" w:eastAsia="宋体" w:cs="Times New Roman"/>
                      <w:caps w:val="0"/>
                      <w:color w:val="auto"/>
                      <w:sz w:val="21"/>
                      <w:szCs w:val="21"/>
                      <w:lang w:val="en-US" w:eastAsia="zh-CN"/>
                    </w:rPr>
                    <w:t>固态</w:t>
                  </w:r>
                </w:p>
              </w:tc>
              <w:tc>
                <w:tcPr>
                  <w:tcW w:w="962" w:type="dxa"/>
                  <w:noWrap w:val="0"/>
                  <w:vAlign w:val="center"/>
                </w:tcPr>
                <w:p w14:paraId="39905AF5">
                  <w:pPr>
                    <w:pStyle w:val="219"/>
                    <w:spacing w:line="320" w:lineRule="exact"/>
                    <w:ind w:left="-105" w:leftChars="-50" w:right="-105" w:rightChars="-50"/>
                    <w:jc w:val="center"/>
                    <w:rPr>
                      <w:rFonts w:hint="default" w:ascii="Times New Roman" w:hAnsi="Times New Roman" w:eastAsia="宋体" w:cs="Times New Roman"/>
                      <w:caps w:val="0"/>
                      <w:color w:val="auto"/>
                      <w:kern w:val="2"/>
                      <w:sz w:val="21"/>
                      <w:szCs w:val="21"/>
                      <w:lang w:val="en-US" w:eastAsia="zh-CN" w:bidi="ar-SA"/>
                    </w:rPr>
                  </w:pPr>
                  <w:r>
                    <w:rPr>
                      <w:rFonts w:hint="eastAsia" w:cs="Times New Roman"/>
                      <w:caps w:val="0"/>
                      <w:color w:val="auto"/>
                      <w:kern w:val="2"/>
                      <w:sz w:val="21"/>
                      <w:szCs w:val="21"/>
                      <w:lang w:val="en-US" w:eastAsia="zh-CN" w:bidi="ar-SA"/>
                    </w:rPr>
                    <w:t>16</w:t>
                  </w:r>
                </w:p>
              </w:tc>
              <w:tc>
                <w:tcPr>
                  <w:tcW w:w="790" w:type="dxa"/>
                  <w:noWrap w:val="0"/>
                  <w:vAlign w:val="center"/>
                </w:tcPr>
                <w:p w14:paraId="7711903D">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cs="Times New Roman"/>
                      <w:caps w:val="0"/>
                      <w:color w:val="auto"/>
                      <w:sz w:val="21"/>
                      <w:szCs w:val="21"/>
                      <w:lang w:val="en-US" w:eastAsia="zh-CN"/>
                    </w:rPr>
                    <w:t>有机物及其他</w:t>
                  </w:r>
                </w:p>
              </w:tc>
              <w:tc>
                <w:tcPr>
                  <w:tcW w:w="623" w:type="dxa"/>
                  <w:noWrap w:val="0"/>
                  <w:vAlign w:val="center"/>
                </w:tcPr>
                <w:p w14:paraId="6078DCD1">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aps w:val="0"/>
                      <w:color w:val="auto"/>
                      <w:sz w:val="21"/>
                      <w:szCs w:val="21"/>
                      <w:lang w:val="en-US" w:eastAsia="zh-CN"/>
                    </w:rPr>
                    <w:t>/</w:t>
                  </w:r>
                </w:p>
              </w:tc>
              <w:tc>
                <w:tcPr>
                  <w:tcW w:w="389" w:type="dxa"/>
                  <w:noWrap w:val="0"/>
                  <w:vAlign w:val="center"/>
                </w:tcPr>
                <w:p w14:paraId="467862B1">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aps w:val="0"/>
                      <w:color w:val="auto"/>
                      <w:sz w:val="21"/>
                      <w:szCs w:val="21"/>
                      <w:lang w:val="en-US" w:eastAsia="zh-CN"/>
                    </w:rPr>
                    <w:t>/</w:t>
                  </w:r>
                </w:p>
              </w:tc>
              <w:tc>
                <w:tcPr>
                  <w:tcW w:w="773" w:type="dxa"/>
                  <w:noWrap w:val="0"/>
                  <w:vAlign w:val="center"/>
                </w:tcPr>
                <w:p w14:paraId="1D2E223E">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aps w:val="0"/>
                      <w:color w:val="auto"/>
                      <w:sz w:val="21"/>
                      <w:szCs w:val="21"/>
                    </w:rPr>
                    <w:t>委托环卫部门处理</w:t>
                  </w:r>
                </w:p>
              </w:tc>
            </w:tr>
          </w:tbl>
          <w:p w14:paraId="16BF5179">
            <w:pPr>
              <w:snapToGrid w:val="0"/>
              <w:spacing w:before="100" w:beforeAutospacing="1" w:line="360" w:lineRule="auto"/>
              <w:ind w:firstLine="472" w:firstLineChars="196"/>
              <w:outlineLvl w:val="3"/>
              <w:rPr>
                <w:rFonts w:hint="default" w:ascii="Times New Roman" w:hAnsi="Times New Roman" w:cs="Times New Roman"/>
                <w:b/>
                <w:bCs/>
                <w:color w:val="auto"/>
                <w:sz w:val="24"/>
              </w:rPr>
            </w:pPr>
            <w:r>
              <w:rPr>
                <w:rFonts w:hint="default" w:ascii="Times New Roman" w:hAnsi="Times New Roman" w:cs="Times New Roman"/>
                <w:b/>
                <w:color w:val="auto"/>
                <w:sz w:val="24"/>
              </w:rPr>
              <w:t>2、一般固废环境影响分析</w:t>
            </w:r>
            <w:r>
              <w:rPr>
                <w:rFonts w:hint="default" w:ascii="Times New Roman" w:hAnsi="Times New Roman" w:cs="Times New Roman"/>
                <w:b/>
                <w:bCs/>
                <w:color w:val="auto"/>
                <w:sz w:val="24"/>
              </w:rPr>
              <w:t>和保护措施</w:t>
            </w:r>
          </w:p>
          <w:p w14:paraId="6901B3A7">
            <w:pPr>
              <w:autoSpaceDE w:val="0"/>
              <w:autoSpaceDN w:val="0"/>
              <w:adjustRightInd w:val="0"/>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eastAsia="宋体" w:cs="Times New Roman"/>
                <w:color w:val="auto"/>
                <w:kern w:val="0"/>
                <w:sz w:val="24"/>
                <w:lang w:eastAsia="zh-CN"/>
              </w:rPr>
              <w:t>本项目新增一般固废库，</w:t>
            </w:r>
            <w:r>
              <w:rPr>
                <w:rFonts w:hint="default" w:ascii="Times New Roman" w:hAnsi="Times New Roman" w:cs="Times New Roman"/>
                <w:color w:val="auto"/>
                <w:kern w:val="0"/>
                <w:sz w:val="24"/>
              </w:rPr>
              <w:t>位于</w:t>
            </w:r>
            <w:r>
              <w:rPr>
                <w:rFonts w:hint="eastAsia" w:cs="Times New Roman"/>
                <w:color w:val="auto"/>
                <w:sz w:val="24"/>
                <w:lang w:val="en-US" w:eastAsia="zh-CN"/>
              </w:rPr>
              <w:t>办公楼</w:t>
            </w:r>
            <w:r>
              <w:rPr>
                <w:rFonts w:hint="default" w:ascii="Times New Roman" w:hAnsi="Times New Roman" w:cs="Times New Roman"/>
                <w:color w:val="auto"/>
                <w:sz w:val="24"/>
                <w:lang w:eastAsia="zh-CN"/>
              </w:rPr>
              <w:t>东</w:t>
            </w:r>
            <w:r>
              <w:rPr>
                <w:rFonts w:hint="default" w:ascii="Times New Roman" w:hAnsi="Times New Roman" w:cs="Times New Roman"/>
                <w:color w:val="auto"/>
                <w:sz w:val="24"/>
              </w:rPr>
              <w:t>侧，</w:t>
            </w:r>
            <w:r>
              <w:rPr>
                <w:rFonts w:hint="default" w:ascii="Times New Roman" w:hAnsi="Times New Roman" w:cs="Times New Roman"/>
                <w:color w:val="auto"/>
                <w:kern w:val="0"/>
                <w:sz w:val="24"/>
              </w:rPr>
              <w:t>占地面积约</w:t>
            </w:r>
            <w:r>
              <w:rPr>
                <w:rFonts w:hint="default" w:ascii="Times New Roman" w:hAnsi="Times New Roman" w:cs="Times New Roman"/>
                <w:color w:val="auto"/>
                <w:kern w:val="0"/>
                <w:sz w:val="24"/>
                <w:lang w:val="en-US" w:eastAsia="zh-CN"/>
              </w:rPr>
              <w:t>10</w:t>
            </w:r>
            <w:r>
              <w:rPr>
                <w:rFonts w:hint="default" w:ascii="Times New Roman" w:hAnsi="Times New Roman" w:cs="Times New Roman"/>
                <w:color w:val="auto"/>
                <w:kern w:val="0"/>
                <w:sz w:val="24"/>
              </w:rPr>
              <w:t>m</w:t>
            </w:r>
            <w:r>
              <w:rPr>
                <w:rFonts w:hint="default" w:ascii="Times New Roman" w:hAnsi="Times New Roman" w:cs="Times New Roman"/>
                <w:color w:val="auto"/>
                <w:kern w:val="0"/>
                <w:sz w:val="24"/>
                <w:vertAlign w:val="superscript"/>
              </w:rPr>
              <w:t>2</w:t>
            </w:r>
            <w:r>
              <w:rPr>
                <w:rFonts w:hint="default" w:ascii="Times New Roman" w:hAnsi="Times New Roman" w:eastAsia="宋体" w:cs="Times New Roman"/>
                <w:color w:val="auto"/>
                <w:kern w:val="0"/>
                <w:sz w:val="24"/>
                <w:lang w:eastAsia="zh-CN"/>
              </w:rPr>
              <w:t>，</w:t>
            </w:r>
            <w:r>
              <w:rPr>
                <w:rFonts w:hint="default" w:ascii="Times New Roman" w:hAnsi="Times New Roman" w:cs="Times New Roman"/>
                <w:color w:val="auto"/>
                <w:kern w:val="0"/>
                <w:sz w:val="24"/>
              </w:rPr>
              <w:t>一般工业固废临时堆放场根据《一般工业固体废物贮存和填埋污染控制标准》（GB18599-2020）中的要求规范化建设，固废临时贮存场满足如下要求：</w:t>
            </w:r>
          </w:p>
          <w:p w14:paraId="5DEAD68E">
            <w:pPr>
              <w:autoSpaceDE w:val="0"/>
              <w:autoSpaceDN w:val="0"/>
              <w:adjustRightInd w:val="0"/>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①临时堆放场应选在防渗性能好的地基上天然基础层地表距地下水位的距离不得小于1.5m。临时堆放场四周应建有围墙，防止固废流失以及造成粉尘污染。</w:t>
            </w:r>
          </w:p>
          <w:p w14:paraId="5FDA14B0">
            <w:pPr>
              <w:autoSpaceDE w:val="0"/>
              <w:autoSpaceDN w:val="0"/>
              <w:adjustRightInd w:val="0"/>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②临时堆放场应建有防雨淋、防渗透措施。本项目储存在钢结构仓库内，地面进行硬化，可以满足防雨淋、防渗透要求。</w:t>
            </w:r>
          </w:p>
          <w:p w14:paraId="704F933D">
            <w:pPr>
              <w:autoSpaceDE w:val="0"/>
              <w:autoSpaceDN w:val="0"/>
              <w:adjustRightInd w:val="0"/>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③为了便于管理，临时堆放场应《环境保护图形标识—固体废物贮存（处置）场》（按GB15562.2-1995）设置环境保护图形标志。</w:t>
            </w:r>
          </w:p>
          <w:p w14:paraId="43E02E8D">
            <w:pPr>
              <w:autoSpaceDE w:val="0"/>
              <w:autoSpaceDN w:val="0"/>
              <w:adjustRightInd w:val="0"/>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企业在生产过程中，应加强一般固废库的管理，定点收集堆存，并及时处理，不会对环境造成不利影响。</w:t>
            </w:r>
          </w:p>
          <w:p w14:paraId="7E1FD524">
            <w:pPr>
              <w:snapToGrid w:val="0"/>
              <w:spacing w:line="360" w:lineRule="auto"/>
              <w:ind w:firstLine="472" w:firstLineChars="196"/>
              <w:outlineLvl w:val="3"/>
              <w:rPr>
                <w:rFonts w:hint="default" w:ascii="Times New Roman" w:hAnsi="Times New Roman" w:cs="Times New Roman"/>
                <w:b/>
                <w:bCs/>
                <w:color w:val="auto"/>
                <w:sz w:val="24"/>
              </w:rPr>
            </w:pPr>
            <w:r>
              <w:rPr>
                <w:rFonts w:hint="default" w:ascii="Times New Roman" w:hAnsi="Times New Roman" w:cs="Times New Roman"/>
                <w:b/>
                <w:color w:val="auto"/>
                <w:sz w:val="24"/>
              </w:rPr>
              <w:t>3、危险废物环境影响分析</w:t>
            </w:r>
            <w:r>
              <w:rPr>
                <w:rFonts w:hint="default" w:ascii="Times New Roman" w:hAnsi="Times New Roman" w:cs="Times New Roman"/>
                <w:b/>
                <w:bCs/>
                <w:color w:val="auto"/>
                <w:sz w:val="24"/>
              </w:rPr>
              <w:t>和保护措施</w:t>
            </w:r>
          </w:p>
          <w:p w14:paraId="07E2C289">
            <w:pPr>
              <w:autoSpaceDE w:val="0"/>
              <w:autoSpaceDN w:val="0"/>
              <w:adjustRightInd w:val="0"/>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sz w:val="24"/>
              </w:rPr>
              <w:t>本项目产生的危险废物分别按照废物特性</w:t>
            </w:r>
            <w:r>
              <w:rPr>
                <w:rFonts w:hint="default" w:ascii="Times New Roman" w:hAnsi="Times New Roman" w:cs="Times New Roman"/>
                <w:color w:val="auto"/>
                <w:kern w:val="0"/>
                <w:sz w:val="24"/>
              </w:rPr>
              <w:t>采用专门的容器收集后暂存于厂区危废暂存场所，定期交资质单位处理。本项目新建危废暂存场所，位于</w:t>
            </w:r>
            <w:r>
              <w:rPr>
                <w:rFonts w:hint="eastAsia" w:cs="Times New Roman"/>
                <w:color w:val="auto"/>
                <w:sz w:val="24"/>
                <w:lang w:val="en-US" w:eastAsia="zh-CN"/>
              </w:rPr>
              <w:t>办公楼东侧</w:t>
            </w:r>
            <w:r>
              <w:rPr>
                <w:rFonts w:hint="default" w:ascii="Times New Roman" w:hAnsi="Times New Roman" w:cs="Times New Roman"/>
                <w:color w:val="auto"/>
                <w:sz w:val="24"/>
              </w:rPr>
              <w:t>，</w:t>
            </w:r>
            <w:r>
              <w:rPr>
                <w:rFonts w:hint="default" w:ascii="Times New Roman" w:hAnsi="Times New Roman" w:cs="Times New Roman"/>
                <w:color w:val="auto"/>
                <w:kern w:val="0"/>
                <w:sz w:val="24"/>
              </w:rPr>
              <w:t>占地面积约</w:t>
            </w:r>
            <w:r>
              <w:rPr>
                <w:rFonts w:hint="eastAsia" w:cs="Times New Roman"/>
                <w:color w:val="auto"/>
                <w:kern w:val="0"/>
                <w:sz w:val="24"/>
                <w:lang w:val="en-US" w:eastAsia="zh-CN"/>
              </w:rPr>
              <w:t>15m</w:t>
            </w:r>
            <w:r>
              <w:rPr>
                <w:rFonts w:hint="default" w:ascii="Times New Roman" w:hAnsi="Times New Roman" w:cs="Times New Roman"/>
                <w:color w:val="auto"/>
                <w:kern w:val="0"/>
                <w:sz w:val="24"/>
                <w:vertAlign w:val="superscript"/>
              </w:rPr>
              <w:t>2</w:t>
            </w:r>
            <w:r>
              <w:rPr>
                <w:rFonts w:hint="default" w:ascii="Times New Roman" w:hAnsi="Times New Roman" w:cs="Times New Roman"/>
                <w:color w:val="auto"/>
                <w:kern w:val="0"/>
                <w:sz w:val="24"/>
              </w:rPr>
              <w:t>，</w:t>
            </w:r>
            <w:r>
              <w:rPr>
                <w:rFonts w:hint="default" w:ascii="Times New Roman" w:hAnsi="Times New Roman" w:cs="Times New Roman"/>
                <w:color w:val="auto"/>
                <w:sz w:val="24"/>
              </w:rPr>
              <w:t>《危险废物贮存污染控制标准》（GB18597-2023）</w:t>
            </w:r>
            <w:r>
              <w:rPr>
                <w:rFonts w:hint="default" w:ascii="Times New Roman" w:hAnsi="Times New Roman" w:cs="Times New Roman"/>
                <w:color w:val="auto"/>
                <w:kern w:val="0"/>
                <w:sz w:val="24"/>
              </w:rPr>
              <w:t>的要求。危险废物按照不同的类别和性质，分别存放于专门的容器中。</w:t>
            </w:r>
          </w:p>
          <w:p w14:paraId="1809D34C">
            <w:pPr>
              <w:autoSpaceDE w:val="0"/>
              <w:autoSpaceDN w:val="0"/>
              <w:adjustRightInd w:val="0"/>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（1）危险废物贮存环境影响</w:t>
            </w:r>
          </w:p>
          <w:p w14:paraId="3D75B891">
            <w:pPr>
              <w:autoSpaceDE w:val="0"/>
              <w:autoSpaceDN w:val="0"/>
              <w:adjustRightInd w:val="0"/>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本项目危险废物贮存场所的名称、位置、占地面积、贮存方式、贮存容积、贮存周期等基本信息见下表。</w:t>
            </w:r>
          </w:p>
          <w:p w14:paraId="45FF3B3E">
            <w:pPr>
              <w:keepNext w:val="0"/>
              <w:keepLines w:val="0"/>
              <w:pageBreakBefore w:val="0"/>
              <w:widowControl/>
              <w:kinsoku/>
              <w:wordWrap/>
              <w:overflowPunct/>
              <w:topLinePunct w:val="0"/>
              <w:autoSpaceDE/>
              <w:autoSpaceDN/>
              <w:bidi w:val="0"/>
              <w:adjustRightInd/>
              <w:snapToGrid/>
              <w:spacing w:beforeAutospacing="0"/>
              <w:jc w:val="center"/>
              <w:textAlignment w:val="auto"/>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表4-</w:t>
            </w:r>
            <w:r>
              <w:rPr>
                <w:rFonts w:hint="default" w:ascii="Times New Roman" w:hAnsi="Times New Roman" w:eastAsia="宋体" w:cs="Times New Roman"/>
                <w:b/>
                <w:color w:val="auto"/>
                <w:kern w:val="0"/>
                <w:sz w:val="24"/>
                <w:lang w:val="en-US" w:eastAsia="zh-CN"/>
              </w:rPr>
              <w:t>2</w:t>
            </w:r>
            <w:r>
              <w:rPr>
                <w:rFonts w:hint="eastAsia" w:ascii="Times New Roman" w:hAnsi="Times New Roman" w:eastAsia="宋体" w:cs="Times New Roman"/>
                <w:b/>
                <w:color w:val="auto"/>
                <w:kern w:val="0"/>
                <w:sz w:val="24"/>
                <w:lang w:val="en-US" w:eastAsia="zh-CN"/>
              </w:rPr>
              <w:t>3</w:t>
            </w:r>
            <w:r>
              <w:rPr>
                <w:rFonts w:hint="default" w:ascii="Times New Roman" w:hAnsi="Times New Roman" w:eastAsia="宋体" w:cs="Times New Roman"/>
                <w:b/>
                <w:color w:val="auto"/>
                <w:kern w:val="0"/>
                <w:sz w:val="24"/>
              </w:rPr>
              <w:t xml:space="preserve">  建设项目危险废物贮存场所（设施）基本情况</w:t>
            </w:r>
          </w:p>
          <w:tbl>
            <w:tblPr>
              <w:tblStyle w:val="63"/>
              <w:tblW w:w="84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53"/>
              <w:gridCol w:w="858"/>
              <w:gridCol w:w="1325"/>
              <w:gridCol w:w="1036"/>
              <w:gridCol w:w="1036"/>
              <w:gridCol w:w="1142"/>
              <w:gridCol w:w="558"/>
              <w:gridCol w:w="1142"/>
              <w:gridCol w:w="557"/>
            </w:tblGrid>
            <w:tr w14:paraId="76A6A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53" w:type="dxa"/>
                  <w:vMerge w:val="restart"/>
                  <w:vAlign w:val="center"/>
                </w:tcPr>
                <w:p w14:paraId="273B06A5">
                  <w:pPr>
                    <w:topLinePunct/>
                    <w:adjustRightInd w:val="0"/>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贮存场所名称</w:t>
                  </w:r>
                </w:p>
              </w:tc>
              <w:tc>
                <w:tcPr>
                  <w:tcW w:w="858" w:type="dxa"/>
                  <w:vMerge w:val="restart"/>
                  <w:vAlign w:val="center"/>
                </w:tcPr>
                <w:p w14:paraId="6E250B41">
                  <w:pPr>
                    <w:topLinePunct/>
                    <w:adjustRightInd w:val="0"/>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占地</w:t>
                  </w:r>
                </w:p>
                <w:p w14:paraId="39C2F5D9">
                  <w:pPr>
                    <w:topLinePunct/>
                    <w:adjustRightInd w:val="0"/>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面积（m</w:t>
                  </w:r>
                  <w:r>
                    <w:rPr>
                      <w:rFonts w:hint="default" w:ascii="Times New Roman" w:hAnsi="Times New Roman" w:cs="Times New Roman"/>
                      <w:b/>
                      <w:color w:val="auto"/>
                      <w:kern w:val="0"/>
                      <w:szCs w:val="21"/>
                      <w:vertAlign w:val="superscript"/>
                    </w:rPr>
                    <w:t>2</w:t>
                  </w:r>
                  <w:r>
                    <w:rPr>
                      <w:rFonts w:hint="default" w:ascii="Times New Roman" w:hAnsi="Times New Roman" w:cs="Times New Roman"/>
                      <w:b/>
                      <w:color w:val="auto"/>
                      <w:kern w:val="0"/>
                      <w:szCs w:val="21"/>
                    </w:rPr>
                    <w:t>）</w:t>
                  </w:r>
                </w:p>
              </w:tc>
              <w:tc>
                <w:tcPr>
                  <w:tcW w:w="1325" w:type="dxa"/>
                  <w:vMerge w:val="restart"/>
                  <w:vAlign w:val="center"/>
                </w:tcPr>
                <w:p w14:paraId="2673F1E8">
                  <w:pPr>
                    <w:topLinePunct/>
                    <w:adjustRightInd w:val="0"/>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危险废物</w:t>
                  </w:r>
                </w:p>
                <w:p w14:paraId="5A7DA6AE">
                  <w:pPr>
                    <w:topLinePunct/>
                    <w:adjustRightInd w:val="0"/>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名称</w:t>
                  </w:r>
                </w:p>
              </w:tc>
              <w:tc>
                <w:tcPr>
                  <w:tcW w:w="1036" w:type="dxa"/>
                  <w:vMerge w:val="restart"/>
                  <w:vAlign w:val="center"/>
                </w:tcPr>
                <w:p w14:paraId="3F594992">
                  <w:pPr>
                    <w:topLinePunct/>
                    <w:adjustRightInd w:val="0"/>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危险废物类别</w:t>
                  </w:r>
                </w:p>
              </w:tc>
              <w:tc>
                <w:tcPr>
                  <w:tcW w:w="1036" w:type="dxa"/>
                  <w:vMerge w:val="restart"/>
                  <w:vAlign w:val="center"/>
                </w:tcPr>
                <w:p w14:paraId="42CDCCBD">
                  <w:pPr>
                    <w:topLinePunct/>
                    <w:adjustRightInd w:val="0"/>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危险废物</w:t>
                  </w:r>
                </w:p>
                <w:p w14:paraId="5AAC118F">
                  <w:pPr>
                    <w:topLinePunct/>
                    <w:adjustRightInd w:val="0"/>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代码</w:t>
                  </w:r>
                </w:p>
              </w:tc>
              <w:tc>
                <w:tcPr>
                  <w:tcW w:w="1142" w:type="dxa"/>
                  <w:vMerge w:val="restart"/>
                  <w:vAlign w:val="center"/>
                </w:tcPr>
                <w:p w14:paraId="5684CBA2">
                  <w:pPr>
                    <w:topLinePunct/>
                    <w:adjustRightInd w:val="0"/>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估算产生量（t/a）</w:t>
                  </w:r>
                </w:p>
              </w:tc>
              <w:tc>
                <w:tcPr>
                  <w:tcW w:w="558" w:type="dxa"/>
                  <w:vMerge w:val="restart"/>
                  <w:vAlign w:val="center"/>
                </w:tcPr>
                <w:p w14:paraId="7D795381">
                  <w:pPr>
                    <w:topLinePunct/>
                    <w:adjustRightInd w:val="0"/>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贮存方式</w:t>
                  </w:r>
                </w:p>
              </w:tc>
              <w:tc>
                <w:tcPr>
                  <w:tcW w:w="1142" w:type="dxa"/>
                  <w:vMerge w:val="restart"/>
                  <w:vAlign w:val="center"/>
                </w:tcPr>
                <w:p w14:paraId="045F8E55">
                  <w:pPr>
                    <w:topLinePunct/>
                    <w:adjustRightInd w:val="0"/>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厂区贮存量（t/a）</w:t>
                  </w:r>
                </w:p>
              </w:tc>
              <w:tc>
                <w:tcPr>
                  <w:tcW w:w="557" w:type="dxa"/>
                  <w:vMerge w:val="restart"/>
                  <w:vAlign w:val="center"/>
                </w:tcPr>
                <w:p w14:paraId="0098563A">
                  <w:pPr>
                    <w:topLinePunct/>
                    <w:adjustRightInd w:val="0"/>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贮存</w:t>
                  </w:r>
                </w:p>
                <w:p w14:paraId="19724795">
                  <w:pPr>
                    <w:topLinePunct/>
                    <w:adjustRightInd w:val="0"/>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周期</w:t>
                  </w:r>
                </w:p>
              </w:tc>
            </w:tr>
            <w:tr w14:paraId="44082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53" w:type="dxa"/>
                  <w:vMerge w:val="continue"/>
                  <w:vAlign w:val="center"/>
                </w:tcPr>
                <w:p w14:paraId="0487D535">
                  <w:pPr>
                    <w:topLinePunct/>
                    <w:adjustRightInd w:val="0"/>
                    <w:snapToGrid w:val="0"/>
                    <w:jc w:val="center"/>
                    <w:rPr>
                      <w:rFonts w:hint="default" w:ascii="Times New Roman" w:hAnsi="Times New Roman" w:cs="Times New Roman"/>
                      <w:b/>
                      <w:color w:val="auto"/>
                      <w:kern w:val="0"/>
                      <w:szCs w:val="21"/>
                    </w:rPr>
                  </w:pPr>
                </w:p>
              </w:tc>
              <w:tc>
                <w:tcPr>
                  <w:tcW w:w="858" w:type="dxa"/>
                  <w:vMerge w:val="continue"/>
                  <w:vAlign w:val="center"/>
                </w:tcPr>
                <w:p w14:paraId="08965C45">
                  <w:pPr>
                    <w:topLinePunct/>
                    <w:adjustRightInd w:val="0"/>
                    <w:snapToGrid w:val="0"/>
                    <w:jc w:val="center"/>
                    <w:rPr>
                      <w:rFonts w:hint="default" w:ascii="Times New Roman" w:hAnsi="Times New Roman" w:cs="Times New Roman"/>
                      <w:b/>
                      <w:color w:val="auto"/>
                      <w:kern w:val="0"/>
                      <w:szCs w:val="21"/>
                    </w:rPr>
                  </w:pPr>
                </w:p>
              </w:tc>
              <w:tc>
                <w:tcPr>
                  <w:tcW w:w="1325" w:type="dxa"/>
                  <w:vMerge w:val="continue"/>
                  <w:vAlign w:val="center"/>
                </w:tcPr>
                <w:p w14:paraId="009AE2F6">
                  <w:pPr>
                    <w:topLinePunct/>
                    <w:adjustRightInd w:val="0"/>
                    <w:snapToGrid w:val="0"/>
                    <w:jc w:val="center"/>
                    <w:rPr>
                      <w:rFonts w:hint="default" w:ascii="Times New Roman" w:hAnsi="Times New Roman" w:cs="Times New Roman"/>
                      <w:b/>
                      <w:color w:val="auto"/>
                      <w:kern w:val="0"/>
                      <w:szCs w:val="21"/>
                    </w:rPr>
                  </w:pPr>
                </w:p>
              </w:tc>
              <w:tc>
                <w:tcPr>
                  <w:tcW w:w="1036" w:type="dxa"/>
                  <w:vMerge w:val="continue"/>
                  <w:vAlign w:val="center"/>
                </w:tcPr>
                <w:p w14:paraId="5CA8CB3A">
                  <w:pPr>
                    <w:topLinePunct/>
                    <w:adjustRightInd w:val="0"/>
                    <w:snapToGrid w:val="0"/>
                    <w:jc w:val="center"/>
                    <w:rPr>
                      <w:rFonts w:hint="default" w:ascii="Times New Roman" w:hAnsi="Times New Roman" w:cs="Times New Roman"/>
                      <w:b/>
                      <w:color w:val="auto"/>
                      <w:kern w:val="0"/>
                      <w:szCs w:val="21"/>
                    </w:rPr>
                  </w:pPr>
                </w:p>
              </w:tc>
              <w:tc>
                <w:tcPr>
                  <w:tcW w:w="1036" w:type="dxa"/>
                  <w:vMerge w:val="continue"/>
                  <w:vAlign w:val="center"/>
                </w:tcPr>
                <w:p w14:paraId="613E334A">
                  <w:pPr>
                    <w:topLinePunct/>
                    <w:adjustRightInd w:val="0"/>
                    <w:snapToGrid w:val="0"/>
                    <w:jc w:val="center"/>
                    <w:rPr>
                      <w:rFonts w:hint="default" w:ascii="Times New Roman" w:hAnsi="Times New Roman" w:cs="Times New Roman"/>
                      <w:b/>
                      <w:color w:val="auto"/>
                      <w:kern w:val="0"/>
                      <w:szCs w:val="21"/>
                    </w:rPr>
                  </w:pPr>
                </w:p>
              </w:tc>
              <w:tc>
                <w:tcPr>
                  <w:tcW w:w="1142" w:type="dxa"/>
                  <w:vMerge w:val="continue"/>
                  <w:vAlign w:val="center"/>
                </w:tcPr>
                <w:p w14:paraId="47B85843">
                  <w:pPr>
                    <w:topLinePunct/>
                    <w:adjustRightInd w:val="0"/>
                    <w:snapToGrid w:val="0"/>
                    <w:jc w:val="center"/>
                    <w:rPr>
                      <w:rFonts w:hint="default" w:ascii="Times New Roman" w:hAnsi="Times New Roman" w:cs="Times New Roman"/>
                      <w:b/>
                      <w:color w:val="auto"/>
                      <w:kern w:val="0"/>
                      <w:szCs w:val="21"/>
                    </w:rPr>
                  </w:pPr>
                </w:p>
              </w:tc>
              <w:tc>
                <w:tcPr>
                  <w:tcW w:w="558" w:type="dxa"/>
                  <w:vMerge w:val="continue"/>
                  <w:vAlign w:val="center"/>
                </w:tcPr>
                <w:p w14:paraId="3482B77A">
                  <w:pPr>
                    <w:topLinePunct/>
                    <w:adjustRightInd w:val="0"/>
                    <w:snapToGrid w:val="0"/>
                    <w:jc w:val="center"/>
                    <w:rPr>
                      <w:rFonts w:hint="default" w:ascii="Times New Roman" w:hAnsi="Times New Roman" w:cs="Times New Roman"/>
                      <w:b/>
                      <w:color w:val="auto"/>
                      <w:kern w:val="0"/>
                      <w:szCs w:val="21"/>
                    </w:rPr>
                  </w:pPr>
                </w:p>
              </w:tc>
              <w:tc>
                <w:tcPr>
                  <w:tcW w:w="1142" w:type="dxa"/>
                  <w:vMerge w:val="continue"/>
                  <w:vAlign w:val="center"/>
                </w:tcPr>
                <w:p w14:paraId="3D428974">
                  <w:pPr>
                    <w:topLinePunct/>
                    <w:adjustRightInd w:val="0"/>
                    <w:snapToGrid w:val="0"/>
                    <w:jc w:val="center"/>
                    <w:rPr>
                      <w:rFonts w:hint="default" w:ascii="Times New Roman" w:hAnsi="Times New Roman" w:cs="Times New Roman"/>
                      <w:b/>
                      <w:color w:val="auto"/>
                      <w:kern w:val="0"/>
                      <w:szCs w:val="21"/>
                    </w:rPr>
                  </w:pPr>
                </w:p>
              </w:tc>
              <w:tc>
                <w:tcPr>
                  <w:tcW w:w="557" w:type="dxa"/>
                  <w:vMerge w:val="continue"/>
                  <w:vAlign w:val="center"/>
                </w:tcPr>
                <w:p w14:paraId="50F5CD87">
                  <w:pPr>
                    <w:topLinePunct/>
                    <w:adjustRightInd w:val="0"/>
                    <w:snapToGrid w:val="0"/>
                    <w:jc w:val="center"/>
                    <w:rPr>
                      <w:rFonts w:hint="default" w:ascii="Times New Roman" w:hAnsi="Times New Roman" w:cs="Times New Roman"/>
                      <w:b/>
                      <w:color w:val="auto"/>
                      <w:kern w:val="0"/>
                      <w:szCs w:val="21"/>
                    </w:rPr>
                  </w:pPr>
                </w:p>
              </w:tc>
            </w:tr>
            <w:tr w14:paraId="66F0C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53" w:type="dxa"/>
                  <w:vMerge w:val="restart"/>
                  <w:vAlign w:val="center"/>
                </w:tcPr>
                <w:p w14:paraId="54F735B4">
                  <w:pPr>
                    <w:topLinePunct/>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危险废物仓库</w:t>
                  </w:r>
                </w:p>
              </w:tc>
              <w:tc>
                <w:tcPr>
                  <w:tcW w:w="858" w:type="dxa"/>
                  <w:vAlign w:val="center"/>
                </w:tcPr>
                <w:p w14:paraId="41E1517C">
                  <w:pPr>
                    <w:topLinePunct/>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3</w:t>
                  </w:r>
                </w:p>
              </w:tc>
              <w:tc>
                <w:tcPr>
                  <w:tcW w:w="1325" w:type="dxa"/>
                  <w:shd w:val="clear" w:color="auto" w:fill="auto"/>
                  <w:vAlign w:val="center"/>
                </w:tcPr>
                <w:p w14:paraId="15D0E25C">
                  <w:pPr>
                    <w:spacing w:line="360" w:lineRule="exact"/>
                    <w:jc w:val="center"/>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废化学品</w:t>
                  </w:r>
                </w:p>
                <w:p w14:paraId="05CBBACD">
                  <w:pPr>
                    <w:spacing w:line="360" w:lineRule="exact"/>
                    <w:jc w:val="center"/>
                    <w:rPr>
                      <w:rFonts w:hint="default" w:ascii="Times New Roman" w:hAnsi="Times New Roman" w:eastAsia="宋体" w:cs="Times New Roman"/>
                      <w:caps w:val="0"/>
                      <w:color w:val="auto"/>
                      <w:kern w:val="2"/>
                      <w:sz w:val="21"/>
                      <w:szCs w:val="21"/>
                      <w:lang w:val="zh-CN" w:eastAsia="zh-CN" w:bidi="ar-SA"/>
                    </w:rPr>
                  </w:pPr>
                  <w:r>
                    <w:rPr>
                      <w:rFonts w:hint="eastAsia" w:ascii="Times New Roman" w:hAnsi="Times New Roman" w:cs="Times New Roman"/>
                      <w:color w:val="auto"/>
                      <w:sz w:val="21"/>
                      <w:szCs w:val="21"/>
                      <w:lang w:eastAsia="zh-CN"/>
                    </w:rPr>
                    <w:t>包装桶</w:t>
                  </w:r>
                </w:p>
              </w:tc>
              <w:tc>
                <w:tcPr>
                  <w:tcW w:w="1036" w:type="dxa"/>
                  <w:shd w:val="clear" w:color="auto" w:fill="auto"/>
                  <w:vAlign w:val="center"/>
                </w:tcPr>
                <w:p w14:paraId="65E8CAA3">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cs="Times New Roman" w:eastAsiaTheme="minorEastAsia"/>
                      <w:color w:val="auto"/>
                      <w:kern w:val="0"/>
                      <w:sz w:val="21"/>
                      <w:szCs w:val="21"/>
                    </w:rPr>
                    <w:t xml:space="preserve">HW49 </w:t>
                  </w:r>
                </w:p>
              </w:tc>
              <w:tc>
                <w:tcPr>
                  <w:tcW w:w="1036" w:type="dxa"/>
                  <w:shd w:val="clear" w:color="auto" w:fill="auto"/>
                  <w:vAlign w:val="center"/>
                </w:tcPr>
                <w:p w14:paraId="31FE7D9B">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cs="Times New Roman" w:eastAsiaTheme="minorEastAsia"/>
                      <w:color w:val="auto"/>
                      <w:kern w:val="0"/>
                      <w:sz w:val="21"/>
                      <w:szCs w:val="21"/>
                    </w:rPr>
                    <w:t>900-041-49</w:t>
                  </w:r>
                </w:p>
              </w:tc>
              <w:tc>
                <w:tcPr>
                  <w:tcW w:w="1142" w:type="dxa"/>
                  <w:shd w:val="clear" w:color="auto" w:fill="auto"/>
                  <w:vAlign w:val="center"/>
                </w:tcPr>
                <w:p w14:paraId="100BE2FD">
                  <w:pPr>
                    <w:spacing w:line="360" w:lineRule="exact"/>
                    <w:jc w:val="center"/>
                    <w:rPr>
                      <w:rFonts w:hint="default" w:ascii="Times New Roman" w:hAnsi="Times New Roman" w:eastAsia="宋体" w:cs="Times New Roman"/>
                      <w:color w:val="auto"/>
                      <w:spacing w:val="-4"/>
                      <w:kern w:val="2"/>
                      <w:sz w:val="21"/>
                      <w:szCs w:val="21"/>
                      <w:lang w:val="en-US" w:eastAsia="zh-CN" w:bidi="ar-SA"/>
                    </w:rPr>
                  </w:pPr>
                  <w:r>
                    <w:rPr>
                      <w:rFonts w:hint="eastAsia" w:ascii="Times New Roman" w:hAnsi="Times New Roman" w:cs="Times New Roman"/>
                      <w:caps w:val="0"/>
                      <w:color w:val="auto"/>
                      <w:kern w:val="2"/>
                      <w:sz w:val="21"/>
                      <w:szCs w:val="21"/>
                      <w:lang w:val="en-US" w:eastAsia="zh-CN" w:bidi="ar-SA"/>
                    </w:rPr>
                    <w:t>0.571</w:t>
                  </w:r>
                </w:p>
              </w:tc>
              <w:tc>
                <w:tcPr>
                  <w:tcW w:w="558" w:type="dxa"/>
                  <w:shd w:val="clear" w:color="auto" w:fill="auto"/>
                  <w:vAlign w:val="center"/>
                </w:tcPr>
                <w:p w14:paraId="35496016">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aps w:val="0"/>
                      <w:color w:val="auto"/>
                      <w:sz w:val="21"/>
                      <w:szCs w:val="21"/>
                      <w:lang w:eastAsia="zh-CN"/>
                    </w:rPr>
                    <w:t>桶装</w:t>
                  </w:r>
                </w:p>
              </w:tc>
              <w:tc>
                <w:tcPr>
                  <w:tcW w:w="1142" w:type="dxa"/>
                  <w:vAlign w:val="center"/>
                </w:tcPr>
                <w:p w14:paraId="3A7DAE97">
                  <w:pPr>
                    <w:spacing w:line="360" w:lineRule="exact"/>
                    <w:jc w:val="center"/>
                    <w:rPr>
                      <w:rFonts w:hint="default" w:ascii="Times New Roman" w:hAnsi="Times New Roman" w:cs="Times New Roman" w:eastAsiaTheme="minorEastAsia"/>
                      <w:color w:val="auto"/>
                      <w:kern w:val="0"/>
                      <w:sz w:val="21"/>
                      <w:szCs w:val="21"/>
                      <w:lang w:val="en-US" w:eastAsia="zh-CN"/>
                    </w:rPr>
                  </w:pPr>
                  <w:r>
                    <w:rPr>
                      <w:rFonts w:hint="eastAsia" w:ascii="Times New Roman" w:hAnsi="Times New Roman" w:cs="Times New Roman" w:eastAsiaTheme="minorEastAsia"/>
                      <w:color w:val="auto"/>
                      <w:kern w:val="0"/>
                      <w:sz w:val="21"/>
                      <w:szCs w:val="21"/>
                      <w:lang w:val="en-US" w:eastAsia="zh-CN"/>
                    </w:rPr>
                    <w:t xml:space="preserve">0.143 </w:t>
                  </w:r>
                </w:p>
              </w:tc>
              <w:tc>
                <w:tcPr>
                  <w:tcW w:w="557" w:type="dxa"/>
                  <w:vMerge w:val="restart"/>
                  <w:vAlign w:val="center"/>
                </w:tcPr>
                <w:p w14:paraId="76105BAA">
                  <w:pPr>
                    <w:topLinePunct/>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r>
                    <w:rPr>
                      <w:rFonts w:hint="default" w:ascii="Times New Roman" w:hAnsi="Times New Roman" w:cs="Times New Roman"/>
                      <w:color w:val="auto"/>
                      <w:kern w:val="0"/>
                      <w:szCs w:val="21"/>
                      <w:lang w:val="en-US" w:eastAsia="zh-CN"/>
                    </w:rPr>
                    <w:t>三个月</w:t>
                  </w:r>
                </w:p>
              </w:tc>
            </w:tr>
            <w:tr w14:paraId="35689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53" w:type="dxa"/>
                  <w:vMerge w:val="continue"/>
                  <w:vAlign w:val="center"/>
                </w:tcPr>
                <w:p w14:paraId="574F69F6">
                  <w:pPr>
                    <w:topLinePunct/>
                    <w:adjustRightInd w:val="0"/>
                    <w:snapToGrid w:val="0"/>
                    <w:jc w:val="center"/>
                    <w:rPr>
                      <w:rFonts w:hint="default" w:ascii="Times New Roman" w:hAnsi="Times New Roman" w:cs="Times New Roman"/>
                      <w:color w:val="auto"/>
                      <w:kern w:val="0"/>
                      <w:szCs w:val="21"/>
                    </w:rPr>
                  </w:pPr>
                </w:p>
              </w:tc>
              <w:tc>
                <w:tcPr>
                  <w:tcW w:w="858" w:type="dxa"/>
                  <w:vAlign w:val="center"/>
                </w:tcPr>
                <w:p w14:paraId="2B298514">
                  <w:pPr>
                    <w:topLinePunct/>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1</w:t>
                  </w:r>
                </w:p>
              </w:tc>
              <w:tc>
                <w:tcPr>
                  <w:tcW w:w="1325" w:type="dxa"/>
                  <w:shd w:val="clear" w:color="auto" w:fill="auto"/>
                  <w:vAlign w:val="center"/>
                </w:tcPr>
                <w:p w14:paraId="5351AFBA">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cs="Times New Roman"/>
                      <w:bCs/>
                      <w:color w:val="auto"/>
                      <w:sz w:val="21"/>
                      <w:szCs w:val="21"/>
                      <w:lang w:eastAsia="zh-CN"/>
                    </w:rPr>
                    <w:t>废切削液</w:t>
                  </w:r>
                </w:p>
              </w:tc>
              <w:tc>
                <w:tcPr>
                  <w:tcW w:w="1036" w:type="dxa"/>
                  <w:shd w:val="clear" w:color="auto" w:fill="auto"/>
                  <w:vAlign w:val="center"/>
                </w:tcPr>
                <w:p w14:paraId="1090D9D1">
                  <w:pPr>
                    <w:spacing w:line="360" w:lineRule="exact"/>
                    <w:jc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rPr>
                    <w:t>HW</w:t>
                  </w:r>
                  <w:r>
                    <w:rPr>
                      <w:rFonts w:hint="default" w:ascii="Times New Roman" w:hAnsi="Times New Roman" w:cs="Times New Roman" w:eastAsiaTheme="minorEastAsia"/>
                      <w:color w:val="auto"/>
                      <w:kern w:val="0"/>
                      <w:sz w:val="21"/>
                      <w:szCs w:val="21"/>
                      <w:lang w:val="en-US" w:eastAsia="zh-CN"/>
                    </w:rPr>
                    <w:t>09</w:t>
                  </w:r>
                  <w:r>
                    <w:rPr>
                      <w:rFonts w:hint="default" w:ascii="Times New Roman" w:hAnsi="Times New Roman" w:cs="Times New Roman" w:eastAsiaTheme="minorEastAsia"/>
                      <w:color w:val="auto"/>
                      <w:kern w:val="0"/>
                      <w:sz w:val="21"/>
                      <w:szCs w:val="21"/>
                    </w:rPr>
                    <w:t xml:space="preserve"> </w:t>
                  </w:r>
                </w:p>
              </w:tc>
              <w:tc>
                <w:tcPr>
                  <w:tcW w:w="1036" w:type="dxa"/>
                  <w:shd w:val="clear" w:color="auto" w:fill="auto"/>
                  <w:vAlign w:val="center"/>
                </w:tcPr>
                <w:p w14:paraId="2EA8B4A8">
                  <w:pPr>
                    <w:spacing w:line="360" w:lineRule="exact"/>
                    <w:jc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rPr>
                    <w:t>900-0</w:t>
                  </w:r>
                  <w:r>
                    <w:rPr>
                      <w:rFonts w:hint="default" w:ascii="Times New Roman" w:hAnsi="Times New Roman" w:cs="Times New Roman" w:eastAsiaTheme="minorEastAsia"/>
                      <w:color w:val="auto"/>
                      <w:kern w:val="0"/>
                      <w:sz w:val="21"/>
                      <w:szCs w:val="21"/>
                      <w:lang w:val="en-US" w:eastAsia="zh-CN"/>
                    </w:rPr>
                    <w:t>06</w:t>
                  </w:r>
                  <w:r>
                    <w:rPr>
                      <w:rFonts w:hint="default" w:ascii="Times New Roman" w:hAnsi="Times New Roman" w:cs="Times New Roman" w:eastAsiaTheme="minorEastAsia"/>
                      <w:color w:val="auto"/>
                      <w:kern w:val="0"/>
                      <w:sz w:val="21"/>
                      <w:szCs w:val="21"/>
                    </w:rPr>
                    <w:t>-</w:t>
                  </w:r>
                  <w:r>
                    <w:rPr>
                      <w:rFonts w:hint="default" w:ascii="Times New Roman" w:hAnsi="Times New Roman" w:cs="Times New Roman" w:eastAsiaTheme="minorEastAsia"/>
                      <w:color w:val="auto"/>
                      <w:kern w:val="0"/>
                      <w:sz w:val="21"/>
                      <w:szCs w:val="21"/>
                      <w:lang w:val="en-US" w:eastAsia="zh-CN"/>
                    </w:rPr>
                    <w:t>09</w:t>
                  </w:r>
                </w:p>
              </w:tc>
              <w:tc>
                <w:tcPr>
                  <w:tcW w:w="1142" w:type="dxa"/>
                  <w:shd w:val="clear" w:color="auto" w:fill="auto"/>
                  <w:vAlign w:val="center"/>
                </w:tcPr>
                <w:p w14:paraId="6104DA23">
                  <w:pPr>
                    <w:spacing w:line="360" w:lineRule="exact"/>
                    <w:jc w:val="center"/>
                    <w:rPr>
                      <w:rFonts w:hint="default" w:ascii="Times New Roman" w:hAnsi="Times New Roman" w:eastAsia="宋体" w:cs="Times New Roman"/>
                      <w:color w:val="auto"/>
                      <w:spacing w:val="-4"/>
                      <w:kern w:val="2"/>
                      <w:sz w:val="21"/>
                      <w:szCs w:val="21"/>
                      <w:lang w:val="en-US" w:eastAsia="zh-CN" w:bidi="ar-SA"/>
                    </w:rPr>
                  </w:pPr>
                  <w:r>
                    <w:rPr>
                      <w:rFonts w:hint="eastAsia" w:ascii="Times New Roman" w:hAnsi="Times New Roman" w:cs="Times New Roman" w:eastAsiaTheme="minorEastAsia"/>
                      <w:color w:val="auto"/>
                      <w:kern w:val="0"/>
                      <w:sz w:val="21"/>
                      <w:szCs w:val="21"/>
                      <w:lang w:val="en-US" w:eastAsia="zh-CN"/>
                    </w:rPr>
                    <w:t>2.52</w:t>
                  </w:r>
                </w:p>
              </w:tc>
              <w:tc>
                <w:tcPr>
                  <w:tcW w:w="558" w:type="dxa"/>
                  <w:shd w:val="clear" w:color="auto" w:fill="auto"/>
                  <w:vAlign w:val="center"/>
                </w:tcPr>
                <w:p w14:paraId="5D28825E">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aps w:val="0"/>
                      <w:color w:val="auto"/>
                      <w:sz w:val="21"/>
                      <w:szCs w:val="21"/>
                      <w:lang w:eastAsia="zh-CN"/>
                    </w:rPr>
                    <w:t>桶装</w:t>
                  </w:r>
                </w:p>
              </w:tc>
              <w:tc>
                <w:tcPr>
                  <w:tcW w:w="1142" w:type="dxa"/>
                  <w:vAlign w:val="center"/>
                </w:tcPr>
                <w:p w14:paraId="0C747247">
                  <w:pPr>
                    <w:spacing w:line="360" w:lineRule="exact"/>
                    <w:jc w:val="center"/>
                    <w:rPr>
                      <w:rFonts w:hint="default" w:ascii="Times New Roman" w:hAnsi="Times New Roman" w:cs="Times New Roman" w:eastAsiaTheme="minorEastAsia"/>
                      <w:color w:val="auto"/>
                      <w:kern w:val="0"/>
                      <w:sz w:val="21"/>
                      <w:szCs w:val="21"/>
                      <w:lang w:val="en-US" w:eastAsia="zh-CN"/>
                    </w:rPr>
                  </w:pPr>
                  <w:r>
                    <w:rPr>
                      <w:rFonts w:hint="eastAsia" w:ascii="Times New Roman" w:hAnsi="Times New Roman" w:cs="Times New Roman" w:eastAsiaTheme="minorEastAsia"/>
                      <w:color w:val="auto"/>
                      <w:kern w:val="0"/>
                      <w:sz w:val="21"/>
                      <w:szCs w:val="21"/>
                      <w:lang w:val="en-US" w:eastAsia="zh-CN"/>
                    </w:rPr>
                    <w:t xml:space="preserve">0.630 </w:t>
                  </w:r>
                </w:p>
              </w:tc>
              <w:tc>
                <w:tcPr>
                  <w:tcW w:w="557" w:type="dxa"/>
                  <w:vMerge w:val="continue"/>
                  <w:vAlign w:val="center"/>
                </w:tcPr>
                <w:p w14:paraId="62B63002">
                  <w:pPr>
                    <w:topLinePunct/>
                    <w:adjustRightInd w:val="0"/>
                    <w:snapToGrid w:val="0"/>
                    <w:jc w:val="center"/>
                    <w:rPr>
                      <w:rFonts w:hint="default" w:ascii="Times New Roman" w:hAnsi="Times New Roman" w:cs="Times New Roman"/>
                      <w:color w:val="auto"/>
                      <w:kern w:val="0"/>
                      <w:szCs w:val="21"/>
                    </w:rPr>
                  </w:pPr>
                </w:p>
              </w:tc>
            </w:tr>
            <w:tr w14:paraId="229A7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53" w:type="dxa"/>
                  <w:vMerge w:val="continue"/>
                  <w:vAlign w:val="center"/>
                </w:tcPr>
                <w:p w14:paraId="3C9A1523">
                  <w:pPr>
                    <w:topLinePunct/>
                    <w:adjustRightInd w:val="0"/>
                    <w:snapToGrid w:val="0"/>
                    <w:jc w:val="center"/>
                    <w:rPr>
                      <w:rFonts w:hint="default" w:ascii="Times New Roman" w:hAnsi="Times New Roman" w:cs="Times New Roman"/>
                      <w:color w:val="auto"/>
                      <w:kern w:val="0"/>
                      <w:szCs w:val="21"/>
                    </w:rPr>
                  </w:pPr>
                </w:p>
              </w:tc>
              <w:tc>
                <w:tcPr>
                  <w:tcW w:w="858" w:type="dxa"/>
                  <w:vAlign w:val="center"/>
                </w:tcPr>
                <w:p w14:paraId="1420E43D">
                  <w:pPr>
                    <w:topLinePunct/>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0.5</w:t>
                  </w:r>
                </w:p>
              </w:tc>
              <w:tc>
                <w:tcPr>
                  <w:tcW w:w="1325" w:type="dxa"/>
                  <w:shd w:val="clear" w:color="auto" w:fill="auto"/>
                  <w:vAlign w:val="center"/>
                </w:tcPr>
                <w:p w14:paraId="065E18A9">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cs="Times New Roman"/>
                      <w:color w:val="auto"/>
                      <w:sz w:val="21"/>
                      <w:szCs w:val="21"/>
                      <w:lang w:eastAsia="zh-CN"/>
                    </w:rPr>
                    <w:t>废润滑油</w:t>
                  </w:r>
                </w:p>
              </w:tc>
              <w:tc>
                <w:tcPr>
                  <w:tcW w:w="1036" w:type="dxa"/>
                  <w:shd w:val="clear" w:color="auto" w:fill="auto"/>
                  <w:vAlign w:val="center"/>
                </w:tcPr>
                <w:p w14:paraId="4F40C19B">
                  <w:pPr>
                    <w:spacing w:line="360" w:lineRule="exact"/>
                    <w:jc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rPr>
                    <w:t>HW</w:t>
                  </w:r>
                  <w:r>
                    <w:rPr>
                      <w:rFonts w:hint="default" w:ascii="Times New Roman" w:hAnsi="Times New Roman" w:cs="Times New Roman" w:eastAsiaTheme="minorEastAsia"/>
                      <w:color w:val="auto"/>
                      <w:kern w:val="0"/>
                      <w:sz w:val="21"/>
                      <w:szCs w:val="21"/>
                      <w:lang w:val="en-US" w:eastAsia="zh-CN"/>
                    </w:rPr>
                    <w:t xml:space="preserve">08 </w:t>
                  </w:r>
                </w:p>
              </w:tc>
              <w:tc>
                <w:tcPr>
                  <w:tcW w:w="1036" w:type="dxa"/>
                  <w:shd w:val="clear" w:color="auto" w:fill="auto"/>
                  <w:vAlign w:val="center"/>
                </w:tcPr>
                <w:p w14:paraId="3AB0BAF1">
                  <w:pPr>
                    <w:spacing w:line="360" w:lineRule="exact"/>
                    <w:jc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rPr>
                    <w:t>900-</w:t>
                  </w:r>
                  <w:r>
                    <w:rPr>
                      <w:rFonts w:hint="default" w:ascii="Times New Roman" w:hAnsi="Times New Roman" w:cs="Times New Roman" w:eastAsiaTheme="minorEastAsia"/>
                      <w:color w:val="auto"/>
                      <w:kern w:val="0"/>
                      <w:sz w:val="21"/>
                      <w:szCs w:val="21"/>
                      <w:lang w:val="en-US" w:eastAsia="zh-CN"/>
                    </w:rPr>
                    <w:t>217</w:t>
                  </w:r>
                  <w:r>
                    <w:rPr>
                      <w:rFonts w:hint="default" w:ascii="Times New Roman" w:hAnsi="Times New Roman" w:cs="Times New Roman" w:eastAsiaTheme="minorEastAsia"/>
                      <w:color w:val="auto"/>
                      <w:kern w:val="0"/>
                      <w:sz w:val="21"/>
                      <w:szCs w:val="21"/>
                    </w:rPr>
                    <w:t>-</w:t>
                  </w:r>
                  <w:r>
                    <w:rPr>
                      <w:rFonts w:hint="default" w:ascii="Times New Roman" w:hAnsi="Times New Roman" w:cs="Times New Roman" w:eastAsiaTheme="minorEastAsia"/>
                      <w:color w:val="auto"/>
                      <w:kern w:val="0"/>
                      <w:sz w:val="21"/>
                      <w:szCs w:val="21"/>
                      <w:lang w:val="en-US" w:eastAsia="zh-CN"/>
                    </w:rPr>
                    <w:t>08</w:t>
                  </w:r>
                </w:p>
              </w:tc>
              <w:tc>
                <w:tcPr>
                  <w:tcW w:w="1142" w:type="dxa"/>
                  <w:shd w:val="clear" w:color="auto" w:fill="auto"/>
                  <w:vAlign w:val="center"/>
                </w:tcPr>
                <w:p w14:paraId="69419FB3">
                  <w:pPr>
                    <w:pStyle w:val="219"/>
                    <w:spacing w:line="320" w:lineRule="exact"/>
                    <w:ind w:left="-105" w:leftChars="-50" w:right="-105" w:rightChars="-50"/>
                    <w:jc w:val="center"/>
                    <w:rPr>
                      <w:rFonts w:hint="default" w:ascii="Times New Roman" w:hAnsi="Times New Roman" w:eastAsia="宋体" w:cs="Times New Roman"/>
                      <w:color w:val="auto"/>
                      <w:spacing w:val="-4"/>
                      <w:kern w:val="2"/>
                      <w:sz w:val="21"/>
                      <w:szCs w:val="21"/>
                      <w:lang w:val="en-US" w:eastAsia="zh-CN" w:bidi="ar-SA"/>
                    </w:rPr>
                  </w:pPr>
                  <w:r>
                    <w:rPr>
                      <w:rFonts w:hint="default" w:ascii="Times New Roman" w:hAnsi="Times New Roman" w:eastAsia="宋体" w:cs="Times New Roman"/>
                      <w:caps w:val="0"/>
                      <w:color w:val="auto"/>
                      <w:kern w:val="2"/>
                      <w:sz w:val="21"/>
                      <w:szCs w:val="21"/>
                      <w:lang w:val="en-US" w:eastAsia="zh-CN" w:bidi="ar-SA"/>
                    </w:rPr>
                    <w:t>0.</w:t>
                  </w:r>
                  <w:r>
                    <w:rPr>
                      <w:rFonts w:hint="eastAsia" w:ascii="Times New Roman" w:hAnsi="Times New Roman" w:cs="Times New Roman"/>
                      <w:caps w:val="0"/>
                      <w:color w:val="auto"/>
                      <w:kern w:val="2"/>
                      <w:sz w:val="21"/>
                      <w:szCs w:val="21"/>
                      <w:lang w:val="en-US" w:eastAsia="zh-CN" w:bidi="ar-SA"/>
                    </w:rPr>
                    <w:t>2</w:t>
                  </w:r>
                </w:p>
              </w:tc>
              <w:tc>
                <w:tcPr>
                  <w:tcW w:w="558" w:type="dxa"/>
                  <w:shd w:val="clear" w:color="auto" w:fill="auto"/>
                  <w:vAlign w:val="center"/>
                </w:tcPr>
                <w:p w14:paraId="77D73711">
                  <w:pPr>
                    <w:spacing w:line="360" w:lineRule="exact"/>
                    <w:jc w:val="center"/>
                    <w:rPr>
                      <w:rFonts w:hint="default" w:ascii="Times New Roman" w:hAnsi="Times New Roman" w:eastAsia="宋体" w:cs="Times New Roman"/>
                      <w:caps w:val="0"/>
                      <w:color w:val="auto"/>
                      <w:kern w:val="0"/>
                      <w:sz w:val="21"/>
                      <w:szCs w:val="21"/>
                      <w:lang w:val="en-US" w:eastAsia="zh-CN" w:bidi="ar-SA"/>
                    </w:rPr>
                  </w:pPr>
                  <w:r>
                    <w:rPr>
                      <w:rFonts w:hint="default" w:ascii="Times New Roman" w:hAnsi="Times New Roman" w:cs="Times New Roman"/>
                      <w:caps w:val="0"/>
                      <w:color w:val="auto"/>
                      <w:sz w:val="21"/>
                      <w:szCs w:val="21"/>
                      <w:lang w:eastAsia="zh-CN"/>
                    </w:rPr>
                    <w:t>桶装</w:t>
                  </w:r>
                </w:p>
              </w:tc>
              <w:tc>
                <w:tcPr>
                  <w:tcW w:w="1142" w:type="dxa"/>
                  <w:vAlign w:val="center"/>
                </w:tcPr>
                <w:p w14:paraId="426C0AB3">
                  <w:pPr>
                    <w:spacing w:line="360" w:lineRule="exact"/>
                    <w:jc w:val="center"/>
                    <w:rPr>
                      <w:rFonts w:hint="default" w:ascii="Times New Roman" w:hAnsi="Times New Roman" w:cs="Times New Roman" w:eastAsiaTheme="minorEastAsia"/>
                      <w:color w:val="auto"/>
                      <w:kern w:val="0"/>
                      <w:sz w:val="21"/>
                      <w:szCs w:val="21"/>
                      <w:lang w:val="en-US" w:eastAsia="zh-CN"/>
                    </w:rPr>
                  </w:pPr>
                  <w:r>
                    <w:rPr>
                      <w:rFonts w:hint="eastAsia" w:ascii="Times New Roman" w:hAnsi="Times New Roman" w:cs="Times New Roman" w:eastAsiaTheme="minorEastAsia"/>
                      <w:color w:val="auto"/>
                      <w:kern w:val="0"/>
                      <w:sz w:val="21"/>
                      <w:szCs w:val="21"/>
                      <w:lang w:val="en-US" w:eastAsia="zh-CN"/>
                    </w:rPr>
                    <w:t xml:space="preserve">0.050 </w:t>
                  </w:r>
                </w:p>
              </w:tc>
              <w:tc>
                <w:tcPr>
                  <w:tcW w:w="557" w:type="dxa"/>
                  <w:vMerge w:val="continue"/>
                  <w:vAlign w:val="center"/>
                </w:tcPr>
                <w:p w14:paraId="6B115062">
                  <w:pPr>
                    <w:topLinePunct/>
                    <w:adjustRightInd w:val="0"/>
                    <w:snapToGrid w:val="0"/>
                    <w:jc w:val="center"/>
                    <w:rPr>
                      <w:rFonts w:hint="default" w:ascii="Times New Roman" w:hAnsi="Times New Roman" w:cs="Times New Roman"/>
                      <w:color w:val="auto"/>
                      <w:kern w:val="0"/>
                      <w:szCs w:val="21"/>
                    </w:rPr>
                  </w:pPr>
                </w:p>
              </w:tc>
            </w:tr>
            <w:tr w14:paraId="3095B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53" w:type="dxa"/>
                  <w:vMerge w:val="continue"/>
                  <w:vAlign w:val="center"/>
                </w:tcPr>
                <w:p w14:paraId="7F1788FF">
                  <w:pPr>
                    <w:topLinePunct/>
                    <w:adjustRightInd w:val="0"/>
                    <w:snapToGrid w:val="0"/>
                    <w:jc w:val="center"/>
                    <w:rPr>
                      <w:rFonts w:hint="default" w:ascii="Times New Roman" w:hAnsi="Times New Roman" w:cs="Times New Roman"/>
                      <w:color w:val="auto"/>
                      <w:kern w:val="0"/>
                      <w:szCs w:val="21"/>
                    </w:rPr>
                  </w:pPr>
                </w:p>
              </w:tc>
              <w:tc>
                <w:tcPr>
                  <w:tcW w:w="858" w:type="dxa"/>
                  <w:vAlign w:val="center"/>
                </w:tcPr>
                <w:p w14:paraId="66F77794">
                  <w:pPr>
                    <w:topLinePunct/>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0.5</w:t>
                  </w:r>
                </w:p>
              </w:tc>
              <w:tc>
                <w:tcPr>
                  <w:tcW w:w="1325" w:type="dxa"/>
                  <w:shd w:val="clear" w:color="auto" w:fill="auto"/>
                  <w:vAlign w:val="center"/>
                </w:tcPr>
                <w:p w14:paraId="6B070F72">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aps w:val="0"/>
                      <w:color w:val="auto"/>
                      <w:sz w:val="21"/>
                      <w:szCs w:val="21"/>
                      <w:lang w:val="en-US" w:eastAsia="zh-CN"/>
                    </w:rPr>
                    <w:t>废</w:t>
                  </w:r>
                  <w:r>
                    <w:rPr>
                      <w:rFonts w:hint="default" w:ascii="Times New Roman" w:hAnsi="Times New Roman" w:cs="Times New Roman"/>
                      <w:caps w:val="0"/>
                      <w:color w:val="auto"/>
                      <w:sz w:val="21"/>
                      <w:szCs w:val="21"/>
                      <w:lang w:val="en-US" w:eastAsia="zh-CN"/>
                    </w:rPr>
                    <w:t>液压</w:t>
                  </w:r>
                  <w:r>
                    <w:rPr>
                      <w:rFonts w:hint="default" w:ascii="Times New Roman" w:hAnsi="Times New Roman" w:eastAsia="宋体" w:cs="Times New Roman"/>
                      <w:caps w:val="0"/>
                      <w:color w:val="auto"/>
                      <w:sz w:val="21"/>
                      <w:szCs w:val="21"/>
                      <w:lang w:val="en-US" w:eastAsia="zh-CN"/>
                    </w:rPr>
                    <w:t>油</w:t>
                  </w:r>
                </w:p>
              </w:tc>
              <w:tc>
                <w:tcPr>
                  <w:tcW w:w="1036" w:type="dxa"/>
                  <w:shd w:val="clear" w:color="auto" w:fill="auto"/>
                  <w:vAlign w:val="center"/>
                </w:tcPr>
                <w:p w14:paraId="6A385C96">
                  <w:pPr>
                    <w:spacing w:line="360" w:lineRule="exact"/>
                    <w:jc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rPr>
                    <w:t>HW</w:t>
                  </w:r>
                  <w:r>
                    <w:rPr>
                      <w:rFonts w:hint="default" w:ascii="Times New Roman" w:hAnsi="Times New Roman" w:cs="Times New Roman" w:eastAsiaTheme="minorEastAsia"/>
                      <w:color w:val="auto"/>
                      <w:kern w:val="0"/>
                      <w:sz w:val="21"/>
                      <w:szCs w:val="21"/>
                      <w:lang w:val="en-US" w:eastAsia="zh-CN"/>
                    </w:rPr>
                    <w:t xml:space="preserve">08 </w:t>
                  </w:r>
                </w:p>
              </w:tc>
              <w:tc>
                <w:tcPr>
                  <w:tcW w:w="1036" w:type="dxa"/>
                  <w:shd w:val="clear" w:color="auto" w:fill="auto"/>
                  <w:vAlign w:val="center"/>
                </w:tcPr>
                <w:p w14:paraId="5BF452F8">
                  <w:pPr>
                    <w:spacing w:line="360" w:lineRule="exact"/>
                    <w:jc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rPr>
                    <w:t>900-21</w:t>
                  </w:r>
                  <w:r>
                    <w:rPr>
                      <w:rFonts w:hint="default" w:ascii="Times New Roman" w:hAnsi="Times New Roman" w:cs="Times New Roman" w:eastAsiaTheme="minorEastAsia"/>
                      <w:color w:val="auto"/>
                      <w:kern w:val="0"/>
                      <w:sz w:val="21"/>
                      <w:szCs w:val="21"/>
                      <w:lang w:val="en-US" w:eastAsia="zh-CN"/>
                    </w:rPr>
                    <w:t>8</w:t>
                  </w:r>
                  <w:r>
                    <w:rPr>
                      <w:rFonts w:hint="default" w:ascii="Times New Roman" w:hAnsi="Times New Roman" w:cs="Times New Roman" w:eastAsiaTheme="minorEastAsia"/>
                      <w:color w:val="auto"/>
                      <w:kern w:val="0"/>
                      <w:sz w:val="21"/>
                      <w:szCs w:val="21"/>
                    </w:rPr>
                    <w:t>-08</w:t>
                  </w:r>
                </w:p>
              </w:tc>
              <w:tc>
                <w:tcPr>
                  <w:tcW w:w="1142" w:type="dxa"/>
                  <w:shd w:val="clear" w:color="auto" w:fill="auto"/>
                  <w:vAlign w:val="center"/>
                </w:tcPr>
                <w:p w14:paraId="39ABC5F2">
                  <w:pPr>
                    <w:spacing w:line="360" w:lineRule="exact"/>
                    <w:jc w:val="center"/>
                    <w:rPr>
                      <w:rFonts w:hint="default" w:ascii="Times New Roman" w:hAnsi="Times New Roman" w:eastAsia="宋体" w:cs="Times New Roman"/>
                      <w:color w:val="auto"/>
                      <w:spacing w:val="-4"/>
                      <w:kern w:val="2"/>
                      <w:sz w:val="21"/>
                      <w:szCs w:val="21"/>
                      <w:lang w:val="en-US" w:eastAsia="zh-CN" w:bidi="ar-SA"/>
                    </w:rPr>
                  </w:pPr>
                  <w:r>
                    <w:rPr>
                      <w:rFonts w:hint="eastAsia" w:ascii="Times New Roman" w:hAnsi="Times New Roman" w:eastAsia="宋体" w:cs="Times New Roman"/>
                      <w:caps w:val="0"/>
                      <w:color w:val="auto"/>
                      <w:kern w:val="2"/>
                      <w:sz w:val="21"/>
                      <w:szCs w:val="21"/>
                      <w:lang w:val="en-US" w:eastAsia="zh-CN" w:bidi="ar-SA"/>
                    </w:rPr>
                    <w:t>0.3</w:t>
                  </w:r>
                </w:p>
              </w:tc>
              <w:tc>
                <w:tcPr>
                  <w:tcW w:w="558" w:type="dxa"/>
                  <w:shd w:val="clear" w:color="auto" w:fill="auto"/>
                  <w:vAlign w:val="center"/>
                </w:tcPr>
                <w:p w14:paraId="43C60B80">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aps w:val="0"/>
                      <w:color w:val="auto"/>
                      <w:sz w:val="21"/>
                      <w:szCs w:val="21"/>
                      <w:lang w:eastAsia="zh-CN"/>
                    </w:rPr>
                    <w:t>桶装</w:t>
                  </w:r>
                </w:p>
              </w:tc>
              <w:tc>
                <w:tcPr>
                  <w:tcW w:w="1142" w:type="dxa"/>
                  <w:vAlign w:val="center"/>
                </w:tcPr>
                <w:p w14:paraId="43F65235">
                  <w:pPr>
                    <w:spacing w:line="360" w:lineRule="exact"/>
                    <w:jc w:val="center"/>
                    <w:rPr>
                      <w:rFonts w:hint="default" w:ascii="Times New Roman" w:hAnsi="Times New Roman" w:cs="Times New Roman" w:eastAsiaTheme="minorEastAsia"/>
                      <w:color w:val="auto"/>
                      <w:kern w:val="0"/>
                      <w:sz w:val="21"/>
                      <w:szCs w:val="21"/>
                      <w:lang w:val="en-US" w:eastAsia="zh-CN"/>
                    </w:rPr>
                  </w:pPr>
                  <w:r>
                    <w:rPr>
                      <w:rFonts w:hint="eastAsia" w:ascii="Times New Roman" w:hAnsi="Times New Roman" w:cs="Times New Roman" w:eastAsiaTheme="minorEastAsia"/>
                      <w:color w:val="auto"/>
                      <w:kern w:val="0"/>
                      <w:sz w:val="21"/>
                      <w:szCs w:val="21"/>
                      <w:lang w:val="en-US" w:eastAsia="zh-CN"/>
                    </w:rPr>
                    <w:t xml:space="preserve">0.075 </w:t>
                  </w:r>
                </w:p>
              </w:tc>
              <w:tc>
                <w:tcPr>
                  <w:tcW w:w="557" w:type="dxa"/>
                  <w:vMerge w:val="continue"/>
                  <w:vAlign w:val="center"/>
                </w:tcPr>
                <w:p w14:paraId="58208ADF">
                  <w:pPr>
                    <w:topLinePunct/>
                    <w:adjustRightInd w:val="0"/>
                    <w:snapToGrid w:val="0"/>
                    <w:jc w:val="center"/>
                    <w:rPr>
                      <w:rFonts w:hint="default" w:ascii="Times New Roman" w:hAnsi="Times New Roman" w:cs="Times New Roman"/>
                      <w:color w:val="auto"/>
                      <w:kern w:val="0"/>
                      <w:szCs w:val="21"/>
                    </w:rPr>
                  </w:pPr>
                </w:p>
              </w:tc>
            </w:tr>
            <w:tr w14:paraId="22C81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53" w:type="dxa"/>
                  <w:vMerge w:val="continue"/>
                  <w:vAlign w:val="center"/>
                </w:tcPr>
                <w:p w14:paraId="1C7B03A0">
                  <w:pPr>
                    <w:topLinePunct/>
                    <w:adjustRightInd w:val="0"/>
                    <w:snapToGrid w:val="0"/>
                    <w:jc w:val="center"/>
                    <w:rPr>
                      <w:rFonts w:hint="default" w:ascii="Times New Roman" w:hAnsi="Times New Roman" w:cs="Times New Roman"/>
                      <w:color w:val="auto"/>
                      <w:kern w:val="0"/>
                      <w:szCs w:val="21"/>
                    </w:rPr>
                  </w:pPr>
                </w:p>
              </w:tc>
              <w:tc>
                <w:tcPr>
                  <w:tcW w:w="858" w:type="dxa"/>
                  <w:vAlign w:val="center"/>
                </w:tcPr>
                <w:p w14:paraId="695426C4">
                  <w:pPr>
                    <w:topLinePunct/>
                    <w:adjustRightInd w:val="0"/>
                    <w:snapToGrid w:val="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1</w:t>
                  </w:r>
                </w:p>
              </w:tc>
              <w:tc>
                <w:tcPr>
                  <w:tcW w:w="1325" w:type="dxa"/>
                  <w:shd w:val="clear" w:color="auto" w:fill="auto"/>
                  <w:vAlign w:val="center"/>
                </w:tcPr>
                <w:p w14:paraId="3E507762">
                  <w:pPr>
                    <w:spacing w:line="360" w:lineRule="exact"/>
                    <w:jc w:val="center"/>
                    <w:rPr>
                      <w:rFonts w:hint="default" w:ascii="Times New Roman" w:hAnsi="Times New Roman" w:eastAsia="宋体" w:cs="Times New Roman"/>
                      <w:caps w:val="0"/>
                      <w:color w:val="auto"/>
                      <w:sz w:val="21"/>
                      <w:szCs w:val="21"/>
                      <w:lang w:val="en-US" w:eastAsia="zh-CN"/>
                    </w:rPr>
                  </w:pPr>
                  <w:r>
                    <w:rPr>
                      <w:rFonts w:hint="default" w:ascii="Times New Roman" w:hAnsi="Times New Roman" w:eastAsia="宋体" w:cs="Times New Roman"/>
                      <w:caps w:val="0"/>
                      <w:color w:val="auto"/>
                      <w:sz w:val="21"/>
                      <w:szCs w:val="21"/>
                      <w:lang w:val="en-US" w:eastAsia="zh-CN"/>
                    </w:rPr>
                    <w:t>含油金属屑</w:t>
                  </w:r>
                </w:p>
              </w:tc>
              <w:tc>
                <w:tcPr>
                  <w:tcW w:w="1036" w:type="dxa"/>
                  <w:shd w:val="clear" w:color="auto" w:fill="auto"/>
                  <w:vAlign w:val="center"/>
                </w:tcPr>
                <w:p w14:paraId="0DF36220">
                  <w:pPr>
                    <w:spacing w:line="360" w:lineRule="exact"/>
                    <w:jc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lang w:val="en-US" w:eastAsia="zh-CN"/>
                    </w:rPr>
                    <w:t xml:space="preserve">HW09 </w:t>
                  </w:r>
                </w:p>
              </w:tc>
              <w:tc>
                <w:tcPr>
                  <w:tcW w:w="1036" w:type="dxa"/>
                  <w:shd w:val="clear" w:color="auto" w:fill="auto"/>
                  <w:vAlign w:val="center"/>
                </w:tcPr>
                <w:p w14:paraId="78F2E193">
                  <w:pPr>
                    <w:spacing w:line="360" w:lineRule="exact"/>
                    <w:jc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 w:val="21"/>
                      <w:szCs w:val="21"/>
                      <w:lang w:val="en-US" w:eastAsia="zh-CN"/>
                    </w:rPr>
                    <w:t>900-006-09</w:t>
                  </w:r>
                </w:p>
              </w:tc>
              <w:tc>
                <w:tcPr>
                  <w:tcW w:w="1142" w:type="dxa"/>
                  <w:shd w:val="clear" w:color="auto" w:fill="auto"/>
                  <w:vAlign w:val="center"/>
                </w:tcPr>
                <w:p w14:paraId="4BE5807E">
                  <w:pPr>
                    <w:spacing w:line="360" w:lineRule="exact"/>
                    <w:jc w:val="center"/>
                    <w:rPr>
                      <w:rFonts w:hint="default" w:ascii="Times New Roman" w:hAnsi="Times New Roman" w:eastAsia="宋体" w:cs="Times New Roman"/>
                      <w:color w:val="auto"/>
                      <w:spacing w:val="-4"/>
                      <w:kern w:val="2"/>
                      <w:sz w:val="21"/>
                      <w:szCs w:val="21"/>
                      <w:lang w:val="en-US" w:eastAsia="zh-CN" w:bidi="ar-SA"/>
                    </w:rPr>
                  </w:pPr>
                  <w:r>
                    <w:rPr>
                      <w:rFonts w:hint="eastAsia" w:ascii="Times New Roman" w:hAnsi="Times New Roman" w:cs="Times New Roman"/>
                      <w:caps w:val="0"/>
                      <w:color w:val="auto"/>
                      <w:kern w:val="2"/>
                      <w:sz w:val="21"/>
                      <w:szCs w:val="21"/>
                      <w:lang w:val="en-US" w:eastAsia="zh-CN" w:bidi="ar-SA"/>
                    </w:rPr>
                    <w:t>9</w:t>
                  </w:r>
                </w:p>
              </w:tc>
              <w:tc>
                <w:tcPr>
                  <w:tcW w:w="558" w:type="dxa"/>
                  <w:shd w:val="clear" w:color="auto" w:fill="auto"/>
                  <w:vAlign w:val="center"/>
                </w:tcPr>
                <w:p w14:paraId="5B734292">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cs="Times New Roman"/>
                      <w:caps w:val="0"/>
                      <w:color w:val="auto"/>
                      <w:sz w:val="21"/>
                      <w:szCs w:val="21"/>
                      <w:lang w:val="en-US" w:eastAsia="zh-CN"/>
                    </w:rPr>
                    <w:t>袋装</w:t>
                  </w:r>
                </w:p>
              </w:tc>
              <w:tc>
                <w:tcPr>
                  <w:tcW w:w="1142" w:type="dxa"/>
                  <w:vAlign w:val="center"/>
                </w:tcPr>
                <w:p w14:paraId="06995F98">
                  <w:pPr>
                    <w:spacing w:line="360" w:lineRule="exact"/>
                    <w:jc w:val="center"/>
                    <w:rPr>
                      <w:rFonts w:hint="default" w:ascii="Times New Roman" w:hAnsi="Times New Roman" w:cs="Times New Roman" w:eastAsiaTheme="minorEastAsia"/>
                      <w:color w:val="auto"/>
                      <w:kern w:val="0"/>
                      <w:sz w:val="21"/>
                      <w:szCs w:val="21"/>
                      <w:lang w:val="en-US" w:eastAsia="zh-CN"/>
                    </w:rPr>
                  </w:pPr>
                  <w:r>
                    <w:rPr>
                      <w:rFonts w:hint="eastAsia" w:ascii="Times New Roman" w:hAnsi="Times New Roman" w:cs="Times New Roman" w:eastAsiaTheme="minorEastAsia"/>
                      <w:color w:val="auto"/>
                      <w:kern w:val="0"/>
                      <w:sz w:val="21"/>
                      <w:szCs w:val="21"/>
                      <w:lang w:val="en-US" w:eastAsia="zh-CN"/>
                    </w:rPr>
                    <w:t xml:space="preserve">0.750 </w:t>
                  </w:r>
                </w:p>
              </w:tc>
              <w:tc>
                <w:tcPr>
                  <w:tcW w:w="557" w:type="dxa"/>
                  <w:vAlign w:val="center"/>
                </w:tcPr>
                <w:p w14:paraId="5FF6CB53">
                  <w:pPr>
                    <w:topLinePunct/>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r>
                    <w:rPr>
                      <w:rFonts w:hint="eastAsia" w:ascii="Times New Roman" w:hAnsi="Times New Roman" w:cs="Times New Roman"/>
                      <w:color w:val="auto"/>
                      <w:kern w:val="0"/>
                      <w:szCs w:val="21"/>
                      <w:lang w:val="en-US" w:eastAsia="zh-CN"/>
                    </w:rPr>
                    <w:t>一</w:t>
                  </w:r>
                  <w:r>
                    <w:rPr>
                      <w:rFonts w:hint="default" w:ascii="Times New Roman" w:hAnsi="Times New Roman" w:cs="Times New Roman"/>
                      <w:color w:val="auto"/>
                      <w:kern w:val="0"/>
                      <w:szCs w:val="21"/>
                      <w:lang w:val="en-US" w:eastAsia="zh-CN"/>
                    </w:rPr>
                    <w:t>个月</w:t>
                  </w:r>
                </w:p>
              </w:tc>
            </w:tr>
            <w:tr w14:paraId="54B62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53" w:type="dxa"/>
                  <w:vMerge w:val="continue"/>
                  <w:vAlign w:val="center"/>
                </w:tcPr>
                <w:p w14:paraId="466A5185">
                  <w:pPr>
                    <w:topLinePunct/>
                    <w:adjustRightInd w:val="0"/>
                    <w:snapToGrid w:val="0"/>
                    <w:jc w:val="center"/>
                    <w:rPr>
                      <w:rFonts w:hint="default" w:ascii="Times New Roman" w:hAnsi="Times New Roman" w:cs="Times New Roman"/>
                      <w:color w:val="auto"/>
                      <w:kern w:val="0"/>
                      <w:szCs w:val="21"/>
                    </w:rPr>
                  </w:pPr>
                </w:p>
              </w:tc>
              <w:tc>
                <w:tcPr>
                  <w:tcW w:w="858" w:type="dxa"/>
                  <w:vAlign w:val="center"/>
                </w:tcPr>
                <w:p w14:paraId="1E30E2E3">
                  <w:pPr>
                    <w:topLinePunct/>
                    <w:adjustRightInd w:val="0"/>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1</w:t>
                  </w:r>
                </w:p>
              </w:tc>
              <w:tc>
                <w:tcPr>
                  <w:tcW w:w="1325" w:type="dxa"/>
                  <w:shd w:val="clear" w:color="auto" w:fill="auto"/>
                  <w:vAlign w:val="center"/>
                </w:tcPr>
                <w:p w14:paraId="5E237E1D">
                  <w:pPr>
                    <w:spacing w:line="360" w:lineRule="exact"/>
                    <w:jc w:val="center"/>
                    <w:rPr>
                      <w:rFonts w:hint="default"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废</w:t>
                  </w:r>
                  <w:r>
                    <w:rPr>
                      <w:rFonts w:hint="eastAsia" w:cs="Times New Roman"/>
                      <w:caps w:val="0"/>
                      <w:color w:val="auto"/>
                      <w:sz w:val="21"/>
                      <w:szCs w:val="21"/>
                      <w:lang w:val="en-US" w:eastAsia="zh-CN"/>
                    </w:rPr>
                    <w:t>水性脱模剂</w:t>
                  </w:r>
                </w:p>
              </w:tc>
              <w:tc>
                <w:tcPr>
                  <w:tcW w:w="1036" w:type="dxa"/>
                  <w:shd w:val="clear" w:color="auto" w:fill="auto"/>
                  <w:vAlign w:val="center"/>
                </w:tcPr>
                <w:p w14:paraId="55559AF1">
                  <w:pPr>
                    <w:spacing w:line="360" w:lineRule="exact"/>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eastAsia="宋体" w:cs="Times New Roman"/>
                      <w:color w:val="auto"/>
                      <w:kern w:val="0"/>
                      <w:szCs w:val="21"/>
                      <w:lang w:val="en-US" w:eastAsia="zh-CN"/>
                    </w:rPr>
                    <w:t>HW08</w:t>
                  </w:r>
                </w:p>
              </w:tc>
              <w:tc>
                <w:tcPr>
                  <w:tcW w:w="1036" w:type="dxa"/>
                  <w:shd w:val="clear" w:color="auto" w:fill="auto"/>
                  <w:vAlign w:val="center"/>
                </w:tcPr>
                <w:p w14:paraId="4068E6A4">
                  <w:pPr>
                    <w:spacing w:line="360" w:lineRule="exact"/>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eastAsia="宋体" w:cs="Times New Roman"/>
                      <w:color w:val="auto"/>
                      <w:kern w:val="0"/>
                      <w:szCs w:val="21"/>
                      <w:lang w:val="en-US" w:eastAsia="zh-CN"/>
                    </w:rPr>
                    <w:t>900-21</w:t>
                  </w:r>
                  <w:r>
                    <w:rPr>
                      <w:rFonts w:hint="default" w:ascii="Times New Roman" w:hAnsi="Times New Roman" w:cs="Times New Roman"/>
                      <w:color w:val="auto"/>
                      <w:kern w:val="0"/>
                      <w:szCs w:val="21"/>
                      <w:lang w:val="en-US" w:eastAsia="zh-CN"/>
                    </w:rPr>
                    <w:t>0</w:t>
                  </w:r>
                  <w:r>
                    <w:rPr>
                      <w:rFonts w:hint="default" w:ascii="Times New Roman" w:hAnsi="Times New Roman" w:eastAsia="宋体" w:cs="Times New Roman"/>
                      <w:color w:val="auto"/>
                      <w:kern w:val="0"/>
                      <w:szCs w:val="21"/>
                      <w:lang w:val="en-US" w:eastAsia="zh-CN"/>
                    </w:rPr>
                    <w:t>-08</w:t>
                  </w:r>
                </w:p>
              </w:tc>
              <w:tc>
                <w:tcPr>
                  <w:tcW w:w="1142" w:type="dxa"/>
                  <w:shd w:val="clear" w:color="auto" w:fill="auto"/>
                  <w:vAlign w:val="center"/>
                </w:tcPr>
                <w:p w14:paraId="2363918C">
                  <w:pPr>
                    <w:spacing w:line="360" w:lineRule="exact"/>
                    <w:jc w:val="center"/>
                    <w:rPr>
                      <w:rFonts w:hint="eastAsia" w:ascii="Times New Roman" w:hAnsi="Times New Roman" w:eastAsia="宋体" w:cs="Times New Roman"/>
                      <w:caps w:val="0"/>
                      <w:color w:val="auto"/>
                      <w:kern w:val="2"/>
                      <w:sz w:val="21"/>
                      <w:szCs w:val="21"/>
                      <w:lang w:val="en-US" w:eastAsia="zh-CN" w:bidi="ar-SA"/>
                    </w:rPr>
                  </w:pPr>
                  <w:r>
                    <w:rPr>
                      <w:rFonts w:hint="eastAsia" w:cs="Times New Roman"/>
                      <w:caps w:val="0"/>
                      <w:color w:val="auto"/>
                      <w:kern w:val="2"/>
                      <w:sz w:val="21"/>
                      <w:szCs w:val="21"/>
                      <w:lang w:val="en-US" w:eastAsia="zh-CN" w:bidi="ar-SA"/>
                    </w:rPr>
                    <w:t>4.536</w:t>
                  </w:r>
                </w:p>
              </w:tc>
              <w:tc>
                <w:tcPr>
                  <w:tcW w:w="558" w:type="dxa"/>
                  <w:shd w:val="clear" w:color="auto" w:fill="auto"/>
                  <w:vAlign w:val="center"/>
                </w:tcPr>
                <w:p w14:paraId="72723ABF">
                  <w:pPr>
                    <w:spacing w:line="360" w:lineRule="exact"/>
                    <w:jc w:val="center"/>
                    <w:rPr>
                      <w:rFonts w:hint="default" w:ascii="Times New Roman" w:hAnsi="Times New Roman" w:eastAsia="宋体" w:cs="Times New Roman"/>
                      <w:caps w:val="0"/>
                      <w:color w:val="auto"/>
                      <w:kern w:val="2"/>
                      <w:sz w:val="21"/>
                      <w:szCs w:val="21"/>
                      <w:lang w:val="en-US" w:eastAsia="zh-CN" w:bidi="ar-SA"/>
                    </w:rPr>
                  </w:pPr>
                  <w:r>
                    <w:rPr>
                      <w:rFonts w:hint="default" w:ascii="Times New Roman" w:hAnsi="Times New Roman" w:eastAsia="宋体" w:cs="Times New Roman"/>
                      <w:caps w:val="0"/>
                      <w:color w:val="auto"/>
                      <w:sz w:val="21"/>
                      <w:szCs w:val="21"/>
                      <w:lang w:eastAsia="zh-CN"/>
                    </w:rPr>
                    <w:t>桶装</w:t>
                  </w:r>
                </w:p>
              </w:tc>
              <w:tc>
                <w:tcPr>
                  <w:tcW w:w="1142" w:type="dxa"/>
                  <w:vAlign w:val="center"/>
                </w:tcPr>
                <w:p w14:paraId="66D48EA5">
                  <w:pPr>
                    <w:spacing w:line="360" w:lineRule="exact"/>
                    <w:jc w:val="center"/>
                    <w:rPr>
                      <w:rFonts w:hint="default" w:ascii="Times New Roman" w:hAnsi="Times New Roman" w:cs="Times New Roman" w:eastAsiaTheme="minorEastAsia"/>
                      <w:color w:val="auto"/>
                      <w:kern w:val="0"/>
                      <w:sz w:val="21"/>
                      <w:szCs w:val="21"/>
                      <w:lang w:val="en-US" w:eastAsia="zh-CN"/>
                    </w:rPr>
                  </w:pPr>
                  <w:r>
                    <w:rPr>
                      <w:rFonts w:hint="eastAsia" w:ascii="Times New Roman" w:hAnsi="Times New Roman" w:cs="Times New Roman" w:eastAsiaTheme="minorEastAsia"/>
                      <w:color w:val="auto"/>
                      <w:kern w:val="0"/>
                      <w:sz w:val="21"/>
                      <w:szCs w:val="21"/>
                      <w:lang w:val="en-US" w:eastAsia="zh-CN"/>
                    </w:rPr>
                    <w:t xml:space="preserve">1.134 </w:t>
                  </w:r>
                </w:p>
              </w:tc>
              <w:tc>
                <w:tcPr>
                  <w:tcW w:w="557" w:type="dxa"/>
                  <w:vAlign w:val="center"/>
                </w:tcPr>
                <w:p w14:paraId="682AF878">
                  <w:pPr>
                    <w:topLinePunct/>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r>
                    <w:rPr>
                      <w:rFonts w:hint="default" w:ascii="Times New Roman" w:hAnsi="Times New Roman" w:cs="Times New Roman"/>
                      <w:color w:val="auto"/>
                      <w:kern w:val="0"/>
                      <w:szCs w:val="21"/>
                      <w:lang w:val="en-US" w:eastAsia="zh-CN"/>
                    </w:rPr>
                    <w:t>三个月</w:t>
                  </w:r>
                </w:p>
              </w:tc>
            </w:tr>
            <w:tr w14:paraId="39657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53" w:type="dxa"/>
                  <w:vMerge w:val="continue"/>
                  <w:vAlign w:val="center"/>
                </w:tcPr>
                <w:p w14:paraId="14190371">
                  <w:pPr>
                    <w:topLinePunct/>
                    <w:adjustRightInd w:val="0"/>
                    <w:snapToGrid w:val="0"/>
                    <w:jc w:val="center"/>
                    <w:rPr>
                      <w:rFonts w:hint="default" w:ascii="Times New Roman" w:hAnsi="Times New Roman" w:cs="Times New Roman"/>
                      <w:color w:val="auto"/>
                      <w:kern w:val="0"/>
                      <w:szCs w:val="21"/>
                    </w:rPr>
                  </w:pPr>
                </w:p>
              </w:tc>
              <w:tc>
                <w:tcPr>
                  <w:tcW w:w="858" w:type="dxa"/>
                  <w:vAlign w:val="center"/>
                </w:tcPr>
                <w:p w14:paraId="28D5971C">
                  <w:pPr>
                    <w:topLinePunct/>
                    <w:adjustRightInd w:val="0"/>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1</w:t>
                  </w:r>
                </w:p>
              </w:tc>
              <w:tc>
                <w:tcPr>
                  <w:tcW w:w="1325" w:type="dxa"/>
                  <w:shd w:val="clear" w:color="auto" w:fill="auto"/>
                  <w:vAlign w:val="center"/>
                </w:tcPr>
                <w:p w14:paraId="5A3877CD">
                  <w:pPr>
                    <w:spacing w:line="360" w:lineRule="exact"/>
                    <w:jc w:val="center"/>
                    <w:rPr>
                      <w:rFonts w:hint="default" w:ascii="Times New Roman" w:hAnsi="Times New Roman" w:eastAsia="宋体" w:cs="Times New Roman"/>
                      <w:caps w:val="0"/>
                      <w:color w:val="auto"/>
                      <w:sz w:val="21"/>
                      <w:szCs w:val="21"/>
                      <w:lang w:val="en-US" w:eastAsia="zh-CN"/>
                    </w:rPr>
                  </w:pPr>
                  <w:r>
                    <w:rPr>
                      <w:rFonts w:hint="eastAsia" w:ascii="Times New Roman" w:hAnsi="Times New Roman" w:eastAsia="宋体" w:cs="Times New Roman"/>
                      <w:caps w:val="0"/>
                      <w:color w:val="auto"/>
                      <w:sz w:val="21"/>
                      <w:szCs w:val="21"/>
                      <w:lang w:val="en-US" w:eastAsia="zh-CN"/>
                    </w:rPr>
                    <w:t>废活性炭</w:t>
                  </w:r>
                </w:p>
              </w:tc>
              <w:tc>
                <w:tcPr>
                  <w:tcW w:w="1036" w:type="dxa"/>
                  <w:shd w:val="clear" w:color="auto" w:fill="auto"/>
                  <w:vAlign w:val="center"/>
                </w:tcPr>
                <w:p w14:paraId="52E2DD29">
                  <w:pPr>
                    <w:spacing w:line="360" w:lineRule="exact"/>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 xml:space="preserve">HW49 </w:t>
                  </w:r>
                </w:p>
              </w:tc>
              <w:tc>
                <w:tcPr>
                  <w:tcW w:w="1036" w:type="dxa"/>
                  <w:shd w:val="clear" w:color="auto" w:fill="auto"/>
                  <w:vAlign w:val="center"/>
                </w:tcPr>
                <w:p w14:paraId="545AF41D">
                  <w:pPr>
                    <w:spacing w:line="360" w:lineRule="exact"/>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900-039-49</w:t>
                  </w:r>
                </w:p>
              </w:tc>
              <w:tc>
                <w:tcPr>
                  <w:tcW w:w="1142" w:type="dxa"/>
                  <w:shd w:val="clear" w:color="auto" w:fill="auto"/>
                  <w:vAlign w:val="center"/>
                </w:tcPr>
                <w:p w14:paraId="0696763E">
                  <w:pPr>
                    <w:spacing w:line="360" w:lineRule="exact"/>
                    <w:jc w:val="center"/>
                    <w:rPr>
                      <w:rFonts w:hint="eastAsia" w:ascii="Times New Roman" w:hAnsi="Times New Roman" w:eastAsia="宋体" w:cs="Times New Roman"/>
                      <w:color w:val="auto"/>
                      <w:kern w:val="0"/>
                      <w:szCs w:val="21"/>
                      <w:lang w:val="en-US" w:eastAsia="zh-CN"/>
                    </w:rPr>
                  </w:pPr>
                  <w:r>
                    <w:rPr>
                      <w:rFonts w:hint="eastAsia" w:cs="Times New Roman"/>
                      <w:color w:val="auto"/>
                      <w:kern w:val="0"/>
                      <w:szCs w:val="21"/>
                      <w:lang w:val="en-US" w:eastAsia="zh-CN"/>
                    </w:rPr>
                    <w:t>2.6524</w:t>
                  </w:r>
                </w:p>
              </w:tc>
              <w:tc>
                <w:tcPr>
                  <w:tcW w:w="558" w:type="dxa"/>
                  <w:shd w:val="clear" w:color="auto" w:fill="auto"/>
                  <w:vAlign w:val="center"/>
                </w:tcPr>
                <w:p w14:paraId="376C8446">
                  <w:pPr>
                    <w:spacing w:line="360" w:lineRule="exact"/>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袋装</w:t>
                  </w:r>
                </w:p>
              </w:tc>
              <w:tc>
                <w:tcPr>
                  <w:tcW w:w="1142" w:type="dxa"/>
                  <w:vAlign w:val="center"/>
                </w:tcPr>
                <w:p w14:paraId="5021D30C">
                  <w:pPr>
                    <w:spacing w:line="360" w:lineRule="exact"/>
                    <w:jc w:val="center"/>
                    <w:rPr>
                      <w:rFonts w:hint="default" w:ascii="Times New Roman" w:hAnsi="Times New Roman" w:cs="Times New Roman" w:eastAsiaTheme="minorEastAsia"/>
                      <w:color w:val="auto"/>
                      <w:kern w:val="0"/>
                      <w:sz w:val="21"/>
                      <w:szCs w:val="21"/>
                      <w:lang w:val="en-US" w:eastAsia="zh-CN"/>
                    </w:rPr>
                  </w:pPr>
                  <w:r>
                    <w:rPr>
                      <w:rFonts w:hint="eastAsia" w:ascii="Times New Roman" w:hAnsi="Times New Roman" w:cs="Times New Roman" w:eastAsiaTheme="minorEastAsia"/>
                      <w:color w:val="auto"/>
                      <w:kern w:val="0"/>
                      <w:sz w:val="21"/>
                      <w:szCs w:val="21"/>
                      <w:lang w:val="en-US" w:eastAsia="zh-CN"/>
                    </w:rPr>
                    <w:t>0.</w:t>
                  </w:r>
                  <w:r>
                    <w:rPr>
                      <w:rFonts w:hint="eastAsia" w:cs="Times New Roman" w:eastAsiaTheme="minorEastAsia"/>
                      <w:color w:val="auto"/>
                      <w:kern w:val="0"/>
                      <w:sz w:val="21"/>
                      <w:szCs w:val="21"/>
                      <w:lang w:val="en-US" w:eastAsia="zh-CN"/>
                    </w:rPr>
                    <w:t>22</w:t>
                  </w:r>
                </w:p>
              </w:tc>
              <w:tc>
                <w:tcPr>
                  <w:tcW w:w="557" w:type="dxa"/>
                  <w:vAlign w:val="center"/>
                </w:tcPr>
                <w:p w14:paraId="55BED20B">
                  <w:pPr>
                    <w:topLinePunct/>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r>
                    <w:rPr>
                      <w:rFonts w:hint="eastAsia" w:ascii="Times New Roman" w:hAnsi="Times New Roman" w:cs="Times New Roman"/>
                      <w:color w:val="auto"/>
                      <w:kern w:val="0"/>
                      <w:szCs w:val="21"/>
                      <w:lang w:val="en-US" w:eastAsia="zh-CN"/>
                    </w:rPr>
                    <w:t>一</w:t>
                  </w:r>
                  <w:r>
                    <w:rPr>
                      <w:rFonts w:hint="default" w:ascii="Times New Roman" w:hAnsi="Times New Roman" w:cs="Times New Roman"/>
                      <w:color w:val="auto"/>
                      <w:kern w:val="0"/>
                      <w:szCs w:val="21"/>
                      <w:lang w:val="en-US" w:eastAsia="zh-CN"/>
                    </w:rPr>
                    <w:t>个月</w:t>
                  </w:r>
                </w:p>
              </w:tc>
            </w:tr>
            <w:tr w14:paraId="18DB2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53" w:type="dxa"/>
                  <w:vMerge w:val="continue"/>
                  <w:vAlign w:val="center"/>
                </w:tcPr>
                <w:p w14:paraId="0F7E684A">
                  <w:pPr>
                    <w:topLinePunct/>
                    <w:adjustRightInd w:val="0"/>
                    <w:snapToGrid w:val="0"/>
                    <w:jc w:val="center"/>
                    <w:rPr>
                      <w:rFonts w:hint="default" w:ascii="Times New Roman" w:hAnsi="Times New Roman" w:cs="Times New Roman"/>
                      <w:color w:val="auto"/>
                      <w:kern w:val="0"/>
                      <w:szCs w:val="21"/>
                    </w:rPr>
                  </w:pPr>
                </w:p>
              </w:tc>
              <w:tc>
                <w:tcPr>
                  <w:tcW w:w="858" w:type="dxa"/>
                  <w:vAlign w:val="center"/>
                </w:tcPr>
                <w:p w14:paraId="2F839092">
                  <w:pPr>
                    <w:topLinePunct/>
                    <w:adjustRightInd w:val="0"/>
                    <w:snapToGrid w:val="0"/>
                    <w:jc w:val="center"/>
                    <w:rPr>
                      <w:rFonts w:hint="default" w:cs="Times New Roman"/>
                      <w:color w:val="auto"/>
                      <w:szCs w:val="21"/>
                      <w:lang w:val="en-US" w:eastAsia="zh-CN"/>
                    </w:rPr>
                  </w:pPr>
                  <w:r>
                    <w:rPr>
                      <w:rFonts w:hint="eastAsia" w:cs="Times New Roman"/>
                      <w:color w:val="auto"/>
                      <w:szCs w:val="21"/>
                      <w:lang w:val="en-US" w:eastAsia="zh-CN"/>
                    </w:rPr>
                    <w:t>0.5</w:t>
                  </w:r>
                </w:p>
              </w:tc>
              <w:tc>
                <w:tcPr>
                  <w:tcW w:w="1325" w:type="dxa"/>
                  <w:shd w:val="clear" w:color="auto" w:fill="auto"/>
                  <w:vAlign w:val="center"/>
                </w:tcPr>
                <w:p w14:paraId="3216AE07">
                  <w:pPr>
                    <w:spacing w:line="360" w:lineRule="exact"/>
                    <w:jc w:val="center"/>
                    <w:rPr>
                      <w:rFonts w:hint="eastAsia" w:ascii="Times New Roman" w:hAnsi="Times New Roman" w:eastAsia="宋体" w:cs="Times New Roman"/>
                      <w:caps w:val="0"/>
                      <w:color w:val="auto"/>
                      <w:sz w:val="21"/>
                      <w:szCs w:val="21"/>
                      <w:lang w:val="en-US" w:eastAsia="zh-CN"/>
                    </w:rPr>
                  </w:pPr>
                  <w:r>
                    <w:rPr>
                      <w:rFonts w:hint="default" w:ascii="Times New Roman" w:hAnsi="Times New Roman" w:cs="Times New Roman"/>
                      <w:color w:val="auto"/>
                      <w:kern w:val="0"/>
                      <w:szCs w:val="21"/>
                      <w:lang w:val="en-US" w:eastAsia="zh-CN"/>
                    </w:rPr>
                    <w:t>油雾净化器收集的废油</w:t>
                  </w:r>
                </w:p>
              </w:tc>
              <w:tc>
                <w:tcPr>
                  <w:tcW w:w="1036" w:type="dxa"/>
                  <w:shd w:val="clear" w:color="auto" w:fill="auto"/>
                  <w:vAlign w:val="center"/>
                </w:tcPr>
                <w:p w14:paraId="6DAC08F8">
                  <w:pPr>
                    <w:spacing w:line="360" w:lineRule="exact"/>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color w:val="auto"/>
                      <w:kern w:val="0"/>
                      <w:szCs w:val="21"/>
                      <w:lang w:val="en-US" w:eastAsia="zh-CN"/>
                    </w:rPr>
                    <w:t xml:space="preserve">HW08 </w:t>
                  </w:r>
                </w:p>
              </w:tc>
              <w:tc>
                <w:tcPr>
                  <w:tcW w:w="1036" w:type="dxa"/>
                  <w:shd w:val="clear" w:color="auto" w:fill="auto"/>
                  <w:vAlign w:val="center"/>
                </w:tcPr>
                <w:p w14:paraId="76BA0DED">
                  <w:pPr>
                    <w:spacing w:line="360" w:lineRule="exact"/>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color w:val="auto"/>
                      <w:kern w:val="0"/>
                      <w:szCs w:val="21"/>
                      <w:lang w:val="en-US" w:eastAsia="zh-CN"/>
                    </w:rPr>
                    <w:t>900-214-08</w:t>
                  </w:r>
                </w:p>
              </w:tc>
              <w:tc>
                <w:tcPr>
                  <w:tcW w:w="1142" w:type="dxa"/>
                  <w:shd w:val="clear" w:color="auto" w:fill="auto"/>
                  <w:vAlign w:val="center"/>
                </w:tcPr>
                <w:p w14:paraId="1CDD2564">
                  <w:pPr>
                    <w:spacing w:line="360" w:lineRule="exact"/>
                    <w:jc w:val="center"/>
                    <w:rPr>
                      <w:rFonts w:hint="default" w:cs="Times New Roman"/>
                      <w:color w:val="auto"/>
                      <w:kern w:val="0"/>
                      <w:szCs w:val="21"/>
                      <w:lang w:val="en-US" w:eastAsia="zh-CN"/>
                    </w:rPr>
                  </w:pPr>
                  <w:r>
                    <w:rPr>
                      <w:rFonts w:hint="eastAsia" w:cs="Times New Roman"/>
                      <w:color w:val="auto"/>
                      <w:kern w:val="0"/>
                      <w:szCs w:val="21"/>
                      <w:lang w:val="en-US" w:eastAsia="zh-CN"/>
                    </w:rPr>
                    <w:t>0.05</w:t>
                  </w:r>
                </w:p>
              </w:tc>
              <w:tc>
                <w:tcPr>
                  <w:tcW w:w="558" w:type="dxa"/>
                  <w:shd w:val="clear" w:color="auto" w:fill="auto"/>
                  <w:vAlign w:val="center"/>
                </w:tcPr>
                <w:p w14:paraId="0FAC4F7B">
                  <w:pPr>
                    <w:spacing w:line="360" w:lineRule="exact"/>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aps w:val="0"/>
                      <w:color w:val="auto"/>
                      <w:sz w:val="21"/>
                      <w:szCs w:val="21"/>
                      <w:lang w:eastAsia="zh-CN"/>
                    </w:rPr>
                    <w:t>桶装</w:t>
                  </w:r>
                </w:p>
              </w:tc>
              <w:tc>
                <w:tcPr>
                  <w:tcW w:w="1142" w:type="dxa"/>
                  <w:vAlign w:val="center"/>
                </w:tcPr>
                <w:p w14:paraId="6290B0F2">
                  <w:pPr>
                    <w:spacing w:line="360" w:lineRule="exact"/>
                    <w:jc w:val="center"/>
                    <w:rPr>
                      <w:rFonts w:hint="default"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0.0125</w:t>
                  </w:r>
                </w:p>
              </w:tc>
              <w:tc>
                <w:tcPr>
                  <w:tcW w:w="557" w:type="dxa"/>
                  <w:vAlign w:val="center"/>
                </w:tcPr>
                <w:p w14:paraId="0128DF26">
                  <w:pPr>
                    <w:topLinePunct/>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r>
                    <w:rPr>
                      <w:rFonts w:hint="default" w:ascii="Times New Roman" w:hAnsi="Times New Roman" w:cs="Times New Roman"/>
                      <w:color w:val="auto"/>
                      <w:kern w:val="0"/>
                      <w:szCs w:val="21"/>
                      <w:lang w:val="en-US" w:eastAsia="zh-CN"/>
                    </w:rPr>
                    <w:t>三个月</w:t>
                  </w:r>
                </w:p>
              </w:tc>
            </w:tr>
            <w:tr w14:paraId="2D91E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3" w:hRule="atLeast"/>
                <w:jc w:val="center"/>
              </w:trPr>
              <w:tc>
                <w:tcPr>
                  <w:tcW w:w="753" w:type="dxa"/>
                  <w:vAlign w:val="center"/>
                </w:tcPr>
                <w:p w14:paraId="1173F927">
                  <w:pPr>
                    <w:topLinePunct/>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合计</w:t>
                  </w:r>
                </w:p>
              </w:tc>
              <w:tc>
                <w:tcPr>
                  <w:tcW w:w="858" w:type="dxa"/>
                  <w:vAlign w:val="center"/>
                </w:tcPr>
                <w:p w14:paraId="1517CF60">
                  <w:pPr>
                    <w:topLinePunct/>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8.5</w:t>
                  </w:r>
                </w:p>
              </w:tc>
              <w:tc>
                <w:tcPr>
                  <w:tcW w:w="1325" w:type="dxa"/>
                  <w:vAlign w:val="center"/>
                </w:tcPr>
                <w:p w14:paraId="297643D1">
                  <w:pPr>
                    <w:widowControl/>
                    <w:jc w:val="center"/>
                    <w:rPr>
                      <w:rFonts w:hint="default" w:ascii="Times New Roman" w:hAnsi="Times New Roman" w:cs="Times New Roman"/>
                      <w:bCs/>
                      <w:color w:val="auto"/>
                      <w:kern w:val="0"/>
                      <w:szCs w:val="21"/>
                    </w:rPr>
                  </w:pPr>
                  <w:r>
                    <w:rPr>
                      <w:rFonts w:hint="default" w:ascii="Times New Roman" w:hAnsi="Times New Roman" w:cs="Times New Roman"/>
                      <w:bCs/>
                      <w:color w:val="auto"/>
                      <w:kern w:val="0"/>
                      <w:szCs w:val="21"/>
                    </w:rPr>
                    <w:t>/</w:t>
                  </w:r>
                </w:p>
              </w:tc>
              <w:tc>
                <w:tcPr>
                  <w:tcW w:w="1036" w:type="dxa"/>
                  <w:vAlign w:val="center"/>
                </w:tcPr>
                <w:p w14:paraId="37F79E74">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1036" w:type="dxa"/>
                  <w:vAlign w:val="center"/>
                </w:tcPr>
                <w:p w14:paraId="431D598A">
                  <w:pPr>
                    <w:snapToGrid w:val="0"/>
                    <w:ind w:left="-105" w:leftChars="-50" w:right="-105" w:rightChars="-5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c>
                <w:tcPr>
                  <w:tcW w:w="1142" w:type="dxa"/>
                  <w:shd w:val="clear" w:color="auto" w:fill="auto"/>
                  <w:vAlign w:val="center"/>
                </w:tcPr>
                <w:p w14:paraId="3B19C67F">
                  <w:pPr>
                    <w:spacing w:line="360" w:lineRule="exact"/>
                    <w:jc w:val="center"/>
                    <w:rPr>
                      <w:rFonts w:hint="default" w:ascii="Times New Roman" w:hAnsi="Times New Roman" w:eastAsia="宋体" w:cs="Times New Roman"/>
                      <w:color w:val="auto"/>
                      <w:kern w:val="0"/>
                      <w:szCs w:val="21"/>
                      <w:lang w:val="en-US" w:eastAsia="zh-CN"/>
                    </w:rPr>
                  </w:pPr>
                  <w:r>
                    <w:rPr>
                      <w:rFonts w:hint="eastAsia" w:cs="Times New Roman"/>
                      <w:color w:val="auto"/>
                      <w:kern w:val="0"/>
                      <w:szCs w:val="21"/>
                      <w:lang w:val="en-US" w:eastAsia="zh-CN"/>
                    </w:rPr>
                    <w:t>19.8294</w:t>
                  </w:r>
                </w:p>
              </w:tc>
              <w:tc>
                <w:tcPr>
                  <w:tcW w:w="558" w:type="dxa"/>
                  <w:vAlign w:val="center"/>
                </w:tcPr>
                <w:p w14:paraId="439AD90E">
                  <w:pPr>
                    <w:spacing w:line="360" w:lineRule="exact"/>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w:t>
                  </w:r>
                </w:p>
              </w:tc>
              <w:tc>
                <w:tcPr>
                  <w:tcW w:w="1142" w:type="dxa"/>
                  <w:shd w:val="clear" w:color="auto" w:fill="auto"/>
                  <w:vAlign w:val="center"/>
                </w:tcPr>
                <w:p w14:paraId="7F6048F2">
                  <w:pPr>
                    <w:spacing w:line="360" w:lineRule="exact"/>
                    <w:jc w:val="center"/>
                    <w:rPr>
                      <w:rFonts w:hint="default"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3.0145</w:t>
                  </w:r>
                </w:p>
              </w:tc>
              <w:tc>
                <w:tcPr>
                  <w:tcW w:w="557" w:type="dxa"/>
                  <w:vAlign w:val="center"/>
                </w:tcPr>
                <w:p w14:paraId="383B867E">
                  <w:pPr>
                    <w:topLinePunct/>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w:t>
                  </w:r>
                </w:p>
              </w:tc>
            </w:tr>
          </w:tbl>
          <w:p w14:paraId="7B4473BE">
            <w:pPr>
              <w:spacing w:before="100" w:beforeAutospacing="1" w:line="360" w:lineRule="auto"/>
              <w:ind w:firstLine="480" w:firstLineChars="200"/>
              <w:rPr>
                <w:rFonts w:hint="default" w:ascii="Times New Roman" w:hAnsi="Times New Roman" w:cs="Times New Roman"/>
                <w:bCs/>
                <w:color w:val="auto"/>
                <w:sz w:val="24"/>
                <w:szCs w:val="21"/>
              </w:rPr>
            </w:pPr>
            <w:r>
              <w:rPr>
                <w:rFonts w:hint="default" w:ascii="Times New Roman" w:hAnsi="Times New Roman" w:cs="Times New Roman"/>
                <w:bCs/>
                <w:color w:val="auto"/>
                <w:sz w:val="24"/>
                <w:szCs w:val="21"/>
              </w:rPr>
              <w:t>本项目危险废物储存容器总占地</w:t>
            </w:r>
            <w:r>
              <w:rPr>
                <w:rFonts w:hint="eastAsia" w:cs="Times New Roman"/>
                <w:bCs/>
                <w:color w:val="auto"/>
                <w:sz w:val="24"/>
                <w:szCs w:val="21"/>
                <w:lang w:val="en-US" w:eastAsia="zh-CN"/>
              </w:rPr>
              <w:t>8.5</w:t>
            </w:r>
            <w:r>
              <w:rPr>
                <w:rFonts w:hint="default" w:ascii="Times New Roman" w:hAnsi="Times New Roman" w:cs="Times New Roman"/>
                <w:bCs/>
                <w:color w:val="auto"/>
                <w:sz w:val="24"/>
                <w:szCs w:val="21"/>
              </w:rPr>
              <w:t>m</w:t>
            </w:r>
            <w:r>
              <w:rPr>
                <w:rFonts w:hint="default" w:ascii="Times New Roman" w:hAnsi="Times New Roman" w:cs="Times New Roman"/>
                <w:bCs/>
                <w:color w:val="auto"/>
                <w:sz w:val="24"/>
                <w:szCs w:val="21"/>
                <w:vertAlign w:val="superscript"/>
              </w:rPr>
              <w:t>2</w:t>
            </w:r>
            <w:r>
              <w:rPr>
                <w:rFonts w:hint="default" w:ascii="Times New Roman" w:hAnsi="Times New Roman" w:cs="Times New Roman"/>
                <w:bCs/>
                <w:color w:val="auto"/>
                <w:sz w:val="24"/>
                <w:szCs w:val="21"/>
              </w:rPr>
              <w:t>，新建危废库满足存放需求。</w:t>
            </w:r>
            <w:r>
              <w:rPr>
                <w:rFonts w:hint="default" w:ascii="Times New Roman" w:hAnsi="Times New Roman" w:cs="Times New Roman"/>
                <w:color w:val="auto"/>
                <w:sz w:val="24"/>
              </w:rPr>
              <w:t>企业需按照《危险废物贮存污染控制标准》（GB18597-2023）相关规定，规范建设危废库，具体措施如下：</w:t>
            </w:r>
          </w:p>
          <w:p w14:paraId="7DD13017">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本项目危险废物在厂内贮存时，执行《危险废物贮存污染控制标准》（GB18597-2023）中相关规定，规范建设危废库，具体措施如下：</w:t>
            </w:r>
          </w:p>
          <w:p w14:paraId="1AAE0955">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①贮存设施应根据危险废物的形态、物理化学性质、包装形式和污染物迁移途径，采取必要的防风、防晒、防雨、防漏、防渗、防腐以及其他环境污染防治措施，不应露天堆放危险废物。</w:t>
            </w:r>
          </w:p>
          <w:p w14:paraId="00BD4D3E">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②贮存设施应根据危险废物的类别、数量、形态、物理化学性质和污染防治等要求设置必要的贮存分区，避免不相容的危险废物接触、混合。</w:t>
            </w:r>
          </w:p>
          <w:p w14:paraId="356D4F51">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③贮存设施或贮存分区内地面、墙面裙脚、堵截泄漏的围堰、接触危险废物的隔板和墙体等应采用坚固的材料建造，表面无裂缝。</w:t>
            </w:r>
          </w:p>
          <w:p w14:paraId="5FE13247">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④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 m厚黏土层（渗透系数不大于10</w:t>
            </w:r>
            <w:r>
              <w:rPr>
                <w:rFonts w:hint="default" w:ascii="Times New Roman" w:hAnsi="Times New Roman" w:cs="Times New Roman"/>
                <w:color w:val="auto"/>
                <w:sz w:val="24"/>
                <w:szCs w:val="24"/>
                <w:vertAlign w:val="superscript"/>
              </w:rPr>
              <w:t>-7</w:t>
            </w:r>
            <w:r>
              <w:rPr>
                <w:rFonts w:hint="default" w:ascii="Times New Roman" w:hAnsi="Times New Roman" w:cs="Times New Roman"/>
                <w:color w:val="auto"/>
                <w:sz w:val="24"/>
                <w:szCs w:val="24"/>
              </w:rPr>
              <w:t>cm/s），或至少2 mm厚高密度聚乙烯膜等人工防渗材料（渗透系数不大于10</w:t>
            </w:r>
            <w:r>
              <w:rPr>
                <w:rFonts w:hint="default" w:ascii="Times New Roman" w:hAnsi="Times New Roman" w:cs="Times New Roman"/>
                <w:color w:val="auto"/>
                <w:sz w:val="24"/>
                <w:szCs w:val="24"/>
                <w:vertAlign w:val="superscript"/>
              </w:rPr>
              <w:t>-10</w:t>
            </w:r>
            <w:r>
              <w:rPr>
                <w:rFonts w:hint="default" w:ascii="Times New Roman" w:hAnsi="Times New Roman" w:cs="Times New Roman"/>
                <w:color w:val="auto"/>
                <w:sz w:val="24"/>
                <w:szCs w:val="24"/>
              </w:rPr>
              <w:t>cm/s），或其他防渗性能等效的材料。</w:t>
            </w:r>
          </w:p>
          <w:p w14:paraId="05DE5C4F">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⑤同一贮存设施宜采用相同的防渗、防腐工艺（包括防渗、防腐结构或材料），防渗、防腐材料应覆盖所有可能与废物及其渗滤液、渗漏液等接触的构筑物表面；采用不同防渗、防腐工艺应分别建设贮存分区。</w:t>
            </w:r>
          </w:p>
          <w:p w14:paraId="39D74A18">
            <w:pPr>
              <w:spacing w:line="360" w:lineRule="auto"/>
              <w:ind w:firstLine="48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⑥危险废物存入贮存设施前应对危险废物类别和特性与危险废物标签等危险废物识别标志的一致性进行核验，不一致的或类别、特性不明的不应存入。</w:t>
            </w:r>
          </w:p>
          <w:p w14:paraId="36F7917F">
            <w:pPr>
              <w:spacing w:line="360" w:lineRule="auto"/>
              <w:ind w:firstLine="48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rPr>
              <w:t>⑦应定期检查危险废物的贮存状况，及时清理贮存设施地面，更换破损泄漏的危险废物贮存容器和包装物，保证堆存危险废物的防雨、防风、防扬尘等设施功能完好。</w:t>
            </w:r>
            <w:r>
              <w:rPr>
                <w:rFonts w:hint="default" w:ascii="Times New Roman" w:hAnsi="Times New Roman" w:cs="Times New Roman"/>
                <w:color w:val="auto"/>
                <w:sz w:val="24"/>
                <w:szCs w:val="24"/>
                <w:lang w:val="en-US" w:eastAsia="zh-CN"/>
              </w:rPr>
              <w:t xml:space="preserve"> </w:t>
            </w:r>
          </w:p>
          <w:p w14:paraId="0AE8CD75">
            <w:pPr>
              <w:spacing w:line="360" w:lineRule="auto"/>
              <w:ind w:firstLine="48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⑧作业设备及车辆等结束作业离开贮存设施时，应对其残留的危险废物进行清理，清理的废物或清洗废水应收集处理。</w:t>
            </w:r>
          </w:p>
          <w:p w14:paraId="68AD46FD">
            <w:pPr>
              <w:spacing w:line="360" w:lineRule="auto"/>
              <w:ind w:firstLine="48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⑨贮存设施运行期间，应按国家有关标准和规定建立危险废物管理台账并保存。</w:t>
            </w:r>
          </w:p>
          <w:p w14:paraId="741211B5">
            <w:pPr>
              <w:spacing w:line="360" w:lineRule="auto"/>
              <w:ind w:firstLine="48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⑩贮存设施所有者或运营者应建立贮存设施环境管理制度、管理人员岗位职责制度、设施运行操作制度、人员岗位培训制度等。</w:t>
            </w:r>
          </w:p>
          <w:p w14:paraId="7159D653">
            <w:pPr>
              <w:spacing w:line="360" w:lineRule="auto"/>
              <w:ind w:firstLine="48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⑪贮存设施所有者或运营者应依据国家土壤和地下水污染防治的有关规定，结合贮存设施特点建立土壤和地下水污染隐患排查制度，并定期开展隐患排查；发现隐患应及时采取措施消除隐患，并建立档案。</w:t>
            </w:r>
          </w:p>
          <w:p w14:paraId="66FB9A09">
            <w:pPr>
              <w:spacing w:line="360" w:lineRule="auto"/>
              <w:ind w:firstLine="48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⑫贮存设施所有者或运营者应建立贮存设施全部档案，包括设计、施工、验收、运行、监测和环境应急等，应按国家有关档案管理的法律法规进行整理和归档。采取上述措施后，能够确保本项目危险废物在厂内贮存时得到有效的处置，对环境影响较小。</w:t>
            </w:r>
          </w:p>
          <w:p w14:paraId="294E49C3">
            <w:pPr>
              <w:spacing w:line="360" w:lineRule="auto"/>
              <w:ind w:firstLine="480"/>
              <w:jc w:val="left"/>
              <w:rPr>
                <w:rFonts w:hint="default" w:ascii="Times New Roman" w:hAnsi="Times New Roman" w:cs="Times New Roman" w:eastAsiaTheme="minorEastAsia"/>
                <w:color w:val="auto"/>
                <w:kern w:val="0"/>
                <w:sz w:val="24"/>
              </w:rPr>
            </w:pPr>
            <w:r>
              <w:rPr>
                <w:rFonts w:hint="default" w:ascii="Times New Roman" w:hAnsi="Times New Roman" w:cs="Times New Roman" w:eastAsiaTheme="minorEastAsia"/>
                <w:color w:val="auto"/>
                <w:kern w:val="0"/>
                <w:sz w:val="24"/>
              </w:rPr>
              <w:t>（2）危险废物运输及转移过程环境影响分析</w:t>
            </w:r>
          </w:p>
          <w:p w14:paraId="0E92C9DB">
            <w:pPr>
              <w:autoSpaceDE w:val="0"/>
              <w:autoSpaceDN w:val="0"/>
              <w:adjustRightInd w:val="0"/>
              <w:spacing w:line="360" w:lineRule="auto"/>
              <w:ind w:firstLine="480" w:firstLineChars="200"/>
              <w:jc w:val="left"/>
              <w:rPr>
                <w:rFonts w:hint="default" w:ascii="Times New Roman" w:hAnsi="Times New Roman" w:cs="Times New Roman" w:eastAsiaTheme="minorEastAsia"/>
                <w:bCs/>
                <w:color w:val="auto"/>
                <w:kern w:val="0"/>
                <w:sz w:val="24"/>
                <w:szCs w:val="20"/>
              </w:rPr>
            </w:pPr>
            <w:r>
              <w:rPr>
                <w:rFonts w:hint="default" w:ascii="Times New Roman" w:hAnsi="Times New Roman" w:cs="Times New Roman"/>
                <w:bCs/>
                <w:color w:val="auto"/>
                <w:kern w:val="0"/>
                <w:sz w:val="24"/>
                <w:szCs w:val="20"/>
              </w:rPr>
              <w:t>危险废物外运时严格按照生态环境部、公安部、交通运输部令第23号文件《危险废物转移管理办法》的相关规定报批危险废物转移计划，转移危险废物时按照规定填报危险废物电子转移联单，并依照国家有关规定公开危险废物转移相关污染环境防治信息。运输危险废物的人员应具有相应经营范围的有效危险货物运输许可证件。移出入、承运人、接受人应当依法制定突发环境事件的防范措施和应急预案，并报有关部门报告；发生危险废物突发环境事件时，应当立即采取有效措施消除或者减轻对环境的污染危害，并按相关规定向事故发生地有关部门报告，接受调查。运输过程中应当采取防扬散、防流失、防渗漏或者其他防止污染环境的措施，不得擅自倾倒、堆放、丢弃、遗撒危险废物，并对所造成的环境污染及生态破坏依法承担责任。做到妥善包装，设置相应的识别标志。</w:t>
            </w:r>
          </w:p>
          <w:p w14:paraId="4E924041">
            <w:pPr>
              <w:autoSpaceDE w:val="0"/>
              <w:autoSpaceDN w:val="0"/>
              <w:adjustRightInd w:val="0"/>
              <w:spacing w:line="360" w:lineRule="auto"/>
              <w:ind w:firstLine="480" w:firstLineChars="200"/>
              <w:jc w:val="left"/>
              <w:rPr>
                <w:rFonts w:hint="default" w:ascii="Times New Roman" w:hAnsi="Times New Roman" w:cs="Times New Roman" w:eastAsiaTheme="minorEastAsia"/>
                <w:bCs/>
                <w:color w:val="auto"/>
                <w:kern w:val="0"/>
                <w:sz w:val="24"/>
                <w:szCs w:val="20"/>
              </w:rPr>
            </w:pPr>
            <w:r>
              <w:rPr>
                <w:rFonts w:hint="default" w:ascii="Times New Roman" w:hAnsi="Times New Roman" w:cs="Times New Roman" w:eastAsiaTheme="minorEastAsia"/>
                <w:bCs/>
                <w:color w:val="auto"/>
                <w:kern w:val="0"/>
                <w:sz w:val="24"/>
                <w:szCs w:val="20"/>
              </w:rPr>
              <w:t>综上所述，项目运输过程做好相关工作对外环境的影响是可以控制的。</w:t>
            </w:r>
          </w:p>
          <w:p w14:paraId="2D3A610B">
            <w:pPr>
              <w:autoSpaceDE w:val="0"/>
              <w:autoSpaceDN w:val="0"/>
              <w:adjustRightInd w:val="0"/>
              <w:spacing w:line="360" w:lineRule="auto"/>
              <w:ind w:firstLine="480" w:firstLineChars="200"/>
              <w:jc w:val="left"/>
              <w:rPr>
                <w:rFonts w:hint="default" w:ascii="Times New Roman" w:hAnsi="Times New Roman" w:cs="Times New Roman" w:eastAsiaTheme="minorEastAsia"/>
                <w:bCs/>
                <w:color w:val="auto"/>
                <w:kern w:val="0"/>
                <w:sz w:val="24"/>
                <w:szCs w:val="20"/>
              </w:rPr>
            </w:pPr>
            <w:r>
              <w:rPr>
                <w:rFonts w:hint="default" w:ascii="Times New Roman" w:hAnsi="Times New Roman" w:cs="Times New Roman" w:eastAsiaTheme="minorEastAsia"/>
                <w:bCs/>
                <w:color w:val="auto"/>
                <w:kern w:val="0"/>
                <w:sz w:val="24"/>
                <w:szCs w:val="20"/>
              </w:rPr>
              <w:t>环评要求危险废物应及时转运，废物的转运过程中应封闭，以防散落，转运车辆应加盖蓬布，以防散入路面。危险废物的内部转运应综合考虑厂区的实际情况确定转运路线，尽量避开生活区和办公区；危险废物内部转运应采用专用的工具。</w:t>
            </w:r>
          </w:p>
          <w:p w14:paraId="6CC5DC54">
            <w:pPr>
              <w:autoSpaceDE w:val="0"/>
              <w:autoSpaceDN w:val="0"/>
              <w:adjustRightInd w:val="0"/>
              <w:spacing w:line="360" w:lineRule="auto"/>
              <w:ind w:firstLine="480" w:firstLineChars="200"/>
              <w:jc w:val="left"/>
              <w:rPr>
                <w:rFonts w:hint="default" w:ascii="Times New Roman" w:hAnsi="Times New Roman" w:cs="Times New Roman" w:eastAsiaTheme="minorEastAsia"/>
                <w:bCs/>
                <w:color w:val="auto"/>
                <w:kern w:val="0"/>
                <w:sz w:val="24"/>
                <w:szCs w:val="20"/>
              </w:rPr>
            </w:pPr>
            <w:r>
              <w:rPr>
                <w:rFonts w:hint="default" w:ascii="Times New Roman" w:hAnsi="Times New Roman" w:cs="Times New Roman" w:eastAsiaTheme="minorEastAsia"/>
                <w:bCs/>
                <w:color w:val="auto"/>
                <w:kern w:val="0"/>
                <w:sz w:val="24"/>
                <w:szCs w:val="20"/>
              </w:rPr>
              <w:t>（3）委托利用或者处置的环境影响分析</w:t>
            </w:r>
          </w:p>
          <w:p w14:paraId="4117AC20">
            <w:pPr>
              <w:autoSpaceDE w:val="0"/>
              <w:autoSpaceDN w:val="0"/>
              <w:adjustRightInd w:val="0"/>
              <w:spacing w:line="360" w:lineRule="auto"/>
              <w:ind w:firstLine="480" w:firstLineChars="200"/>
              <w:jc w:val="left"/>
              <w:rPr>
                <w:rFonts w:hint="default" w:ascii="Times New Roman" w:hAnsi="Times New Roman" w:cs="Times New Roman" w:eastAsiaTheme="minorEastAsia"/>
                <w:bCs/>
                <w:color w:val="auto"/>
                <w:kern w:val="0"/>
                <w:sz w:val="24"/>
                <w:szCs w:val="20"/>
              </w:rPr>
            </w:pPr>
            <w:r>
              <w:rPr>
                <w:rFonts w:hint="default" w:ascii="Times New Roman" w:hAnsi="Times New Roman" w:cs="Times New Roman" w:eastAsiaTheme="minorEastAsia"/>
                <w:bCs/>
                <w:color w:val="auto"/>
                <w:kern w:val="0"/>
                <w:sz w:val="24"/>
                <w:szCs w:val="20"/>
              </w:rPr>
              <w:t>根据安徽省环境保护厅公布的《安徽省危险废物经营许可证汇总统计表》，本次评价分析项目产生的危险废物有资质单位有能力接纳并利用、处置的部分单位如下：</w:t>
            </w:r>
          </w:p>
          <w:p w14:paraId="6A3636A3">
            <w:pPr>
              <w:keepNext w:val="0"/>
              <w:keepLines w:val="0"/>
              <w:pageBreakBefore w:val="0"/>
              <w:widowControl/>
              <w:kinsoku/>
              <w:wordWrap/>
              <w:overflowPunct/>
              <w:topLinePunct w:val="0"/>
              <w:autoSpaceDE/>
              <w:autoSpaceDN/>
              <w:bidi w:val="0"/>
              <w:adjustRightInd/>
              <w:snapToGrid/>
              <w:spacing w:beforeAutospacing="0"/>
              <w:jc w:val="center"/>
              <w:textAlignment w:val="auto"/>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表4-</w:t>
            </w:r>
            <w:r>
              <w:rPr>
                <w:rFonts w:hint="eastAsia" w:ascii="Times New Roman" w:hAnsi="Times New Roman" w:eastAsia="宋体" w:cs="Times New Roman"/>
                <w:b/>
                <w:color w:val="auto"/>
                <w:kern w:val="0"/>
                <w:sz w:val="24"/>
                <w:lang w:val="en-US" w:eastAsia="zh-CN"/>
              </w:rPr>
              <w:t>24</w:t>
            </w:r>
            <w:r>
              <w:rPr>
                <w:rFonts w:hint="default" w:ascii="Times New Roman" w:hAnsi="Times New Roman" w:eastAsia="宋体" w:cs="Times New Roman"/>
                <w:b/>
                <w:color w:val="auto"/>
                <w:kern w:val="0"/>
                <w:sz w:val="24"/>
              </w:rPr>
              <w:t xml:space="preserve">  拟建项目危险废物安徽省内资质单位情况</w:t>
            </w:r>
          </w:p>
          <w:tbl>
            <w:tblPr>
              <w:tblStyle w:val="6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671"/>
              <w:gridCol w:w="797"/>
              <w:gridCol w:w="2693"/>
              <w:gridCol w:w="997"/>
              <w:gridCol w:w="899"/>
              <w:gridCol w:w="609"/>
              <w:gridCol w:w="948"/>
            </w:tblGrid>
            <w:tr w14:paraId="2D1F1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shd w:val="clear" w:color="auto" w:fill="auto"/>
                  <w:vAlign w:val="center"/>
                </w:tcPr>
                <w:p w14:paraId="22F3728E">
                  <w:pPr>
                    <w:autoSpaceDE w:val="0"/>
                    <w:autoSpaceDN w:val="0"/>
                    <w:adjustRightInd w:val="0"/>
                    <w:ind w:left="-105" w:leftChars="-50" w:right="-105" w:rightChars="-50"/>
                    <w:jc w:val="center"/>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建议处置单位</w:t>
                  </w:r>
                </w:p>
              </w:tc>
              <w:tc>
                <w:tcPr>
                  <w:tcW w:w="400" w:type="pct"/>
                  <w:shd w:val="clear" w:color="auto" w:fill="auto"/>
                  <w:vAlign w:val="center"/>
                </w:tcPr>
                <w:p w14:paraId="7CDE6036">
                  <w:pPr>
                    <w:autoSpaceDE w:val="0"/>
                    <w:autoSpaceDN w:val="0"/>
                    <w:adjustRightInd w:val="0"/>
                    <w:ind w:left="-105" w:leftChars="-50" w:right="-105" w:rightChars="-50"/>
                    <w:jc w:val="center"/>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建议处置单位地点</w:t>
                  </w:r>
                </w:p>
              </w:tc>
              <w:tc>
                <w:tcPr>
                  <w:tcW w:w="475" w:type="pct"/>
                  <w:shd w:val="clear" w:color="auto" w:fill="auto"/>
                  <w:vAlign w:val="center"/>
                </w:tcPr>
                <w:p w14:paraId="116C97E6">
                  <w:pPr>
                    <w:autoSpaceDE w:val="0"/>
                    <w:autoSpaceDN w:val="0"/>
                    <w:adjustRightInd w:val="0"/>
                    <w:ind w:left="-105" w:leftChars="-50" w:right="-105" w:rightChars="-50"/>
                    <w:jc w:val="center"/>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设计处</w:t>
                  </w:r>
                </w:p>
                <w:p w14:paraId="24E74AA7">
                  <w:pPr>
                    <w:autoSpaceDE w:val="0"/>
                    <w:autoSpaceDN w:val="0"/>
                    <w:adjustRightInd w:val="0"/>
                    <w:ind w:left="-105" w:leftChars="-50" w:right="-105" w:rightChars="-50"/>
                    <w:jc w:val="center"/>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理规模</w:t>
                  </w:r>
                </w:p>
                <w:p w14:paraId="70D2F584">
                  <w:pPr>
                    <w:autoSpaceDE w:val="0"/>
                    <w:autoSpaceDN w:val="0"/>
                    <w:adjustRightInd w:val="0"/>
                    <w:ind w:left="-105" w:leftChars="-50" w:right="-105" w:rightChars="-50"/>
                    <w:jc w:val="center"/>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t/a</w:t>
                  </w:r>
                </w:p>
              </w:tc>
              <w:tc>
                <w:tcPr>
                  <w:tcW w:w="1605" w:type="pct"/>
                  <w:shd w:val="clear" w:color="auto" w:fill="auto"/>
                  <w:vAlign w:val="center"/>
                </w:tcPr>
                <w:p w14:paraId="7AB8DBF0">
                  <w:pPr>
                    <w:autoSpaceDE w:val="0"/>
                    <w:autoSpaceDN w:val="0"/>
                    <w:adjustRightInd w:val="0"/>
                    <w:ind w:left="-105" w:leftChars="-50" w:right="-105" w:rightChars="-50"/>
                    <w:jc w:val="center"/>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危废资质类别</w:t>
                  </w:r>
                </w:p>
              </w:tc>
              <w:tc>
                <w:tcPr>
                  <w:tcW w:w="594" w:type="pct"/>
                  <w:shd w:val="clear" w:color="auto" w:fill="auto"/>
                  <w:vAlign w:val="center"/>
                </w:tcPr>
                <w:p w14:paraId="239EB138">
                  <w:pPr>
                    <w:autoSpaceDE w:val="0"/>
                    <w:autoSpaceDN w:val="0"/>
                    <w:adjustRightInd w:val="0"/>
                    <w:ind w:left="-105" w:leftChars="-50" w:right="-105" w:rightChars="-50"/>
                    <w:jc w:val="center"/>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证书编号</w:t>
                  </w:r>
                </w:p>
              </w:tc>
              <w:tc>
                <w:tcPr>
                  <w:tcW w:w="536" w:type="pct"/>
                  <w:shd w:val="clear" w:color="auto" w:fill="auto"/>
                  <w:vAlign w:val="center"/>
                </w:tcPr>
                <w:p w14:paraId="698A5482">
                  <w:pPr>
                    <w:autoSpaceDE w:val="0"/>
                    <w:autoSpaceDN w:val="0"/>
                    <w:adjustRightInd w:val="0"/>
                    <w:ind w:left="-105" w:leftChars="-50" w:right="-105" w:rightChars="-50"/>
                    <w:jc w:val="center"/>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首次发证时间</w:t>
                  </w:r>
                </w:p>
              </w:tc>
              <w:tc>
                <w:tcPr>
                  <w:tcW w:w="363" w:type="pct"/>
                  <w:shd w:val="clear" w:color="auto" w:fill="auto"/>
                  <w:vAlign w:val="center"/>
                </w:tcPr>
                <w:p w14:paraId="5A2C03C0">
                  <w:pPr>
                    <w:autoSpaceDE w:val="0"/>
                    <w:autoSpaceDN w:val="0"/>
                    <w:adjustRightInd w:val="0"/>
                    <w:ind w:left="-105" w:leftChars="-50" w:right="-105" w:rightChars="-50"/>
                    <w:jc w:val="center"/>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是否有效</w:t>
                  </w:r>
                </w:p>
              </w:tc>
              <w:tc>
                <w:tcPr>
                  <w:tcW w:w="565" w:type="pct"/>
                  <w:shd w:val="clear" w:color="auto" w:fill="auto"/>
                  <w:vAlign w:val="center"/>
                </w:tcPr>
                <w:p w14:paraId="387CF322">
                  <w:pPr>
                    <w:autoSpaceDE w:val="0"/>
                    <w:autoSpaceDN w:val="0"/>
                    <w:adjustRightInd w:val="0"/>
                    <w:ind w:left="-105" w:leftChars="-50" w:right="-105" w:rightChars="-50"/>
                    <w:jc w:val="center"/>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对应项目危险废物类别</w:t>
                  </w:r>
                </w:p>
              </w:tc>
            </w:tr>
            <w:tr w14:paraId="01032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shd w:val="clear" w:color="auto" w:fill="auto"/>
                  <w:vAlign w:val="center"/>
                </w:tcPr>
                <w:p w14:paraId="21BDA81B">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芜湖海创环保科技有限责任</w:t>
                  </w:r>
                </w:p>
                <w:p w14:paraId="4E33FDBE">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公司</w:t>
                  </w:r>
                </w:p>
              </w:tc>
              <w:tc>
                <w:tcPr>
                  <w:tcW w:w="400" w:type="pct"/>
                  <w:shd w:val="clear" w:color="auto" w:fill="auto"/>
                  <w:vAlign w:val="center"/>
                </w:tcPr>
                <w:p w14:paraId="53917164">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芜湖市繁昌县</w:t>
                  </w:r>
                </w:p>
              </w:tc>
              <w:tc>
                <w:tcPr>
                  <w:tcW w:w="475" w:type="pct"/>
                  <w:shd w:val="clear" w:color="auto" w:fill="auto"/>
                  <w:vAlign w:val="center"/>
                </w:tcPr>
                <w:p w14:paraId="6689029C">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68000</w:t>
                  </w:r>
                </w:p>
              </w:tc>
              <w:tc>
                <w:tcPr>
                  <w:tcW w:w="1605" w:type="pct"/>
                  <w:shd w:val="clear" w:color="auto" w:fill="auto"/>
                  <w:vAlign w:val="center"/>
                </w:tcPr>
                <w:p w14:paraId="6993D63F">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HW02、HW04、HW06、HW08、HW09、HW11、HW12、HW13、HW17、HW18、HW22、HW34、HW39、HW45、HW48、HW49等16大类，280小类</w:t>
                  </w:r>
                </w:p>
              </w:tc>
              <w:tc>
                <w:tcPr>
                  <w:tcW w:w="594" w:type="pct"/>
                  <w:shd w:val="clear" w:color="auto" w:fill="auto"/>
                  <w:vAlign w:val="center"/>
                </w:tcPr>
                <w:p w14:paraId="39852733">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340222002</w:t>
                  </w:r>
                </w:p>
              </w:tc>
              <w:tc>
                <w:tcPr>
                  <w:tcW w:w="536" w:type="pct"/>
                  <w:shd w:val="clear" w:color="auto" w:fill="auto"/>
                  <w:vAlign w:val="center"/>
                </w:tcPr>
                <w:p w14:paraId="15003C68">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2017.12.7</w:t>
                  </w:r>
                </w:p>
              </w:tc>
              <w:tc>
                <w:tcPr>
                  <w:tcW w:w="363" w:type="pct"/>
                  <w:shd w:val="clear" w:color="auto" w:fill="auto"/>
                  <w:vAlign w:val="center"/>
                </w:tcPr>
                <w:p w14:paraId="09085949">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有效</w:t>
                  </w:r>
                </w:p>
              </w:tc>
              <w:tc>
                <w:tcPr>
                  <w:tcW w:w="565" w:type="pct"/>
                  <w:shd w:val="clear" w:color="auto" w:fill="auto"/>
                  <w:vAlign w:val="center"/>
                </w:tcPr>
                <w:p w14:paraId="4C221DD9">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szCs w:val="21"/>
                    </w:rPr>
                    <w:t>HW08、HW0</w:t>
                  </w:r>
                  <w:r>
                    <w:rPr>
                      <w:rFonts w:hint="eastAsia" w:ascii="Times New Roman" w:hAnsi="Times New Roman" w:cs="Times New Roman" w:eastAsiaTheme="minorEastAsia"/>
                      <w:color w:val="auto"/>
                      <w:szCs w:val="21"/>
                      <w:lang w:val="en-US" w:eastAsia="zh-CN"/>
                    </w:rPr>
                    <w:t>9</w:t>
                  </w:r>
                  <w:r>
                    <w:rPr>
                      <w:rFonts w:hint="default" w:ascii="Times New Roman" w:hAnsi="Times New Roman" w:cs="Times New Roman" w:eastAsiaTheme="minorEastAsia"/>
                      <w:color w:val="auto"/>
                      <w:szCs w:val="21"/>
                    </w:rPr>
                    <w:t>、HW49</w:t>
                  </w:r>
                </w:p>
              </w:tc>
            </w:tr>
            <w:tr w14:paraId="422CE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shd w:val="clear" w:color="auto" w:fill="auto"/>
                  <w:vAlign w:val="center"/>
                </w:tcPr>
                <w:p w14:paraId="408BE9E1">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马鞍山澳新环保科技有限公</w:t>
                  </w:r>
                </w:p>
                <w:p w14:paraId="45CDD200">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司</w:t>
                  </w:r>
                </w:p>
              </w:tc>
              <w:tc>
                <w:tcPr>
                  <w:tcW w:w="400" w:type="pct"/>
                  <w:shd w:val="clear" w:color="auto" w:fill="auto"/>
                  <w:vAlign w:val="center"/>
                </w:tcPr>
                <w:p w14:paraId="05347D55">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马鞍山市雨山区</w:t>
                  </w:r>
                </w:p>
              </w:tc>
              <w:tc>
                <w:tcPr>
                  <w:tcW w:w="475" w:type="pct"/>
                  <w:shd w:val="clear" w:color="auto" w:fill="auto"/>
                  <w:vAlign w:val="center"/>
                </w:tcPr>
                <w:p w14:paraId="1DD69A1D">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33100</w:t>
                  </w:r>
                </w:p>
              </w:tc>
              <w:tc>
                <w:tcPr>
                  <w:tcW w:w="1605" w:type="pct"/>
                  <w:shd w:val="clear" w:color="auto" w:fill="auto"/>
                  <w:vAlign w:val="center"/>
                </w:tcPr>
                <w:p w14:paraId="6A8AEB88">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HW01- HW06、HW08、HW09、HW11- HW14、HW14- HW18、HW21- HW23、HW29、HW31- HW40、HW45、HW46、HW48- HW50焚烧10000吨/年（含医疗废物1000吨）、物化处理13000吨/年、固化、稳定化及安全填埋10100吨/年。</w:t>
                  </w:r>
                </w:p>
              </w:tc>
              <w:tc>
                <w:tcPr>
                  <w:tcW w:w="594" w:type="pct"/>
                  <w:shd w:val="clear" w:color="auto" w:fill="auto"/>
                  <w:vAlign w:val="center"/>
                </w:tcPr>
                <w:p w14:paraId="30201F61">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340504001</w:t>
                  </w:r>
                </w:p>
              </w:tc>
              <w:tc>
                <w:tcPr>
                  <w:tcW w:w="536" w:type="pct"/>
                  <w:shd w:val="clear" w:color="auto" w:fill="auto"/>
                  <w:vAlign w:val="center"/>
                </w:tcPr>
                <w:p w14:paraId="6737A8A5">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2015.7.1</w:t>
                  </w:r>
                </w:p>
              </w:tc>
              <w:tc>
                <w:tcPr>
                  <w:tcW w:w="363" w:type="pct"/>
                  <w:shd w:val="clear" w:color="auto" w:fill="auto"/>
                  <w:vAlign w:val="center"/>
                </w:tcPr>
                <w:p w14:paraId="6C509859">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有效</w:t>
                  </w:r>
                </w:p>
              </w:tc>
              <w:tc>
                <w:tcPr>
                  <w:tcW w:w="565" w:type="pct"/>
                  <w:shd w:val="clear" w:color="auto" w:fill="auto"/>
                  <w:vAlign w:val="center"/>
                </w:tcPr>
                <w:p w14:paraId="59D1442D">
                  <w:pPr>
                    <w:autoSpaceDE w:val="0"/>
                    <w:autoSpaceDN w:val="0"/>
                    <w:adjustRightInd w:val="0"/>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szCs w:val="21"/>
                    </w:rPr>
                    <w:t>HW08、HW0</w:t>
                  </w:r>
                  <w:r>
                    <w:rPr>
                      <w:rFonts w:hint="eastAsia" w:ascii="Times New Roman" w:hAnsi="Times New Roman" w:cs="Times New Roman" w:eastAsiaTheme="minorEastAsia"/>
                      <w:color w:val="auto"/>
                      <w:szCs w:val="21"/>
                      <w:lang w:val="en-US" w:eastAsia="zh-CN"/>
                    </w:rPr>
                    <w:t>9</w:t>
                  </w:r>
                  <w:r>
                    <w:rPr>
                      <w:rFonts w:hint="default" w:ascii="Times New Roman" w:hAnsi="Times New Roman" w:cs="Times New Roman" w:eastAsiaTheme="minorEastAsia"/>
                      <w:color w:val="auto"/>
                      <w:szCs w:val="21"/>
                    </w:rPr>
                    <w:t>、HW49</w:t>
                  </w:r>
                </w:p>
              </w:tc>
            </w:tr>
          </w:tbl>
          <w:p w14:paraId="78B6B2CA">
            <w:pPr>
              <w:autoSpaceDE w:val="0"/>
              <w:autoSpaceDN w:val="0"/>
              <w:adjustRightInd w:val="0"/>
              <w:ind w:firstLine="422" w:firstLineChars="200"/>
              <w:jc w:val="left"/>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注：仅为安徽省内部分有资质处置企业。</w:t>
            </w:r>
          </w:p>
          <w:p w14:paraId="6B6F6544">
            <w:pPr>
              <w:autoSpaceDE w:val="0"/>
              <w:autoSpaceDN w:val="0"/>
              <w:adjustRightInd w:val="0"/>
              <w:spacing w:before="120" w:beforeLines="50" w:line="360" w:lineRule="auto"/>
              <w:ind w:firstLine="480" w:firstLineChars="200"/>
              <w:jc w:val="left"/>
              <w:rPr>
                <w:rFonts w:hint="default" w:ascii="Times New Roman" w:hAnsi="Times New Roman" w:cs="Times New Roman" w:eastAsiaTheme="minorEastAsia"/>
                <w:color w:val="auto"/>
                <w:kern w:val="0"/>
                <w:sz w:val="24"/>
              </w:rPr>
            </w:pPr>
            <w:r>
              <w:rPr>
                <w:rFonts w:hint="default" w:ascii="Times New Roman" w:hAnsi="Times New Roman" w:cs="Times New Roman" w:eastAsiaTheme="minorEastAsia"/>
                <w:color w:val="auto"/>
                <w:kern w:val="0"/>
                <w:sz w:val="24"/>
              </w:rPr>
              <w:t>从上表可以看出，本项目产生的危险固体废物在安徽省内有多家适合的资质单位进行处理处置。</w:t>
            </w:r>
          </w:p>
          <w:p w14:paraId="58E37C30">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eastAsiaTheme="minorEastAsia"/>
                <w:color w:val="auto"/>
                <w:kern w:val="0"/>
                <w:sz w:val="24"/>
              </w:rPr>
              <w:t>综上所述，本评价认为，在落实上述危险废物管理要求后，项目各类危废从收集、转运、运输、处理处置环节均可以得到有效的控制，能够确保妥善处置，不会对区域环境造成较大不利影响。</w:t>
            </w:r>
          </w:p>
        </w:tc>
      </w:tr>
      <w:tr w14:paraId="39D04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452" w:type="dxa"/>
            <w:vMerge w:val="continue"/>
            <w:shd w:val="clear" w:color="auto" w:fill="auto"/>
          </w:tcPr>
          <w:p w14:paraId="57D98D19">
            <w:pPr>
              <w:tabs>
                <w:tab w:val="left" w:pos="1077"/>
              </w:tabs>
              <w:rPr>
                <w:rFonts w:hint="default" w:ascii="Times New Roman" w:hAnsi="Times New Roman" w:cs="Times New Roman"/>
                <w:color w:val="auto"/>
                <w:sz w:val="24"/>
              </w:rPr>
            </w:pPr>
          </w:p>
        </w:tc>
        <w:tc>
          <w:tcPr>
            <w:tcW w:w="8609" w:type="dxa"/>
            <w:shd w:val="clear" w:color="auto" w:fill="auto"/>
          </w:tcPr>
          <w:p w14:paraId="38914AAB">
            <w:pPr>
              <w:autoSpaceDE w:val="0"/>
              <w:autoSpaceDN w:val="0"/>
              <w:adjustRightInd w:val="0"/>
              <w:spacing w:before="100" w:beforeAutospacing="1" w:line="360" w:lineRule="auto"/>
              <w:ind w:firstLine="482" w:firstLineChars="200"/>
              <w:jc w:val="left"/>
              <w:rPr>
                <w:rFonts w:hint="default" w:ascii="Times New Roman" w:hAnsi="Times New Roman" w:cs="Times New Roman"/>
                <w:b/>
                <w:bCs/>
                <w:color w:val="auto"/>
                <w:sz w:val="24"/>
                <w:szCs w:val="32"/>
              </w:rPr>
            </w:pPr>
            <w:r>
              <w:rPr>
                <w:rFonts w:hint="default" w:ascii="Times New Roman" w:hAnsi="Times New Roman" w:cs="Times New Roman"/>
                <w:b/>
                <w:bCs/>
                <w:color w:val="auto"/>
                <w:sz w:val="24"/>
              </w:rPr>
              <w:t>五、地下水、</w:t>
            </w:r>
            <w:r>
              <w:rPr>
                <w:rFonts w:hint="default" w:ascii="Times New Roman" w:hAnsi="Times New Roman" w:cs="Times New Roman"/>
                <w:b/>
                <w:bCs/>
                <w:color w:val="auto"/>
                <w:sz w:val="24"/>
                <w:szCs w:val="32"/>
              </w:rPr>
              <w:t>环境影响和保护措施</w:t>
            </w:r>
          </w:p>
          <w:p w14:paraId="3EA861FA">
            <w:pPr>
              <w:adjustRightInd w:val="0"/>
              <w:spacing w:line="360" w:lineRule="auto"/>
              <w:ind w:firstLine="482" w:firstLineChars="200"/>
              <w:jc w:val="left"/>
              <w:textAlignment w:val="baseline"/>
              <w:rPr>
                <w:rFonts w:hint="default" w:ascii="Times New Roman" w:hAnsi="Times New Roman" w:cs="Times New Roman" w:eastAsiaTheme="minorEastAsia"/>
                <w:b/>
                <w:color w:val="auto"/>
                <w:sz w:val="24"/>
                <w:lang w:val="zh-CN"/>
              </w:rPr>
            </w:pPr>
            <w:r>
              <w:rPr>
                <w:rFonts w:hint="default" w:ascii="Times New Roman" w:hAnsi="Times New Roman" w:cs="Times New Roman"/>
                <w:b/>
                <w:color w:val="auto"/>
                <w:sz w:val="24"/>
              </w:rPr>
              <w:t>1、</w:t>
            </w:r>
            <w:r>
              <w:rPr>
                <w:rFonts w:hint="default" w:ascii="Times New Roman" w:hAnsi="Times New Roman" w:cs="Times New Roman"/>
                <w:b/>
                <w:color w:val="auto"/>
                <w:sz w:val="24"/>
                <w:lang w:val="zh-CN"/>
              </w:rPr>
              <w:t>地下水、土壤污染途径</w:t>
            </w:r>
          </w:p>
          <w:p w14:paraId="52D3D05B">
            <w:pPr>
              <w:adjustRightInd w:val="0"/>
              <w:spacing w:line="360" w:lineRule="auto"/>
              <w:ind w:firstLine="480" w:firstLineChars="200"/>
              <w:jc w:val="left"/>
              <w:textAlignment w:val="baseline"/>
              <w:rPr>
                <w:rFonts w:hint="default" w:ascii="Times New Roman" w:hAnsi="Times New Roman" w:cs="Times New Roman" w:eastAsiaTheme="minorEastAsia"/>
                <w:color w:val="auto"/>
                <w:sz w:val="24"/>
                <w:lang w:val="zh-CN"/>
              </w:rPr>
            </w:pPr>
            <w:r>
              <w:rPr>
                <w:rFonts w:hint="default" w:ascii="Times New Roman" w:hAnsi="Times New Roman" w:cs="Times New Roman" w:eastAsiaTheme="minorEastAsia"/>
                <w:color w:val="auto"/>
                <w:sz w:val="24"/>
                <w:lang w:val="zh-CN"/>
              </w:rPr>
              <w:t>根据工程分析可知，本项目施工期主要为设备安装，不涉及地下水污染影响。</w:t>
            </w:r>
          </w:p>
          <w:p w14:paraId="17DFAB73">
            <w:pPr>
              <w:adjustRightInd w:val="0"/>
              <w:spacing w:line="360" w:lineRule="auto"/>
              <w:ind w:firstLine="480" w:firstLineChars="200"/>
              <w:jc w:val="left"/>
              <w:textAlignment w:val="baseline"/>
              <w:rPr>
                <w:rFonts w:hint="default" w:ascii="Times New Roman" w:hAnsi="Times New Roman" w:cs="Times New Roman" w:eastAsiaTheme="minorEastAsia"/>
                <w:color w:val="auto"/>
                <w:sz w:val="24"/>
              </w:rPr>
            </w:pPr>
            <w:r>
              <w:rPr>
                <w:rFonts w:hint="default" w:ascii="Times New Roman" w:hAnsi="Times New Roman" w:cs="Times New Roman" w:eastAsiaTheme="minorEastAsia"/>
                <w:color w:val="auto"/>
                <w:sz w:val="24"/>
              </w:rPr>
              <w:t>本项目</w:t>
            </w:r>
            <w:r>
              <w:rPr>
                <w:rFonts w:hint="default" w:ascii="Times New Roman" w:hAnsi="Times New Roman" w:cs="Times New Roman" w:eastAsiaTheme="minorEastAsia"/>
                <w:color w:val="auto"/>
                <w:sz w:val="24"/>
                <w:lang w:val="zh-CN"/>
              </w:rPr>
              <w:t>营运期废气主要为颗粒物</w:t>
            </w:r>
            <w:r>
              <w:rPr>
                <w:rFonts w:hint="eastAsia" w:cs="Times New Roman" w:eastAsiaTheme="minorEastAsia"/>
                <w:color w:val="auto"/>
                <w:sz w:val="24"/>
                <w:lang w:val="en-US" w:eastAsia="zh-CN"/>
              </w:rPr>
              <w:t>和非甲烷总烃</w:t>
            </w:r>
            <w:r>
              <w:rPr>
                <w:rFonts w:hint="default" w:ascii="Times New Roman" w:hAnsi="Times New Roman" w:cs="Times New Roman" w:eastAsiaTheme="minorEastAsia"/>
                <w:color w:val="auto"/>
                <w:sz w:val="24"/>
                <w:lang w:val="zh-CN"/>
              </w:rPr>
              <w:t>，对</w:t>
            </w:r>
            <w:r>
              <w:rPr>
                <w:rFonts w:hint="default" w:ascii="Times New Roman" w:hAnsi="Times New Roman" w:cs="Times New Roman" w:eastAsiaTheme="minorEastAsia"/>
                <w:color w:val="auto"/>
                <w:sz w:val="24"/>
              </w:rPr>
              <w:t>地下水环境影响途径主要为受大气沉降影响。</w:t>
            </w:r>
          </w:p>
          <w:p w14:paraId="3D4275F6">
            <w:pPr>
              <w:adjustRightInd w:val="0"/>
              <w:spacing w:line="360" w:lineRule="auto"/>
              <w:ind w:firstLine="480" w:firstLineChars="200"/>
              <w:jc w:val="left"/>
              <w:textAlignment w:val="baseline"/>
              <w:rPr>
                <w:rFonts w:hint="default" w:ascii="Times New Roman" w:hAnsi="Times New Roman" w:cs="Times New Roman" w:eastAsiaTheme="minorEastAsia"/>
                <w:color w:val="auto"/>
                <w:sz w:val="24"/>
              </w:rPr>
            </w:pPr>
            <w:r>
              <w:rPr>
                <w:rFonts w:hint="default" w:ascii="Times New Roman" w:hAnsi="Times New Roman" w:cs="Times New Roman" w:eastAsiaTheme="minorEastAsia"/>
                <w:color w:val="auto"/>
                <w:sz w:val="24"/>
              </w:rPr>
              <w:t>本项目危废库</w:t>
            </w:r>
            <w:r>
              <w:rPr>
                <w:rFonts w:hint="default" w:ascii="Times New Roman" w:hAnsi="Times New Roman" w:cs="Times New Roman" w:eastAsiaTheme="minorEastAsia"/>
                <w:color w:val="auto"/>
                <w:sz w:val="24"/>
                <w:lang w:eastAsia="zh-CN"/>
              </w:rPr>
              <w:t>、</w:t>
            </w:r>
            <w:r>
              <w:rPr>
                <w:rFonts w:hint="eastAsia" w:ascii="Times New Roman" w:hAnsi="Times New Roman" w:cs="Times New Roman" w:eastAsiaTheme="minorEastAsia"/>
                <w:color w:val="auto"/>
                <w:sz w:val="24"/>
                <w:lang w:val="en-US" w:eastAsia="zh-CN"/>
              </w:rPr>
              <w:t>辅料区、沉淀池</w:t>
            </w:r>
            <w:r>
              <w:rPr>
                <w:rFonts w:hint="default" w:ascii="Times New Roman" w:hAnsi="Times New Roman" w:cs="Times New Roman" w:eastAsiaTheme="minorEastAsia"/>
                <w:color w:val="auto"/>
                <w:sz w:val="24"/>
              </w:rPr>
              <w:t>对地下水环境的潜在影响主要是垂直入渗透。</w:t>
            </w:r>
          </w:p>
          <w:p w14:paraId="7595A2E9">
            <w:pPr>
              <w:spacing w:line="360" w:lineRule="auto"/>
              <w:ind w:firstLine="480"/>
              <w:jc w:val="left"/>
              <w:rPr>
                <w:rFonts w:hint="default" w:ascii="Times New Roman" w:hAnsi="Times New Roman" w:cs="Times New Roman"/>
                <w:b/>
                <w:color w:val="auto"/>
                <w:sz w:val="24"/>
              </w:rPr>
            </w:pPr>
            <w:r>
              <w:rPr>
                <w:rFonts w:hint="default" w:ascii="Times New Roman" w:hAnsi="Times New Roman" w:cs="Times New Roman"/>
                <w:b/>
                <w:color w:val="auto"/>
                <w:sz w:val="24"/>
              </w:rPr>
              <w:t>2、污染防治措施</w:t>
            </w:r>
          </w:p>
          <w:p w14:paraId="26CAB2FB">
            <w:pPr>
              <w:keepNext/>
              <w:keepLines/>
              <w:spacing w:line="360" w:lineRule="auto"/>
              <w:ind w:firstLine="354" w:firstLineChars="147"/>
              <w:outlineLvl w:val="2"/>
              <w:rPr>
                <w:rFonts w:hint="default" w:ascii="Times New Roman" w:hAnsi="Times New Roman" w:cs="Times New Roman"/>
                <w:b/>
                <w:bCs/>
                <w:color w:val="auto"/>
                <w:sz w:val="24"/>
                <w:szCs w:val="32"/>
              </w:rPr>
            </w:pPr>
            <w:r>
              <w:rPr>
                <w:rFonts w:hint="default" w:ascii="Times New Roman" w:hAnsi="Times New Roman" w:cs="Times New Roman"/>
                <w:b/>
                <w:bCs/>
                <w:color w:val="auto"/>
                <w:sz w:val="24"/>
                <w:szCs w:val="32"/>
              </w:rPr>
              <w:t>（1）源头控制措施</w:t>
            </w:r>
          </w:p>
          <w:p w14:paraId="328EA4C0">
            <w:pPr>
              <w:spacing w:line="360" w:lineRule="auto"/>
              <w:ind w:firstLine="480"/>
              <w:jc w:val="left"/>
              <w:rPr>
                <w:rFonts w:hint="default" w:ascii="Times New Roman" w:hAnsi="Times New Roman" w:cs="Times New Roman"/>
                <w:color w:val="auto"/>
                <w:sz w:val="24"/>
              </w:rPr>
            </w:pPr>
            <w:r>
              <w:rPr>
                <w:rFonts w:hint="default" w:ascii="Times New Roman" w:hAnsi="Times New Roman" w:cs="Times New Roman"/>
                <w:color w:val="auto"/>
                <w:sz w:val="24"/>
              </w:rPr>
              <w:fldChar w:fldCharType="begin"/>
            </w:r>
            <w:r>
              <w:rPr>
                <w:rFonts w:hint="default" w:ascii="Times New Roman" w:hAnsi="Times New Roman" w:cs="Times New Roman"/>
                <w:color w:val="auto"/>
                <w:sz w:val="24"/>
              </w:rPr>
              <w:instrText xml:space="preserve"> = 1 \* GB3 </w:instrText>
            </w:r>
            <w:r>
              <w:rPr>
                <w:rFonts w:hint="default" w:ascii="Times New Roman" w:hAnsi="Times New Roman" w:cs="Times New Roman"/>
                <w:color w:val="auto"/>
                <w:sz w:val="24"/>
              </w:rPr>
              <w:fldChar w:fldCharType="separate"/>
            </w:r>
            <w:r>
              <w:rPr>
                <w:rFonts w:hint="default" w:ascii="Times New Roman" w:hAnsi="Times New Roman" w:cs="Times New Roman"/>
                <w:color w:val="auto"/>
                <w:sz w:val="24"/>
              </w:rPr>
              <w:t>①</w:t>
            </w:r>
            <w:r>
              <w:rPr>
                <w:rFonts w:hint="default" w:ascii="Times New Roman" w:hAnsi="Times New Roman" w:cs="Times New Roman"/>
                <w:color w:val="auto"/>
                <w:sz w:val="24"/>
              </w:rPr>
              <w:fldChar w:fldCharType="end"/>
            </w:r>
            <w:r>
              <w:rPr>
                <w:rFonts w:hint="default" w:ascii="Times New Roman" w:hAnsi="Times New Roman" w:cs="Times New Roman"/>
                <w:color w:val="auto"/>
                <w:sz w:val="24"/>
              </w:rPr>
              <w:t>严格按照国家相关规范要求，对厂区内各污水处理设备等采取相应措施，以防止和降低污染物的跑、冒、滴、漏，将污染物泄漏的环境风险事故降到最低程度。</w:t>
            </w:r>
          </w:p>
          <w:p w14:paraId="2E8C5C8D">
            <w:pPr>
              <w:spacing w:line="360" w:lineRule="auto"/>
              <w:ind w:firstLine="480"/>
              <w:jc w:val="left"/>
              <w:rPr>
                <w:rFonts w:hint="default" w:ascii="Times New Roman" w:hAnsi="Times New Roman" w:cs="Times New Roman"/>
                <w:color w:val="auto"/>
                <w:sz w:val="24"/>
              </w:rPr>
            </w:pPr>
            <w:r>
              <w:rPr>
                <w:rFonts w:hint="default" w:ascii="Times New Roman" w:hAnsi="Times New Roman" w:cs="Times New Roman"/>
                <w:color w:val="auto"/>
                <w:sz w:val="24"/>
              </w:rPr>
              <w:fldChar w:fldCharType="begin"/>
            </w:r>
            <w:r>
              <w:rPr>
                <w:rFonts w:hint="default" w:ascii="Times New Roman" w:hAnsi="Times New Roman" w:cs="Times New Roman"/>
                <w:color w:val="auto"/>
                <w:sz w:val="24"/>
              </w:rPr>
              <w:instrText xml:space="preserve"> = 2 \* GB3 </w:instrText>
            </w:r>
            <w:r>
              <w:rPr>
                <w:rFonts w:hint="default" w:ascii="Times New Roman" w:hAnsi="Times New Roman" w:cs="Times New Roman"/>
                <w:color w:val="auto"/>
                <w:sz w:val="24"/>
              </w:rPr>
              <w:fldChar w:fldCharType="separate"/>
            </w:r>
            <w:r>
              <w:rPr>
                <w:rFonts w:hint="default" w:ascii="Times New Roman" w:hAnsi="Times New Roman" w:cs="Times New Roman"/>
                <w:color w:val="auto"/>
                <w:sz w:val="24"/>
              </w:rPr>
              <w:t>②</w:t>
            </w:r>
            <w:r>
              <w:rPr>
                <w:rFonts w:hint="default" w:ascii="Times New Roman" w:hAnsi="Times New Roman" w:cs="Times New Roman"/>
                <w:color w:val="auto"/>
                <w:sz w:val="24"/>
              </w:rPr>
              <w:fldChar w:fldCharType="end"/>
            </w:r>
            <w:r>
              <w:rPr>
                <w:rFonts w:hint="default" w:ascii="Times New Roman" w:hAnsi="Times New Roman" w:cs="Times New Roman"/>
                <w:color w:val="auto"/>
                <w:sz w:val="24"/>
              </w:rPr>
              <w:t>严格固体废物管理，不接触外界降水，使其不产生淋滤液，严防污染物泄漏到地下水中。</w:t>
            </w:r>
          </w:p>
          <w:p w14:paraId="429E9C97">
            <w:pPr>
              <w:keepNext/>
              <w:keepLines/>
              <w:spacing w:line="360" w:lineRule="auto"/>
              <w:ind w:firstLine="354" w:firstLineChars="147"/>
              <w:outlineLvl w:val="2"/>
              <w:rPr>
                <w:rFonts w:hint="default" w:ascii="Times New Roman" w:hAnsi="Times New Roman" w:cs="Times New Roman"/>
                <w:b/>
                <w:bCs/>
                <w:color w:val="auto"/>
                <w:sz w:val="24"/>
                <w:szCs w:val="32"/>
              </w:rPr>
            </w:pPr>
            <w:r>
              <w:rPr>
                <w:rFonts w:hint="default" w:ascii="Times New Roman" w:hAnsi="Times New Roman" w:cs="Times New Roman"/>
                <w:b/>
                <w:bCs/>
                <w:color w:val="auto"/>
                <w:sz w:val="24"/>
                <w:szCs w:val="32"/>
              </w:rPr>
              <w:t>（2）分区防渗措施</w:t>
            </w:r>
          </w:p>
          <w:p w14:paraId="726486D2">
            <w:pPr>
              <w:adjustRightInd w:val="0"/>
              <w:snapToGrid w:val="0"/>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eastAsiaTheme="minorEastAsia"/>
                <w:color w:val="auto"/>
                <w:kern w:val="0"/>
                <w:sz w:val="24"/>
              </w:rPr>
              <w:t>企业针对可能对地下水造成影响的各环节</w:t>
            </w:r>
            <w:r>
              <w:rPr>
                <w:rFonts w:hint="default" w:ascii="Times New Roman" w:hAnsi="Times New Roman" w:cs="Times New Roman" w:eastAsiaTheme="minorEastAsia"/>
                <w:color w:val="auto"/>
                <w:sz w:val="24"/>
              </w:rPr>
              <w:t>《一般工业固体废物贮存和填埋污染控制标准》（GB18599-2020）</w:t>
            </w:r>
            <w:r>
              <w:rPr>
                <w:rFonts w:hint="default" w:ascii="Times New Roman" w:hAnsi="Times New Roman" w:cs="Times New Roman" w:eastAsiaTheme="minorEastAsia"/>
                <w:color w:val="auto"/>
                <w:kern w:val="0"/>
                <w:sz w:val="24"/>
              </w:rPr>
              <w:t>、</w:t>
            </w:r>
            <w:r>
              <w:rPr>
                <w:rFonts w:hint="default" w:ascii="Times New Roman" w:hAnsi="Times New Roman" w:cs="Times New Roman"/>
                <w:color w:val="auto"/>
                <w:sz w:val="24"/>
              </w:rPr>
              <w:t>《危险废物贮存污染控制标准》（GB18597-2023）</w:t>
            </w:r>
            <w:r>
              <w:rPr>
                <w:rFonts w:hint="default" w:ascii="Times New Roman" w:hAnsi="Times New Roman" w:cs="Times New Roman" w:eastAsiaTheme="minorEastAsia"/>
                <w:color w:val="auto"/>
                <w:kern w:val="0"/>
                <w:sz w:val="24"/>
              </w:rPr>
              <w:t>和《危险废物填埋污染控制标准》（GB18598-2019）等标准，将全厂划分为重点防渗区、一般防渗区和简单防渗区</w:t>
            </w:r>
            <w:r>
              <w:rPr>
                <w:rFonts w:hint="default" w:ascii="Times New Roman" w:hAnsi="Times New Roman" w:cs="Times New Roman" w:eastAsiaTheme="minorEastAsia"/>
                <w:color w:val="auto"/>
                <w:kern w:val="0"/>
                <w:sz w:val="24"/>
                <w:lang w:val="en-US" w:eastAsia="zh-CN"/>
              </w:rPr>
              <w:t xml:space="preserve"> </w:t>
            </w:r>
            <w:r>
              <w:rPr>
                <w:rFonts w:hint="default" w:ascii="Times New Roman" w:hAnsi="Times New Roman" w:cs="Times New Roman" w:eastAsiaTheme="minorEastAsia"/>
                <w:color w:val="auto"/>
                <w:kern w:val="0"/>
                <w:sz w:val="24"/>
              </w:rPr>
              <w:t>。</w:t>
            </w:r>
            <w:r>
              <w:rPr>
                <w:rFonts w:hint="default" w:ascii="Times New Roman" w:hAnsi="Times New Roman" w:cs="Times New Roman"/>
                <w:color w:val="auto"/>
                <w:sz w:val="24"/>
              </w:rPr>
              <w:t>本项目地下水、土壤分区防渗措施</w:t>
            </w:r>
            <w:r>
              <w:rPr>
                <w:rFonts w:hint="default" w:ascii="Times New Roman" w:hAnsi="Times New Roman" w:cs="Times New Roman"/>
                <w:color w:val="auto"/>
                <w:sz w:val="24"/>
                <w:lang w:eastAsia="zh-CN"/>
              </w:rPr>
              <w:t>下表</w:t>
            </w:r>
            <w:r>
              <w:rPr>
                <w:rFonts w:hint="default" w:ascii="Times New Roman" w:hAnsi="Times New Roman" w:cs="Times New Roman"/>
                <w:color w:val="auto"/>
                <w:sz w:val="24"/>
              </w:rPr>
              <w:t>。</w:t>
            </w:r>
          </w:p>
          <w:p w14:paraId="082CA2BA">
            <w:pPr>
              <w:keepNext w:val="0"/>
              <w:keepLines w:val="0"/>
              <w:pageBreakBefore w:val="0"/>
              <w:widowControl/>
              <w:kinsoku/>
              <w:wordWrap/>
              <w:overflowPunct/>
              <w:topLinePunct w:val="0"/>
              <w:autoSpaceDE/>
              <w:autoSpaceDN/>
              <w:bidi w:val="0"/>
              <w:adjustRightInd/>
              <w:snapToGrid/>
              <w:spacing w:beforeAutospacing="0"/>
              <w:jc w:val="center"/>
              <w:textAlignment w:val="auto"/>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表4-</w:t>
            </w:r>
            <w:r>
              <w:rPr>
                <w:rFonts w:hint="default" w:ascii="Times New Roman" w:hAnsi="Times New Roman" w:eastAsia="宋体" w:cs="Times New Roman"/>
                <w:b/>
                <w:color w:val="auto"/>
                <w:kern w:val="0"/>
                <w:sz w:val="24"/>
                <w:lang w:val="en-US" w:eastAsia="zh-CN"/>
              </w:rPr>
              <w:t>25</w:t>
            </w:r>
            <w:r>
              <w:rPr>
                <w:rFonts w:hint="default" w:ascii="Times New Roman" w:hAnsi="Times New Roman" w:eastAsia="宋体" w:cs="Times New Roman"/>
                <w:b/>
                <w:color w:val="auto"/>
                <w:kern w:val="0"/>
                <w:sz w:val="24"/>
              </w:rPr>
              <w:t xml:space="preserve">  地下水分区防渗措施一览表</w:t>
            </w:r>
          </w:p>
          <w:tbl>
            <w:tblPr>
              <w:tblStyle w:val="63"/>
              <w:tblW w:w="84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9"/>
              <w:gridCol w:w="3324"/>
              <w:gridCol w:w="1209"/>
              <w:gridCol w:w="3185"/>
            </w:tblGrid>
            <w:tr w14:paraId="258C7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9" w:type="dxa"/>
                  <w:shd w:val="clear" w:color="auto" w:fill="auto"/>
                  <w:noWrap/>
                  <w:vAlign w:val="center"/>
                </w:tcPr>
                <w:p w14:paraId="6E3AAE62">
                  <w:pPr>
                    <w:widowControl/>
                    <w:ind w:left="-105" w:leftChars="-50" w:right="-105" w:rightChars="-50"/>
                    <w:jc w:val="center"/>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污染区</w:t>
                  </w:r>
                </w:p>
              </w:tc>
              <w:tc>
                <w:tcPr>
                  <w:tcW w:w="3324" w:type="dxa"/>
                  <w:shd w:val="clear" w:color="auto" w:fill="auto"/>
                  <w:noWrap/>
                  <w:vAlign w:val="center"/>
                </w:tcPr>
                <w:p w14:paraId="1E968CBA">
                  <w:pPr>
                    <w:widowControl/>
                    <w:ind w:left="-50" w:right="-50"/>
                    <w:jc w:val="center"/>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构筑物名称</w:t>
                  </w:r>
                </w:p>
              </w:tc>
              <w:tc>
                <w:tcPr>
                  <w:tcW w:w="1209" w:type="dxa"/>
                  <w:shd w:val="clear" w:color="auto" w:fill="auto"/>
                  <w:noWrap/>
                  <w:vAlign w:val="center"/>
                </w:tcPr>
                <w:p w14:paraId="46265238">
                  <w:pPr>
                    <w:widowControl/>
                    <w:ind w:left="-50" w:right="-50"/>
                    <w:jc w:val="center"/>
                    <w:rPr>
                      <w:rFonts w:hint="default" w:ascii="Times New Roman" w:hAnsi="Times New Roman" w:cs="Times New Roman" w:eastAsiaTheme="minorEastAsia"/>
                      <w:b/>
                      <w:color w:val="auto"/>
                      <w:kern w:val="0"/>
                      <w:szCs w:val="21"/>
                    </w:rPr>
                  </w:pPr>
                  <w:r>
                    <w:rPr>
                      <w:rFonts w:hint="default" w:ascii="Times New Roman" w:hAnsi="Times New Roman" w:cs="Times New Roman"/>
                      <w:b/>
                      <w:color w:val="auto"/>
                      <w:szCs w:val="21"/>
                    </w:rPr>
                    <w:t>防渗区域</w:t>
                  </w:r>
                </w:p>
              </w:tc>
              <w:tc>
                <w:tcPr>
                  <w:tcW w:w="3185" w:type="dxa"/>
                  <w:vAlign w:val="center"/>
                </w:tcPr>
                <w:p w14:paraId="470880CB">
                  <w:pPr>
                    <w:widowControl/>
                    <w:ind w:left="-50" w:right="-50"/>
                    <w:jc w:val="center"/>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防渗技术要求</w:t>
                  </w:r>
                </w:p>
              </w:tc>
            </w:tr>
            <w:tr w14:paraId="7299F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9" w:type="dxa"/>
                  <w:shd w:val="clear" w:color="auto" w:fill="auto"/>
                  <w:noWrap/>
                  <w:vAlign w:val="center"/>
                </w:tcPr>
                <w:p w14:paraId="5C19E5E6">
                  <w:pPr>
                    <w:widowControl/>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简单</w:t>
                  </w:r>
                </w:p>
                <w:p w14:paraId="75FB7052">
                  <w:pPr>
                    <w:widowControl/>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szCs w:val="21"/>
                    </w:rPr>
                    <w:t>防渗区</w:t>
                  </w:r>
                </w:p>
              </w:tc>
              <w:tc>
                <w:tcPr>
                  <w:tcW w:w="3324" w:type="dxa"/>
                  <w:shd w:val="clear" w:color="auto" w:fill="auto"/>
                  <w:noWrap/>
                  <w:vAlign w:val="center"/>
                </w:tcPr>
                <w:p w14:paraId="5B0010E7">
                  <w:pPr>
                    <w:widowControl/>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重点、一般污染防治区之外的区域</w:t>
                  </w:r>
                </w:p>
              </w:tc>
              <w:tc>
                <w:tcPr>
                  <w:tcW w:w="1209" w:type="dxa"/>
                  <w:shd w:val="clear" w:color="auto" w:fill="auto"/>
                  <w:noWrap/>
                  <w:vAlign w:val="center"/>
                </w:tcPr>
                <w:p w14:paraId="3F5ABB19">
                  <w:pPr>
                    <w:autoSpaceDE w:val="0"/>
                    <w:autoSpaceDN w:val="0"/>
                    <w:adjustRightInd w:val="0"/>
                    <w:snapToGrid w:val="0"/>
                    <w:jc w:val="center"/>
                    <w:rPr>
                      <w:rFonts w:hint="default" w:ascii="Times New Roman" w:hAnsi="Times New Roman" w:cs="Times New Roman" w:eastAsiaTheme="minorEastAsia"/>
                      <w:color w:val="auto"/>
                      <w:kern w:val="0"/>
                      <w:szCs w:val="21"/>
                    </w:rPr>
                  </w:pPr>
                  <w:r>
                    <w:rPr>
                      <w:rFonts w:hint="default" w:ascii="Times New Roman" w:hAnsi="Times New Roman" w:cs="Times New Roman"/>
                      <w:color w:val="auto"/>
                      <w:szCs w:val="21"/>
                    </w:rPr>
                    <w:t>地面</w:t>
                  </w:r>
                </w:p>
              </w:tc>
              <w:tc>
                <w:tcPr>
                  <w:tcW w:w="3185" w:type="dxa"/>
                  <w:vAlign w:val="center"/>
                </w:tcPr>
                <w:p w14:paraId="3434E3B1">
                  <w:pPr>
                    <w:widowControl/>
                    <w:ind w:left="-50" w:right="-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一般地面硬化</w:t>
                  </w:r>
                </w:p>
              </w:tc>
            </w:tr>
            <w:tr w14:paraId="337D6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9" w:type="dxa"/>
                  <w:shd w:val="clear" w:color="auto" w:fill="auto"/>
                  <w:noWrap/>
                  <w:vAlign w:val="center"/>
                </w:tcPr>
                <w:p w14:paraId="1383DCD9">
                  <w:pPr>
                    <w:widowControl/>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一般</w:t>
                  </w:r>
                </w:p>
                <w:p w14:paraId="4115E65F">
                  <w:pPr>
                    <w:widowControl/>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防渗区</w:t>
                  </w:r>
                </w:p>
              </w:tc>
              <w:tc>
                <w:tcPr>
                  <w:tcW w:w="3324" w:type="dxa"/>
                  <w:shd w:val="clear" w:color="auto" w:fill="auto"/>
                  <w:noWrap/>
                  <w:vAlign w:val="center"/>
                </w:tcPr>
                <w:p w14:paraId="4F043E5E">
                  <w:pPr>
                    <w:adjustRightInd w:val="0"/>
                    <w:ind w:left="-50" w:right="-50"/>
                    <w:jc w:val="center"/>
                    <w:rPr>
                      <w:rFonts w:hint="default" w:ascii="Times New Roman" w:hAnsi="Times New Roman" w:cs="Times New Roman" w:eastAsiaTheme="minorEastAsia"/>
                      <w:color w:val="auto"/>
                      <w:kern w:val="0"/>
                      <w:szCs w:val="21"/>
                      <w:lang w:eastAsia="zh-CN"/>
                    </w:rPr>
                  </w:pPr>
                  <w:r>
                    <w:rPr>
                      <w:rFonts w:hint="default" w:ascii="Times New Roman" w:hAnsi="Times New Roman" w:cs="Times New Roman" w:eastAsiaTheme="minorEastAsia"/>
                      <w:color w:val="auto"/>
                      <w:szCs w:val="21"/>
                    </w:rPr>
                    <w:t>生产车间、一般固废暂存场所</w:t>
                  </w:r>
                  <w:r>
                    <w:rPr>
                      <w:rFonts w:hint="default" w:ascii="Times New Roman" w:hAnsi="Times New Roman" w:cs="Times New Roman" w:eastAsiaTheme="minorEastAsia"/>
                      <w:color w:val="auto"/>
                      <w:szCs w:val="21"/>
                      <w:lang w:eastAsia="zh-CN"/>
                    </w:rPr>
                    <w:t>、厂区道路、化粪池</w:t>
                  </w:r>
                </w:p>
              </w:tc>
              <w:tc>
                <w:tcPr>
                  <w:tcW w:w="1209" w:type="dxa"/>
                  <w:shd w:val="clear" w:color="auto" w:fill="auto"/>
                  <w:noWrap/>
                  <w:vAlign w:val="center"/>
                </w:tcPr>
                <w:p w14:paraId="1BE21AD8">
                  <w:pPr>
                    <w:autoSpaceDE w:val="0"/>
                    <w:autoSpaceDN w:val="0"/>
                    <w:adjustRightInd w:val="0"/>
                    <w:snapToGrid w:val="0"/>
                    <w:jc w:val="center"/>
                    <w:rPr>
                      <w:rFonts w:hint="default" w:ascii="Times New Roman" w:hAnsi="Times New Roman" w:cs="Times New Roman" w:eastAsiaTheme="minorEastAsia"/>
                      <w:color w:val="auto"/>
                      <w:kern w:val="0"/>
                      <w:szCs w:val="21"/>
                    </w:rPr>
                  </w:pPr>
                  <w:r>
                    <w:rPr>
                      <w:rFonts w:hint="default" w:ascii="Times New Roman" w:hAnsi="Times New Roman" w:cs="Times New Roman"/>
                      <w:color w:val="auto"/>
                      <w:szCs w:val="21"/>
                    </w:rPr>
                    <w:t>地面</w:t>
                  </w:r>
                </w:p>
              </w:tc>
              <w:tc>
                <w:tcPr>
                  <w:tcW w:w="3185" w:type="dxa"/>
                  <w:vAlign w:val="center"/>
                </w:tcPr>
                <w:p w14:paraId="742BEAF0">
                  <w:pPr>
                    <w:widowControl/>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等效黏土防渗层Mb≥1.5m，K≤10</w:t>
                  </w:r>
                  <w:r>
                    <w:rPr>
                      <w:rFonts w:hint="default" w:ascii="Times New Roman" w:hAnsi="Times New Roman" w:cs="Times New Roman" w:eastAsiaTheme="minorEastAsia"/>
                      <w:color w:val="auto"/>
                      <w:kern w:val="0"/>
                      <w:szCs w:val="21"/>
                      <w:vertAlign w:val="superscript"/>
                    </w:rPr>
                    <w:t>-7</w:t>
                  </w:r>
                  <w:r>
                    <w:rPr>
                      <w:rFonts w:hint="default" w:ascii="Times New Roman" w:hAnsi="Times New Roman" w:cs="Times New Roman" w:eastAsiaTheme="minorEastAsia"/>
                      <w:color w:val="auto"/>
                      <w:kern w:val="0"/>
                      <w:szCs w:val="21"/>
                    </w:rPr>
                    <w:t>cm/s；或参照GB16889执行</w:t>
                  </w:r>
                </w:p>
              </w:tc>
            </w:tr>
            <w:tr w14:paraId="68659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689" w:type="dxa"/>
                  <w:shd w:val="clear" w:color="auto" w:fill="auto"/>
                  <w:noWrap/>
                  <w:vAlign w:val="center"/>
                </w:tcPr>
                <w:p w14:paraId="45E5F1BD">
                  <w:pPr>
                    <w:ind w:left="-105" w:leftChars="-50" w:right="-105" w:rightChars="-50"/>
                    <w:jc w:val="center"/>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重点</w:t>
                  </w:r>
                </w:p>
                <w:p w14:paraId="09A61ED4">
                  <w:pPr>
                    <w:ind w:left="-105" w:leftChars="-50" w:right="-105" w:rightChars="-50"/>
                    <w:jc w:val="center"/>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szCs w:val="21"/>
                    </w:rPr>
                    <w:t>防渗区</w:t>
                  </w:r>
                </w:p>
              </w:tc>
              <w:tc>
                <w:tcPr>
                  <w:tcW w:w="3324" w:type="dxa"/>
                  <w:shd w:val="clear" w:color="auto" w:fill="auto"/>
                  <w:noWrap/>
                  <w:vAlign w:val="center"/>
                </w:tcPr>
                <w:p w14:paraId="57D41BA7">
                  <w:pPr>
                    <w:adjustRightInd w:val="0"/>
                    <w:ind w:left="-50" w:right="-50"/>
                    <w:jc w:val="center"/>
                    <w:rPr>
                      <w:rFonts w:hint="default" w:ascii="Times New Roman" w:hAnsi="Times New Roman" w:cs="Times New Roman" w:eastAsiaTheme="minorEastAsia"/>
                      <w:color w:val="auto"/>
                      <w:szCs w:val="21"/>
                      <w:lang w:val="en-US" w:eastAsia="zh-CN"/>
                    </w:rPr>
                  </w:pPr>
                  <w:r>
                    <w:rPr>
                      <w:rFonts w:hint="default" w:ascii="Times New Roman" w:hAnsi="Times New Roman" w:cs="Times New Roman" w:eastAsiaTheme="minorEastAsia"/>
                      <w:color w:val="auto"/>
                      <w:szCs w:val="21"/>
                    </w:rPr>
                    <w:t>危废暂存库、</w:t>
                  </w:r>
                  <w:r>
                    <w:rPr>
                      <w:rFonts w:hint="eastAsia" w:ascii="Times New Roman" w:hAnsi="Times New Roman" w:cs="Times New Roman" w:eastAsiaTheme="minorEastAsia"/>
                      <w:color w:val="auto"/>
                      <w:szCs w:val="21"/>
                      <w:lang w:val="en-US" w:eastAsia="zh-CN"/>
                    </w:rPr>
                    <w:t>辅料区</w:t>
                  </w:r>
                  <w:r>
                    <w:rPr>
                      <w:rFonts w:hint="default" w:ascii="Times New Roman" w:hAnsi="Times New Roman" w:cs="Times New Roman" w:eastAsiaTheme="minorEastAsia"/>
                      <w:color w:val="auto"/>
                      <w:szCs w:val="21"/>
                      <w:lang w:eastAsia="zh-CN"/>
                    </w:rPr>
                    <w:t>、</w:t>
                  </w:r>
                  <w:r>
                    <w:rPr>
                      <w:rFonts w:hint="eastAsia" w:cs="Times New Roman" w:eastAsiaTheme="minorEastAsia"/>
                      <w:color w:val="auto"/>
                      <w:szCs w:val="21"/>
                      <w:lang w:val="en-US" w:eastAsia="zh-CN"/>
                    </w:rPr>
                    <w:t>沉淀池、淬火区、脱模区</w:t>
                  </w:r>
                </w:p>
              </w:tc>
              <w:tc>
                <w:tcPr>
                  <w:tcW w:w="1209" w:type="dxa"/>
                  <w:shd w:val="clear" w:color="auto" w:fill="auto"/>
                  <w:noWrap/>
                  <w:vAlign w:val="center"/>
                </w:tcPr>
                <w:p w14:paraId="2770445E">
                  <w:pPr>
                    <w:adjustRightInd w:val="0"/>
                    <w:ind w:left="-50" w:right="-50"/>
                    <w:jc w:val="center"/>
                    <w:rPr>
                      <w:rFonts w:hint="default" w:ascii="Times New Roman" w:hAnsi="Times New Roman" w:cs="Times New Roman" w:eastAsiaTheme="minorEastAsia"/>
                      <w:color w:val="auto"/>
                      <w:kern w:val="0"/>
                      <w:szCs w:val="21"/>
                    </w:rPr>
                  </w:pPr>
                  <w:r>
                    <w:rPr>
                      <w:rFonts w:hint="default" w:ascii="Times New Roman" w:hAnsi="Times New Roman" w:cs="Times New Roman"/>
                      <w:color w:val="auto"/>
                      <w:szCs w:val="21"/>
                    </w:rPr>
                    <w:t>地面、裙脚、管沟</w:t>
                  </w:r>
                </w:p>
              </w:tc>
              <w:tc>
                <w:tcPr>
                  <w:tcW w:w="3185" w:type="dxa"/>
                  <w:vAlign w:val="center"/>
                </w:tcPr>
                <w:p w14:paraId="350D31BA">
                  <w:pPr>
                    <w:pStyle w:val="28"/>
                    <w:keepNext w:val="0"/>
                    <w:keepLines w:val="0"/>
                    <w:pageBreakBefore w:val="0"/>
                    <w:kinsoku/>
                    <w:wordWrap/>
                    <w:overflowPunct/>
                    <w:topLinePunct w:val="0"/>
                    <w:autoSpaceDE/>
                    <w:autoSpaceDN/>
                    <w:bidi w:val="0"/>
                    <w:adjustRightInd/>
                    <w:spacing w:before="0" w:after="0" w:line="240" w:lineRule="auto"/>
                    <w:ind w:right="0"/>
                    <w:textAlignment w:val="auto"/>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 w:val="21"/>
                      <w:szCs w:val="21"/>
                    </w:rPr>
                    <w:t>等效黏土防渗层Mb≥6.0m，K≤10</w:t>
                  </w:r>
                  <w:r>
                    <w:rPr>
                      <w:rFonts w:hint="default" w:ascii="Times New Roman" w:hAnsi="Times New Roman" w:cs="Times New Roman" w:eastAsiaTheme="minorEastAsia"/>
                      <w:color w:val="auto"/>
                      <w:kern w:val="0"/>
                      <w:sz w:val="21"/>
                      <w:szCs w:val="21"/>
                      <w:vertAlign w:val="superscript"/>
                    </w:rPr>
                    <w:t>-7</w:t>
                  </w:r>
                  <w:r>
                    <w:rPr>
                      <w:rFonts w:hint="default" w:ascii="Times New Roman" w:hAnsi="Times New Roman" w:cs="Times New Roman" w:eastAsiaTheme="minorEastAsia"/>
                      <w:color w:val="auto"/>
                      <w:kern w:val="0"/>
                      <w:sz w:val="21"/>
                      <w:szCs w:val="21"/>
                    </w:rPr>
                    <w:t>cm/s；</w:t>
                  </w:r>
                  <w:r>
                    <w:rPr>
                      <w:rFonts w:hint="default" w:ascii="Times New Roman" w:hAnsi="Times New Roman" w:cs="Times New Roman"/>
                      <w:color w:val="auto"/>
                      <w:sz w:val="21"/>
                      <w:szCs w:val="21"/>
                      <w:lang w:eastAsia="zh-CN"/>
                    </w:rPr>
                    <w:t>其中危废暂存库按照《危险废物贮存污染控制标准》（GB18597-2023），至少1m厚黏土层（渗透系数不大于10</w:t>
                  </w:r>
                  <w:r>
                    <w:rPr>
                      <w:rFonts w:hint="default" w:ascii="Times New Roman" w:hAnsi="Times New Roman" w:cs="Times New Roman"/>
                      <w:color w:val="auto"/>
                      <w:sz w:val="21"/>
                      <w:szCs w:val="21"/>
                      <w:vertAlign w:val="superscript"/>
                      <w:lang w:eastAsia="zh-CN"/>
                    </w:rPr>
                    <w:t>-7</w:t>
                  </w:r>
                  <w:r>
                    <w:rPr>
                      <w:rFonts w:hint="default" w:ascii="Times New Roman" w:hAnsi="Times New Roman" w:cs="Times New Roman"/>
                      <w:color w:val="auto"/>
                      <w:sz w:val="21"/>
                      <w:szCs w:val="21"/>
                      <w:lang w:eastAsia="zh-CN"/>
                    </w:rPr>
                    <w:t>cm/s）；或至少2mm厚高密度聚乙烯膜等人工防渗材料（渗透系数不大于10</w:t>
                  </w:r>
                  <w:r>
                    <w:rPr>
                      <w:rFonts w:hint="default" w:ascii="Times New Roman" w:hAnsi="Times New Roman" w:cs="Times New Roman"/>
                      <w:color w:val="auto"/>
                      <w:sz w:val="21"/>
                      <w:szCs w:val="21"/>
                      <w:vertAlign w:val="superscript"/>
                      <w:lang w:eastAsia="zh-CN"/>
                    </w:rPr>
                    <w:t>-10</w:t>
                  </w:r>
                  <w:r>
                    <w:rPr>
                      <w:rFonts w:hint="default" w:ascii="Times New Roman" w:hAnsi="Times New Roman" w:cs="Times New Roman"/>
                      <w:color w:val="auto"/>
                      <w:sz w:val="21"/>
                      <w:szCs w:val="21"/>
                      <w:lang w:eastAsia="zh-CN"/>
                    </w:rPr>
                    <w:t>cm/s）；</w:t>
                  </w:r>
                </w:p>
              </w:tc>
            </w:tr>
          </w:tbl>
          <w:p w14:paraId="25EA44B5">
            <w:pPr>
              <w:pStyle w:val="28"/>
              <w:widowControl w:val="0"/>
              <w:snapToGrid/>
              <w:spacing w:before="0" w:after="0" w:line="360" w:lineRule="auto"/>
              <w:ind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在采取以上分区防渗措施后，可有效预防项目对地下水和土壤污染的发生。</w:t>
            </w:r>
          </w:p>
        </w:tc>
      </w:tr>
      <w:tr w14:paraId="255F9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3" w:hRule="atLeast"/>
        </w:trPr>
        <w:tc>
          <w:tcPr>
            <w:tcW w:w="452" w:type="dxa"/>
            <w:vMerge w:val="continue"/>
            <w:shd w:val="clear" w:color="auto" w:fill="auto"/>
          </w:tcPr>
          <w:p w14:paraId="0456BD2B">
            <w:pPr>
              <w:tabs>
                <w:tab w:val="left" w:pos="1077"/>
              </w:tabs>
              <w:rPr>
                <w:rFonts w:hint="default" w:ascii="Times New Roman" w:hAnsi="Times New Roman" w:cs="Times New Roman"/>
                <w:color w:val="auto"/>
                <w:sz w:val="24"/>
              </w:rPr>
            </w:pPr>
          </w:p>
        </w:tc>
        <w:tc>
          <w:tcPr>
            <w:tcW w:w="8609" w:type="dxa"/>
            <w:shd w:val="clear" w:color="auto" w:fill="auto"/>
          </w:tcPr>
          <w:p w14:paraId="1F8714E7">
            <w:pPr>
              <w:widowControl/>
              <w:spacing w:line="360" w:lineRule="auto"/>
              <w:ind w:firstLine="482" w:firstLineChars="200"/>
              <w:rPr>
                <w:rFonts w:hint="default" w:ascii="Times New Roman" w:hAnsi="Times New Roman" w:cs="Times New Roman"/>
                <w:b/>
                <w:color w:val="auto"/>
                <w:kern w:val="0"/>
                <w:sz w:val="24"/>
              </w:rPr>
            </w:pPr>
            <w:r>
              <w:rPr>
                <w:rFonts w:hint="default" w:ascii="Times New Roman" w:hAnsi="Times New Roman" w:cs="Times New Roman"/>
                <w:b/>
                <w:bCs/>
                <w:color w:val="auto"/>
                <w:sz w:val="24"/>
                <w:lang w:eastAsia="zh-CN"/>
              </w:rPr>
              <w:t>六</w:t>
            </w:r>
            <w:r>
              <w:rPr>
                <w:rFonts w:hint="default" w:ascii="Times New Roman" w:hAnsi="Times New Roman" w:cs="Times New Roman"/>
                <w:b/>
                <w:bCs/>
                <w:color w:val="auto"/>
                <w:sz w:val="24"/>
              </w:rPr>
              <w:t>、</w:t>
            </w:r>
            <w:r>
              <w:rPr>
                <w:rFonts w:hint="default" w:ascii="Times New Roman" w:hAnsi="Times New Roman" w:cs="Times New Roman"/>
                <w:b/>
                <w:color w:val="auto"/>
                <w:kern w:val="0"/>
                <w:sz w:val="24"/>
              </w:rPr>
              <w:t>环境风险分析</w:t>
            </w:r>
          </w:p>
          <w:p w14:paraId="4059C5ED">
            <w:pPr>
              <w:wordWrap w:val="0"/>
              <w:topLinePunct/>
              <w:spacing w:line="360" w:lineRule="auto"/>
              <w:ind w:firstLine="482" w:firstLineChars="200"/>
              <w:textAlignment w:val="center"/>
              <w:rPr>
                <w:rFonts w:hint="default" w:ascii="Times New Roman" w:hAnsi="Times New Roman" w:eastAsia="宋体" w:cs="Times New Roman"/>
                <w:b/>
                <w:bCs w:val="0"/>
                <w:color w:val="auto"/>
                <w:sz w:val="24"/>
                <w:szCs w:val="24"/>
                <w:lang w:eastAsia="zh-CN"/>
              </w:rPr>
            </w:pPr>
            <w:r>
              <w:rPr>
                <w:rFonts w:hint="default" w:ascii="Times New Roman" w:hAnsi="Times New Roman" w:eastAsia="宋体" w:cs="Times New Roman"/>
                <w:b/>
                <w:bCs w:val="0"/>
                <w:color w:val="auto"/>
                <w:sz w:val="24"/>
                <w:szCs w:val="24"/>
                <w:lang w:val="en-US" w:eastAsia="zh-CN"/>
              </w:rPr>
              <w:t>1、</w:t>
            </w:r>
            <w:r>
              <w:rPr>
                <w:rFonts w:hint="default" w:ascii="Times New Roman" w:hAnsi="Times New Roman" w:eastAsia="宋体" w:cs="Times New Roman"/>
                <w:b/>
                <w:bCs w:val="0"/>
                <w:color w:val="auto"/>
                <w:sz w:val="24"/>
                <w:szCs w:val="24"/>
              </w:rPr>
              <w:t>风险</w:t>
            </w:r>
            <w:r>
              <w:rPr>
                <w:rFonts w:hint="default" w:ascii="Times New Roman" w:hAnsi="Times New Roman" w:cs="Times New Roman"/>
                <w:b/>
                <w:bCs w:val="0"/>
                <w:color w:val="auto"/>
                <w:sz w:val="24"/>
                <w:szCs w:val="24"/>
                <w:lang w:eastAsia="zh-CN"/>
              </w:rPr>
              <w:t>源调查</w:t>
            </w:r>
          </w:p>
          <w:p w14:paraId="2A458B9A">
            <w:pPr>
              <w:spacing w:line="360" w:lineRule="auto"/>
              <w:ind w:firstLine="480" w:firstLineChars="200"/>
              <w:rPr>
                <w:rFonts w:hint="default" w:ascii="Times New Roman" w:hAnsi="Times New Roman" w:cs="Times New Roman"/>
                <w:color w:val="auto"/>
              </w:rPr>
            </w:pPr>
            <w:r>
              <w:rPr>
                <w:rFonts w:hint="default" w:ascii="Times New Roman" w:hAnsi="Times New Roman" w:cs="Times New Roman"/>
                <w:color w:val="auto"/>
                <w:sz w:val="24"/>
              </w:rPr>
              <w:t>本次评价将针对本项目涉及的原辅材料、三废、产品等进行物质危险性识别，根据《建设项目环境风险评价技术导则》（HJ/T169-2018）附录B，本项目存在危险性的主要物质有</w:t>
            </w:r>
            <w:r>
              <w:rPr>
                <w:rFonts w:hint="eastAsia" w:cs="Times New Roman"/>
                <w:color w:val="auto"/>
                <w:sz w:val="24"/>
                <w:lang w:val="en-US" w:eastAsia="zh-CN"/>
              </w:rPr>
              <w:t>水性脱模剂、水性淬火液、水性磨削液、</w:t>
            </w:r>
            <w:r>
              <w:rPr>
                <w:rFonts w:hint="eastAsia" w:ascii="Times New Roman" w:hAnsi="Times New Roman" w:cs="Times New Roman"/>
                <w:color w:val="auto"/>
                <w:sz w:val="24"/>
                <w:lang w:val="en-US" w:eastAsia="zh-CN"/>
              </w:rPr>
              <w:t>切削液、</w:t>
            </w:r>
            <w:r>
              <w:rPr>
                <w:rFonts w:hint="default" w:ascii="Times New Roman" w:hAnsi="Times New Roman" w:cs="Times New Roman"/>
                <w:color w:val="auto"/>
                <w:sz w:val="24"/>
                <w:lang w:eastAsia="zh-CN"/>
              </w:rPr>
              <w:t>润滑油、液压油</w:t>
            </w:r>
            <w:r>
              <w:rPr>
                <w:rFonts w:hint="default" w:ascii="Times New Roman" w:hAnsi="Times New Roman" w:cs="Times New Roman"/>
                <w:color w:val="auto"/>
                <w:sz w:val="24"/>
                <w:lang w:val="en-US" w:eastAsia="zh-CN"/>
              </w:rPr>
              <w:t>和危险废物</w:t>
            </w:r>
            <w:r>
              <w:rPr>
                <w:rFonts w:hint="default" w:ascii="Times New Roman" w:hAnsi="Times New Roman" w:cs="Times New Roman"/>
                <w:color w:val="auto"/>
                <w:sz w:val="24"/>
              </w:rPr>
              <w:t>。</w:t>
            </w:r>
          </w:p>
          <w:p w14:paraId="3C3E62D4">
            <w:pPr>
              <w:numPr>
                <w:ilvl w:val="0"/>
                <w:numId w:val="0"/>
              </w:numPr>
              <w:spacing w:line="360" w:lineRule="auto"/>
              <w:ind w:leftChars="0" w:firstLine="482" w:firstLineChars="200"/>
              <w:rPr>
                <w:rFonts w:hint="default" w:ascii="Times New Roman" w:hAnsi="Times New Roman" w:cs="Times New Roman"/>
                <w:b/>
                <w:bCs/>
                <w:color w:val="auto"/>
                <w:sz w:val="24"/>
              </w:rPr>
            </w:pPr>
            <w:r>
              <w:rPr>
                <w:rFonts w:hint="default" w:ascii="Times New Roman" w:hAnsi="Times New Roman" w:eastAsia="宋体" w:cs="Times New Roman"/>
                <w:b/>
                <w:bCs w:val="0"/>
                <w:color w:val="auto"/>
                <w:sz w:val="24"/>
                <w:szCs w:val="24"/>
                <w:lang w:val="en-US" w:eastAsia="zh-CN"/>
              </w:rPr>
              <w:t>2、风</w:t>
            </w:r>
            <w:r>
              <w:rPr>
                <w:rFonts w:hint="default" w:ascii="Times New Roman" w:hAnsi="Times New Roman" w:cs="Times New Roman"/>
                <w:b/>
                <w:bCs/>
                <w:color w:val="auto"/>
                <w:sz w:val="24"/>
              </w:rPr>
              <w:t>险潜势初判</w:t>
            </w:r>
          </w:p>
          <w:p w14:paraId="1942CF06">
            <w:pPr>
              <w:autoSpaceDE w:val="0"/>
              <w:autoSpaceDN w:val="0"/>
              <w:spacing w:line="360" w:lineRule="auto"/>
              <w:ind w:firstLine="480" w:firstLineChars="200"/>
              <w:jc w:val="left"/>
              <w:rPr>
                <w:rFonts w:hint="default" w:ascii="Times New Roman" w:hAnsi="Times New Roman" w:cs="Times New Roman"/>
                <w:color w:val="auto"/>
              </w:rPr>
            </w:pPr>
            <w:r>
              <w:rPr>
                <w:rFonts w:hint="default" w:ascii="Times New Roman" w:hAnsi="Times New Roman" w:cs="Times New Roman"/>
                <w:color w:val="auto"/>
                <w:sz w:val="24"/>
              </w:rPr>
              <w:t>（1）危险物质数量与临界量比值（Q）</w:t>
            </w:r>
          </w:p>
          <w:p w14:paraId="3962C2AD">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计算所涉及的每种危险物质在厂界内的最大存在总量与其在附录B中对应临界量的比值Q。在不同厂区的同一种物质，按其在厂界内的最大存在总量计算。对于长输管线项目，按照两个截断阀室之间管段危险物质最大存在总量计算。</w:t>
            </w:r>
          </w:p>
          <w:p w14:paraId="0E288EBD">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当只涉及一种危险物质时，计算该物质的总量与其临界量比值，即为Q；</w:t>
            </w:r>
          </w:p>
          <w:p w14:paraId="633D754A">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pict>
                <v:shape id="_x0000_s1028" o:spid="_x0000_s1028" o:spt="75" type="#_x0000_t75" style="position:absolute;left:0pt;margin-left:145.65pt;margin-top:25.7pt;height:39.7pt;width:141.25pt;mso-wrap-distance-bottom:0pt;mso-wrap-distance-top:0pt;z-index:251659264;mso-width-relative:page;mso-height-relative:page;" o:ole="t" filled="f" o:preferrelative="t" stroked="f" coordsize="21600,21600">
                  <v:path/>
                  <v:fill on="f" focussize="0,0"/>
                  <v:stroke on="f" joinstyle="miter"/>
                  <v:imagedata r:id="rId22" o:title=""/>
                  <o:lock v:ext="edit" aspectratio="t"/>
                  <w10:wrap type="topAndBottom"/>
                </v:shape>
                <o:OLEObject Type="Embed" ProgID="Equation.DSMT4" ShapeID="_x0000_s1028" DrawAspect="Content" ObjectID="_1468075730" r:id="rId21">
                  <o:LockedField>false</o:LockedField>
                </o:OLEObject>
              </w:pict>
            </w:r>
            <w:r>
              <w:rPr>
                <w:rFonts w:hint="default" w:ascii="Times New Roman" w:hAnsi="Times New Roman" w:cs="Times New Roman"/>
                <w:color w:val="auto"/>
                <w:sz w:val="24"/>
              </w:rPr>
              <w:t>当存在多种危险物质时，则按下式计算物质总量与其临界量比值(Q)：</w:t>
            </w:r>
          </w:p>
          <w:p w14:paraId="49B44AA2">
            <w:pPr>
              <w:spacing w:before="120" w:beforeLines="50" w:line="360" w:lineRule="auto"/>
              <w:ind w:firstLine="482"/>
              <w:rPr>
                <w:rFonts w:hint="default" w:ascii="Times New Roman" w:hAnsi="Times New Roman" w:cs="Times New Roman"/>
                <w:color w:val="auto"/>
                <w:sz w:val="24"/>
              </w:rPr>
            </w:pPr>
            <w:r>
              <w:rPr>
                <w:rFonts w:hint="default" w:ascii="Times New Roman" w:hAnsi="Times New Roman" w:cs="Times New Roman"/>
                <w:color w:val="auto"/>
                <w:sz w:val="24"/>
              </w:rPr>
              <w:t>式中：q</w:t>
            </w:r>
            <w:r>
              <w:rPr>
                <w:rFonts w:hint="default" w:ascii="Times New Roman" w:hAnsi="Times New Roman" w:cs="Times New Roman"/>
                <w:color w:val="auto"/>
                <w:sz w:val="24"/>
                <w:vertAlign w:val="subscript"/>
              </w:rPr>
              <w:t>1</w:t>
            </w:r>
            <w:r>
              <w:rPr>
                <w:rFonts w:hint="default" w:ascii="Times New Roman" w:hAnsi="Times New Roman" w:cs="Times New Roman"/>
                <w:color w:val="auto"/>
                <w:sz w:val="24"/>
              </w:rPr>
              <w:t>，q</w:t>
            </w:r>
            <w:r>
              <w:rPr>
                <w:rFonts w:hint="default" w:ascii="Times New Roman" w:hAnsi="Times New Roman" w:cs="Times New Roman"/>
                <w:color w:val="auto"/>
                <w:sz w:val="24"/>
                <w:vertAlign w:val="subscript"/>
              </w:rPr>
              <w:t>2</w:t>
            </w:r>
            <w:r>
              <w:rPr>
                <w:rFonts w:hint="default" w:ascii="Times New Roman" w:hAnsi="Times New Roman" w:cs="Times New Roman"/>
                <w:color w:val="auto"/>
                <w:sz w:val="24"/>
              </w:rPr>
              <w:t>…，q</w:t>
            </w:r>
            <w:r>
              <w:rPr>
                <w:rFonts w:hint="default" w:ascii="Times New Roman" w:hAnsi="Times New Roman" w:cs="Times New Roman"/>
                <w:color w:val="auto"/>
                <w:sz w:val="24"/>
                <w:vertAlign w:val="subscript"/>
              </w:rPr>
              <w:t>n</w:t>
            </w:r>
            <w:r>
              <w:rPr>
                <w:rFonts w:hint="default" w:ascii="Times New Roman" w:hAnsi="Times New Roman" w:cs="Times New Roman"/>
                <w:color w:val="auto"/>
                <w:sz w:val="24"/>
              </w:rPr>
              <w:t>为每种危险物质的最大存在总量，t。</w:t>
            </w:r>
          </w:p>
          <w:p w14:paraId="1D12A6CE">
            <w:pPr>
              <w:spacing w:line="360" w:lineRule="auto"/>
              <w:ind w:firstLine="1200" w:firstLineChars="500"/>
              <w:rPr>
                <w:rFonts w:hint="default" w:ascii="Times New Roman" w:hAnsi="Times New Roman" w:cs="Times New Roman"/>
                <w:color w:val="auto"/>
                <w:sz w:val="24"/>
              </w:rPr>
            </w:pPr>
            <w:r>
              <w:rPr>
                <w:rFonts w:hint="default" w:ascii="Times New Roman" w:hAnsi="Times New Roman" w:cs="Times New Roman"/>
                <w:color w:val="auto"/>
                <w:sz w:val="24"/>
              </w:rPr>
              <w:t>Q</w:t>
            </w:r>
            <w:r>
              <w:rPr>
                <w:rFonts w:hint="default" w:ascii="Times New Roman" w:hAnsi="Times New Roman" w:cs="Times New Roman"/>
                <w:color w:val="auto"/>
                <w:sz w:val="24"/>
                <w:vertAlign w:val="subscript"/>
              </w:rPr>
              <w:t>1</w:t>
            </w:r>
            <w:r>
              <w:rPr>
                <w:rFonts w:hint="default" w:ascii="Times New Roman" w:hAnsi="Times New Roman" w:cs="Times New Roman"/>
                <w:color w:val="auto"/>
                <w:sz w:val="24"/>
              </w:rPr>
              <w:t>，Q</w:t>
            </w:r>
            <w:r>
              <w:rPr>
                <w:rFonts w:hint="default" w:ascii="Times New Roman" w:hAnsi="Times New Roman" w:cs="Times New Roman"/>
                <w:color w:val="auto"/>
                <w:sz w:val="24"/>
                <w:vertAlign w:val="subscript"/>
              </w:rPr>
              <w:t>2</w:t>
            </w:r>
            <w:r>
              <w:rPr>
                <w:rFonts w:hint="default" w:ascii="Times New Roman" w:hAnsi="Times New Roman" w:cs="Times New Roman"/>
                <w:color w:val="auto"/>
                <w:sz w:val="24"/>
              </w:rPr>
              <w:t>…Q</w:t>
            </w:r>
            <w:r>
              <w:rPr>
                <w:rFonts w:hint="default" w:ascii="Times New Roman" w:hAnsi="Times New Roman" w:cs="Times New Roman"/>
                <w:color w:val="auto"/>
                <w:sz w:val="24"/>
                <w:vertAlign w:val="subscript"/>
              </w:rPr>
              <w:t>n</w:t>
            </w:r>
            <w:r>
              <w:rPr>
                <w:rFonts w:hint="default" w:ascii="Times New Roman" w:hAnsi="Times New Roman" w:cs="Times New Roman"/>
                <w:color w:val="auto"/>
                <w:sz w:val="24"/>
              </w:rPr>
              <w:t>为每种危险物质的临界量，t。</w:t>
            </w:r>
          </w:p>
          <w:p w14:paraId="6C047B5A">
            <w:pPr>
              <w:spacing w:line="360" w:lineRule="auto"/>
              <w:ind w:firstLine="482"/>
              <w:rPr>
                <w:rFonts w:hint="default" w:ascii="Times New Roman" w:hAnsi="Times New Roman" w:cs="Times New Roman"/>
                <w:color w:val="auto"/>
                <w:sz w:val="24"/>
              </w:rPr>
            </w:pPr>
            <w:r>
              <w:rPr>
                <w:rFonts w:hint="default" w:ascii="Times New Roman" w:hAnsi="Times New Roman" w:cs="Times New Roman"/>
                <w:color w:val="auto"/>
                <w:sz w:val="24"/>
              </w:rPr>
              <w:t>当Q＜1时，该项目环境风险潜势为</w:t>
            </w:r>
            <w:r>
              <w:rPr>
                <w:rFonts w:hint="default" w:ascii="Times New Roman" w:hAnsi="Times New Roman" w:cs="Times New Roman"/>
                <w:color w:val="auto"/>
                <w:sz w:val="24"/>
              </w:rPr>
              <w:fldChar w:fldCharType="begin"/>
            </w:r>
            <w:r>
              <w:rPr>
                <w:rFonts w:hint="default" w:ascii="Times New Roman" w:hAnsi="Times New Roman" w:cs="Times New Roman"/>
                <w:color w:val="auto"/>
                <w:sz w:val="24"/>
              </w:rPr>
              <w:instrText xml:space="preserve"> = 1 \* ROMAN </w:instrText>
            </w:r>
            <w:r>
              <w:rPr>
                <w:rFonts w:hint="default" w:ascii="Times New Roman" w:hAnsi="Times New Roman" w:cs="Times New Roman"/>
                <w:color w:val="auto"/>
                <w:sz w:val="24"/>
              </w:rPr>
              <w:fldChar w:fldCharType="separate"/>
            </w:r>
            <w:r>
              <w:rPr>
                <w:rFonts w:hint="default" w:ascii="Times New Roman" w:hAnsi="Times New Roman" w:cs="Times New Roman"/>
                <w:color w:val="auto"/>
                <w:sz w:val="24"/>
              </w:rPr>
              <w:t>I</w:t>
            </w:r>
            <w:r>
              <w:rPr>
                <w:rFonts w:hint="default" w:ascii="Times New Roman" w:hAnsi="Times New Roman" w:cs="Times New Roman"/>
                <w:color w:val="auto"/>
                <w:sz w:val="24"/>
              </w:rPr>
              <w:fldChar w:fldCharType="end"/>
            </w:r>
            <w:r>
              <w:rPr>
                <w:rFonts w:hint="default" w:ascii="Times New Roman" w:hAnsi="Times New Roman" w:cs="Times New Roman"/>
                <w:color w:val="auto"/>
                <w:sz w:val="24"/>
              </w:rPr>
              <w:t>。</w:t>
            </w:r>
          </w:p>
          <w:p w14:paraId="79221336">
            <w:pPr>
              <w:autoSpaceDE w:val="0"/>
              <w:autoSpaceDN w:val="0"/>
              <w:adjustRightInd w:val="0"/>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当Q≥1时，将Q值划分为（1）1≤Q＜10；（2）10≤Q＜100；（3）Q≥100。</w:t>
            </w:r>
          </w:p>
          <w:p w14:paraId="7885634D">
            <w:pPr>
              <w:autoSpaceDE w:val="0"/>
              <w:autoSpaceDN w:val="0"/>
              <w:adjustRightInd w:val="0"/>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根据《建设项目环境风险评价技术导则》相关要求，结合本项目涉及的突发环境事件风险物质及临界量，其中 Qi 值取值来源《建设项目环境风险评价技术导则》（HJ/T169-2018）附录B，表B.1 突发环境风险物质及临界量。拟建项目生产过程中所需各种物料的贮存量、临界量及危险识别结果见下表所示。</w:t>
            </w:r>
          </w:p>
          <w:p w14:paraId="55C73F93">
            <w:pPr>
              <w:keepNext w:val="0"/>
              <w:keepLines w:val="0"/>
              <w:pageBreakBefore w:val="0"/>
              <w:widowControl/>
              <w:kinsoku/>
              <w:wordWrap/>
              <w:overflowPunct/>
              <w:topLinePunct w:val="0"/>
              <w:autoSpaceDE/>
              <w:autoSpaceDN/>
              <w:bidi w:val="0"/>
              <w:adjustRightInd/>
              <w:snapToGrid/>
              <w:spacing w:beforeAutospacing="0"/>
              <w:jc w:val="center"/>
              <w:textAlignment w:val="auto"/>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表4-</w:t>
            </w:r>
            <w:r>
              <w:rPr>
                <w:rFonts w:hint="eastAsia" w:ascii="Times New Roman" w:hAnsi="Times New Roman" w:eastAsia="宋体" w:cs="Times New Roman"/>
                <w:b/>
                <w:color w:val="auto"/>
                <w:kern w:val="0"/>
                <w:sz w:val="24"/>
                <w:lang w:val="en-US" w:eastAsia="zh-CN"/>
              </w:rPr>
              <w:t>26</w:t>
            </w:r>
            <w:r>
              <w:rPr>
                <w:rFonts w:hint="default" w:ascii="Times New Roman" w:hAnsi="Times New Roman" w:eastAsia="宋体" w:cs="Times New Roman"/>
                <w:b/>
                <w:color w:val="auto"/>
                <w:kern w:val="0"/>
                <w:sz w:val="24"/>
              </w:rPr>
              <w:t xml:space="preserve">   本项目Q值确定表</w:t>
            </w:r>
          </w:p>
          <w:tbl>
            <w:tblPr>
              <w:tblStyle w:val="6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266"/>
              <w:gridCol w:w="1021"/>
              <w:gridCol w:w="1196"/>
              <w:gridCol w:w="846"/>
              <w:gridCol w:w="1341"/>
              <w:gridCol w:w="919"/>
              <w:gridCol w:w="899"/>
            </w:tblGrid>
            <w:tr w14:paraId="46DB0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46" w:type="dxa"/>
                  <w:vAlign w:val="center"/>
                </w:tcPr>
                <w:p w14:paraId="38C7809B">
                  <w:pPr>
                    <w:autoSpaceDE w:val="0"/>
                    <w:autoSpaceDN w:val="0"/>
                    <w:adjustRightIn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类别</w:t>
                  </w:r>
                </w:p>
              </w:tc>
              <w:tc>
                <w:tcPr>
                  <w:tcW w:w="2287" w:type="dxa"/>
                  <w:gridSpan w:val="2"/>
                  <w:vAlign w:val="center"/>
                </w:tcPr>
                <w:p w14:paraId="2E910365">
                  <w:pPr>
                    <w:autoSpaceDE w:val="0"/>
                    <w:autoSpaceDN w:val="0"/>
                    <w:adjustRightIn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风险物质</w:t>
                  </w:r>
                </w:p>
              </w:tc>
              <w:tc>
                <w:tcPr>
                  <w:tcW w:w="1196" w:type="dxa"/>
                  <w:vAlign w:val="center"/>
                </w:tcPr>
                <w:p w14:paraId="0F3A0D59">
                  <w:pPr>
                    <w:autoSpaceDE w:val="0"/>
                    <w:autoSpaceDN w:val="0"/>
                    <w:adjustRightInd w:val="0"/>
                    <w:jc w:val="center"/>
                    <w:rPr>
                      <w:rFonts w:hint="default" w:ascii="Times New Roman" w:hAnsi="Times New Roman" w:eastAsia="宋体" w:cs="Times New Roman"/>
                      <w:b/>
                      <w:color w:val="auto"/>
                      <w:szCs w:val="21"/>
                      <w:lang w:val="en-US" w:eastAsia="zh-CN"/>
                    </w:rPr>
                  </w:pPr>
                  <w:r>
                    <w:rPr>
                      <w:rFonts w:hint="default" w:ascii="Times New Roman" w:hAnsi="Times New Roman" w:cs="Times New Roman"/>
                      <w:b/>
                      <w:color w:val="auto"/>
                      <w:szCs w:val="21"/>
                      <w:lang w:val="en-US" w:eastAsia="zh-CN"/>
                    </w:rPr>
                    <w:t>CAS号</w:t>
                  </w:r>
                </w:p>
              </w:tc>
              <w:tc>
                <w:tcPr>
                  <w:tcW w:w="846" w:type="dxa"/>
                  <w:vAlign w:val="center"/>
                </w:tcPr>
                <w:p w14:paraId="308A890C">
                  <w:pPr>
                    <w:autoSpaceDE w:val="0"/>
                    <w:autoSpaceDN w:val="0"/>
                    <w:adjustRightIn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分布</w:t>
                  </w:r>
                </w:p>
              </w:tc>
              <w:tc>
                <w:tcPr>
                  <w:tcW w:w="1341" w:type="dxa"/>
                  <w:shd w:val="clear" w:color="auto" w:fill="auto"/>
                  <w:vAlign w:val="top"/>
                </w:tcPr>
                <w:p w14:paraId="019AA413">
                  <w:pPr>
                    <w:autoSpaceDE w:val="0"/>
                    <w:autoSpaceDN w:val="0"/>
                    <w:adjustRightInd w:val="0"/>
                    <w:jc w:val="center"/>
                    <w:rPr>
                      <w:rFonts w:hint="default" w:ascii="Times New Roman" w:hAnsi="Times New Roman" w:eastAsia="宋体" w:cs="Times New Roman"/>
                      <w:b/>
                      <w:color w:val="auto"/>
                      <w:kern w:val="2"/>
                      <w:sz w:val="21"/>
                      <w:szCs w:val="21"/>
                      <w:lang w:val="en-US" w:eastAsia="zh-CN" w:bidi="ar-SA"/>
                    </w:rPr>
                  </w:pPr>
                  <w:r>
                    <w:rPr>
                      <w:rFonts w:hint="default" w:ascii="Times New Roman" w:hAnsi="Times New Roman" w:cs="Times New Roman"/>
                      <w:b/>
                      <w:color w:val="auto"/>
                      <w:szCs w:val="21"/>
                    </w:rPr>
                    <w:t>最大储存量t</w:t>
                  </w:r>
                </w:p>
              </w:tc>
              <w:tc>
                <w:tcPr>
                  <w:tcW w:w="919" w:type="dxa"/>
                  <w:shd w:val="clear" w:color="auto" w:fill="auto"/>
                  <w:vAlign w:val="top"/>
                </w:tcPr>
                <w:p w14:paraId="7D2D6064">
                  <w:pPr>
                    <w:autoSpaceDE w:val="0"/>
                    <w:autoSpaceDN w:val="0"/>
                    <w:adjustRightInd w:val="0"/>
                    <w:jc w:val="center"/>
                    <w:rPr>
                      <w:rFonts w:hint="default" w:ascii="Times New Roman" w:hAnsi="Times New Roman" w:eastAsia="宋体" w:cs="Times New Roman"/>
                      <w:b/>
                      <w:color w:val="auto"/>
                      <w:kern w:val="2"/>
                      <w:sz w:val="21"/>
                      <w:szCs w:val="21"/>
                      <w:lang w:val="en-US" w:eastAsia="zh-CN" w:bidi="ar-SA"/>
                    </w:rPr>
                  </w:pPr>
                  <w:r>
                    <w:rPr>
                      <w:rFonts w:hint="default" w:ascii="Times New Roman" w:hAnsi="Times New Roman" w:cs="Times New Roman"/>
                      <w:b/>
                      <w:color w:val="auto"/>
                      <w:szCs w:val="21"/>
                    </w:rPr>
                    <w:t>临界量t</w:t>
                  </w:r>
                </w:p>
              </w:tc>
              <w:tc>
                <w:tcPr>
                  <w:tcW w:w="899" w:type="dxa"/>
                  <w:shd w:val="clear" w:color="auto" w:fill="auto"/>
                  <w:vAlign w:val="top"/>
                </w:tcPr>
                <w:p w14:paraId="55D260A3">
                  <w:pPr>
                    <w:autoSpaceDE w:val="0"/>
                    <w:autoSpaceDN w:val="0"/>
                    <w:adjustRightInd w:val="0"/>
                    <w:jc w:val="center"/>
                    <w:rPr>
                      <w:rFonts w:hint="default" w:ascii="Times New Roman" w:hAnsi="Times New Roman" w:eastAsia="宋体" w:cs="Times New Roman"/>
                      <w:b/>
                      <w:color w:val="auto"/>
                      <w:kern w:val="2"/>
                      <w:sz w:val="21"/>
                      <w:szCs w:val="21"/>
                      <w:lang w:val="en-US" w:eastAsia="zh-CN" w:bidi="ar-SA"/>
                    </w:rPr>
                  </w:pPr>
                  <w:r>
                    <w:rPr>
                      <w:rFonts w:hint="default" w:ascii="Times New Roman" w:hAnsi="Times New Roman" w:cs="Times New Roman"/>
                      <w:b/>
                      <w:color w:val="auto"/>
                      <w:szCs w:val="21"/>
                    </w:rPr>
                    <w:t>Qi值</w:t>
                  </w:r>
                </w:p>
              </w:tc>
            </w:tr>
            <w:tr w14:paraId="13EB6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846" w:type="dxa"/>
                  <w:vAlign w:val="center"/>
                </w:tcPr>
                <w:p w14:paraId="374E6585">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原辅料</w:t>
                  </w:r>
                </w:p>
              </w:tc>
              <w:tc>
                <w:tcPr>
                  <w:tcW w:w="2287" w:type="dxa"/>
                  <w:gridSpan w:val="2"/>
                  <w:shd w:val="clear" w:color="auto" w:fill="auto"/>
                  <w:vAlign w:val="center"/>
                </w:tcPr>
                <w:p w14:paraId="2DFEF3CE">
                  <w:pPr>
                    <w:adjustRightInd w:val="0"/>
                    <w:snapToGrid w:val="0"/>
                    <w:jc w:val="center"/>
                    <w:rPr>
                      <w:rFonts w:hint="eastAsia" w:cs="Times New Roman"/>
                      <w:color w:val="auto"/>
                      <w:lang w:val="en-US" w:eastAsia="zh-CN"/>
                    </w:rPr>
                  </w:pPr>
                  <w:r>
                    <w:rPr>
                      <w:rFonts w:hint="eastAsia" w:cs="Times New Roman"/>
                      <w:color w:val="auto"/>
                      <w:lang w:val="en-US" w:eastAsia="zh-CN"/>
                    </w:rPr>
                    <w:t>水性脱模剂</w:t>
                  </w:r>
                </w:p>
              </w:tc>
              <w:tc>
                <w:tcPr>
                  <w:tcW w:w="1196" w:type="dxa"/>
                  <w:vAlign w:val="center"/>
                </w:tcPr>
                <w:p w14:paraId="0F6B3F88">
                  <w:pPr>
                    <w:adjustRightInd w:val="0"/>
                    <w:snapToGrid w:val="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kern w:val="0"/>
                      <w:sz w:val="21"/>
                      <w:szCs w:val="21"/>
                      <w:lang w:val="en-US" w:eastAsia="zh-CN"/>
                    </w:rPr>
                    <w:t>/</w:t>
                  </w:r>
                </w:p>
              </w:tc>
              <w:tc>
                <w:tcPr>
                  <w:tcW w:w="846" w:type="dxa"/>
                  <w:vMerge w:val="restart"/>
                  <w:vAlign w:val="center"/>
                </w:tcPr>
                <w:p w14:paraId="2439F90B">
                  <w:pPr>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rPr>
                    <w:t>辅料</w:t>
                  </w:r>
                  <w:r>
                    <w:rPr>
                      <w:rFonts w:hint="default" w:ascii="Times New Roman" w:hAnsi="Times New Roman" w:cs="Times New Roman"/>
                      <w:color w:val="auto"/>
                      <w:szCs w:val="21"/>
                      <w:lang w:eastAsia="zh-CN"/>
                    </w:rPr>
                    <w:t>区</w:t>
                  </w:r>
                </w:p>
              </w:tc>
              <w:tc>
                <w:tcPr>
                  <w:tcW w:w="1341" w:type="dxa"/>
                  <w:vAlign w:val="center"/>
                </w:tcPr>
                <w:p w14:paraId="4CE33D43">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1.8</w:t>
                  </w:r>
                </w:p>
              </w:tc>
              <w:tc>
                <w:tcPr>
                  <w:tcW w:w="919" w:type="dxa"/>
                  <w:shd w:val="clear" w:color="auto" w:fill="auto"/>
                  <w:vAlign w:val="center"/>
                </w:tcPr>
                <w:p w14:paraId="7011AA8B">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50</w:t>
                  </w:r>
                </w:p>
              </w:tc>
              <w:tc>
                <w:tcPr>
                  <w:tcW w:w="899" w:type="dxa"/>
                  <w:vAlign w:val="center"/>
                </w:tcPr>
                <w:p w14:paraId="34B34630">
                  <w:pPr>
                    <w:jc w:val="center"/>
                    <w:rPr>
                      <w:rFonts w:hint="default" w:ascii="Times New Roman" w:hAnsi="Times New Roman" w:eastAsia="宋体" w:cs="Times New Roman"/>
                      <w:b/>
                      <w:bCs/>
                      <w:color w:val="auto"/>
                      <w:szCs w:val="21"/>
                      <w:lang w:val="en-US" w:eastAsia="zh-CN"/>
                    </w:rPr>
                  </w:pPr>
                  <w:r>
                    <w:rPr>
                      <w:rFonts w:hint="eastAsia" w:ascii="Times New Roman" w:hAnsi="Times New Roman" w:eastAsia="宋体" w:cs="Times New Roman"/>
                      <w:color w:val="auto"/>
                      <w:szCs w:val="21"/>
                      <w:lang w:val="en-US" w:eastAsia="zh-CN"/>
                    </w:rPr>
                    <w:t>0.036</w:t>
                  </w:r>
                </w:p>
              </w:tc>
            </w:tr>
            <w:tr w14:paraId="5131D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6" w:type="dxa"/>
                  <w:vAlign w:val="center"/>
                </w:tcPr>
                <w:p w14:paraId="0D229347">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原辅料</w:t>
                  </w:r>
                </w:p>
              </w:tc>
              <w:tc>
                <w:tcPr>
                  <w:tcW w:w="1266" w:type="dxa"/>
                  <w:shd w:val="clear" w:color="auto" w:fill="auto"/>
                  <w:vAlign w:val="center"/>
                </w:tcPr>
                <w:p w14:paraId="719147BE">
                  <w:pPr>
                    <w:adjustRightInd w:val="0"/>
                    <w:snapToGrid w:val="0"/>
                    <w:jc w:val="center"/>
                    <w:rPr>
                      <w:rFonts w:hint="eastAsia" w:cs="Times New Roman"/>
                      <w:color w:val="auto"/>
                      <w:lang w:val="en-US" w:eastAsia="zh-CN"/>
                    </w:rPr>
                  </w:pPr>
                  <w:r>
                    <w:rPr>
                      <w:rFonts w:hint="eastAsia" w:cs="Times New Roman"/>
                      <w:color w:val="auto"/>
                      <w:lang w:val="en-US" w:eastAsia="zh-CN"/>
                    </w:rPr>
                    <w:t>水性淬火液</w:t>
                  </w:r>
                </w:p>
                <w:p w14:paraId="51A0C786">
                  <w:pPr>
                    <w:adjustRightInd w:val="0"/>
                    <w:snapToGrid w:val="0"/>
                    <w:jc w:val="center"/>
                    <w:rPr>
                      <w:rFonts w:hint="default" w:ascii="Times New Roman" w:hAnsi="Times New Roman" w:cs="Times New Roman"/>
                      <w:color w:val="auto"/>
                      <w:lang w:val="en-US" w:eastAsia="zh-CN"/>
                    </w:rPr>
                  </w:pPr>
                  <w:r>
                    <w:rPr>
                      <w:rFonts w:hint="eastAsia" w:cs="Times New Roman"/>
                      <w:color w:val="auto"/>
                      <w:lang w:val="en-US" w:eastAsia="zh-CN"/>
                    </w:rPr>
                    <w:t>（1.2t/a）</w:t>
                  </w:r>
                </w:p>
              </w:tc>
              <w:tc>
                <w:tcPr>
                  <w:tcW w:w="1021" w:type="dxa"/>
                  <w:shd w:val="clear" w:color="auto" w:fill="auto"/>
                  <w:vAlign w:val="center"/>
                </w:tcPr>
                <w:p w14:paraId="23981FA1">
                  <w:pPr>
                    <w:adjustRightInd w:val="0"/>
                    <w:snapToGrid w:val="0"/>
                    <w:jc w:val="center"/>
                    <w:rPr>
                      <w:rFonts w:hint="default" w:cs="Times New Roman"/>
                      <w:color w:val="auto"/>
                      <w:lang w:val="en-US" w:eastAsia="zh-CN"/>
                    </w:rPr>
                  </w:pPr>
                  <w:r>
                    <w:rPr>
                      <w:rFonts w:hint="eastAsia" w:cs="Times New Roman"/>
                      <w:color w:val="auto"/>
                      <w:lang w:val="en-US" w:eastAsia="zh-CN"/>
                    </w:rPr>
                    <w:t>10%甲胺</w:t>
                  </w:r>
                </w:p>
              </w:tc>
              <w:tc>
                <w:tcPr>
                  <w:tcW w:w="1196" w:type="dxa"/>
                  <w:vAlign w:val="center"/>
                </w:tcPr>
                <w:p w14:paraId="1A0B477B">
                  <w:pPr>
                    <w:adjustRightInd w:val="0"/>
                    <w:snapToGrid w:val="0"/>
                    <w:jc w:val="center"/>
                    <w:rPr>
                      <w:rFonts w:hint="default" w:ascii="Times New Roman" w:hAnsi="Times New Roman" w:cs="Times New Roman"/>
                      <w:color w:val="auto"/>
                      <w:kern w:val="0"/>
                      <w:sz w:val="21"/>
                      <w:szCs w:val="21"/>
                      <w:lang w:val="en-US" w:eastAsia="zh-CN"/>
                    </w:rPr>
                  </w:pPr>
                  <w:r>
                    <w:rPr>
                      <w:rFonts w:hint="eastAsia" w:cs="Times New Roman"/>
                      <w:color w:val="auto"/>
                      <w:spacing w:val="6"/>
                      <w:sz w:val="21"/>
                      <w:szCs w:val="21"/>
                      <w:lang w:val="en-US" w:eastAsia="zh-CN"/>
                    </w:rPr>
                    <w:fldChar w:fldCharType="begin"/>
                  </w:r>
                  <w:r>
                    <w:rPr>
                      <w:rFonts w:hint="eastAsia" w:cs="Times New Roman"/>
                      <w:color w:val="auto"/>
                      <w:spacing w:val="6"/>
                      <w:sz w:val="21"/>
                      <w:szCs w:val="21"/>
                      <w:lang w:val="en-US" w:eastAsia="zh-CN"/>
                    </w:rPr>
                    <w:instrText xml:space="preserve"> HYPERLINK "https://www.chemsrc.com/baike/1186887.html" \t "https://www.chemsrc.com/searchResult/%25E7%2594%25B2%25E8%2583%25BA/_blank" </w:instrText>
                  </w:r>
                  <w:r>
                    <w:rPr>
                      <w:rFonts w:hint="eastAsia" w:cs="Times New Roman"/>
                      <w:color w:val="auto"/>
                      <w:spacing w:val="6"/>
                      <w:sz w:val="21"/>
                      <w:szCs w:val="21"/>
                      <w:lang w:val="en-US" w:eastAsia="zh-CN"/>
                    </w:rPr>
                    <w:fldChar w:fldCharType="separate"/>
                  </w:r>
                  <w:r>
                    <w:rPr>
                      <w:rFonts w:hint="default" w:cs="Times New Roman"/>
                      <w:color w:val="auto"/>
                      <w:spacing w:val="6"/>
                      <w:sz w:val="21"/>
                      <w:szCs w:val="21"/>
                      <w:lang w:val="en-US" w:eastAsia="zh-CN"/>
                    </w:rPr>
                    <w:t>74-89-5</w:t>
                  </w:r>
                  <w:r>
                    <w:rPr>
                      <w:rFonts w:hint="default" w:cs="Times New Roman"/>
                      <w:color w:val="auto"/>
                      <w:spacing w:val="6"/>
                      <w:sz w:val="21"/>
                      <w:szCs w:val="21"/>
                      <w:lang w:val="en-US" w:eastAsia="zh-CN"/>
                    </w:rPr>
                    <w:fldChar w:fldCharType="end"/>
                  </w:r>
                </w:p>
              </w:tc>
              <w:tc>
                <w:tcPr>
                  <w:tcW w:w="846" w:type="dxa"/>
                  <w:vMerge w:val="continue"/>
                  <w:vAlign w:val="center"/>
                </w:tcPr>
                <w:p w14:paraId="16093F39">
                  <w:pPr>
                    <w:jc w:val="center"/>
                    <w:rPr>
                      <w:rFonts w:hint="default" w:ascii="Times New Roman" w:hAnsi="Times New Roman" w:cs="Times New Roman"/>
                      <w:color w:val="auto"/>
                      <w:szCs w:val="21"/>
                    </w:rPr>
                  </w:pPr>
                </w:p>
              </w:tc>
              <w:tc>
                <w:tcPr>
                  <w:tcW w:w="1341" w:type="dxa"/>
                  <w:vAlign w:val="center"/>
                </w:tcPr>
                <w:p w14:paraId="0C4AB47C">
                  <w:pPr>
                    <w:jc w:val="center"/>
                    <w:rPr>
                      <w:rFonts w:hint="default" w:ascii="Times New Roman" w:hAnsi="Times New Roman" w:cs="Times New Roman"/>
                      <w:color w:val="auto"/>
                      <w:szCs w:val="21"/>
                    </w:rPr>
                  </w:pPr>
                  <w:r>
                    <w:rPr>
                      <w:rFonts w:hint="eastAsia" w:cs="Times New Roman"/>
                      <w:color w:val="auto"/>
                      <w:kern w:val="0"/>
                      <w:sz w:val="21"/>
                      <w:szCs w:val="21"/>
                      <w:lang w:val="en-US" w:eastAsia="zh-CN"/>
                    </w:rPr>
                    <w:t>0.0012</w:t>
                  </w:r>
                </w:p>
              </w:tc>
              <w:tc>
                <w:tcPr>
                  <w:tcW w:w="919" w:type="dxa"/>
                  <w:shd w:val="clear" w:color="auto" w:fill="auto"/>
                  <w:vAlign w:val="center"/>
                </w:tcPr>
                <w:p w14:paraId="58B94DA5">
                  <w:pPr>
                    <w:adjustRightInd w:val="0"/>
                    <w:snapToGrid w:val="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5</w:t>
                  </w:r>
                </w:p>
              </w:tc>
              <w:tc>
                <w:tcPr>
                  <w:tcW w:w="899" w:type="dxa"/>
                  <w:vAlign w:val="center"/>
                </w:tcPr>
                <w:p w14:paraId="5DAE2910">
                  <w:pPr>
                    <w:jc w:val="center"/>
                    <w:rPr>
                      <w:rFonts w:hint="default" w:ascii="Times New Roman" w:hAnsi="Times New Roman" w:eastAsia="宋体" w:cs="Times New Roman"/>
                      <w:b/>
                      <w:bCs/>
                      <w:color w:val="auto"/>
                      <w:szCs w:val="21"/>
                      <w:lang w:val="en-US" w:eastAsia="zh-CN"/>
                    </w:rPr>
                  </w:pPr>
                  <w:r>
                    <w:rPr>
                      <w:rFonts w:hint="eastAsia" w:ascii="Times New Roman" w:hAnsi="Times New Roman" w:eastAsia="宋体" w:cs="Times New Roman"/>
                      <w:color w:val="auto"/>
                      <w:szCs w:val="21"/>
                      <w:lang w:val="en-US" w:eastAsia="zh-CN"/>
                    </w:rPr>
                    <w:t>0.00024</w:t>
                  </w:r>
                </w:p>
              </w:tc>
            </w:tr>
            <w:tr w14:paraId="0F76C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846" w:type="dxa"/>
                  <w:vAlign w:val="center"/>
                </w:tcPr>
                <w:p w14:paraId="55D97C82">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原辅料</w:t>
                  </w:r>
                </w:p>
              </w:tc>
              <w:tc>
                <w:tcPr>
                  <w:tcW w:w="2287" w:type="dxa"/>
                  <w:gridSpan w:val="2"/>
                  <w:shd w:val="clear" w:color="auto" w:fill="auto"/>
                  <w:vAlign w:val="center"/>
                </w:tcPr>
                <w:p w14:paraId="0A19E9A1">
                  <w:pPr>
                    <w:adjustRightInd w:val="0"/>
                    <w:snapToGrid w:val="0"/>
                    <w:jc w:val="center"/>
                    <w:rPr>
                      <w:rFonts w:hint="eastAsia" w:cs="Times New Roman"/>
                      <w:color w:val="auto"/>
                      <w:lang w:val="en-US" w:eastAsia="zh-CN"/>
                    </w:rPr>
                  </w:pPr>
                  <w:r>
                    <w:rPr>
                      <w:rFonts w:hint="eastAsia" w:cs="Times New Roman"/>
                      <w:color w:val="auto"/>
                      <w:lang w:val="en-US" w:eastAsia="zh-CN"/>
                    </w:rPr>
                    <w:t>水性磨削液</w:t>
                  </w:r>
                </w:p>
              </w:tc>
              <w:tc>
                <w:tcPr>
                  <w:tcW w:w="1196" w:type="dxa"/>
                  <w:vAlign w:val="center"/>
                </w:tcPr>
                <w:p w14:paraId="149C3458">
                  <w:pPr>
                    <w:adjustRightInd w:val="0"/>
                    <w:snapToGrid w:val="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w:t>
                  </w:r>
                </w:p>
              </w:tc>
              <w:tc>
                <w:tcPr>
                  <w:tcW w:w="846" w:type="dxa"/>
                  <w:vMerge w:val="continue"/>
                  <w:vAlign w:val="center"/>
                </w:tcPr>
                <w:p w14:paraId="38C5956A">
                  <w:pPr>
                    <w:jc w:val="center"/>
                    <w:rPr>
                      <w:rFonts w:hint="default" w:ascii="Times New Roman" w:hAnsi="Times New Roman" w:cs="Times New Roman"/>
                      <w:color w:val="auto"/>
                      <w:szCs w:val="21"/>
                    </w:rPr>
                  </w:pPr>
                </w:p>
              </w:tc>
              <w:tc>
                <w:tcPr>
                  <w:tcW w:w="1341" w:type="dxa"/>
                  <w:vAlign w:val="center"/>
                </w:tcPr>
                <w:p w14:paraId="3934DE7B">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1.8</w:t>
                  </w:r>
                </w:p>
              </w:tc>
              <w:tc>
                <w:tcPr>
                  <w:tcW w:w="919" w:type="dxa"/>
                  <w:shd w:val="clear" w:color="auto" w:fill="auto"/>
                  <w:vAlign w:val="center"/>
                </w:tcPr>
                <w:p w14:paraId="028470A1">
                  <w:pPr>
                    <w:adjustRightInd w:val="0"/>
                    <w:snapToGrid w:val="0"/>
                    <w:jc w:val="center"/>
                    <w:rPr>
                      <w:rFonts w:hint="default" w:ascii="Times New Roman" w:hAnsi="Times New Roman" w:cs="Times New Roman"/>
                      <w:color w:val="auto"/>
                      <w:kern w:val="0"/>
                      <w:sz w:val="21"/>
                      <w:szCs w:val="21"/>
                      <w:lang w:val="en-US" w:eastAsia="zh-CN"/>
                    </w:rPr>
                  </w:pPr>
                  <w:r>
                    <w:rPr>
                      <w:rFonts w:hint="eastAsia" w:cs="Times New Roman"/>
                      <w:color w:val="auto"/>
                      <w:kern w:val="0"/>
                      <w:sz w:val="21"/>
                      <w:szCs w:val="21"/>
                      <w:lang w:val="en-US" w:eastAsia="zh-CN"/>
                    </w:rPr>
                    <w:t>50</w:t>
                  </w:r>
                </w:p>
              </w:tc>
              <w:tc>
                <w:tcPr>
                  <w:tcW w:w="899" w:type="dxa"/>
                  <w:vAlign w:val="center"/>
                </w:tcPr>
                <w:p w14:paraId="4433960F">
                  <w:pPr>
                    <w:jc w:val="center"/>
                    <w:rPr>
                      <w:rFonts w:hint="default" w:ascii="Times New Roman" w:hAnsi="Times New Roman" w:eastAsia="宋体" w:cs="Times New Roman"/>
                      <w:b/>
                      <w:bCs/>
                      <w:color w:val="auto"/>
                      <w:szCs w:val="21"/>
                      <w:lang w:val="en-US" w:eastAsia="zh-CN"/>
                    </w:rPr>
                  </w:pPr>
                  <w:r>
                    <w:rPr>
                      <w:rFonts w:hint="eastAsia" w:ascii="Times New Roman" w:hAnsi="Times New Roman" w:eastAsia="宋体" w:cs="Times New Roman"/>
                      <w:color w:val="auto"/>
                      <w:szCs w:val="21"/>
                      <w:lang w:val="en-US" w:eastAsia="zh-CN"/>
                    </w:rPr>
                    <w:t>0.036</w:t>
                  </w:r>
                </w:p>
              </w:tc>
            </w:tr>
            <w:tr w14:paraId="0A922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846" w:type="dxa"/>
                  <w:vAlign w:val="center"/>
                </w:tcPr>
                <w:p w14:paraId="387F8548">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原辅料</w:t>
                  </w:r>
                </w:p>
              </w:tc>
              <w:tc>
                <w:tcPr>
                  <w:tcW w:w="2287" w:type="dxa"/>
                  <w:gridSpan w:val="2"/>
                  <w:shd w:val="clear" w:color="auto" w:fill="auto"/>
                  <w:vAlign w:val="center"/>
                </w:tcPr>
                <w:p w14:paraId="753CFFEB">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cs="Times New Roman"/>
                      <w:color w:val="auto"/>
                      <w:lang w:val="en-US" w:eastAsia="zh-CN"/>
                    </w:rPr>
                    <w:t>切削液</w:t>
                  </w:r>
                </w:p>
              </w:tc>
              <w:tc>
                <w:tcPr>
                  <w:tcW w:w="1196" w:type="dxa"/>
                  <w:shd w:val="clear" w:color="auto" w:fill="auto"/>
                  <w:vAlign w:val="center"/>
                </w:tcPr>
                <w:p w14:paraId="5E9A15D1">
                  <w:pPr>
                    <w:adjustRightInd w:val="0"/>
                    <w:snapToGrid w:val="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cs="Times New Roman"/>
                      <w:color w:val="auto"/>
                      <w:sz w:val="21"/>
                      <w:szCs w:val="21"/>
                      <w:shd w:val="clear" w:color="auto" w:fill="FFFFFF"/>
                      <w:lang w:val="en-US" w:eastAsia="zh-CN"/>
                    </w:rPr>
                    <w:t>/</w:t>
                  </w:r>
                </w:p>
              </w:tc>
              <w:tc>
                <w:tcPr>
                  <w:tcW w:w="846" w:type="dxa"/>
                  <w:vMerge w:val="continue"/>
                  <w:vAlign w:val="center"/>
                </w:tcPr>
                <w:p w14:paraId="60C50DE8">
                  <w:pPr>
                    <w:jc w:val="center"/>
                    <w:rPr>
                      <w:rFonts w:hint="default" w:ascii="Times New Roman" w:hAnsi="Times New Roman" w:cs="Times New Roman"/>
                      <w:color w:val="auto"/>
                      <w:szCs w:val="21"/>
                    </w:rPr>
                  </w:pPr>
                </w:p>
              </w:tc>
              <w:tc>
                <w:tcPr>
                  <w:tcW w:w="1341" w:type="dxa"/>
                  <w:shd w:val="clear" w:color="auto" w:fill="auto"/>
                  <w:vAlign w:val="center"/>
                </w:tcPr>
                <w:p w14:paraId="34671E71">
                  <w:pPr>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0.68</w:t>
                  </w:r>
                </w:p>
              </w:tc>
              <w:tc>
                <w:tcPr>
                  <w:tcW w:w="919" w:type="dxa"/>
                  <w:shd w:val="clear" w:color="auto" w:fill="auto"/>
                  <w:vAlign w:val="center"/>
                </w:tcPr>
                <w:p w14:paraId="13B45EF0">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2500</w:t>
                  </w:r>
                </w:p>
              </w:tc>
              <w:tc>
                <w:tcPr>
                  <w:tcW w:w="899" w:type="dxa"/>
                  <w:shd w:val="clear" w:color="auto" w:fill="auto"/>
                  <w:vAlign w:val="center"/>
                </w:tcPr>
                <w:p w14:paraId="18889A2F">
                  <w:pPr>
                    <w:jc w:val="center"/>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color w:val="auto"/>
                      <w:szCs w:val="21"/>
                      <w:lang w:val="en-US" w:eastAsia="zh-CN"/>
                    </w:rPr>
                    <w:t>0.00027</w:t>
                  </w:r>
                </w:p>
              </w:tc>
            </w:tr>
            <w:tr w14:paraId="67BCA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846" w:type="dxa"/>
                  <w:vAlign w:val="center"/>
                </w:tcPr>
                <w:p w14:paraId="436B884D">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原辅料</w:t>
                  </w:r>
                </w:p>
              </w:tc>
              <w:tc>
                <w:tcPr>
                  <w:tcW w:w="2287" w:type="dxa"/>
                  <w:gridSpan w:val="2"/>
                  <w:shd w:val="clear" w:color="auto" w:fill="auto"/>
                  <w:vAlign w:val="center"/>
                </w:tcPr>
                <w:p w14:paraId="197CBB5F">
                  <w:pPr>
                    <w:adjustRightInd w:val="0"/>
                    <w:snapToGrid w:val="0"/>
                    <w:jc w:val="center"/>
                    <w:rPr>
                      <w:rFonts w:hint="default" w:ascii="Times New Roman" w:hAnsi="Times New Roman" w:cs="Times New Roman"/>
                      <w:color w:val="auto"/>
                      <w:lang w:eastAsia="zh-CN"/>
                    </w:rPr>
                  </w:pPr>
                  <w:r>
                    <w:rPr>
                      <w:rFonts w:hint="default" w:ascii="Times New Roman" w:hAnsi="Times New Roman" w:cs="Times New Roman"/>
                      <w:color w:val="auto"/>
                      <w:lang w:eastAsia="zh-CN"/>
                    </w:rPr>
                    <w:t>润滑油</w:t>
                  </w:r>
                </w:p>
              </w:tc>
              <w:tc>
                <w:tcPr>
                  <w:tcW w:w="1196" w:type="dxa"/>
                  <w:shd w:val="clear" w:color="auto" w:fill="auto"/>
                  <w:vAlign w:val="center"/>
                </w:tcPr>
                <w:p w14:paraId="15A82994">
                  <w:pPr>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 w:val="21"/>
                      <w:szCs w:val="21"/>
                      <w:lang w:val="en-US" w:eastAsia="zh-CN"/>
                    </w:rPr>
                    <w:t>74869-22-0‌‌</w:t>
                  </w:r>
                </w:p>
              </w:tc>
              <w:tc>
                <w:tcPr>
                  <w:tcW w:w="846" w:type="dxa"/>
                  <w:vMerge w:val="restart"/>
                  <w:vAlign w:val="center"/>
                </w:tcPr>
                <w:p w14:paraId="0C41A5AF">
                  <w:pPr>
                    <w:jc w:val="center"/>
                    <w:rPr>
                      <w:rFonts w:hint="eastAsia" w:cs="Times New Roman"/>
                      <w:color w:val="auto"/>
                      <w:szCs w:val="21"/>
                      <w:lang w:val="en-US" w:eastAsia="zh-CN"/>
                    </w:rPr>
                  </w:pPr>
                  <w:r>
                    <w:rPr>
                      <w:rFonts w:hint="eastAsia" w:cs="Times New Roman"/>
                      <w:color w:val="auto"/>
                      <w:szCs w:val="21"/>
                      <w:lang w:val="en-US" w:eastAsia="zh-CN"/>
                    </w:rPr>
                    <w:t>油类</w:t>
                  </w:r>
                </w:p>
                <w:p w14:paraId="783317CE">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储存区</w:t>
                  </w:r>
                </w:p>
              </w:tc>
              <w:tc>
                <w:tcPr>
                  <w:tcW w:w="1341" w:type="dxa"/>
                  <w:vAlign w:val="center"/>
                </w:tcPr>
                <w:p w14:paraId="720B0C4F">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0.72</w:t>
                  </w:r>
                </w:p>
              </w:tc>
              <w:tc>
                <w:tcPr>
                  <w:tcW w:w="919" w:type="dxa"/>
                  <w:shd w:val="clear" w:color="auto" w:fill="auto"/>
                  <w:vAlign w:val="center"/>
                </w:tcPr>
                <w:p w14:paraId="1071E3A1">
                  <w:pPr>
                    <w:adjustRightInd w:val="0"/>
                    <w:snapToGrid w:val="0"/>
                    <w:jc w:val="center"/>
                    <w:rPr>
                      <w:rFonts w:hint="default" w:ascii="Times New Roman" w:hAnsi="Times New Roman"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2500</w:t>
                  </w:r>
                </w:p>
              </w:tc>
              <w:tc>
                <w:tcPr>
                  <w:tcW w:w="899" w:type="dxa"/>
                  <w:shd w:val="clear" w:color="auto" w:fill="auto"/>
                  <w:vAlign w:val="center"/>
                </w:tcPr>
                <w:p w14:paraId="1CC319EE">
                  <w:pPr>
                    <w:jc w:val="center"/>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color w:val="auto"/>
                      <w:szCs w:val="21"/>
                      <w:lang w:val="en-US" w:eastAsia="zh-CN"/>
                    </w:rPr>
                    <w:t>0.0003</w:t>
                  </w:r>
                </w:p>
              </w:tc>
            </w:tr>
            <w:tr w14:paraId="1ED10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846" w:type="dxa"/>
                  <w:vAlign w:val="center"/>
                </w:tcPr>
                <w:p w14:paraId="54D3D74B">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原辅料</w:t>
                  </w:r>
                </w:p>
              </w:tc>
              <w:tc>
                <w:tcPr>
                  <w:tcW w:w="2287" w:type="dxa"/>
                  <w:gridSpan w:val="2"/>
                  <w:shd w:val="clear" w:color="auto" w:fill="auto"/>
                  <w:vAlign w:val="center"/>
                </w:tcPr>
                <w:p w14:paraId="473E51FE">
                  <w:pPr>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cs="Times New Roman"/>
                      <w:color w:val="auto"/>
                      <w:lang w:eastAsia="zh-CN"/>
                    </w:rPr>
                    <w:t>液压油</w:t>
                  </w:r>
                </w:p>
              </w:tc>
              <w:tc>
                <w:tcPr>
                  <w:tcW w:w="1196" w:type="dxa"/>
                  <w:vAlign w:val="center"/>
                </w:tcPr>
                <w:p w14:paraId="08277299">
                  <w:pPr>
                    <w:adjustRightInd w:val="0"/>
                    <w:snapToGrid w:val="0"/>
                    <w:jc w:val="center"/>
                    <w:rPr>
                      <w:rFonts w:hint="default" w:ascii="Times New Roman" w:hAnsi="Times New Roman" w:cs="Times New Roman"/>
                      <w:color w:val="auto"/>
                      <w:kern w:val="0"/>
                      <w:szCs w:val="21"/>
                      <w:lang w:bidi="ar"/>
                    </w:rPr>
                  </w:pPr>
                  <w:r>
                    <w:rPr>
                      <w:rFonts w:hint="default" w:ascii="Times New Roman" w:hAnsi="Times New Roman" w:cs="Times New Roman"/>
                      <w:color w:val="auto"/>
                      <w:sz w:val="21"/>
                      <w:szCs w:val="21"/>
                      <w:shd w:val="clear" w:color="auto" w:fill="FFFFFF"/>
                      <w:lang w:val="en-US" w:eastAsia="zh-CN"/>
                    </w:rPr>
                    <w:t>/</w:t>
                  </w:r>
                </w:p>
              </w:tc>
              <w:tc>
                <w:tcPr>
                  <w:tcW w:w="846" w:type="dxa"/>
                  <w:vMerge w:val="continue"/>
                  <w:vAlign w:val="center"/>
                </w:tcPr>
                <w:p w14:paraId="281D0E79">
                  <w:pPr>
                    <w:jc w:val="center"/>
                    <w:rPr>
                      <w:rFonts w:hint="default" w:ascii="Times New Roman" w:hAnsi="Times New Roman" w:cs="Times New Roman"/>
                      <w:color w:val="auto"/>
                      <w:szCs w:val="21"/>
                    </w:rPr>
                  </w:pPr>
                </w:p>
              </w:tc>
              <w:tc>
                <w:tcPr>
                  <w:tcW w:w="1341" w:type="dxa"/>
                  <w:vAlign w:val="center"/>
                </w:tcPr>
                <w:p w14:paraId="61A49B0D">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0.36</w:t>
                  </w:r>
                </w:p>
              </w:tc>
              <w:tc>
                <w:tcPr>
                  <w:tcW w:w="919" w:type="dxa"/>
                  <w:shd w:val="clear" w:color="auto" w:fill="auto"/>
                  <w:vAlign w:val="center"/>
                </w:tcPr>
                <w:p w14:paraId="14070F6C">
                  <w:pPr>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lang w:val="en-US" w:eastAsia="zh-CN"/>
                    </w:rPr>
                    <w:t>2500</w:t>
                  </w:r>
                </w:p>
              </w:tc>
              <w:tc>
                <w:tcPr>
                  <w:tcW w:w="899" w:type="dxa"/>
                  <w:shd w:val="clear" w:color="auto" w:fill="auto"/>
                  <w:vAlign w:val="center"/>
                </w:tcPr>
                <w:p w14:paraId="7B7DFE3A">
                  <w:pPr>
                    <w:jc w:val="center"/>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color w:val="auto"/>
                      <w:szCs w:val="21"/>
                      <w:lang w:val="en-US" w:eastAsia="zh-CN"/>
                    </w:rPr>
                    <w:t>0.00014</w:t>
                  </w:r>
                </w:p>
              </w:tc>
            </w:tr>
            <w:tr w14:paraId="2E03E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46" w:type="dxa"/>
                  <w:vAlign w:val="center"/>
                </w:tcPr>
                <w:p w14:paraId="6255E41F">
                  <w:pPr>
                    <w:autoSpaceDE w:val="0"/>
                    <w:autoSpaceDN w:val="0"/>
                    <w:adjustRightIn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危废</w:t>
                  </w:r>
                </w:p>
              </w:tc>
              <w:tc>
                <w:tcPr>
                  <w:tcW w:w="2287" w:type="dxa"/>
                  <w:gridSpan w:val="2"/>
                  <w:shd w:val="clear" w:color="auto" w:fill="auto"/>
                  <w:vAlign w:val="center"/>
                </w:tcPr>
                <w:p w14:paraId="4D8E2854">
                  <w:pPr>
                    <w:spacing w:line="320" w:lineRule="exact"/>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eastAsia="zh-CN"/>
                    </w:rPr>
                    <w:t>危险废物</w:t>
                  </w:r>
                </w:p>
              </w:tc>
              <w:tc>
                <w:tcPr>
                  <w:tcW w:w="1196" w:type="dxa"/>
                  <w:vAlign w:val="center"/>
                </w:tcPr>
                <w:p w14:paraId="09201C5B">
                  <w:pPr>
                    <w:spacing w:line="320" w:lineRule="exact"/>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c>
                <w:tcPr>
                  <w:tcW w:w="846" w:type="dxa"/>
                  <w:vAlign w:val="center"/>
                </w:tcPr>
                <w:p w14:paraId="00B966DD">
                  <w:pPr>
                    <w:jc w:val="center"/>
                    <w:rPr>
                      <w:rFonts w:hint="default" w:ascii="Times New Roman" w:hAnsi="Times New Roman" w:cs="Times New Roman"/>
                      <w:color w:val="auto"/>
                      <w:szCs w:val="21"/>
                    </w:rPr>
                  </w:pPr>
                  <w:r>
                    <w:rPr>
                      <w:rFonts w:hint="default" w:ascii="Times New Roman" w:hAnsi="Times New Roman" w:cs="Times New Roman"/>
                      <w:color w:val="auto"/>
                      <w:szCs w:val="21"/>
                    </w:rPr>
                    <w:t>危废库</w:t>
                  </w:r>
                </w:p>
              </w:tc>
              <w:tc>
                <w:tcPr>
                  <w:tcW w:w="1341" w:type="dxa"/>
                  <w:vAlign w:val="center"/>
                </w:tcPr>
                <w:p w14:paraId="7AC1D645">
                  <w:pPr>
                    <w:jc w:val="center"/>
                    <w:rPr>
                      <w:rFonts w:hint="default" w:ascii="Times New Roman" w:hAnsi="Times New Roman" w:cs="Times New Roman"/>
                      <w:color w:val="auto"/>
                      <w:szCs w:val="21"/>
                      <w:lang w:val="en-US"/>
                    </w:rPr>
                  </w:pPr>
                  <w:r>
                    <w:rPr>
                      <w:rFonts w:hint="eastAsia" w:cs="Times New Roman" w:eastAsiaTheme="minorEastAsia"/>
                      <w:color w:val="auto"/>
                      <w:kern w:val="0"/>
                      <w:sz w:val="21"/>
                      <w:szCs w:val="21"/>
                      <w:lang w:val="en-US" w:eastAsia="zh-CN"/>
                    </w:rPr>
                    <w:t>3.0145</w:t>
                  </w:r>
                </w:p>
              </w:tc>
              <w:tc>
                <w:tcPr>
                  <w:tcW w:w="919" w:type="dxa"/>
                  <w:vAlign w:val="center"/>
                </w:tcPr>
                <w:p w14:paraId="3C74ED64">
                  <w:pPr>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50</w:t>
                  </w:r>
                </w:p>
              </w:tc>
              <w:tc>
                <w:tcPr>
                  <w:tcW w:w="899" w:type="dxa"/>
                  <w:shd w:val="clear" w:color="auto" w:fill="auto"/>
                  <w:vAlign w:val="center"/>
                </w:tcPr>
                <w:p w14:paraId="12A7AA87">
                  <w:pPr>
                    <w:jc w:val="center"/>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color w:val="auto"/>
                      <w:szCs w:val="21"/>
                      <w:lang w:val="en-US" w:eastAsia="zh-CN"/>
                    </w:rPr>
                    <w:t>0.06</w:t>
                  </w:r>
                  <w:r>
                    <w:rPr>
                      <w:rFonts w:hint="eastAsia" w:cs="Times New Roman"/>
                      <w:color w:val="auto"/>
                      <w:szCs w:val="21"/>
                      <w:lang w:val="en-US" w:eastAsia="zh-CN"/>
                    </w:rPr>
                    <w:t>029</w:t>
                  </w:r>
                </w:p>
              </w:tc>
            </w:tr>
            <w:tr w14:paraId="369B4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7435" w:type="dxa"/>
                  <w:gridSpan w:val="7"/>
                  <w:vAlign w:val="center"/>
                </w:tcPr>
                <w:p w14:paraId="29964D1A">
                  <w:pPr>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合并</w:t>
                  </w:r>
                </w:p>
              </w:tc>
              <w:tc>
                <w:tcPr>
                  <w:tcW w:w="899" w:type="dxa"/>
                  <w:vAlign w:val="center"/>
                </w:tcPr>
                <w:p w14:paraId="54C24A28">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13324</w:t>
                  </w:r>
                </w:p>
              </w:tc>
            </w:tr>
          </w:tbl>
          <w:p w14:paraId="59059F10">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根据上表内容，本项目涉及各种物料的存储量均不超过相应的临界量，对照《危险化学品重大危险源辨识》（GB18218-2009）中相关要求，q1/Q1+ q2/Q2……+ qn/Q</w:t>
            </w:r>
            <w:r>
              <w:rPr>
                <w:rFonts w:hint="default" w:ascii="Times New Roman" w:hAnsi="Times New Roman" w:eastAsia="宋体" w:cs="Times New Roman"/>
                <w:color w:val="auto"/>
                <w:sz w:val="24"/>
              </w:rPr>
              <w:t>n=</w:t>
            </w:r>
            <w:r>
              <w:rPr>
                <w:rFonts w:hint="eastAsia" w:ascii="Times New Roman" w:hAnsi="Times New Roman" w:eastAsia="宋体" w:cs="Times New Roman"/>
                <w:color w:val="auto"/>
                <w:sz w:val="24"/>
                <w:lang w:val="en-US" w:eastAsia="zh-CN"/>
              </w:rPr>
              <w:t>0.</w:t>
            </w:r>
            <w:r>
              <w:rPr>
                <w:rFonts w:hint="eastAsia" w:cs="Times New Roman"/>
                <w:color w:val="auto"/>
                <w:sz w:val="24"/>
                <w:lang w:val="en-US" w:eastAsia="zh-CN"/>
              </w:rPr>
              <w:t>13295</w:t>
            </w:r>
            <w:r>
              <w:rPr>
                <w:rFonts w:hint="default" w:ascii="Times New Roman" w:hAnsi="Times New Roman" w:eastAsia="宋体" w:cs="Times New Roman"/>
                <w:color w:val="auto"/>
                <w:sz w:val="24"/>
              </w:rPr>
              <w:t>，Q</w:t>
            </w:r>
            <w:r>
              <w:rPr>
                <w:rFonts w:hint="default" w:ascii="Times New Roman" w:hAnsi="Times New Roman" w:cs="Times New Roman"/>
                <w:color w:val="auto"/>
                <w:sz w:val="24"/>
              </w:rPr>
              <w:t>＜1，项目环境风险潜势为Ⅰ。</w:t>
            </w:r>
          </w:p>
          <w:p w14:paraId="2541BC53">
            <w:pPr>
              <w:keepNext/>
              <w:keepLines/>
              <w:spacing w:line="360" w:lineRule="auto"/>
              <w:ind w:firstLine="352" w:firstLineChars="147"/>
              <w:outlineLvl w:val="2"/>
              <w:rPr>
                <w:rFonts w:hint="default" w:ascii="Times New Roman" w:hAnsi="Times New Roman" w:cs="Times New Roman"/>
                <w:bCs/>
                <w:color w:val="auto"/>
                <w:sz w:val="24"/>
                <w:szCs w:val="32"/>
              </w:rPr>
            </w:pPr>
            <w:r>
              <w:rPr>
                <w:rFonts w:hint="default" w:ascii="Times New Roman" w:hAnsi="Times New Roman" w:cs="Times New Roman"/>
                <w:bCs/>
                <w:color w:val="auto"/>
                <w:sz w:val="24"/>
                <w:szCs w:val="32"/>
              </w:rPr>
              <w:t>（</w:t>
            </w:r>
            <w:r>
              <w:rPr>
                <w:rFonts w:hint="default" w:ascii="Times New Roman" w:hAnsi="Times New Roman" w:cs="Times New Roman"/>
                <w:bCs/>
                <w:color w:val="auto"/>
                <w:sz w:val="24"/>
                <w:szCs w:val="32"/>
                <w:lang w:val="en-US" w:eastAsia="zh-CN"/>
              </w:rPr>
              <w:t>2</w:t>
            </w:r>
            <w:r>
              <w:rPr>
                <w:rFonts w:hint="default" w:ascii="Times New Roman" w:hAnsi="Times New Roman" w:cs="Times New Roman"/>
                <w:bCs/>
                <w:color w:val="auto"/>
                <w:sz w:val="24"/>
                <w:szCs w:val="32"/>
              </w:rPr>
              <w:t>）评价工作等级</w:t>
            </w:r>
          </w:p>
          <w:p w14:paraId="2D26D9EB">
            <w:pPr>
              <w:autoSpaceDE w:val="0"/>
              <w:autoSpaceDN w:val="0"/>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根据《建设项目环境风险评价技术导则》（HJ/T169-2018），环境风险评价工作等级划分为一级、</w:t>
            </w:r>
            <w:r>
              <w:rPr>
                <w:rFonts w:hint="eastAsia" w:cs="Times New Roman"/>
                <w:color w:val="auto"/>
                <w:sz w:val="24"/>
                <w:lang w:eastAsia="zh-CN"/>
              </w:rPr>
              <w:t>两级</w:t>
            </w:r>
            <w:r>
              <w:rPr>
                <w:rFonts w:hint="default" w:ascii="Times New Roman" w:hAnsi="Times New Roman" w:cs="Times New Roman"/>
                <w:color w:val="auto"/>
                <w:sz w:val="24"/>
              </w:rPr>
              <w:t>、三级。根据建设项目涉及的物质及工艺系统危险性和所在地的环境敏感性确定环境风险潜势，确定评价工作等级。风险潜势为IV及以上，进行一级评价；风险潜势为II，进行</w:t>
            </w:r>
            <w:r>
              <w:rPr>
                <w:rFonts w:hint="eastAsia" w:cs="Times New Roman"/>
                <w:color w:val="auto"/>
                <w:sz w:val="24"/>
                <w:lang w:eastAsia="zh-CN"/>
              </w:rPr>
              <w:t>两级</w:t>
            </w:r>
            <w:r>
              <w:rPr>
                <w:rFonts w:hint="default" w:ascii="Times New Roman" w:hAnsi="Times New Roman" w:cs="Times New Roman"/>
                <w:color w:val="auto"/>
                <w:sz w:val="24"/>
              </w:rPr>
              <w:t>评价；风险潜势为II，进行三级评价；风险潜势为I，可开展简单分析。</w:t>
            </w:r>
          </w:p>
          <w:p w14:paraId="34C37E73">
            <w:pPr>
              <w:keepNext w:val="0"/>
              <w:keepLines w:val="0"/>
              <w:pageBreakBefore w:val="0"/>
              <w:widowControl/>
              <w:kinsoku/>
              <w:wordWrap/>
              <w:overflowPunct/>
              <w:topLinePunct w:val="0"/>
              <w:autoSpaceDE/>
              <w:autoSpaceDN/>
              <w:bidi w:val="0"/>
              <w:adjustRightInd/>
              <w:snapToGrid/>
              <w:spacing w:beforeAutospacing="0"/>
              <w:jc w:val="center"/>
              <w:textAlignment w:val="auto"/>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表4-</w:t>
            </w:r>
            <w:r>
              <w:rPr>
                <w:rFonts w:hint="default" w:ascii="Times New Roman" w:hAnsi="Times New Roman" w:eastAsia="宋体" w:cs="Times New Roman"/>
                <w:b/>
                <w:color w:val="auto"/>
                <w:kern w:val="0"/>
                <w:sz w:val="24"/>
                <w:lang w:val="en-US" w:eastAsia="zh-CN"/>
              </w:rPr>
              <w:t>2</w:t>
            </w:r>
            <w:r>
              <w:rPr>
                <w:rFonts w:hint="eastAsia" w:ascii="Times New Roman" w:hAnsi="Times New Roman" w:eastAsia="宋体" w:cs="Times New Roman"/>
                <w:b/>
                <w:color w:val="auto"/>
                <w:kern w:val="0"/>
                <w:sz w:val="24"/>
                <w:lang w:val="en-US" w:eastAsia="zh-CN"/>
              </w:rPr>
              <w:t>7</w:t>
            </w:r>
            <w:r>
              <w:rPr>
                <w:rFonts w:hint="default" w:ascii="Times New Roman" w:hAnsi="Times New Roman" w:eastAsia="宋体" w:cs="Times New Roman"/>
                <w:b/>
                <w:color w:val="auto"/>
                <w:kern w:val="0"/>
                <w:sz w:val="24"/>
              </w:rPr>
              <w:t xml:space="preserve">  环境风险评价工作等级</w:t>
            </w:r>
          </w:p>
          <w:tbl>
            <w:tblPr>
              <w:tblStyle w:val="6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3"/>
              <w:gridCol w:w="1595"/>
              <w:gridCol w:w="1595"/>
              <w:gridCol w:w="1595"/>
              <w:gridCol w:w="1595"/>
            </w:tblGrid>
            <w:tr w14:paraId="71AD8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195" w:type="pct"/>
                  <w:vAlign w:val="center"/>
                </w:tcPr>
                <w:p w14:paraId="63952133">
                  <w:pPr>
                    <w:widowControl/>
                    <w:adjustRightInd w:val="0"/>
                    <w:snapToGrid w:val="0"/>
                    <w:jc w:val="center"/>
                    <w:rPr>
                      <w:rFonts w:hint="default" w:ascii="Times New Roman" w:hAnsi="Times New Roman" w:cs="Times New Roman"/>
                      <w:b/>
                      <w:color w:val="auto"/>
                      <w:kern w:val="0"/>
                    </w:rPr>
                  </w:pPr>
                  <w:r>
                    <w:rPr>
                      <w:rFonts w:hint="default" w:ascii="Times New Roman" w:hAnsi="Times New Roman" w:cs="Times New Roman"/>
                      <w:b/>
                      <w:color w:val="auto"/>
                      <w:kern w:val="0"/>
                    </w:rPr>
                    <w:t>环境风险潜势</w:t>
                  </w:r>
                </w:p>
              </w:tc>
              <w:tc>
                <w:tcPr>
                  <w:tcW w:w="951" w:type="pct"/>
                  <w:vAlign w:val="center"/>
                </w:tcPr>
                <w:p w14:paraId="7854D01A">
                  <w:pPr>
                    <w:widowControl/>
                    <w:adjustRightInd w:val="0"/>
                    <w:snapToGrid w:val="0"/>
                    <w:jc w:val="center"/>
                    <w:rPr>
                      <w:rFonts w:hint="default" w:ascii="Times New Roman" w:hAnsi="Times New Roman" w:cs="Times New Roman"/>
                      <w:color w:val="auto"/>
                      <w:kern w:val="0"/>
                    </w:rPr>
                  </w:pPr>
                  <w:r>
                    <w:rPr>
                      <w:rFonts w:hint="default" w:ascii="Times New Roman" w:hAnsi="Times New Roman" w:cs="Times New Roman"/>
                      <w:color w:val="auto"/>
                      <w:kern w:val="0"/>
                    </w:rPr>
                    <w:fldChar w:fldCharType="begin"/>
                  </w:r>
                  <w:r>
                    <w:rPr>
                      <w:rFonts w:hint="default" w:ascii="Times New Roman" w:hAnsi="Times New Roman" w:cs="Times New Roman"/>
                      <w:color w:val="auto"/>
                      <w:kern w:val="0"/>
                    </w:rPr>
                    <w:instrText xml:space="preserve"> = 4 \* ROMAN </w:instrText>
                  </w:r>
                  <w:r>
                    <w:rPr>
                      <w:rFonts w:hint="default" w:ascii="Times New Roman" w:hAnsi="Times New Roman" w:cs="Times New Roman"/>
                      <w:color w:val="auto"/>
                      <w:kern w:val="0"/>
                    </w:rPr>
                    <w:fldChar w:fldCharType="separate"/>
                  </w:r>
                  <w:r>
                    <w:rPr>
                      <w:rFonts w:hint="default" w:ascii="Times New Roman" w:hAnsi="Times New Roman" w:cs="Times New Roman"/>
                      <w:color w:val="auto"/>
                      <w:kern w:val="0"/>
                    </w:rPr>
                    <w:t>IV</w:t>
                  </w:r>
                  <w:r>
                    <w:rPr>
                      <w:rFonts w:hint="default" w:ascii="Times New Roman" w:hAnsi="Times New Roman" w:cs="Times New Roman"/>
                      <w:color w:val="auto"/>
                      <w:kern w:val="0"/>
                    </w:rPr>
                    <w:fldChar w:fldCharType="end"/>
                  </w:r>
                  <w:r>
                    <w:rPr>
                      <w:rFonts w:hint="default" w:ascii="Times New Roman" w:hAnsi="Times New Roman" w:cs="Times New Roman"/>
                      <w:color w:val="auto"/>
                      <w:kern w:val="0"/>
                    </w:rPr>
                    <w:t>、</w:t>
                  </w:r>
                  <w:r>
                    <w:rPr>
                      <w:rFonts w:hint="default" w:ascii="Times New Roman" w:hAnsi="Times New Roman" w:cs="Times New Roman"/>
                      <w:color w:val="auto"/>
                      <w:kern w:val="0"/>
                    </w:rPr>
                    <w:fldChar w:fldCharType="begin"/>
                  </w:r>
                  <w:r>
                    <w:rPr>
                      <w:rFonts w:hint="default" w:ascii="Times New Roman" w:hAnsi="Times New Roman" w:cs="Times New Roman"/>
                      <w:color w:val="auto"/>
                      <w:kern w:val="0"/>
                    </w:rPr>
                    <w:instrText xml:space="preserve"> = 4 \* ROMAN </w:instrText>
                  </w:r>
                  <w:r>
                    <w:rPr>
                      <w:rFonts w:hint="default" w:ascii="Times New Roman" w:hAnsi="Times New Roman" w:cs="Times New Roman"/>
                      <w:color w:val="auto"/>
                      <w:kern w:val="0"/>
                    </w:rPr>
                    <w:fldChar w:fldCharType="separate"/>
                  </w:r>
                  <w:r>
                    <w:rPr>
                      <w:rFonts w:hint="default" w:ascii="Times New Roman" w:hAnsi="Times New Roman" w:cs="Times New Roman"/>
                      <w:color w:val="auto"/>
                      <w:kern w:val="0"/>
                    </w:rPr>
                    <w:t>IV</w:t>
                  </w:r>
                  <w:r>
                    <w:rPr>
                      <w:rFonts w:hint="default" w:ascii="Times New Roman" w:hAnsi="Times New Roman" w:cs="Times New Roman"/>
                      <w:color w:val="auto"/>
                      <w:kern w:val="0"/>
                    </w:rPr>
                    <w:fldChar w:fldCharType="end"/>
                  </w:r>
                  <w:r>
                    <w:rPr>
                      <w:rFonts w:hint="default" w:ascii="Times New Roman" w:hAnsi="Times New Roman" w:cs="Times New Roman"/>
                      <w:color w:val="auto"/>
                      <w:kern w:val="0"/>
                      <w:vertAlign w:val="superscript"/>
                    </w:rPr>
                    <w:t>+</w:t>
                  </w:r>
                </w:p>
              </w:tc>
              <w:tc>
                <w:tcPr>
                  <w:tcW w:w="951" w:type="pct"/>
                  <w:vAlign w:val="center"/>
                </w:tcPr>
                <w:p w14:paraId="7E19C77B">
                  <w:pPr>
                    <w:widowControl/>
                    <w:adjustRightInd w:val="0"/>
                    <w:snapToGrid w:val="0"/>
                    <w:jc w:val="center"/>
                    <w:rPr>
                      <w:rFonts w:hint="default" w:ascii="Times New Roman" w:hAnsi="Times New Roman" w:cs="Times New Roman"/>
                      <w:color w:val="auto"/>
                      <w:kern w:val="0"/>
                    </w:rPr>
                  </w:pPr>
                  <w:r>
                    <w:rPr>
                      <w:rFonts w:hint="default" w:ascii="Times New Roman" w:hAnsi="Times New Roman" w:cs="Times New Roman"/>
                      <w:color w:val="auto"/>
                      <w:kern w:val="0"/>
                    </w:rPr>
                    <w:fldChar w:fldCharType="begin"/>
                  </w:r>
                  <w:r>
                    <w:rPr>
                      <w:rFonts w:hint="default" w:ascii="Times New Roman" w:hAnsi="Times New Roman" w:cs="Times New Roman"/>
                      <w:color w:val="auto"/>
                      <w:kern w:val="0"/>
                    </w:rPr>
                    <w:instrText xml:space="preserve"> = 3 \* ROMAN </w:instrText>
                  </w:r>
                  <w:r>
                    <w:rPr>
                      <w:rFonts w:hint="default" w:ascii="Times New Roman" w:hAnsi="Times New Roman" w:cs="Times New Roman"/>
                      <w:color w:val="auto"/>
                      <w:kern w:val="0"/>
                    </w:rPr>
                    <w:fldChar w:fldCharType="separate"/>
                  </w:r>
                  <w:r>
                    <w:rPr>
                      <w:rFonts w:hint="default" w:ascii="Times New Roman" w:hAnsi="Times New Roman" w:cs="Times New Roman"/>
                      <w:color w:val="auto"/>
                      <w:kern w:val="0"/>
                    </w:rPr>
                    <w:t>III</w:t>
                  </w:r>
                  <w:r>
                    <w:rPr>
                      <w:rFonts w:hint="default" w:ascii="Times New Roman" w:hAnsi="Times New Roman" w:cs="Times New Roman"/>
                      <w:color w:val="auto"/>
                      <w:kern w:val="0"/>
                    </w:rPr>
                    <w:fldChar w:fldCharType="end"/>
                  </w:r>
                </w:p>
              </w:tc>
              <w:tc>
                <w:tcPr>
                  <w:tcW w:w="951" w:type="pct"/>
                  <w:vAlign w:val="center"/>
                </w:tcPr>
                <w:p w14:paraId="30F9673A">
                  <w:pPr>
                    <w:widowControl/>
                    <w:adjustRightInd w:val="0"/>
                    <w:snapToGrid w:val="0"/>
                    <w:jc w:val="center"/>
                    <w:rPr>
                      <w:rFonts w:hint="default" w:ascii="Times New Roman" w:hAnsi="Times New Roman" w:cs="Times New Roman"/>
                      <w:color w:val="auto"/>
                      <w:kern w:val="0"/>
                    </w:rPr>
                  </w:pPr>
                  <w:r>
                    <w:rPr>
                      <w:rFonts w:hint="default" w:ascii="Times New Roman" w:hAnsi="Times New Roman" w:cs="Times New Roman"/>
                      <w:color w:val="auto"/>
                      <w:kern w:val="0"/>
                    </w:rPr>
                    <w:fldChar w:fldCharType="begin"/>
                  </w:r>
                  <w:r>
                    <w:rPr>
                      <w:rFonts w:hint="default" w:ascii="Times New Roman" w:hAnsi="Times New Roman" w:cs="Times New Roman"/>
                      <w:color w:val="auto"/>
                      <w:kern w:val="0"/>
                    </w:rPr>
                    <w:instrText xml:space="preserve"> = 2 \* ROMAN </w:instrText>
                  </w:r>
                  <w:r>
                    <w:rPr>
                      <w:rFonts w:hint="default" w:ascii="Times New Roman" w:hAnsi="Times New Roman" w:cs="Times New Roman"/>
                      <w:color w:val="auto"/>
                      <w:kern w:val="0"/>
                    </w:rPr>
                    <w:fldChar w:fldCharType="separate"/>
                  </w:r>
                  <w:r>
                    <w:rPr>
                      <w:rFonts w:hint="default" w:ascii="Times New Roman" w:hAnsi="Times New Roman" w:cs="Times New Roman"/>
                      <w:color w:val="auto"/>
                      <w:kern w:val="0"/>
                    </w:rPr>
                    <w:t>II</w:t>
                  </w:r>
                  <w:r>
                    <w:rPr>
                      <w:rFonts w:hint="default" w:ascii="Times New Roman" w:hAnsi="Times New Roman" w:cs="Times New Roman"/>
                      <w:color w:val="auto"/>
                      <w:kern w:val="0"/>
                    </w:rPr>
                    <w:fldChar w:fldCharType="end"/>
                  </w:r>
                </w:p>
              </w:tc>
              <w:tc>
                <w:tcPr>
                  <w:tcW w:w="951" w:type="pct"/>
                  <w:shd w:val="clear" w:color="auto" w:fill="BFBFBF"/>
                  <w:vAlign w:val="center"/>
                </w:tcPr>
                <w:p w14:paraId="519FF0EB">
                  <w:pPr>
                    <w:widowControl/>
                    <w:adjustRightInd w:val="0"/>
                    <w:snapToGrid w:val="0"/>
                    <w:jc w:val="center"/>
                    <w:rPr>
                      <w:rFonts w:hint="default" w:ascii="Times New Roman" w:hAnsi="Times New Roman" w:cs="Times New Roman"/>
                      <w:color w:val="auto"/>
                      <w:kern w:val="0"/>
                    </w:rPr>
                  </w:pPr>
                  <w:r>
                    <w:rPr>
                      <w:rFonts w:hint="default" w:ascii="Times New Roman" w:hAnsi="Times New Roman" w:cs="Times New Roman"/>
                      <w:color w:val="auto"/>
                      <w:kern w:val="0"/>
                    </w:rPr>
                    <w:fldChar w:fldCharType="begin"/>
                  </w:r>
                  <w:r>
                    <w:rPr>
                      <w:rFonts w:hint="default" w:ascii="Times New Roman" w:hAnsi="Times New Roman" w:cs="Times New Roman"/>
                      <w:color w:val="auto"/>
                      <w:kern w:val="0"/>
                    </w:rPr>
                    <w:instrText xml:space="preserve"> = 1 \* ROMAN </w:instrText>
                  </w:r>
                  <w:r>
                    <w:rPr>
                      <w:rFonts w:hint="default" w:ascii="Times New Roman" w:hAnsi="Times New Roman" w:cs="Times New Roman"/>
                      <w:color w:val="auto"/>
                      <w:kern w:val="0"/>
                    </w:rPr>
                    <w:fldChar w:fldCharType="separate"/>
                  </w:r>
                  <w:r>
                    <w:rPr>
                      <w:rFonts w:hint="default" w:ascii="Times New Roman" w:hAnsi="Times New Roman" w:cs="Times New Roman"/>
                      <w:color w:val="auto"/>
                      <w:kern w:val="0"/>
                    </w:rPr>
                    <w:t>I</w:t>
                  </w:r>
                  <w:r>
                    <w:rPr>
                      <w:rFonts w:hint="default" w:ascii="Times New Roman" w:hAnsi="Times New Roman" w:cs="Times New Roman"/>
                      <w:color w:val="auto"/>
                      <w:kern w:val="0"/>
                    </w:rPr>
                    <w:fldChar w:fldCharType="end"/>
                  </w:r>
                </w:p>
              </w:tc>
            </w:tr>
            <w:tr w14:paraId="546BD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95" w:type="pct"/>
                  <w:vAlign w:val="center"/>
                </w:tcPr>
                <w:p w14:paraId="3A0EE907">
                  <w:pPr>
                    <w:widowControl/>
                    <w:adjustRightInd w:val="0"/>
                    <w:snapToGrid w:val="0"/>
                    <w:jc w:val="center"/>
                    <w:rPr>
                      <w:rFonts w:hint="default" w:ascii="Times New Roman" w:hAnsi="Times New Roman" w:cs="Times New Roman"/>
                      <w:b/>
                      <w:color w:val="auto"/>
                      <w:kern w:val="0"/>
                    </w:rPr>
                  </w:pPr>
                  <w:r>
                    <w:rPr>
                      <w:rFonts w:hint="default" w:ascii="Times New Roman" w:hAnsi="Times New Roman" w:cs="Times New Roman"/>
                      <w:b/>
                      <w:color w:val="auto"/>
                      <w:kern w:val="0"/>
                    </w:rPr>
                    <w:t>评价工作等级</w:t>
                  </w:r>
                </w:p>
              </w:tc>
              <w:tc>
                <w:tcPr>
                  <w:tcW w:w="951" w:type="pct"/>
                  <w:vAlign w:val="center"/>
                </w:tcPr>
                <w:p w14:paraId="030ED83E">
                  <w:pPr>
                    <w:widowControl/>
                    <w:adjustRightInd w:val="0"/>
                    <w:snapToGrid w:val="0"/>
                    <w:jc w:val="center"/>
                    <w:rPr>
                      <w:rFonts w:hint="default" w:ascii="Times New Roman" w:hAnsi="Times New Roman" w:cs="Times New Roman"/>
                      <w:color w:val="auto"/>
                      <w:kern w:val="0"/>
                    </w:rPr>
                  </w:pPr>
                  <w:r>
                    <w:rPr>
                      <w:rFonts w:hint="default" w:ascii="Times New Roman" w:hAnsi="Times New Roman" w:cs="Times New Roman"/>
                      <w:color w:val="auto"/>
                      <w:kern w:val="0"/>
                    </w:rPr>
                    <w:t>一</w:t>
                  </w:r>
                </w:p>
              </w:tc>
              <w:tc>
                <w:tcPr>
                  <w:tcW w:w="951" w:type="pct"/>
                  <w:vAlign w:val="center"/>
                </w:tcPr>
                <w:p w14:paraId="42FB6BB9">
                  <w:pPr>
                    <w:widowControl/>
                    <w:adjustRightInd w:val="0"/>
                    <w:snapToGrid w:val="0"/>
                    <w:jc w:val="center"/>
                    <w:rPr>
                      <w:rFonts w:hint="default" w:ascii="Times New Roman" w:hAnsi="Times New Roman" w:cs="Times New Roman"/>
                      <w:color w:val="auto"/>
                      <w:kern w:val="0"/>
                    </w:rPr>
                  </w:pPr>
                  <w:r>
                    <w:rPr>
                      <w:rFonts w:hint="default" w:ascii="Times New Roman" w:hAnsi="Times New Roman" w:cs="Times New Roman"/>
                      <w:color w:val="auto"/>
                      <w:kern w:val="0"/>
                    </w:rPr>
                    <w:t>二</w:t>
                  </w:r>
                </w:p>
              </w:tc>
              <w:tc>
                <w:tcPr>
                  <w:tcW w:w="951" w:type="pct"/>
                  <w:vAlign w:val="center"/>
                </w:tcPr>
                <w:p w14:paraId="2250BC20">
                  <w:pPr>
                    <w:widowControl/>
                    <w:adjustRightInd w:val="0"/>
                    <w:snapToGrid w:val="0"/>
                    <w:jc w:val="center"/>
                    <w:rPr>
                      <w:rFonts w:hint="default" w:ascii="Times New Roman" w:hAnsi="Times New Roman" w:cs="Times New Roman"/>
                      <w:color w:val="auto"/>
                      <w:kern w:val="0"/>
                    </w:rPr>
                  </w:pPr>
                  <w:r>
                    <w:rPr>
                      <w:rFonts w:hint="default" w:ascii="Times New Roman" w:hAnsi="Times New Roman" w:cs="Times New Roman"/>
                      <w:color w:val="auto"/>
                      <w:kern w:val="0"/>
                    </w:rPr>
                    <w:t>三</w:t>
                  </w:r>
                </w:p>
              </w:tc>
              <w:tc>
                <w:tcPr>
                  <w:tcW w:w="951" w:type="pct"/>
                  <w:shd w:val="clear" w:color="auto" w:fill="BFBFBF"/>
                  <w:vAlign w:val="center"/>
                </w:tcPr>
                <w:p w14:paraId="6B26B334">
                  <w:pPr>
                    <w:widowControl/>
                    <w:adjustRightInd w:val="0"/>
                    <w:snapToGrid w:val="0"/>
                    <w:jc w:val="center"/>
                    <w:rPr>
                      <w:rFonts w:hint="default" w:ascii="Times New Roman" w:hAnsi="Times New Roman" w:cs="Times New Roman"/>
                      <w:color w:val="auto"/>
                      <w:kern w:val="0"/>
                    </w:rPr>
                  </w:pPr>
                  <w:r>
                    <w:rPr>
                      <w:rFonts w:hint="default" w:ascii="Times New Roman" w:hAnsi="Times New Roman" w:cs="Times New Roman"/>
                      <w:color w:val="auto"/>
                      <w:kern w:val="0"/>
                    </w:rPr>
                    <w:t>简单分析</w:t>
                  </w:r>
                </w:p>
              </w:tc>
            </w:tr>
          </w:tbl>
          <w:p w14:paraId="150C6035">
            <w:pPr>
              <w:spacing w:before="120" w:beforeLines="50"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根据导则要求，环境风险评价作简单分析，在描述危险物质、环境影响途径、环境危害后果、风险防范措施等方面给出定性的说明。</w:t>
            </w:r>
          </w:p>
          <w:p w14:paraId="537A6B76">
            <w:pPr>
              <w:spacing w:line="360" w:lineRule="auto"/>
              <w:ind w:firstLine="482" w:firstLineChars="200"/>
              <w:rPr>
                <w:rFonts w:hint="default" w:ascii="Times New Roman" w:hAnsi="Times New Roman" w:eastAsia="宋体" w:cs="Times New Roman"/>
                <w:b/>
                <w:bCs/>
                <w:color w:val="auto"/>
                <w:sz w:val="24"/>
                <w:szCs w:val="24"/>
              </w:rPr>
            </w:pPr>
            <w:r>
              <w:rPr>
                <w:rFonts w:hint="default" w:ascii="Times New Roman" w:hAnsi="Times New Roman" w:cs="Times New Roman"/>
                <w:b/>
                <w:bCs/>
                <w:color w:val="auto"/>
                <w:sz w:val="24"/>
                <w:szCs w:val="24"/>
                <w:lang w:val="en-US" w:eastAsia="zh-CN"/>
              </w:rPr>
              <w:t>3</w:t>
            </w:r>
            <w:r>
              <w:rPr>
                <w:rFonts w:hint="default" w:ascii="Times New Roman" w:hAnsi="Times New Roman" w:eastAsia="宋体" w:cs="Times New Roman"/>
                <w:b/>
                <w:bCs/>
                <w:color w:val="auto"/>
                <w:sz w:val="24"/>
                <w:szCs w:val="24"/>
                <w:lang w:val="en-US" w:eastAsia="zh-CN"/>
              </w:rPr>
              <w:t>、</w:t>
            </w:r>
            <w:r>
              <w:rPr>
                <w:rFonts w:hint="default" w:ascii="Times New Roman" w:hAnsi="Times New Roman" w:eastAsia="宋体" w:cs="Times New Roman"/>
                <w:b/>
                <w:bCs/>
                <w:color w:val="auto"/>
                <w:sz w:val="24"/>
                <w:szCs w:val="24"/>
              </w:rPr>
              <w:t>影响途径</w:t>
            </w:r>
          </w:p>
          <w:p w14:paraId="5831B4F7">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rPr>
              <w:t>①</w:t>
            </w:r>
            <w:r>
              <w:rPr>
                <w:rFonts w:hint="default" w:ascii="Times New Roman" w:hAnsi="Times New Roman" w:cs="Times New Roman"/>
                <w:color w:val="auto"/>
                <w:sz w:val="24"/>
                <w:szCs w:val="24"/>
              </w:rPr>
              <w:t>地表水风险分析</w:t>
            </w:r>
          </w:p>
          <w:p w14:paraId="1792E776">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项目所使用的</w:t>
            </w:r>
            <w:r>
              <w:rPr>
                <w:rFonts w:hint="eastAsia" w:cs="Times New Roman"/>
                <w:color w:val="auto"/>
                <w:sz w:val="24"/>
                <w:szCs w:val="24"/>
                <w:lang w:val="en-US" w:eastAsia="zh-CN"/>
              </w:rPr>
              <w:t>水性脱模剂、水性淬火液、水性磨削液、切削液、润滑油、液压油</w:t>
            </w:r>
            <w:r>
              <w:rPr>
                <w:rFonts w:hint="default" w:ascii="Times New Roman" w:hAnsi="Times New Roman" w:cs="Times New Roman"/>
                <w:color w:val="auto"/>
                <w:sz w:val="24"/>
                <w:szCs w:val="24"/>
                <w:lang w:eastAsia="zh-CN"/>
              </w:rPr>
              <w:t>和危险废物</w:t>
            </w:r>
            <w:r>
              <w:rPr>
                <w:rFonts w:hint="default" w:ascii="Times New Roman" w:hAnsi="Times New Roman" w:cs="Times New Roman"/>
                <w:color w:val="auto"/>
                <w:sz w:val="24"/>
                <w:szCs w:val="24"/>
              </w:rPr>
              <w:t>等发生泄漏，若进入地表水体，将严重污染地表水水质。</w:t>
            </w:r>
          </w:p>
          <w:p w14:paraId="3FC85D97">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kern w:val="0"/>
                <w:sz w:val="24"/>
              </w:rPr>
              <w:t>②</w:t>
            </w:r>
            <w:r>
              <w:rPr>
                <w:rFonts w:hint="default" w:ascii="Times New Roman" w:hAnsi="Times New Roman" w:cs="Times New Roman"/>
                <w:color w:val="auto"/>
                <w:sz w:val="24"/>
                <w:szCs w:val="24"/>
              </w:rPr>
              <w:t>地下水环境风险分析</w:t>
            </w:r>
          </w:p>
          <w:p w14:paraId="2CC4E140">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项目所使用的</w:t>
            </w:r>
            <w:r>
              <w:rPr>
                <w:rFonts w:hint="eastAsia" w:cs="Times New Roman"/>
                <w:color w:val="auto"/>
                <w:sz w:val="24"/>
                <w:szCs w:val="24"/>
                <w:lang w:eastAsia="zh-CN"/>
              </w:rPr>
              <w:t>水性脱模剂、水性淬火液、水性磨削液、切削液、润滑油、液压油</w:t>
            </w:r>
            <w:r>
              <w:rPr>
                <w:rFonts w:hint="default" w:ascii="Times New Roman" w:hAnsi="Times New Roman" w:cs="Times New Roman"/>
                <w:color w:val="auto"/>
                <w:sz w:val="24"/>
                <w:szCs w:val="24"/>
                <w:lang w:eastAsia="zh-CN"/>
              </w:rPr>
              <w:t>和危险废物</w:t>
            </w:r>
            <w:r>
              <w:rPr>
                <w:rFonts w:hint="default" w:ascii="Times New Roman" w:hAnsi="Times New Roman" w:cs="Times New Roman"/>
                <w:color w:val="auto"/>
                <w:sz w:val="24"/>
                <w:szCs w:val="24"/>
              </w:rPr>
              <w:t>等发生泄漏，若渗漏进入土壤，污染物进入地层包气带，随着大气降水下渗进入地下含水层，形成一个污团从上向下扩散，对区域地下水环境造成污染。</w:t>
            </w:r>
          </w:p>
          <w:p w14:paraId="48FE1945">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kern w:val="0"/>
                <w:sz w:val="24"/>
              </w:rPr>
              <w:t>③</w:t>
            </w:r>
            <w:r>
              <w:rPr>
                <w:rFonts w:hint="eastAsia" w:cs="Times New Roman"/>
                <w:color w:val="auto"/>
                <w:sz w:val="24"/>
                <w:szCs w:val="24"/>
                <w:lang w:eastAsia="zh-CN"/>
              </w:rPr>
              <w:t>水性脱模剂、水性淬火液、水性磨削液、切削液、润滑油、液压油</w:t>
            </w:r>
            <w:r>
              <w:rPr>
                <w:rFonts w:hint="default" w:ascii="Times New Roman" w:hAnsi="Times New Roman" w:cs="Times New Roman"/>
                <w:color w:val="auto"/>
                <w:sz w:val="24"/>
                <w:szCs w:val="24"/>
                <w:lang w:eastAsia="zh-CN"/>
              </w:rPr>
              <w:t>和危险废物</w:t>
            </w:r>
            <w:r>
              <w:rPr>
                <w:rFonts w:hint="default" w:ascii="Times New Roman" w:hAnsi="Times New Roman" w:cs="Times New Roman"/>
                <w:color w:val="auto"/>
                <w:sz w:val="24"/>
                <w:szCs w:val="24"/>
              </w:rPr>
              <w:t>贮存和转运过程中产生的环境风险</w:t>
            </w:r>
          </w:p>
          <w:p w14:paraId="6DA05455">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项目使用的</w:t>
            </w:r>
            <w:r>
              <w:rPr>
                <w:rFonts w:hint="eastAsia" w:cs="Times New Roman"/>
                <w:color w:val="auto"/>
                <w:sz w:val="24"/>
                <w:szCs w:val="24"/>
                <w:lang w:eastAsia="zh-CN"/>
              </w:rPr>
              <w:t>水性脱模剂、水性淬火液、水性磨削液、切削液、润滑油、液压油</w:t>
            </w:r>
            <w:r>
              <w:rPr>
                <w:rFonts w:hint="default" w:ascii="Times New Roman" w:hAnsi="Times New Roman" w:cs="Times New Roman"/>
                <w:color w:val="auto"/>
                <w:sz w:val="24"/>
                <w:szCs w:val="24"/>
                <w:lang w:eastAsia="zh-CN"/>
              </w:rPr>
              <w:t>和危险废物</w:t>
            </w:r>
            <w:r>
              <w:rPr>
                <w:rFonts w:hint="default" w:ascii="Times New Roman" w:hAnsi="Times New Roman" w:cs="Times New Roman"/>
                <w:color w:val="auto"/>
                <w:sz w:val="24"/>
                <w:szCs w:val="24"/>
              </w:rPr>
              <w:t>含有部分有毒有害物质，如不加强管理、随意丢弃，或者转运过程中出现泄漏，流散到人们生活环境中，就会污染水源、土地，严重危害人们的身体健康。所以应加强本项目</w:t>
            </w:r>
            <w:r>
              <w:rPr>
                <w:rFonts w:hint="eastAsia" w:cs="Times New Roman"/>
                <w:color w:val="auto"/>
                <w:sz w:val="24"/>
                <w:szCs w:val="24"/>
                <w:lang w:eastAsia="zh-CN"/>
              </w:rPr>
              <w:t>水性脱模剂、水性淬火液、水性磨削液、切削液、润滑油、液压油</w:t>
            </w:r>
            <w:r>
              <w:rPr>
                <w:rFonts w:hint="default" w:ascii="Times New Roman" w:hAnsi="Times New Roman" w:cs="Times New Roman"/>
                <w:color w:val="auto"/>
                <w:sz w:val="24"/>
                <w:szCs w:val="24"/>
                <w:lang w:eastAsia="zh-CN"/>
              </w:rPr>
              <w:t>和危险废物</w:t>
            </w:r>
            <w:r>
              <w:rPr>
                <w:rFonts w:hint="default" w:ascii="Times New Roman" w:hAnsi="Times New Roman" w:cs="Times New Roman"/>
                <w:color w:val="auto"/>
                <w:sz w:val="24"/>
                <w:szCs w:val="24"/>
              </w:rPr>
              <w:t>及危废的暂存与转运的管理。</w:t>
            </w:r>
          </w:p>
          <w:p w14:paraId="7CEECDB1">
            <w:pPr>
              <w:wordWrap w:val="0"/>
              <w:topLinePunct/>
              <w:spacing w:line="360" w:lineRule="auto"/>
              <w:ind w:firstLine="482" w:firstLineChars="200"/>
              <w:contextualSpacing/>
              <w:textAlignment w:val="center"/>
              <w:rPr>
                <w:rFonts w:hint="default" w:ascii="Times New Roman" w:hAnsi="Times New Roman" w:eastAsia="宋体" w:cs="Times New Roman"/>
                <w:b/>
                <w:bCs w:val="0"/>
                <w:color w:val="auto"/>
                <w:sz w:val="24"/>
                <w:szCs w:val="24"/>
              </w:rPr>
            </w:pPr>
            <w:r>
              <w:rPr>
                <w:rFonts w:hint="default" w:ascii="Times New Roman" w:hAnsi="Times New Roman" w:cs="Times New Roman"/>
                <w:b/>
                <w:bCs w:val="0"/>
                <w:color w:val="auto"/>
                <w:sz w:val="24"/>
                <w:szCs w:val="24"/>
                <w:lang w:val="en-US" w:eastAsia="zh-CN"/>
              </w:rPr>
              <w:t>4</w:t>
            </w:r>
            <w:r>
              <w:rPr>
                <w:rFonts w:hint="default" w:ascii="Times New Roman" w:hAnsi="Times New Roman" w:eastAsia="宋体" w:cs="Times New Roman"/>
                <w:b/>
                <w:bCs w:val="0"/>
                <w:color w:val="auto"/>
                <w:sz w:val="24"/>
                <w:szCs w:val="24"/>
                <w:lang w:val="en-US" w:eastAsia="zh-CN"/>
              </w:rPr>
              <w:t>、</w:t>
            </w:r>
            <w:r>
              <w:rPr>
                <w:rFonts w:hint="default" w:ascii="Times New Roman" w:hAnsi="Times New Roman" w:eastAsia="宋体" w:cs="Times New Roman"/>
                <w:b/>
                <w:bCs w:val="0"/>
                <w:color w:val="auto"/>
                <w:sz w:val="24"/>
                <w:szCs w:val="24"/>
              </w:rPr>
              <w:t>环境风险防范措施</w:t>
            </w:r>
          </w:p>
          <w:p w14:paraId="2ACAF692">
            <w:pPr>
              <w:widowControl/>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（1）贮运安全防范措施</w:t>
            </w:r>
          </w:p>
          <w:p w14:paraId="4ADBA2BE">
            <w:pPr>
              <w:adjustRightInd w:val="0"/>
              <w:spacing w:line="360" w:lineRule="auto"/>
              <w:ind w:firstLine="480" w:firstLineChars="200"/>
              <w:textAlignment w:val="baseline"/>
              <w:rPr>
                <w:rFonts w:hint="default" w:ascii="Times New Roman" w:hAnsi="Times New Roman" w:cs="Times New Roman"/>
                <w:color w:val="auto"/>
                <w:sz w:val="24"/>
              </w:rPr>
            </w:pPr>
            <w:r>
              <w:rPr>
                <w:rFonts w:hint="default" w:ascii="Times New Roman" w:hAnsi="Times New Roman" w:cs="Times New Roman"/>
                <w:color w:val="auto"/>
                <w:sz w:val="24"/>
              </w:rPr>
              <w:t>1）</w:t>
            </w:r>
            <w:r>
              <w:rPr>
                <w:rFonts w:hint="eastAsia" w:cs="Times New Roman"/>
                <w:color w:val="auto"/>
                <w:sz w:val="24"/>
                <w:szCs w:val="24"/>
                <w:lang w:eastAsia="zh-CN"/>
              </w:rPr>
              <w:t>水性脱模剂、水性淬火液、水性磨削液、切削液、润滑油、液压油</w:t>
            </w:r>
            <w:r>
              <w:rPr>
                <w:rFonts w:hint="default" w:ascii="Times New Roman" w:hAnsi="Times New Roman" w:cs="Times New Roman"/>
                <w:color w:val="auto"/>
                <w:sz w:val="24"/>
              </w:rPr>
              <w:t>转运要求</w:t>
            </w:r>
          </w:p>
          <w:p w14:paraId="72A82EBC">
            <w:pPr>
              <w:adjustRightInd w:val="0"/>
              <w:spacing w:line="360" w:lineRule="auto"/>
              <w:ind w:firstLine="480" w:firstLineChars="200"/>
              <w:textAlignment w:val="baseline"/>
              <w:rPr>
                <w:rFonts w:hint="default" w:ascii="Times New Roman" w:hAnsi="Times New Roman" w:cs="Times New Roman"/>
                <w:color w:val="auto"/>
                <w:sz w:val="24"/>
              </w:rPr>
            </w:pPr>
            <w:r>
              <w:rPr>
                <w:rFonts w:hint="default" w:ascii="Times New Roman" w:hAnsi="Times New Roman" w:cs="Times New Roman"/>
                <w:color w:val="auto"/>
                <w:sz w:val="24"/>
              </w:rPr>
              <w:t>①转移时必须轻拿轻放，防止碰撞、拖拉和倾倒。装卸和搬运的员工应经常进行安全教育培训，并且要有一定业务知识和固定的人员来担任。</w:t>
            </w:r>
          </w:p>
          <w:p w14:paraId="68DB9E1A">
            <w:pPr>
              <w:widowControl/>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sz w:val="24"/>
              </w:rPr>
              <w:t>②遇湿容易引起燃烧、爆炸或产生有毒气体的原料，不宜在阴雨天运输，若必须运输时，除具有良好的装卸条件外，还应有防潮遮雨措施。</w:t>
            </w:r>
          </w:p>
          <w:p w14:paraId="1AC2C517">
            <w:pPr>
              <w:widowControl/>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2）泄漏风险防范措施</w:t>
            </w:r>
          </w:p>
          <w:p w14:paraId="7D640D61">
            <w:pPr>
              <w:widowControl/>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①做防渗处理，设置围堰且围堰容积不小于储存物料的储存体积。</w:t>
            </w:r>
          </w:p>
          <w:p w14:paraId="1421C542">
            <w:pPr>
              <w:widowControl/>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②建立严格的取用制度，取用专人负责，禁止无关人员接触。</w:t>
            </w:r>
          </w:p>
          <w:p w14:paraId="14DEC20A">
            <w:pPr>
              <w:widowControl/>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③储存于阴凉、通风仓库内。远离火种、热源。</w:t>
            </w:r>
          </w:p>
          <w:p w14:paraId="236F52FE">
            <w:pPr>
              <w:widowControl/>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④应与易燃或可燃物等分开存放。</w:t>
            </w:r>
          </w:p>
          <w:p w14:paraId="61CFDC01">
            <w:pPr>
              <w:widowControl/>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⑤使用或运输过程中发生泄漏，建议应急处理人员穿戴穿防护服、防护面具等设备对其进行清理，严禁直接接触泄漏物品。</w:t>
            </w:r>
          </w:p>
          <w:p w14:paraId="1B147E0B">
            <w:pPr>
              <w:widowControl/>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3）加强</w:t>
            </w:r>
            <w:r>
              <w:rPr>
                <w:rFonts w:hint="eastAsia" w:cs="Times New Roman"/>
                <w:color w:val="auto"/>
                <w:kern w:val="0"/>
                <w:sz w:val="24"/>
                <w:lang w:eastAsia="zh-CN"/>
              </w:rPr>
              <w:t>水性脱模剂、水性淬火液、水性磨削液、切削液、润滑油、液压油</w:t>
            </w:r>
            <w:r>
              <w:rPr>
                <w:rFonts w:hint="default" w:ascii="Times New Roman" w:hAnsi="Times New Roman" w:cs="Times New Roman"/>
                <w:color w:val="auto"/>
                <w:kern w:val="0"/>
                <w:sz w:val="24"/>
              </w:rPr>
              <w:t>的管理</w:t>
            </w:r>
          </w:p>
          <w:p w14:paraId="0247CB80">
            <w:pPr>
              <w:widowControl/>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应加强管理，由专人负责。加强防火，达到消防、安全等有关部门的要求。加强对职工的安全教育，制定严格的工作守则和个人卫生措施，所有操作人员必须了解所有化学品的有害作用及对患者的急救措施，以保证生产的正常运行和员工的身体健康。</w:t>
            </w:r>
          </w:p>
          <w:p w14:paraId="0C13038E">
            <w:pPr>
              <w:widowControl/>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（2）危废暂存库风险防范措施</w:t>
            </w:r>
          </w:p>
          <w:p w14:paraId="34B25DC0">
            <w:pPr>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危废库设置要求：</w:t>
            </w:r>
          </w:p>
          <w:p w14:paraId="25BC4399">
            <w:pPr>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危废暂存间按照《危险废物贮存污染控制标准》（GB18597-2023）要求建设，按照《危险废物识别标志设施技术规范》（HJ1276-2022）、《环境保护图形标志》（GB15562-1995）的规定设置警示标志。</w:t>
            </w:r>
          </w:p>
          <w:p w14:paraId="6E0CA084">
            <w:pPr>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①危废暂存库应采取必要的防风、防晒、防雨、防漏、防渗、防腐以及其他环境污染防治措施，各危险废物分类分区贮存。</w:t>
            </w:r>
          </w:p>
          <w:p w14:paraId="6AC9320C">
            <w:pPr>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②用于盛放液态危险废物场所须有泄漏液体的收集装置；危废暂存房</w:t>
            </w:r>
            <w:r>
              <w:rPr>
                <w:rFonts w:hint="default" w:ascii="Times New Roman" w:hAnsi="Times New Roman" w:cs="Times New Roman"/>
                <w:color w:val="auto"/>
                <w:kern w:val="0"/>
                <w:sz w:val="24"/>
                <w:lang w:eastAsia="zh-CN"/>
              </w:rPr>
              <w:t>内</w:t>
            </w:r>
            <w:r>
              <w:rPr>
                <w:rFonts w:hint="default" w:ascii="Times New Roman" w:hAnsi="Times New Roman" w:cs="Times New Roman"/>
                <w:color w:val="auto"/>
                <w:kern w:val="0"/>
                <w:sz w:val="24"/>
              </w:rPr>
              <w:t>设置围堰，围堰大小可满足液态危险废物泄漏时的收集需要。</w:t>
            </w:r>
          </w:p>
          <w:p w14:paraId="2C042B3D">
            <w:pPr>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③用于存放液体、半固体危险废物的地方，需用环氧树脂做防渗处理，地面无裂隙，防渗系数≤10</w:t>
            </w:r>
            <w:r>
              <w:rPr>
                <w:rFonts w:hint="default" w:ascii="Times New Roman" w:hAnsi="Times New Roman" w:cs="Times New Roman"/>
                <w:color w:val="auto"/>
                <w:kern w:val="0"/>
                <w:sz w:val="24"/>
                <w:vertAlign w:val="superscript"/>
              </w:rPr>
              <w:t>-7</w:t>
            </w:r>
            <w:r>
              <w:rPr>
                <w:rFonts w:hint="default" w:ascii="Times New Roman" w:hAnsi="Times New Roman" w:cs="Times New Roman"/>
                <w:color w:val="auto"/>
                <w:kern w:val="0"/>
                <w:sz w:val="24"/>
              </w:rPr>
              <w:t>cm/s；</w:t>
            </w:r>
          </w:p>
          <w:p w14:paraId="4E28D5F3">
            <w:pPr>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④不相容的危险废物堆放区必须有隔离间隔断；</w:t>
            </w:r>
          </w:p>
          <w:p w14:paraId="1630DDD8">
            <w:pPr>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⑤贮存易燃易爆的危险废物的场所应配备消防设备；</w:t>
            </w:r>
          </w:p>
          <w:p w14:paraId="7B7EB4E2">
            <w:pPr>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⑥危险废物贮存设施周围应设置围墙或其它防护栅栏，危险废物贮存设施内清理出来的泄漏物，一律按危险废物处理；</w:t>
            </w:r>
          </w:p>
          <w:p w14:paraId="247E0B02">
            <w:pPr>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⑦危废应当使用防渗漏运送工具，将危险废物收集、运送至暂时贮存地点。</w:t>
            </w:r>
          </w:p>
          <w:p w14:paraId="5E62CC5E">
            <w:pPr>
              <w:widowControl/>
              <w:spacing w:line="360" w:lineRule="auto"/>
              <w:ind w:firstLine="480" w:firstLineChars="2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（3）危废库围堰设置</w:t>
            </w:r>
          </w:p>
          <w:p w14:paraId="5BBF31F5">
            <w:pPr>
              <w:widowControl/>
              <w:spacing w:line="360" w:lineRule="auto"/>
              <w:ind w:firstLine="480" w:firstLineChars="200"/>
              <w:jc w:val="left"/>
              <w:rPr>
                <w:rFonts w:hint="default" w:ascii="Times New Roman" w:hAnsi="Times New Roman" w:eastAsia="宋体" w:cs="Times New Roman"/>
                <w:color w:val="auto"/>
                <w:kern w:val="0"/>
                <w:sz w:val="24"/>
              </w:rPr>
            </w:pPr>
            <w:r>
              <w:rPr>
                <w:rFonts w:hint="default" w:ascii="Times New Roman" w:hAnsi="Times New Roman" w:cs="Times New Roman"/>
                <w:color w:val="auto"/>
                <w:kern w:val="0"/>
                <w:sz w:val="24"/>
              </w:rPr>
              <w:t>项目需要在危废暂存房</w:t>
            </w:r>
            <w:r>
              <w:rPr>
                <w:rFonts w:hint="default" w:ascii="Times New Roman" w:hAnsi="Times New Roman" w:cs="Times New Roman"/>
                <w:color w:val="auto"/>
                <w:kern w:val="0"/>
                <w:sz w:val="24"/>
                <w:lang w:eastAsia="zh-CN"/>
              </w:rPr>
              <w:t>内</w:t>
            </w:r>
            <w:r>
              <w:rPr>
                <w:rFonts w:hint="default" w:ascii="Times New Roman" w:hAnsi="Times New Roman" w:cs="Times New Roman"/>
                <w:color w:val="auto"/>
                <w:kern w:val="0"/>
                <w:sz w:val="24"/>
              </w:rPr>
              <w:t>设置围堰。项目危废暂存房内主要存放项目产生的危险废物，其中液态物质可能会造成溢流，厂区危废暂存房建筑面积为</w:t>
            </w:r>
            <w:r>
              <w:rPr>
                <w:rFonts w:hint="eastAsia" w:cs="Times New Roman"/>
                <w:color w:val="auto"/>
                <w:kern w:val="0"/>
                <w:sz w:val="24"/>
                <w:lang w:val="en-US" w:eastAsia="zh-CN"/>
              </w:rPr>
              <w:t>15m</w:t>
            </w:r>
            <w:r>
              <w:rPr>
                <w:rFonts w:hint="default" w:ascii="Times New Roman" w:hAnsi="Times New Roman" w:cs="Times New Roman"/>
                <w:color w:val="auto"/>
                <w:kern w:val="0"/>
                <w:sz w:val="24"/>
                <w:vertAlign w:val="superscript"/>
              </w:rPr>
              <w:t>2</w:t>
            </w:r>
            <w:r>
              <w:rPr>
                <w:rFonts w:hint="default" w:ascii="Times New Roman" w:hAnsi="Times New Roman" w:cs="Times New Roman"/>
                <w:color w:val="auto"/>
                <w:kern w:val="0"/>
                <w:sz w:val="24"/>
              </w:rPr>
              <w:t>，</w:t>
            </w:r>
            <w:r>
              <w:rPr>
                <w:rFonts w:hint="default" w:ascii="Times New Roman" w:hAnsi="Times New Roman" w:cs="Times New Roman"/>
                <w:color w:val="auto"/>
                <w:kern w:val="0"/>
                <w:sz w:val="24"/>
                <w:lang w:eastAsia="zh-CN"/>
              </w:rPr>
              <w:t>内</w:t>
            </w:r>
            <w:r>
              <w:rPr>
                <w:rFonts w:hint="default" w:ascii="Times New Roman" w:hAnsi="Times New Roman" w:eastAsia="宋体" w:cs="Times New Roman"/>
                <w:color w:val="auto"/>
                <w:kern w:val="0"/>
                <w:sz w:val="24"/>
              </w:rPr>
              <w:t>设置</w:t>
            </w:r>
            <w:r>
              <w:rPr>
                <w:rFonts w:hint="default" w:ascii="Times New Roman" w:hAnsi="Times New Roman" w:cs="Times New Roman"/>
                <w:color w:val="auto"/>
                <w:kern w:val="0"/>
                <w:sz w:val="24"/>
                <w:lang w:val="en-US" w:eastAsia="zh-CN"/>
              </w:rPr>
              <w:t>1</w:t>
            </w:r>
            <w:r>
              <w:rPr>
                <w:rFonts w:hint="default" w:ascii="Times New Roman" w:hAnsi="Times New Roman" w:eastAsia="宋体" w:cs="Times New Roman"/>
                <w:color w:val="auto"/>
                <w:kern w:val="0"/>
                <w:sz w:val="24"/>
              </w:rPr>
              <w:t>0cm高的围堰，可以满足截流需求。</w:t>
            </w:r>
          </w:p>
          <w:p w14:paraId="161D7155">
            <w:pPr>
              <w:widowControl/>
              <w:spacing w:line="360" w:lineRule="auto"/>
              <w:ind w:firstLine="480" w:firstLineChars="200"/>
              <w:jc w:val="left"/>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综上所述，项目不存在重大危险源，风险事故对外环境影响较小，项目落实环境风险防范措施基础上，其环境风险是可接受的。</w:t>
            </w:r>
          </w:p>
          <w:p w14:paraId="467304A5">
            <w:pPr>
              <w:widowControl/>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kern w:val="0"/>
                <w:sz w:val="24"/>
                <w:lang w:eastAsia="zh-CN"/>
              </w:rPr>
              <w:t>（</w:t>
            </w:r>
            <w:r>
              <w:rPr>
                <w:rFonts w:hint="default" w:ascii="Times New Roman" w:hAnsi="Times New Roman" w:cs="Times New Roman"/>
                <w:color w:val="auto"/>
                <w:sz w:val="24"/>
              </w:rPr>
              <w:t>4）火灾爆炸风险风险防范措施</w:t>
            </w:r>
          </w:p>
          <w:p w14:paraId="6E3D6BD9">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①物料贮运要求</w:t>
            </w:r>
          </w:p>
          <w:p w14:paraId="00734C5A">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A、物料分类储存，储存场所、储存物料应远离热源与火种，不可与易燃物公共贮存。</w:t>
            </w:r>
          </w:p>
          <w:p w14:paraId="195F2942">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B、冲击或撞击有可能引起火灾爆炸的物料搬运时要轻拿轻放，避免碰撞和撞击。</w:t>
            </w:r>
          </w:p>
          <w:p w14:paraId="5B0C6887">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②火源地管理</w:t>
            </w:r>
          </w:p>
          <w:p w14:paraId="31485588">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A、控制明火。</w:t>
            </w:r>
          </w:p>
          <w:p w14:paraId="62C15013">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B、设备维修检查，需进行维修焊接，应经安全部门确认、准许，并有记录在案，有监管人员在场方可进行施工。</w:t>
            </w:r>
          </w:p>
          <w:p w14:paraId="2FDF14B6">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C、原料包装桶与明火、散发火花地点及周围构筑物之间的距离应满足规范要求。</w:t>
            </w:r>
          </w:p>
          <w:p w14:paraId="336A82EC">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D、明火、散发火花地点应远离天然气管道设置。</w:t>
            </w:r>
          </w:p>
          <w:p w14:paraId="1976CBDE">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③火灾的控制</w:t>
            </w:r>
          </w:p>
          <w:p w14:paraId="62BED303">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A、严格按防火、防爆设计规范的要求进行设计，按规范设置消防系统，配置相应的灭火装置和设施。</w:t>
            </w:r>
          </w:p>
          <w:p w14:paraId="1768D637">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B、原辅材料存储区地面应采用不会产生火花的材料，其技术要求应符合现行的国家标准《地面与楼面工程施工及验收规范》的规定。</w:t>
            </w:r>
          </w:p>
          <w:p w14:paraId="0196F643">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C、按《爆炸和火灾危险环境电力装置设计规范》选用电气设备，并采取静电接地措施。在较高建、构筑物上设避雷装置。</w:t>
            </w:r>
          </w:p>
          <w:p w14:paraId="3A27A8E4">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D、车间及仓库必须配备干粉灭火器。</w:t>
            </w:r>
          </w:p>
          <w:p w14:paraId="43BC4374">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④设置火灾报警系统</w:t>
            </w:r>
          </w:p>
          <w:p w14:paraId="47027581">
            <w:pPr>
              <w:wordWrap w:val="0"/>
              <w:topLinePunct/>
              <w:spacing w:line="360" w:lineRule="auto"/>
              <w:ind w:firstLine="480" w:firstLineChars="200"/>
              <w:contextualSpacing/>
              <w:jc w:val="left"/>
              <w:textAlignment w:val="center"/>
              <w:rPr>
                <w:rFonts w:hint="default" w:ascii="Times New Roman" w:hAnsi="Times New Roman" w:cs="Times New Roman"/>
                <w:color w:val="auto"/>
                <w:sz w:val="24"/>
                <w:szCs w:val="32"/>
                <w:highlight w:val="none"/>
              </w:rPr>
            </w:pPr>
            <w:r>
              <w:rPr>
                <w:rFonts w:hint="default" w:ascii="Times New Roman" w:hAnsi="Times New Roman" w:cs="Times New Roman"/>
                <w:color w:val="auto"/>
                <w:sz w:val="24"/>
                <w:szCs w:val="32"/>
                <w:highlight w:val="none"/>
              </w:rPr>
              <w:t>综上所述，项目不存在重大危险源，风险事故对外环境影响较小，项目落实环境风险防范措施基础上，其环境风险是可接受的。</w:t>
            </w:r>
          </w:p>
          <w:p w14:paraId="776677C8">
            <w:pPr>
              <w:keepNext w:val="0"/>
              <w:keepLines w:val="0"/>
              <w:pageBreakBefore w:val="0"/>
              <w:widowControl/>
              <w:kinsoku/>
              <w:wordWrap/>
              <w:overflowPunct/>
              <w:topLinePunct w:val="0"/>
              <w:autoSpaceDE/>
              <w:autoSpaceDN/>
              <w:bidi w:val="0"/>
              <w:adjustRightInd/>
              <w:snapToGrid/>
              <w:spacing w:beforeAutospacing="0"/>
              <w:jc w:val="center"/>
              <w:textAlignment w:val="auto"/>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kern w:val="0"/>
                <w:sz w:val="24"/>
              </w:rPr>
              <w:t>表4-2</w:t>
            </w:r>
            <w:r>
              <w:rPr>
                <w:rFonts w:hint="eastAsia" w:ascii="Times New Roman" w:hAnsi="Times New Roman" w:eastAsia="宋体" w:cs="Times New Roman"/>
                <w:b/>
                <w:color w:val="auto"/>
                <w:kern w:val="0"/>
                <w:sz w:val="24"/>
                <w:lang w:val="en-US" w:eastAsia="zh-CN"/>
              </w:rPr>
              <w:t>8</w:t>
            </w:r>
            <w:r>
              <w:rPr>
                <w:rFonts w:hint="default" w:ascii="Times New Roman" w:hAnsi="Times New Roman" w:eastAsia="宋体" w:cs="Times New Roman"/>
                <w:b/>
                <w:color w:val="auto"/>
                <w:kern w:val="0"/>
                <w:sz w:val="24"/>
              </w:rPr>
              <w:t xml:space="preserve">  建设项目环境风险简单分析内容一览表</w:t>
            </w:r>
          </w:p>
          <w:tbl>
            <w:tblPr>
              <w:tblStyle w:val="6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8"/>
              <w:gridCol w:w="1428"/>
              <w:gridCol w:w="1155"/>
              <w:gridCol w:w="642"/>
              <w:gridCol w:w="384"/>
              <w:gridCol w:w="1026"/>
              <w:gridCol w:w="2110"/>
            </w:tblGrid>
            <w:tr w14:paraId="69A98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977" w:type="pct"/>
                  <w:shd w:val="clear" w:color="auto" w:fill="auto"/>
                  <w:vAlign w:val="center"/>
                </w:tcPr>
                <w:p w14:paraId="3C3FE246">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建设项目名称</w:t>
                  </w:r>
                </w:p>
              </w:tc>
              <w:tc>
                <w:tcPr>
                  <w:tcW w:w="4023" w:type="pct"/>
                  <w:gridSpan w:val="6"/>
                  <w:shd w:val="clear" w:color="auto" w:fill="auto"/>
                  <w:vAlign w:val="center"/>
                </w:tcPr>
                <w:p w14:paraId="5E382023">
                  <w:pPr>
                    <w:ind w:left="-105" w:leftChars="-50" w:right="-105" w:rightChars="-50"/>
                    <w:jc w:val="center"/>
                    <w:rPr>
                      <w:rFonts w:hint="default" w:ascii="Times New Roman" w:hAnsi="Times New Roman" w:cs="Times New Roman"/>
                      <w:color w:val="auto"/>
                      <w:szCs w:val="21"/>
                    </w:rPr>
                  </w:pPr>
                  <w:r>
                    <w:rPr>
                      <w:rFonts w:hint="eastAsia" w:ascii="Times New Roman" w:hAnsi="Times New Roman" w:cs="Times New Roman"/>
                      <w:color w:val="auto"/>
                      <w:szCs w:val="21"/>
                      <w:lang w:eastAsia="zh-CN"/>
                    </w:rPr>
                    <w:t>汽车轮毂单元生产项目</w:t>
                  </w:r>
                </w:p>
              </w:tc>
            </w:tr>
            <w:tr w14:paraId="3C259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977" w:type="pct"/>
                  <w:shd w:val="clear" w:color="auto" w:fill="auto"/>
                  <w:vAlign w:val="center"/>
                </w:tcPr>
                <w:p w14:paraId="6A0CC396">
                  <w:pPr>
                    <w:jc w:val="center"/>
                    <w:rPr>
                      <w:rFonts w:hint="default" w:ascii="Times New Roman" w:hAnsi="Times New Roman" w:cs="Times New Roman"/>
                      <w:color w:val="auto"/>
                      <w:szCs w:val="21"/>
                    </w:rPr>
                  </w:pPr>
                  <w:r>
                    <w:rPr>
                      <w:rFonts w:hint="default" w:ascii="Times New Roman" w:hAnsi="Times New Roman" w:cs="Times New Roman"/>
                      <w:color w:val="auto"/>
                      <w:szCs w:val="21"/>
                    </w:rPr>
                    <w:t>建设地点</w:t>
                  </w:r>
                </w:p>
              </w:tc>
              <w:tc>
                <w:tcPr>
                  <w:tcW w:w="852" w:type="pct"/>
                  <w:shd w:val="clear" w:color="auto" w:fill="auto"/>
                  <w:vAlign w:val="center"/>
                </w:tcPr>
                <w:p w14:paraId="5D7F0993">
                  <w:pPr>
                    <w:ind w:left="-105" w:leftChars="-50" w:right="-105" w:rightChars="-50"/>
                    <w:jc w:val="center"/>
                    <w:rPr>
                      <w:rFonts w:hint="default" w:ascii="Times New Roman" w:hAnsi="Times New Roman" w:cs="Times New Roman"/>
                      <w:color w:val="auto"/>
                      <w:szCs w:val="21"/>
                    </w:rPr>
                  </w:pPr>
                  <w:r>
                    <w:rPr>
                      <w:rFonts w:hint="default" w:ascii="Times New Roman" w:hAnsi="Times New Roman" w:cs="Times New Roman"/>
                      <w:color w:val="auto"/>
                      <w:szCs w:val="21"/>
                    </w:rPr>
                    <w:t>（安徽）省</w:t>
                  </w:r>
                </w:p>
              </w:tc>
              <w:tc>
                <w:tcPr>
                  <w:tcW w:w="689" w:type="pct"/>
                  <w:shd w:val="clear" w:color="auto" w:fill="auto"/>
                  <w:vAlign w:val="center"/>
                </w:tcPr>
                <w:p w14:paraId="42CAB53B">
                  <w:pPr>
                    <w:ind w:left="-105" w:leftChars="-50" w:right="-105" w:rightChars="-50"/>
                    <w:jc w:val="center"/>
                    <w:rPr>
                      <w:rFonts w:hint="default" w:ascii="Times New Roman" w:hAnsi="Times New Roman" w:cs="Times New Roman"/>
                      <w:color w:val="auto"/>
                      <w:szCs w:val="21"/>
                    </w:rPr>
                  </w:pPr>
                  <w:r>
                    <w:rPr>
                      <w:rFonts w:hint="default" w:ascii="Times New Roman" w:hAnsi="Times New Roman" w:cs="Times New Roman"/>
                      <w:color w:val="auto"/>
                      <w:szCs w:val="21"/>
                    </w:rPr>
                    <w:t>（芜湖）市</w:t>
                  </w:r>
                </w:p>
              </w:tc>
              <w:tc>
                <w:tcPr>
                  <w:tcW w:w="612" w:type="pct"/>
                  <w:gridSpan w:val="2"/>
                  <w:shd w:val="clear" w:color="auto" w:fill="auto"/>
                  <w:vAlign w:val="center"/>
                </w:tcPr>
                <w:p w14:paraId="2607C736">
                  <w:pPr>
                    <w:ind w:left="-105" w:leftChars="-50" w:right="-105" w:rightChars="-50"/>
                    <w:jc w:val="center"/>
                    <w:rPr>
                      <w:rFonts w:hint="default" w:ascii="Times New Roman" w:hAnsi="Times New Roman" w:cs="Times New Roman"/>
                      <w:color w:val="auto"/>
                      <w:szCs w:val="21"/>
                    </w:rPr>
                  </w:pP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湾沚</w:t>
                  </w:r>
                  <w:r>
                    <w:rPr>
                      <w:rFonts w:hint="default" w:ascii="Times New Roman" w:hAnsi="Times New Roman" w:cs="Times New Roman"/>
                      <w:color w:val="auto"/>
                      <w:szCs w:val="21"/>
                    </w:rPr>
                    <w:t>）区</w:t>
                  </w:r>
                </w:p>
              </w:tc>
              <w:tc>
                <w:tcPr>
                  <w:tcW w:w="612" w:type="pct"/>
                  <w:shd w:val="clear" w:color="auto" w:fill="auto"/>
                  <w:vAlign w:val="center"/>
                </w:tcPr>
                <w:p w14:paraId="0FD25DFA">
                  <w:pPr>
                    <w:ind w:left="-105" w:leftChars="-50" w:right="-105" w:rightChars="-50"/>
                    <w:jc w:val="center"/>
                    <w:rPr>
                      <w:rFonts w:hint="default" w:ascii="Times New Roman" w:hAnsi="Times New Roman" w:cs="Times New Roman"/>
                      <w:color w:val="auto"/>
                      <w:szCs w:val="21"/>
                    </w:rPr>
                  </w:pP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w:t>
                  </w:r>
                  <w:r>
                    <w:rPr>
                      <w:rFonts w:hint="default" w:ascii="Times New Roman" w:hAnsi="Times New Roman" w:cs="Times New Roman"/>
                      <w:color w:val="auto"/>
                      <w:szCs w:val="21"/>
                    </w:rPr>
                    <w:t>）县</w:t>
                  </w:r>
                </w:p>
              </w:tc>
              <w:tc>
                <w:tcPr>
                  <w:tcW w:w="1258" w:type="pct"/>
                  <w:shd w:val="clear" w:color="auto" w:fill="auto"/>
                  <w:vAlign w:val="center"/>
                </w:tcPr>
                <w:p w14:paraId="00967D1D">
                  <w:pPr>
                    <w:ind w:left="-105" w:leftChars="-50" w:right="-105" w:rightChars="-50"/>
                    <w:jc w:val="center"/>
                    <w:rPr>
                      <w:rFonts w:hint="default" w:ascii="Times New Roman" w:hAnsi="Times New Roman" w:cs="Times New Roman"/>
                      <w:color w:val="auto"/>
                      <w:szCs w:val="21"/>
                    </w:rPr>
                  </w:pP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新芜经济开发区</w:t>
                  </w:r>
                  <w:r>
                    <w:rPr>
                      <w:rFonts w:hint="default" w:ascii="Times New Roman" w:hAnsi="Times New Roman" w:cs="Times New Roman"/>
                      <w:color w:val="auto"/>
                      <w:szCs w:val="21"/>
                    </w:rPr>
                    <w:t>）园区</w:t>
                  </w:r>
                </w:p>
              </w:tc>
            </w:tr>
            <w:tr w14:paraId="429BE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977" w:type="pct"/>
                  <w:shd w:val="clear" w:color="auto" w:fill="auto"/>
                  <w:vAlign w:val="center"/>
                </w:tcPr>
                <w:p w14:paraId="0D584934">
                  <w:pPr>
                    <w:jc w:val="center"/>
                    <w:rPr>
                      <w:rFonts w:hint="default" w:ascii="Times New Roman" w:hAnsi="Times New Roman" w:cs="Times New Roman"/>
                      <w:color w:val="auto"/>
                      <w:szCs w:val="21"/>
                    </w:rPr>
                  </w:pPr>
                  <w:r>
                    <w:rPr>
                      <w:rFonts w:hint="default" w:ascii="Times New Roman" w:hAnsi="Times New Roman" w:cs="Times New Roman"/>
                      <w:color w:val="auto"/>
                      <w:szCs w:val="21"/>
                    </w:rPr>
                    <w:t>地理坐标</w:t>
                  </w:r>
                </w:p>
              </w:tc>
              <w:tc>
                <w:tcPr>
                  <w:tcW w:w="1924" w:type="pct"/>
                  <w:gridSpan w:val="3"/>
                  <w:shd w:val="clear" w:color="auto" w:fill="auto"/>
                  <w:vAlign w:val="center"/>
                </w:tcPr>
                <w:p w14:paraId="02863F73">
                  <w:pPr>
                    <w:jc w:val="center"/>
                    <w:rPr>
                      <w:rFonts w:hint="default" w:ascii="Times New Roman" w:hAnsi="Times New Roman" w:cs="Times New Roman"/>
                      <w:color w:val="auto"/>
                      <w:szCs w:val="21"/>
                    </w:rPr>
                  </w:pPr>
                  <w:r>
                    <w:rPr>
                      <w:rFonts w:hint="default" w:ascii="Times New Roman" w:hAnsi="Times New Roman" w:cs="Times New Roman"/>
                      <w:color w:val="auto"/>
                      <w:szCs w:val="21"/>
                    </w:rPr>
                    <w:t>东经E118°</w:t>
                  </w:r>
                  <w:r>
                    <w:rPr>
                      <w:rFonts w:hint="eastAsia" w:ascii="Times New Roman" w:hAnsi="Times New Roman" w:cs="Times New Roman"/>
                      <w:color w:val="auto"/>
                      <w:szCs w:val="21"/>
                      <w:lang w:val="en-US" w:eastAsia="zh-CN"/>
                    </w:rPr>
                    <w:t>36</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36.203</w:t>
                  </w:r>
                  <w:r>
                    <w:rPr>
                      <w:rFonts w:hint="default" w:ascii="Times New Roman" w:hAnsi="Times New Roman" w:cs="Times New Roman"/>
                      <w:color w:val="auto"/>
                      <w:szCs w:val="21"/>
                    </w:rPr>
                    <w:t>″</w:t>
                  </w:r>
                </w:p>
              </w:tc>
              <w:tc>
                <w:tcPr>
                  <w:tcW w:w="2099" w:type="pct"/>
                  <w:gridSpan w:val="3"/>
                  <w:shd w:val="clear" w:color="auto" w:fill="auto"/>
                  <w:vAlign w:val="center"/>
                </w:tcPr>
                <w:p w14:paraId="307A13CB">
                  <w:pPr>
                    <w:jc w:val="center"/>
                    <w:rPr>
                      <w:rFonts w:hint="default" w:ascii="Times New Roman" w:hAnsi="Times New Roman" w:cs="Times New Roman"/>
                      <w:color w:val="auto"/>
                      <w:szCs w:val="21"/>
                    </w:rPr>
                  </w:pPr>
                  <w:r>
                    <w:rPr>
                      <w:rFonts w:hint="default" w:ascii="Times New Roman" w:hAnsi="Times New Roman" w:cs="Times New Roman"/>
                      <w:color w:val="auto"/>
                      <w:szCs w:val="21"/>
                    </w:rPr>
                    <w:t>北纬N31°</w:t>
                  </w:r>
                  <w:r>
                    <w:rPr>
                      <w:rFonts w:hint="eastAsia" w:ascii="Times New Roman" w:hAnsi="Times New Roman" w:cs="Times New Roman"/>
                      <w:color w:val="auto"/>
                      <w:szCs w:val="21"/>
                      <w:lang w:val="en-US" w:eastAsia="zh-CN"/>
                    </w:rPr>
                    <w:t>0</w:t>
                  </w:r>
                  <w:r>
                    <w:rPr>
                      <w:rFonts w:hint="default" w:ascii="Times New Roman" w:hAnsi="Times New Roman" w:cs="Times New Roman"/>
                      <w:color w:val="auto"/>
                      <w:szCs w:val="21"/>
                      <w:lang w:val="en-US" w:eastAsia="zh-CN"/>
                    </w:rPr>
                    <w:t>8</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10.174</w:t>
                  </w:r>
                  <w:r>
                    <w:rPr>
                      <w:rFonts w:hint="default" w:ascii="Times New Roman" w:hAnsi="Times New Roman" w:cs="Times New Roman"/>
                      <w:color w:val="auto"/>
                      <w:szCs w:val="21"/>
                    </w:rPr>
                    <w:t>″</w:t>
                  </w:r>
                </w:p>
              </w:tc>
            </w:tr>
            <w:tr w14:paraId="3F0C2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977" w:type="pct"/>
                  <w:shd w:val="clear" w:color="auto" w:fill="auto"/>
                  <w:vAlign w:val="center"/>
                </w:tcPr>
                <w:p w14:paraId="0D3797CF">
                  <w:pPr>
                    <w:ind w:left="-105" w:leftChars="-50" w:right="-105" w:rightChars="-50"/>
                    <w:jc w:val="center"/>
                    <w:rPr>
                      <w:rFonts w:hint="default" w:ascii="Times New Roman" w:hAnsi="Times New Roman" w:cs="Times New Roman"/>
                      <w:color w:val="auto"/>
                      <w:szCs w:val="21"/>
                    </w:rPr>
                  </w:pPr>
                  <w:r>
                    <w:rPr>
                      <w:rFonts w:hint="default" w:ascii="Times New Roman" w:hAnsi="Times New Roman" w:cs="Times New Roman"/>
                      <w:color w:val="auto"/>
                      <w:szCs w:val="21"/>
                    </w:rPr>
                    <w:t>主要危险物质及分布</w:t>
                  </w:r>
                </w:p>
              </w:tc>
              <w:tc>
                <w:tcPr>
                  <w:tcW w:w="6764" w:type="dxa"/>
                  <w:gridSpan w:val="6"/>
                  <w:shd w:val="clear" w:color="auto" w:fill="auto"/>
                  <w:vAlign w:val="center"/>
                </w:tcPr>
                <w:p w14:paraId="71E932E1">
                  <w:pPr>
                    <w:rPr>
                      <w:rFonts w:hint="eastAsia" w:ascii="Times New Roman" w:hAnsi="Times New Roman" w:eastAsia="宋体" w:cs="Times New Roman"/>
                      <w:color w:val="auto"/>
                      <w:sz w:val="21"/>
                      <w:szCs w:val="21"/>
                      <w:lang w:val="en-US" w:eastAsia="zh-CN"/>
                    </w:rPr>
                  </w:pPr>
                  <w:r>
                    <w:rPr>
                      <w:rFonts w:hint="eastAsia"/>
                      <w:color w:val="auto"/>
                      <w:sz w:val="21"/>
                      <w:szCs w:val="21"/>
                      <w:lang w:val="en-US" w:eastAsia="zh-CN"/>
                    </w:rPr>
                    <w:t>辅料区：</w:t>
                  </w:r>
                  <w:r>
                    <w:rPr>
                      <w:rFonts w:hint="eastAsia" w:ascii="Times New Roman" w:hAnsi="Times New Roman" w:eastAsia="宋体" w:cs="Times New Roman"/>
                      <w:color w:val="auto"/>
                      <w:sz w:val="21"/>
                      <w:szCs w:val="21"/>
                      <w:lang w:val="en-US" w:eastAsia="zh-CN"/>
                    </w:rPr>
                    <w:t>水性脱模剂、水性淬火液、水性磨削液</w:t>
                  </w:r>
                </w:p>
                <w:p w14:paraId="082A1DAF">
                  <w:pPr>
                    <w:rPr>
                      <w:rFonts w:hint="default"/>
                      <w:color w:val="auto"/>
                      <w:sz w:val="21"/>
                      <w:szCs w:val="21"/>
                      <w:lang w:val="en-US" w:eastAsia="zh-CN"/>
                    </w:rPr>
                  </w:pPr>
                  <w:r>
                    <w:rPr>
                      <w:rFonts w:hint="eastAsia"/>
                      <w:color w:val="auto"/>
                      <w:sz w:val="21"/>
                      <w:szCs w:val="21"/>
                      <w:lang w:val="en-US" w:eastAsia="zh-CN"/>
                    </w:rPr>
                    <w:t>油类储存区：液压油、润滑油</w:t>
                  </w:r>
                </w:p>
                <w:p w14:paraId="36185BE2">
                  <w:pPr>
                    <w:rPr>
                      <w:rFonts w:hint="default" w:ascii="Times New Roman" w:hAnsi="Times New Roman" w:cs="Times New Roman"/>
                      <w:color w:val="auto"/>
                      <w:szCs w:val="21"/>
                    </w:rPr>
                  </w:pPr>
                  <w:r>
                    <w:rPr>
                      <w:rFonts w:hint="eastAsia"/>
                      <w:color w:val="auto"/>
                      <w:sz w:val="21"/>
                      <w:szCs w:val="21"/>
                      <w:lang w:val="en-US" w:eastAsia="zh-CN"/>
                    </w:rPr>
                    <w:t>危废库：危险废物</w:t>
                  </w:r>
                </w:p>
              </w:tc>
            </w:tr>
            <w:tr w14:paraId="5C95B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977" w:type="pct"/>
                  <w:shd w:val="clear" w:color="auto" w:fill="auto"/>
                  <w:vAlign w:val="center"/>
                </w:tcPr>
                <w:p w14:paraId="6EF8881B">
                  <w:pPr>
                    <w:ind w:left="-105" w:leftChars="-50" w:right="-105" w:rightChars="-50"/>
                    <w:jc w:val="center"/>
                    <w:rPr>
                      <w:rFonts w:hint="default" w:ascii="Times New Roman" w:hAnsi="Times New Roman" w:cs="Times New Roman"/>
                      <w:color w:val="auto"/>
                      <w:szCs w:val="21"/>
                    </w:rPr>
                  </w:pPr>
                  <w:r>
                    <w:rPr>
                      <w:rFonts w:hint="default" w:ascii="Times New Roman" w:hAnsi="Times New Roman" w:cs="Times New Roman"/>
                      <w:color w:val="auto"/>
                      <w:szCs w:val="21"/>
                    </w:rPr>
                    <w:t>环境影响途径及危害后果（大气、地表水、地下水等）</w:t>
                  </w:r>
                </w:p>
              </w:tc>
              <w:tc>
                <w:tcPr>
                  <w:tcW w:w="6764" w:type="dxa"/>
                  <w:gridSpan w:val="6"/>
                  <w:shd w:val="clear" w:color="auto" w:fill="auto"/>
                  <w:vAlign w:val="center"/>
                </w:tcPr>
                <w:p w14:paraId="02242C01">
                  <w:pPr>
                    <w:widowControl/>
                    <w:autoSpaceDE w:val="0"/>
                    <w:autoSpaceDN w:val="0"/>
                    <w:snapToGrid w:val="0"/>
                    <w:rPr>
                      <w:color w:val="auto"/>
                      <w:kern w:val="0"/>
                      <w:szCs w:val="21"/>
                    </w:rPr>
                  </w:pPr>
                  <w:r>
                    <w:rPr>
                      <w:color w:val="auto"/>
                      <w:kern w:val="0"/>
                      <w:szCs w:val="21"/>
                    </w:rPr>
                    <w:t>污染大气环境：油类</w:t>
                  </w:r>
                  <w:r>
                    <w:rPr>
                      <w:rFonts w:hint="eastAsia"/>
                      <w:color w:val="auto"/>
                      <w:kern w:val="0"/>
                      <w:szCs w:val="21"/>
                      <w:lang w:eastAsia="zh-CN"/>
                    </w:rPr>
                    <w:t>、</w:t>
                  </w:r>
                  <w:r>
                    <w:rPr>
                      <w:rFonts w:hint="eastAsia"/>
                      <w:color w:val="auto"/>
                      <w:kern w:val="0"/>
                      <w:szCs w:val="21"/>
                      <w:lang w:val="en-US" w:eastAsia="zh-CN"/>
                    </w:rPr>
                    <w:t>化学品</w:t>
                  </w:r>
                  <w:r>
                    <w:rPr>
                      <w:color w:val="auto"/>
                      <w:kern w:val="0"/>
                      <w:szCs w:val="21"/>
                    </w:rPr>
                    <w:t>等易燃易爆物质遇高温明火等原因发生火灾、爆炸事故时，燃烧产生的CO、烟尘产物等进入大气，将对空气环境造成影响。</w:t>
                  </w:r>
                </w:p>
                <w:p w14:paraId="08FC1E1F">
                  <w:pPr>
                    <w:keepNext w:val="0"/>
                    <w:keepLines w:val="0"/>
                    <w:widowControl/>
                    <w:suppressLineNumbers w:val="0"/>
                    <w:jc w:val="left"/>
                    <w:rPr>
                      <w:rFonts w:hint="default" w:ascii="Times New Roman" w:hAnsi="Times New Roman" w:cs="Times New Roman"/>
                      <w:color w:val="auto"/>
                      <w:szCs w:val="21"/>
                    </w:rPr>
                  </w:pPr>
                  <w:r>
                    <w:rPr>
                      <w:color w:val="auto"/>
                      <w:kern w:val="0"/>
                      <w:szCs w:val="21"/>
                    </w:rPr>
                    <w:t>污染地下水环境：有毒有害物质在储存或厂内转移过程中由于操作不当、防渗材料破裂等原因将对地下水环境造成影响</w:t>
                  </w:r>
                  <w:r>
                    <w:rPr>
                      <w:rFonts w:hint="eastAsia"/>
                      <w:color w:val="auto"/>
                      <w:kern w:val="0"/>
                      <w:szCs w:val="21"/>
                      <w:lang w:eastAsia="zh-CN"/>
                    </w:rPr>
                    <w:t>；</w:t>
                  </w:r>
                  <w:r>
                    <w:rPr>
                      <w:rFonts w:hint="eastAsia" w:ascii="宋体" w:hAnsi="宋体" w:eastAsia="宋体" w:cs="宋体"/>
                      <w:color w:val="auto"/>
                      <w:kern w:val="0"/>
                      <w:sz w:val="21"/>
                      <w:szCs w:val="21"/>
                      <w:lang w:val="en-US" w:eastAsia="zh-CN" w:bidi="ar"/>
                    </w:rPr>
                    <w:t xml:space="preserve">危险废物贮存场所管理不善，导致危险废物无组织流散，造成的地表水、地下水及土壤环境污染事故。 </w:t>
                  </w:r>
                </w:p>
              </w:tc>
            </w:tr>
            <w:tr w14:paraId="0CD97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977" w:type="pct"/>
                  <w:shd w:val="clear" w:color="auto" w:fill="auto"/>
                  <w:vAlign w:val="center"/>
                </w:tcPr>
                <w:p w14:paraId="3760F610">
                  <w:pPr>
                    <w:jc w:val="center"/>
                    <w:rPr>
                      <w:rFonts w:hint="default" w:ascii="Times New Roman" w:hAnsi="Times New Roman" w:cs="Times New Roman"/>
                      <w:color w:val="auto"/>
                      <w:szCs w:val="21"/>
                    </w:rPr>
                  </w:pPr>
                  <w:r>
                    <w:rPr>
                      <w:rFonts w:hint="default" w:ascii="Times New Roman" w:hAnsi="Times New Roman" w:cs="Times New Roman"/>
                      <w:color w:val="auto"/>
                      <w:szCs w:val="21"/>
                    </w:rPr>
                    <w:t>风险防范要求</w:t>
                  </w:r>
                </w:p>
              </w:tc>
              <w:tc>
                <w:tcPr>
                  <w:tcW w:w="4023" w:type="pct"/>
                  <w:gridSpan w:val="6"/>
                  <w:shd w:val="clear" w:color="auto" w:fill="auto"/>
                  <w:vAlign w:val="center"/>
                </w:tcPr>
                <w:p w14:paraId="5291D0B1">
                  <w:pPr>
                    <w:rPr>
                      <w:rFonts w:hint="default" w:ascii="Times New Roman" w:hAnsi="Times New Roman" w:cs="Times New Roman"/>
                      <w:color w:val="auto"/>
                      <w:szCs w:val="21"/>
                    </w:rPr>
                  </w:pPr>
                  <w:r>
                    <w:rPr>
                      <w:rFonts w:hint="default" w:ascii="Times New Roman" w:hAnsi="Times New Roman" w:cs="Times New Roman"/>
                      <w:color w:val="auto"/>
                      <w:szCs w:val="21"/>
                    </w:rPr>
                    <w:t>总图及建筑风险防范，建设火灾报警系统，加强生产管理。并配备风险防范物资，制定突发环境事件应急预案并定期演练。</w:t>
                  </w:r>
                </w:p>
              </w:tc>
            </w:tr>
          </w:tbl>
          <w:p w14:paraId="038CCCEF">
            <w:pPr>
              <w:pStyle w:val="31"/>
              <w:ind w:left="0" w:leftChars="0" w:firstLine="0" w:firstLineChars="0"/>
              <w:rPr>
                <w:rFonts w:hint="default" w:ascii="Times New Roman" w:hAnsi="Times New Roman" w:cs="Times New Roman"/>
                <w:color w:val="auto"/>
              </w:rPr>
            </w:pPr>
          </w:p>
          <w:p w14:paraId="42F15D87">
            <w:pPr>
              <w:pStyle w:val="31"/>
              <w:ind w:left="0" w:leftChars="0" w:firstLine="0" w:firstLineChars="0"/>
              <w:rPr>
                <w:rFonts w:hint="default" w:ascii="Times New Roman" w:hAnsi="Times New Roman" w:cs="Times New Roman"/>
                <w:color w:val="auto"/>
              </w:rPr>
            </w:pPr>
          </w:p>
          <w:p w14:paraId="658A1490">
            <w:pPr>
              <w:pStyle w:val="31"/>
              <w:ind w:left="0" w:leftChars="0" w:firstLine="0" w:firstLineChars="0"/>
              <w:rPr>
                <w:rFonts w:hint="default" w:ascii="Times New Roman" w:hAnsi="Times New Roman" w:cs="Times New Roman"/>
                <w:color w:val="auto"/>
              </w:rPr>
            </w:pPr>
          </w:p>
          <w:p w14:paraId="3C34F23E">
            <w:pPr>
              <w:pStyle w:val="31"/>
              <w:ind w:left="0" w:leftChars="0" w:firstLine="0" w:firstLineChars="0"/>
              <w:rPr>
                <w:rFonts w:hint="default" w:ascii="Times New Roman" w:hAnsi="Times New Roman" w:cs="Times New Roman"/>
                <w:color w:val="auto"/>
              </w:rPr>
            </w:pPr>
          </w:p>
          <w:p w14:paraId="03F5A789">
            <w:pPr>
              <w:pStyle w:val="31"/>
              <w:ind w:left="0" w:leftChars="0" w:firstLine="0" w:firstLineChars="0"/>
              <w:rPr>
                <w:rFonts w:hint="default" w:ascii="Times New Roman" w:hAnsi="Times New Roman" w:cs="Times New Roman"/>
                <w:color w:val="auto"/>
              </w:rPr>
            </w:pPr>
          </w:p>
          <w:p w14:paraId="31334F9A">
            <w:pPr>
              <w:pStyle w:val="31"/>
              <w:ind w:left="0" w:leftChars="0" w:firstLine="0" w:firstLineChars="0"/>
              <w:rPr>
                <w:rFonts w:hint="default" w:ascii="Times New Roman" w:hAnsi="Times New Roman" w:cs="Times New Roman"/>
                <w:color w:val="auto"/>
              </w:rPr>
            </w:pPr>
          </w:p>
          <w:p w14:paraId="6D7C9E8D">
            <w:pPr>
              <w:pStyle w:val="31"/>
              <w:ind w:left="0" w:leftChars="0" w:firstLine="0" w:firstLineChars="0"/>
              <w:rPr>
                <w:rFonts w:hint="default" w:ascii="Times New Roman" w:hAnsi="Times New Roman" w:cs="Times New Roman"/>
                <w:color w:val="auto"/>
              </w:rPr>
            </w:pPr>
          </w:p>
          <w:p w14:paraId="50243DAB">
            <w:pPr>
              <w:pStyle w:val="31"/>
              <w:ind w:left="0" w:leftChars="0" w:firstLine="0" w:firstLineChars="0"/>
              <w:rPr>
                <w:rFonts w:hint="default" w:ascii="Times New Roman" w:hAnsi="Times New Roman" w:cs="Times New Roman"/>
                <w:color w:val="auto"/>
              </w:rPr>
            </w:pPr>
          </w:p>
          <w:p w14:paraId="7148EDDA">
            <w:pPr>
              <w:pStyle w:val="31"/>
              <w:ind w:left="0" w:leftChars="0" w:firstLine="0" w:firstLineChars="0"/>
              <w:rPr>
                <w:rFonts w:hint="default" w:ascii="Times New Roman" w:hAnsi="Times New Roman" w:cs="Times New Roman"/>
                <w:color w:val="auto"/>
              </w:rPr>
            </w:pPr>
          </w:p>
          <w:p w14:paraId="30728978">
            <w:pPr>
              <w:pStyle w:val="31"/>
              <w:ind w:left="0" w:leftChars="0" w:firstLine="0" w:firstLineChars="0"/>
              <w:rPr>
                <w:rFonts w:hint="default" w:ascii="Times New Roman" w:hAnsi="Times New Roman" w:cs="Times New Roman"/>
                <w:color w:val="auto"/>
              </w:rPr>
            </w:pPr>
          </w:p>
          <w:p w14:paraId="50D16B15">
            <w:pPr>
              <w:pStyle w:val="31"/>
              <w:ind w:left="0" w:leftChars="0" w:firstLine="0" w:firstLineChars="0"/>
              <w:rPr>
                <w:rFonts w:hint="default" w:ascii="Times New Roman" w:hAnsi="Times New Roman" w:cs="Times New Roman"/>
                <w:color w:val="auto"/>
              </w:rPr>
            </w:pPr>
          </w:p>
          <w:p w14:paraId="25F29B0A">
            <w:pPr>
              <w:pStyle w:val="31"/>
              <w:ind w:left="0" w:leftChars="0" w:firstLine="0" w:firstLineChars="0"/>
              <w:rPr>
                <w:rFonts w:hint="default" w:ascii="Times New Roman" w:hAnsi="Times New Roman" w:cs="Times New Roman"/>
                <w:color w:val="auto"/>
              </w:rPr>
            </w:pPr>
          </w:p>
          <w:p w14:paraId="5CA88202">
            <w:pPr>
              <w:pStyle w:val="31"/>
              <w:ind w:left="0" w:leftChars="0" w:firstLine="0" w:firstLineChars="0"/>
              <w:rPr>
                <w:rFonts w:hint="default" w:ascii="Times New Roman" w:hAnsi="Times New Roman" w:cs="Times New Roman"/>
                <w:color w:val="auto"/>
              </w:rPr>
            </w:pPr>
          </w:p>
          <w:p w14:paraId="5B171BA6">
            <w:pPr>
              <w:pStyle w:val="31"/>
              <w:ind w:left="0" w:leftChars="0" w:firstLine="0" w:firstLineChars="0"/>
              <w:rPr>
                <w:rFonts w:hint="default" w:ascii="Times New Roman" w:hAnsi="Times New Roman" w:cs="Times New Roman"/>
                <w:color w:val="auto"/>
              </w:rPr>
            </w:pPr>
          </w:p>
          <w:p w14:paraId="20C3303A">
            <w:pPr>
              <w:pStyle w:val="31"/>
              <w:ind w:left="0" w:leftChars="0" w:firstLine="0" w:firstLineChars="0"/>
              <w:rPr>
                <w:rFonts w:hint="default" w:ascii="Times New Roman" w:hAnsi="Times New Roman" w:cs="Times New Roman"/>
                <w:color w:val="auto"/>
              </w:rPr>
            </w:pPr>
          </w:p>
          <w:p w14:paraId="50CF2036">
            <w:pPr>
              <w:pStyle w:val="31"/>
              <w:ind w:left="0" w:leftChars="0" w:firstLine="0" w:firstLineChars="0"/>
              <w:rPr>
                <w:rFonts w:hint="default" w:ascii="Times New Roman" w:hAnsi="Times New Roman" w:cs="Times New Roman"/>
                <w:color w:val="auto"/>
              </w:rPr>
            </w:pPr>
          </w:p>
          <w:p w14:paraId="59A8C444">
            <w:pPr>
              <w:pStyle w:val="31"/>
              <w:ind w:left="0" w:leftChars="0" w:firstLine="0" w:firstLineChars="0"/>
              <w:rPr>
                <w:rFonts w:hint="default" w:ascii="Times New Roman" w:hAnsi="Times New Roman" w:cs="Times New Roman"/>
                <w:color w:val="auto"/>
              </w:rPr>
            </w:pPr>
          </w:p>
          <w:p w14:paraId="06F477E5">
            <w:pPr>
              <w:pStyle w:val="31"/>
              <w:ind w:left="0" w:leftChars="0" w:firstLine="0" w:firstLineChars="0"/>
              <w:rPr>
                <w:rFonts w:hint="default" w:ascii="Times New Roman" w:hAnsi="Times New Roman" w:cs="Times New Roman"/>
                <w:color w:val="auto"/>
              </w:rPr>
            </w:pPr>
          </w:p>
          <w:p w14:paraId="5F493412">
            <w:pPr>
              <w:pStyle w:val="31"/>
              <w:ind w:left="0" w:leftChars="0" w:firstLine="0" w:firstLineChars="0"/>
              <w:rPr>
                <w:rFonts w:hint="default" w:ascii="Times New Roman" w:hAnsi="Times New Roman" w:cs="Times New Roman"/>
                <w:color w:val="auto"/>
              </w:rPr>
            </w:pPr>
          </w:p>
          <w:p w14:paraId="6DDF20B1">
            <w:pPr>
              <w:pStyle w:val="31"/>
              <w:ind w:left="0" w:leftChars="0" w:firstLine="0" w:firstLineChars="0"/>
              <w:rPr>
                <w:rFonts w:hint="default" w:ascii="Times New Roman" w:hAnsi="Times New Roman" w:cs="Times New Roman"/>
                <w:color w:val="auto"/>
              </w:rPr>
            </w:pPr>
          </w:p>
          <w:p w14:paraId="76BE02CB">
            <w:pPr>
              <w:pStyle w:val="31"/>
              <w:ind w:left="0" w:leftChars="0" w:firstLine="0" w:firstLineChars="0"/>
              <w:rPr>
                <w:rFonts w:hint="default" w:ascii="Times New Roman" w:hAnsi="Times New Roman" w:cs="Times New Roman"/>
                <w:color w:val="auto"/>
              </w:rPr>
            </w:pPr>
          </w:p>
          <w:p w14:paraId="16A9B52C">
            <w:pPr>
              <w:pStyle w:val="31"/>
              <w:ind w:left="0" w:leftChars="0" w:firstLine="0" w:firstLineChars="0"/>
              <w:rPr>
                <w:rFonts w:hint="default" w:ascii="Times New Roman" w:hAnsi="Times New Roman" w:cs="Times New Roman"/>
                <w:color w:val="auto"/>
              </w:rPr>
            </w:pPr>
          </w:p>
          <w:p w14:paraId="597CE74C">
            <w:pPr>
              <w:pStyle w:val="31"/>
              <w:ind w:left="0" w:leftChars="0" w:firstLine="0" w:firstLineChars="0"/>
              <w:rPr>
                <w:rFonts w:hint="default" w:ascii="Times New Roman" w:hAnsi="Times New Roman" w:cs="Times New Roman"/>
                <w:color w:val="auto"/>
              </w:rPr>
            </w:pPr>
          </w:p>
        </w:tc>
      </w:tr>
    </w:tbl>
    <w:p w14:paraId="08884F75">
      <w:pPr>
        <w:pStyle w:val="78"/>
        <w:rPr>
          <w:rFonts w:hint="default" w:ascii="Times New Roman" w:hAnsi="Times New Roman" w:cs="Times New Roman"/>
          <w:color w:val="auto"/>
        </w:rPr>
        <w:sectPr>
          <w:pgSz w:w="11905" w:h="16838"/>
          <w:pgMar w:top="1701" w:right="1531" w:bottom="2126" w:left="1531" w:header="851" w:footer="850" w:gutter="0"/>
          <w:cols w:space="0" w:num="1"/>
          <w:docGrid w:linePitch="312" w:charSpace="0"/>
        </w:sectPr>
      </w:pPr>
    </w:p>
    <w:tbl>
      <w:tblPr>
        <w:tblStyle w:val="64"/>
        <w:tblW w:w="13057"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3057"/>
      </w:tblGrid>
      <w:tr w14:paraId="1594771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8192" w:hRule="atLeast"/>
        </w:trPr>
        <w:tc>
          <w:tcPr>
            <w:tcW w:w="13057" w:type="dxa"/>
            <w:noWrap w:val="0"/>
            <w:vAlign w:val="top"/>
          </w:tcPr>
          <w:p w14:paraId="722D5B04">
            <w:pPr>
              <w:keepNext w:val="0"/>
              <w:keepLines w:val="0"/>
              <w:pageBreakBefore w:val="0"/>
              <w:widowControl w:val="0"/>
              <w:kinsoku/>
              <w:wordWrap/>
              <w:overflowPunct/>
              <w:topLinePunct w:val="0"/>
              <w:autoSpaceDE/>
              <w:autoSpaceDN/>
              <w:bidi w:val="0"/>
              <w:adjustRightInd/>
              <w:snapToGrid/>
              <w:spacing w:before="313" w:beforeLines="100" w:line="360" w:lineRule="auto"/>
              <w:ind w:firstLine="482" w:firstLineChars="200"/>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七、建设项目 “三同时”验收一览表</w:t>
            </w:r>
          </w:p>
          <w:p w14:paraId="7E83D659">
            <w:pPr>
              <w:adjustRightInd w:val="0"/>
              <w:snapToGrid w:val="0"/>
              <w:spacing w:line="360" w:lineRule="auto"/>
              <w:ind w:firstLine="480" w:firstLineChars="200"/>
              <w:rPr>
                <w:rFonts w:ascii="Times New Roman" w:hAnsi="Times New Roman"/>
                <w:snapToGrid w:val="0"/>
                <w:color w:val="auto"/>
                <w:sz w:val="24"/>
              </w:rPr>
            </w:pPr>
            <w:r>
              <w:rPr>
                <w:rFonts w:ascii="Times New Roman" w:hAnsi="Times New Roman"/>
                <w:snapToGrid w:val="0"/>
                <w:color w:val="auto"/>
                <w:sz w:val="24"/>
              </w:rPr>
              <w:t>根据建设项目环境保护管理制度的规定，建设项目的污染治理设施必须与主体工程“同时设计、同时施工、同时投入运行”。因此，本项目的污染治理设施必须严格执行“三同时”制度，在各种污染治理设施未按要求完工之前，项目不得投入运行。</w:t>
            </w:r>
          </w:p>
          <w:p w14:paraId="28B46F81">
            <w:pPr>
              <w:keepNext w:val="0"/>
              <w:keepLines w:val="0"/>
              <w:pageBreakBefore w:val="0"/>
              <w:widowControl/>
              <w:kinsoku/>
              <w:wordWrap/>
              <w:overflowPunct/>
              <w:topLinePunct w:val="0"/>
              <w:autoSpaceDE/>
              <w:autoSpaceDN/>
              <w:bidi w:val="0"/>
              <w:adjustRightInd/>
              <w:snapToGrid/>
              <w:spacing w:beforeAutospacing="0"/>
              <w:jc w:val="center"/>
              <w:textAlignment w:val="auto"/>
              <w:rPr>
                <w:rFonts w:hint="default" w:ascii="Times New Roman" w:hAnsi="Times New Roman" w:eastAsia="宋体" w:cs="Times New Roman"/>
                <w:b/>
                <w:color w:val="auto"/>
                <w:kern w:val="0"/>
                <w:sz w:val="24"/>
                <w:lang w:val="zh-CN"/>
              </w:rPr>
            </w:pPr>
            <w:r>
              <w:rPr>
                <w:rFonts w:hint="default" w:ascii="Times New Roman" w:hAnsi="Times New Roman" w:eastAsia="宋体" w:cs="Times New Roman"/>
                <w:b/>
                <w:color w:val="auto"/>
                <w:kern w:val="0"/>
                <w:sz w:val="24"/>
                <w:lang w:val="zh-CN"/>
              </w:rPr>
              <w:t>表</w:t>
            </w:r>
            <w:r>
              <w:rPr>
                <w:rFonts w:hint="eastAsia" w:ascii="Times New Roman" w:hAnsi="Times New Roman" w:eastAsia="宋体" w:cs="Times New Roman"/>
                <w:b/>
                <w:color w:val="auto"/>
                <w:kern w:val="0"/>
                <w:sz w:val="24"/>
                <w:lang w:val="en-US" w:eastAsia="zh-CN"/>
              </w:rPr>
              <w:t>4-29</w:t>
            </w:r>
            <w:r>
              <w:rPr>
                <w:rFonts w:hint="default" w:ascii="Times New Roman" w:hAnsi="Times New Roman" w:eastAsia="宋体" w:cs="Times New Roman"/>
                <w:b/>
                <w:color w:val="auto"/>
                <w:kern w:val="0"/>
                <w:sz w:val="24"/>
                <w:lang w:val="zh-CN"/>
              </w:rPr>
              <w:t xml:space="preserve">  建设项目环保投资及“三同时”验收一览表</w:t>
            </w:r>
          </w:p>
          <w:tbl>
            <w:tblPr>
              <w:tblStyle w:val="63"/>
              <w:tblW w:w="128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9"/>
              <w:gridCol w:w="508"/>
              <w:gridCol w:w="1012"/>
              <w:gridCol w:w="959"/>
              <w:gridCol w:w="976"/>
              <w:gridCol w:w="4140"/>
              <w:gridCol w:w="2939"/>
              <w:gridCol w:w="496"/>
              <w:gridCol w:w="1283"/>
            </w:tblGrid>
            <w:tr w14:paraId="5C822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529" w:type="dxa"/>
                  <w:noWrap w:val="0"/>
                  <w:vAlign w:val="center"/>
                </w:tcPr>
                <w:p w14:paraId="7BFB478D">
                  <w:pPr>
                    <w:autoSpaceDE w:val="0"/>
                    <w:autoSpaceDN w:val="0"/>
                    <w:snapToGrid w:val="0"/>
                    <w:jc w:val="center"/>
                    <w:rPr>
                      <w:rFonts w:hint="default" w:ascii="Times New Roman" w:hAnsi="Times New Roman" w:cs="Times New Roman"/>
                      <w:b/>
                      <w:color w:val="auto"/>
                      <w:szCs w:val="21"/>
                      <w:lang w:val="zh-CN"/>
                    </w:rPr>
                  </w:pPr>
                  <w:r>
                    <w:rPr>
                      <w:rFonts w:hint="default" w:ascii="Times New Roman" w:hAnsi="Times New Roman" w:cs="Times New Roman"/>
                      <w:b/>
                      <w:color w:val="auto"/>
                      <w:szCs w:val="21"/>
                      <w:lang w:val="zh-CN"/>
                    </w:rPr>
                    <w:t>类别</w:t>
                  </w:r>
                </w:p>
              </w:tc>
              <w:tc>
                <w:tcPr>
                  <w:tcW w:w="3455" w:type="dxa"/>
                  <w:gridSpan w:val="4"/>
                  <w:noWrap w:val="0"/>
                  <w:vAlign w:val="center"/>
                </w:tcPr>
                <w:p w14:paraId="1D58F44F">
                  <w:pPr>
                    <w:autoSpaceDE w:val="0"/>
                    <w:autoSpaceDN w:val="0"/>
                    <w:snapToGrid w:val="0"/>
                    <w:jc w:val="center"/>
                    <w:rPr>
                      <w:rFonts w:hint="default" w:ascii="Times New Roman" w:hAnsi="Times New Roman" w:cs="Times New Roman"/>
                      <w:b/>
                      <w:color w:val="auto"/>
                      <w:szCs w:val="21"/>
                      <w:lang w:val="zh-CN"/>
                    </w:rPr>
                  </w:pPr>
                  <w:r>
                    <w:rPr>
                      <w:rFonts w:hint="default" w:ascii="Times New Roman" w:hAnsi="Times New Roman" w:cs="Times New Roman"/>
                      <w:b/>
                      <w:color w:val="auto"/>
                      <w:szCs w:val="21"/>
                      <w:lang w:val="zh-CN"/>
                    </w:rPr>
                    <w:t>治理对象</w:t>
                  </w:r>
                </w:p>
              </w:tc>
              <w:tc>
                <w:tcPr>
                  <w:tcW w:w="4140" w:type="dxa"/>
                  <w:noWrap w:val="0"/>
                  <w:vAlign w:val="center"/>
                </w:tcPr>
                <w:p w14:paraId="604E2783">
                  <w:pPr>
                    <w:autoSpaceDE w:val="0"/>
                    <w:autoSpaceDN w:val="0"/>
                    <w:snapToGrid w:val="0"/>
                    <w:jc w:val="center"/>
                    <w:rPr>
                      <w:rFonts w:hint="default" w:ascii="Times New Roman" w:hAnsi="Times New Roman" w:cs="Times New Roman"/>
                      <w:b/>
                      <w:color w:val="auto"/>
                      <w:szCs w:val="21"/>
                      <w:lang w:val="zh-CN"/>
                    </w:rPr>
                  </w:pPr>
                  <w:r>
                    <w:rPr>
                      <w:rFonts w:hint="default" w:ascii="Times New Roman" w:hAnsi="Times New Roman" w:cs="Times New Roman"/>
                      <w:b/>
                      <w:color w:val="auto"/>
                      <w:szCs w:val="21"/>
                      <w:lang w:val="zh-CN"/>
                    </w:rPr>
                    <w:t>环保设施名称</w:t>
                  </w:r>
                </w:p>
              </w:tc>
              <w:tc>
                <w:tcPr>
                  <w:tcW w:w="2939" w:type="dxa"/>
                  <w:noWrap w:val="0"/>
                  <w:vAlign w:val="center"/>
                </w:tcPr>
                <w:p w14:paraId="30E5E219">
                  <w:pPr>
                    <w:autoSpaceDE w:val="0"/>
                    <w:autoSpaceDN w:val="0"/>
                    <w:snapToGrid w:val="0"/>
                    <w:jc w:val="center"/>
                    <w:rPr>
                      <w:rFonts w:hint="default" w:ascii="Times New Roman" w:hAnsi="Times New Roman" w:cs="Times New Roman"/>
                      <w:b/>
                      <w:color w:val="auto"/>
                      <w:szCs w:val="21"/>
                      <w:lang w:val="zh-CN"/>
                    </w:rPr>
                  </w:pPr>
                  <w:r>
                    <w:rPr>
                      <w:rFonts w:hint="default" w:ascii="Times New Roman" w:hAnsi="Times New Roman" w:cs="Times New Roman"/>
                      <w:b/>
                      <w:color w:val="auto"/>
                      <w:szCs w:val="21"/>
                      <w:lang w:val="zh-CN"/>
                    </w:rPr>
                    <w:t>治理效果</w:t>
                  </w:r>
                </w:p>
              </w:tc>
              <w:tc>
                <w:tcPr>
                  <w:tcW w:w="496" w:type="dxa"/>
                  <w:noWrap w:val="0"/>
                  <w:vAlign w:val="center"/>
                </w:tcPr>
                <w:p w14:paraId="1FF0534F">
                  <w:pPr>
                    <w:ind w:left="-105" w:leftChars="-50" w:right="-105" w:rightChars="-50"/>
                    <w:jc w:val="center"/>
                    <w:rPr>
                      <w:rFonts w:hint="default" w:ascii="Times New Roman" w:hAnsi="Times New Roman" w:cs="Times New Roman"/>
                      <w:b/>
                      <w:color w:val="auto"/>
                      <w:szCs w:val="21"/>
                    </w:rPr>
                  </w:pPr>
                  <w:r>
                    <w:rPr>
                      <w:rFonts w:hint="default" w:ascii="Times New Roman" w:hAnsi="Times New Roman" w:cs="Times New Roman"/>
                      <w:b/>
                      <w:color w:val="auto"/>
                      <w:szCs w:val="21"/>
                    </w:rPr>
                    <w:t>投资</w:t>
                  </w:r>
                </w:p>
                <w:p w14:paraId="7A87BFA4">
                  <w:pPr>
                    <w:ind w:left="-105" w:leftChars="-50" w:right="-105" w:rightChars="-50"/>
                    <w:jc w:val="center"/>
                    <w:rPr>
                      <w:rFonts w:hint="default" w:ascii="Times New Roman" w:hAnsi="Times New Roman" w:cs="Times New Roman"/>
                      <w:b/>
                      <w:color w:val="auto"/>
                      <w:szCs w:val="21"/>
                    </w:rPr>
                  </w:pPr>
                  <w:r>
                    <w:rPr>
                      <w:rFonts w:hint="default" w:ascii="Times New Roman" w:hAnsi="Times New Roman" w:cs="Times New Roman"/>
                      <w:b/>
                      <w:color w:val="auto"/>
                      <w:szCs w:val="21"/>
                    </w:rPr>
                    <w:t>（万元）</w:t>
                  </w:r>
                </w:p>
              </w:tc>
              <w:tc>
                <w:tcPr>
                  <w:tcW w:w="1283" w:type="dxa"/>
                  <w:noWrap w:val="0"/>
                  <w:vAlign w:val="center"/>
                </w:tcPr>
                <w:p w14:paraId="543D0F92">
                  <w:pPr>
                    <w:autoSpaceDE w:val="0"/>
                    <w:autoSpaceDN w:val="0"/>
                    <w:snapToGrid w:val="0"/>
                    <w:jc w:val="center"/>
                    <w:rPr>
                      <w:rFonts w:hint="default" w:ascii="Times New Roman" w:hAnsi="Times New Roman" w:cs="Times New Roman"/>
                      <w:b/>
                      <w:color w:val="auto"/>
                      <w:szCs w:val="21"/>
                      <w:lang w:val="zh-CN"/>
                    </w:rPr>
                  </w:pPr>
                  <w:r>
                    <w:rPr>
                      <w:rFonts w:hint="default" w:ascii="Times New Roman" w:hAnsi="Times New Roman" w:cs="Times New Roman"/>
                      <w:b/>
                      <w:color w:val="auto"/>
                      <w:szCs w:val="21"/>
                      <w:lang w:val="zh-CN"/>
                    </w:rPr>
                    <w:t>进度</w:t>
                  </w:r>
                </w:p>
              </w:tc>
            </w:tr>
            <w:tr w14:paraId="29981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529" w:type="dxa"/>
                  <w:vMerge w:val="restart"/>
                  <w:noWrap w:val="0"/>
                  <w:vAlign w:val="center"/>
                </w:tcPr>
                <w:p w14:paraId="3B1D6AE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Cs w:val="18"/>
                      <w:lang w:val="zh-CN" w:eastAsia="zh-CN"/>
                    </w:rPr>
                  </w:pPr>
                  <w:r>
                    <w:rPr>
                      <w:rFonts w:hint="default" w:ascii="Times New Roman" w:hAnsi="Times New Roman" w:cs="Times New Roman"/>
                      <w:color w:val="auto"/>
                      <w:szCs w:val="21"/>
                      <w:lang w:val="zh-CN"/>
                    </w:rPr>
                    <w:t>废气治理</w:t>
                  </w:r>
                </w:p>
              </w:tc>
              <w:tc>
                <w:tcPr>
                  <w:tcW w:w="508" w:type="dxa"/>
                  <w:vMerge w:val="restart"/>
                  <w:shd w:val="clear" w:color="auto" w:fill="auto"/>
                  <w:noWrap w:val="0"/>
                  <w:vAlign w:val="center"/>
                </w:tcPr>
                <w:p w14:paraId="3D932B74">
                  <w:pPr>
                    <w:snapToGrid w:val="0"/>
                    <w:jc w:val="center"/>
                    <w:rPr>
                      <w:rFonts w:hint="default" w:ascii="Times New Roman" w:hAnsi="Times New Roman" w:eastAsia="宋体" w:cs="Times New Roman"/>
                      <w:color w:val="auto"/>
                      <w:kern w:val="1"/>
                      <w:sz w:val="21"/>
                      <w:szCs w:val="21"/>
                      <w:lang w:val="en-US" w:eastAsia="zh-CN" w:bidi="ar-SA"/>
                    </w:rPr>
                  </w:pPr>
                  <w:r>
                    <w:rPr>
                      <w:rFonts w:hint="default" w:ascii="Times New Roman" w:hAnsi="Times New Roman" w:cs="Times New Roman"/>
                      <w:color w:val="auto"/>
                      <w:kern w:val="1"/>
                      <w:sz w:val="21"/>
                      <w:szCs w:val="21"/>
                    </w:rPr>
                    <w:t>有组织</w:t>
                  </w:r>
                </w:p>
                <w:p w14:paraId="4244B379">
                  <w:pPr>
                    <w:snapToGrid w:val="0"/>
                    <w:jc w:val="center"/>
                    <w:rPr>
                      <w:rFonts w:hint="default" w:ascii="Times New Roman" w:hAnsi="Times New Roman" w:eastAsia="宋体" w:cs="Times New Roman"/>
                      <w:color w:val="auto"/>
                      <w:kern w:val="1"/>
                      <w:sz w:val="21"/>
                      <w:szCs w:val="21"/>
                      <w:lang w:val="en-US" w:eastAsia="zh-CN" w:bidi="ar-SA"/>
                    </w:rPr>
                  </w:pPr>
                </w:p>
              </w:tc>
              <w:tc>
                <w:tcPr>
                  <w:tcW w:w="1012" w:type="dxa"/>
                  <w:shd w:val="clear" w:color="auto" w:fill="auto"/>
                  <w:noWrap w:val="0"/>
                  <w:vAlign w:val="center"/>
                </w:tcPr>
                <w:p w14:paraId="21682896">
                  <w:pPr>
                    <w:snapToGrid w:val="0"/>
                    <w:jc w:val="center"/>
                    <w:rPr>
                      <w:rFonts w:hint="eastAsia" w:cs="Times New Roman"/>
                      <w:color w:val="auto"/>
                      <w:szCs w:val="21"/>
                      <w:lang w:val="en-US" w:eastAsia="zh-CN"/>
                    </w:rPr>
                  </w:pPr>
                  <w:r>
                    <w:rPr>
                      <w:rFonts w:hint="eastAsia" w:cs="Times New Roman"/>
                      <w:color w:val="auto"/>
                      <w:szCs w:val="21"/>
                      <w:lang w:val="en-US" w:eastAsia="zh-CN"/>
                    </w:rPr>
                    <w:t>抛丸</w:t>
                  </w:r>
                </w:p>
                <w:p w14:paraId="0F947E26">
                  <w:pPr>
                    <w:snapToGrid w:val="0"/>
                    <w:jc w:val="center"/>
                    <w:rPr>
                      <w:rFonts w:hint="eastAsia" w:ascii="Times New Roman" w:hAnsi="Times New Roman" w:eastAsia="宋体" w:cs="Times New Roman"/>
                      <w:color w:val="auto"/>
                      <w:kern w:val="1"/>
                      <w:sz w:val="21"/>
                      <w:szCs w:val="21"/>
                      <w:lang w:val="en-US" w:eastAsia="zh-CN" w:bidi="ar-SA"/>
                    </w:rPr>
                  </w:pPr>
                  <w:r>
                    <w:rPr>
                      <w:rFonts w:hint="eastAsia" w:cs="Times New Roman"/>
                      <w:color w:val="auto"/>
                      <w:szCs w:val="21"/>
                      <w:lang w:val="en-US" w:eastAsia="zh-CN"/>
                    </w:rPr>
                    <w:t>粉尘</w:t>
                  </w:r>
                </w:p>
              </w:tc>
              <w:tc>
                <w:tcPr>
                  <w:tcW w:w="959" w:type="dxa"/>
                  <w:shd w:val="clear" w:color="auto" w:fill="auto"/>
                  <w:noWrap w:val="0"/>
                  <w:vAlign w:val="center"/>
                </w:tcPr>
                <w:p w14:paraId="272B2060">
                  <w:pPr>
                    <w:snapToGrid w:val="0"/>
                    <w:jc w:val="center"/>
                    <w:rPr>
                      <w:rFonts w:hint="eastAsia" w:cs="Times New Roman"/>
                      <w:color w:val="auto"/>
                      <w:szCs w:val="21"/>
                      <w:lang w:val="en-US" w:eastAsia="zh-CN"/>
                    </w:rPr>
                  </w:pPr>
                  <w:r>
                    <w:rPr>
                      <w:rFonts w:hint="default" w:ascii="Times New Roman" w:hAnsi="Times New Roman" w:eastAsia="宋体" w:cs="Times New Roman"/>
                      <w:color w:val="auto"/>
                      <w:szCs w:val="21"/>
                    </w:rPr>
                    <w:t>DA001</w:t>
                  </w:r>
                </w:p>
              </w:tc>
              <w:tc>
                <w:tcPr>
                  <w:tcW w:w="976" w:type="dxa"/>
                  <w:shd w:val="clear" w:color="auto" w:fill="auto"/>
                  <w:noWrap w:val="0"/>
                  <w:vAlign w:val="center"/>
                </w:tcPr>
                <w:p w14:paraId="74397B6E">
                  <w:pPr>
                    <w:widowControl/>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i w:val="0"/>
                      <w:iCs w:val="0"/>
                      <w:color w:val="auto"/>
                      <w:kern w:val="0"/>
                      <w:sz w:val="21"/>
                      <w:szCs w:val="21"/>
                      <w:u w:val="none"/>
                      <w:lang w:val="en-US" w:eastAsia="zh-CN" w:bidi="ar"/>
                    </w:rPr>
                    <w:t>颗粒物</w:t>
                  </w:r>
                </w:p>
              </w:tc>
              <w:tc>
                <w:tcPr>
                  <w:tcW w:w="4140" w:type="dxa"/>
                  <w:shd w:val="clear" w:color="auto" w:fill="auto"/>
                  <w:noWrap w:val="0"/>
                  <w:vAlign w:val="center"/>
                </w:tcPr>
                <w:p w14:paraId="05E6DDF9">
                  <w:pPr>
                    <w:snapToGrid w:val="0"/>
                    <w:jc w:val="center"/>
                    <w:rPr>
                      <w:rFonts w:hint="eastAsia" w:cs="Times New Roman"/>
                      <w:color w:val="auto"/>
                      <w:szCs w:val="18"/>
                      <w:lang w:val="en-US" w:eastAsia="zh-CN"/>
                    </w:rPr>
                  </w:pPr>
                  <w:r>
                    <w:rPr>
                      <w:rFonts w:hint="default" w:ascii="Times New Roman" w:hAnsi="Times New Roman" w:cs="Times New Roman"/>
                      <w:i w:val="0"/>
                      <w:iCs w:val="0"/>
                      <w:color w:val="auto"/>
                      <w:kern w:val="0"/>
                      <w:sz w:val="21"/>
                      <w:szCs w:val="21"/>
                      <w:u w:val="none"/>
                      <w:lang w:val="en-US" w:eastAsia="zh-CN" w:bidi="ar"/>
                    </w:rPr>
                    <w:t>设备密闭+集气管道+自带布袋除尘器</w:t>
                  </w:r>
                </w:p>
              </w:tc>
              <w:tc>
                <w:tcPr>
                  <w:tcW w:w="2939" w:type="dxa"/>
                  <w:vMerge w:val="restart"/>
                  <w:shd w:val="clear" w:color="auto" w:fill="auto"/>
                  <w:noWrap w:val="0"/>
                  <w:vAlign w:val="center"/>
                </w:tcPr>
                <w:p w14:paraId="39A791BD">
                  <w:pPr>
                    <w:widowControl/>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color w:val="auto"/>
                      <w:kern w:val="0"/>
                      <w:sz w:val="21"/>
                      <w:szCs w:val="21"/>
                      <w:lang w:val="en-US" w:eastAsia="zh-CN" w:bidi="ar-SA"/>
                    </w:rPr>
                    <w:t>《大气污染物综合排放标准》（GB 1629-1996）表2</w:t>
                  </w:r>
                </w:p>
              </w:tc>
              <w:tc>
                <w:tcPr>
                  <w:tcW w:w="496" w:type="dxa"/>
                  <w:noWrap w:val="0"/>
                  <w:vAlign w:val="center"/>
                </w:tcPr>
                <w:p w14:paraId="5A067596">
                  <w:pPr>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30</w:t>
                  </w:r>
                </w:p>
              </w:tc>
              <w:tc>
                <w:tcPr>
                  <w:tcW w:w="1283" w:type="dxa"/>
                  <w:vMerge w:val="restart"/>
                  <w:noWrap w:val="0"/>
                  <w:vAlign w:val="center"/>
                </w:tcPr>
                <w:p w14:paraId="230D381C">
                  <w:pPr>
                    <w:snapToGrid w:val="0"/>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lang w:val="zh-CN"/>
                    </w:rPr>
                    <w:t>与建设项目同时设计、同时施工，同时投入运行</w:t>
                  </w:r>
                </w:p>
              </w:tc>
            </w:tr>
            <w:tr w14:paraId="101C9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9" w:type="dxa"/>
                  <w:vMerge w:val="continue"/>
                  <w:noWrap w:val="0"/>
                  <w:vAlign w:val="center"/>
                </w:tcPr>
                <w:p w14:paraId="39E34EE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lang w:val="zh-CN"/>
                    </w:rPr>
                  </w:pPr>
                </w:p>
              </w:tc>
              <w:tc>
                <w:tcPr>
                  <w:tcW w:w="508" w:type="dxa"/>
                  <w:vMerge w:val="continue"/>
                  <w:shd w:val="clear" w:color="auto" w:fill="auto"/>
                  <w:noWrap w:val="0"/>
                  <w:vAlign w:val="center"/>
                </w:tcPr>
                <w:p w14:paraId="748E7502">
                  <w:pPr>
                    <w:snapToGrid w:val="0"/>
                    <w:jc w:val="center"/>
                    <w:rPr>
                      <w:rFonts w:hint="eastAsia" w:cs="Times New Roman"/>
                      <w:color w:val="auto"/>
                      <w:szCs w:val="21"/>
                      <w:lang w:val="en-US" w:eastAsia="zh-CN"/>
                    </w:rPr>
                  </w:pPr>
                </w:p>
              </w:tc>
              <w:tc>
                <w:tcPr>
                  <w:tcW w:w="1012" w:type="dxa"/>
                  <w:shd w:val="clear" w:color="auto" w:fill="auto"/>
                  <w:noWrap w:val="0"/>
                  <w:vAlign w:val="center"/>
                </w:tcPr>
                <w:p w14:paraId="1B886E6C">
                  <w:pPr>
                    <w:snapToGrid w:val="0"/>
                    <w:jc w:val="center"/>
                    <w:rPr>
                      <w:rFonts w:hint="eastAsia" w:cs="Times New Roman"/>
                      <w:color w:val="auto"/>
                      <w:szCs w:val="21"/>
                      <w:lang w:val="en-US" w:eastAsia="zh-CN"/>
                    </w:rPr>
                  </w:pPr>
                  <w:r>
                    <w:rPr>
                      <w:rFonts w:hint="eastAsia" w:cs="Times New Roman"/>
                      <w:color w:val="auto"/>
                      <w:szCs w:val="21"/>
                      <w:lang w:val="en-US" w:eastAsia="zh-CN"/>
                    </w:rPr>
                    <w:t>锻造</w:t>
                  </w:r>
                </w:p>
                <w:p w14:paraId="1CC94818">
                  <w:pPr>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脱模</w:t>
                  </w:r>
                </w:p>
              </w:tc>
              <w:tc>
                <w:tcPr>
                  <w:tcW w:w="959" w:type="dxa"/>
                  <w:shd w:val="clear" w:color="auto" w:fill="auto"/>
                  <w:noWrap w:val="0"/>
                  <w:vAlign w:val="center"/>
                </w:tcPr>
                <w:p w14:paraId="75C91840">
                  <w:pPr>
                    <w:snapToGrid w:val="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DA00</w:t>
                  </w:r>
                  <w:r>
                    <w:rPr>
                      <w:rFonts w:hint="eastAsia" w:ascii="Times New Roman" w:hAnsi="Times New Roman" w:cs="Times New Roman"/>
                      <w:color w:val="auto"/>
                      <w:szCs w:val="21"/>
                      <w:lang w:val="en-US" w:eastAsia="zh-CN"/>
                    </w:rPr>
                    <w:t>2</w:t>
                  </w:r>
                </w:p>
              </w:tc>
              <w:tc>
                <w:tcPr>
                  <w:tcW w:w="976" w:type="dxa"/>
                  <w:shd w:val="clear" w:color="auto" w:fill="auto"/>
                  <w:noWrap w:val="0"/>
                  <w:vAlign w:val="center"/>
                </w:tcPr>
                <w:p w14:paraId="171DB3EE">
                  <w:pPr>
                    <w:widowControl/>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非甲烷总烃</w:t>
                  </w:r>
                </w:p>
              </w:tc>
              <w:tc>
                <w:tcPr>
                  <w:tcW w:w="4140" w:type="dxa"/>
                  <w:shd w:val="clear" w:color="auto" w:fill="auto"/>
                  <w:noWrap w:val="0"/>
                  <w:vAlign w:val="center"/>
                </w:tcPr>
                <w:p w14:paraId="3DCB739B">
                  <w:pPr>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集气罩</w:t>
                  </w:r>
                  <w:r>
                    <w:rPr>
                      <w:rFonts w:hint="eastAsia" w:cs="Times New Roman"/>
                      <w:color w:val="auto"/>
                      <w:szCs w:val="21"/>
                      <w:lang w:val="en-US" w:eastAsia="zh-CN"/>
                    </w:rPr>
                    <w:t>+</w:t>
                  </w:r>
                  <w:r>
                    <w:rPr>
                      <w:rFonts w:hint="default" w:ascii="Times New Roman" w:hAnsi="Times New Roman" w:cs="Times New Roman"/>
                      <w:color w:val="auto"/>
                      <w:szCs w:val="21"/>
                      <w:lang w:eastAsia="zh-CN"/>
                    </w:rPr>
                    <w:t>静电</w:t>
                  </w:r>
                  <w:r>
                    <w:rPr>
                      <w:rFonts w:hint="default" w:ascii="Times New Roman" w:hAnsi="Times New Roman" w:cs="Times New Roman"/>
                      <w:color w:val="auto"/>
                      <w:szCs w:val="21"/>
                      <w:lang w:val="en-US" w:eastAsia="zh-CN"/>
                    </w:rPr>
                    <w:t>式</w:t>
                  </w:r>
                  <w:r>
                    <w:rPr>
                      <w:rFonts w:hint="default" w:ascii="Times New Roman" w:hAnsi="Times New Roman" w:cs="Times New Roman"/>
                      <w:color w:val="auto"/>
                      <w:szCs w:val="21"/>
                      <w:lang w:eastAsia="zh-CN"/>
                    </w:rPr>
                    <w:t>油雾净化</w:t>
                  </w:r>
                  <w:r>
                    <w:rPr>
                      <w:rFonts w:hint="default" w:ascii="Times New Roman" w:hAnsi="Times New Roman" w:cs="Times New Roman"/>
                      <w:color w:val="auto"/>
                      <w:szCs w:val="21"/>
                      <w:lang w:val="en-US" w:eastAsia="zh-CN"/>
                    </w:rPr>
                    <w:t>器</w:t>
                  </w:r>
                  <w:r>
                    <w:rPr>
                      <w:rFonts w:hint="eastAsia" w:ascii="Times New Roman" w:hAnsi="Times New Roman" w:cs="Times New Roman"/>
                      <w:color w:val="auto"/>
                      <w:szCs w:val="21"/>
                      <w:lang w:val="en-US" w:eastAsia="zh-CN"/>
                    </w:rPr>
                    <w:t>+</w:t>
                  </w:r>
                  <w:r>
                    <w:rPr>
                      <w:rFonts w:hint="eastAsia" w:cs="Times New Roman"/>
                      <w:color w:val="auto"/>
                      <w:szCs w:val="21"/>
                      <w:lang w:val="en-US" w:eastAsia="zh-CN"/>
                    </w:rPr>
                    <w:t>两级活性炭吸附装置</w:t>
                  </w:r>
                </w:p>
              </w:tc>
              <w:tc>
                <w:tcPr>
                  <w:tcW w:w="2939" w:type="dxa"/>
                  <w:vMerge w:val="continue"/>
                  <w:shd w:val="clear" w:color="auto" w:fill="auto"/>
                  <w:noWrap w:val="0"/>
                  <w:vAlign w:val="center"/>
                </w:tcPr>
                <w:p w14:paraId="2DA0ED79">
                  <w:pPr>
                    <w:widowControl/>
                    <w:jc w:val="center"/>
                    <w:rPr>
                      <w:rFonts w:hint="eastAsia" w:ascii="Times New Roman" w:hAnsi="Times New Roman" w:eastAsia="宋体" w:cs="Times New Roman"/>
                      <w:color w:val="auto"/>
                      <w:kern w:val="0"/>
                      <w:sz w:val="21"/>
                      <w:szCs w:val="21"/>
                      <w:lang w:val="en-US" w:eastAsia="zh-CN" w:bidi="ar-SA"/>
                    </w:rPr>
                  </w:pPr>
                </w:p>
              </w:tc>
              <w:tc>
                <w:tcPr>
                  <w:tcW w:w="496" w:type="dxa"/>
                  <w:noWrap w:val="0"/>
                  <w:vAlign w:val="center"/>
                </w:tcPr>
                <w:p w14:paraId="3A3F8811">
                  <w:pPr>
                    <w:snapToGrid w:val="0"/>
                    <w:jc w:val="center"/>
                    <w:rPr>
                      <w:rFonts w:hint="default" w:cs="Times New Roman"/>
                      <w:color w:val="auto"/>
                      <w:szCs w:val="21"/>
                      <w:lang w:val="en-US" w:eastAsia="zh-CN"/>
                    </w:rPr>
                  </w:pPr>
                  <w:r>
                    <w:rPr>
                      <w:rFonts w:hint="eastAsia" w:cs="Times New Roman"/>
                      <w:color w:val="auto"/>
                      <w:szCs w:val="21"/>
                      <w:lang w:val="en-US" w:eastAsia="zh-CN"/>
                    </w:rPr>
                    <w:t>20</w:t>
                  </w:r>
                </w:p>
              </w:tc>
              <w:tc>
                <w:tcPr>
                  <w:tcW w:w="1283" w:type="dxa"/>
                  <w:vMerge w:val="continue"/>
                  <w:noWrap w:val="0"/>
                  <w:vAlign w:val="center"/>
                </w:tcPr>
                <w:p w14:paraId="0905733B">
                  <w:pPr>
                    <w:snapToGrid w:val="0"/>
                    <w:jc w:val="center"/>
                    <w:rPr>
                      <w:rFonts w:hint="default" w:ascii="Times New Roman" w:hAnsi="Times New Roman" w:cs="Times New Roman"/>
                      <w:color w:val="auto"/>
                      <w:szCs w:val="21"/>
                      <w:lang w:val="zh-CN"/>
                    </w:rPr>
                  </w:pPr>
                </w:p>
              </w:tc>
            </w:tr>
            <w:tr w14:paraId="55BAA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529" w:type="dxa"/>
                  <w:vMerge w:val="continue"/>
                  <w:noWrap w:val="0"/>
                  <w:vAlign w:val="center"/>
                </w:tcPr>
                <w:p w14:paraId="64E7431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Cs w:val="18"/>
                      <w:lang w:val="zh-CN" w:eastAsia="zh-CN"/>
                    </w:rPr>
                  </w:pPr>
                </w:p>
              </w:tc>
              <w:tc>
                <w:tcPr>
                  <w:tcW w:w="508" w:type="dxa"/>
                  <w:vMerge w:val="restart"/>
                  <w:shd w:val="clear" w:color="auto" w:fill="auto"/>
                  <w:noWrap w:val="0"/>
                  <w:vAlign w:val="center"/>
                </w:tcPr>
                <w:p w14:paraId="392E53E4">
                  <w:pPr>
                    <w:snapToGrid w:val="0"/>
                    <w:jc w:val="center"/>
                    <w:rPr>
                      <w:rFonts w:hint="default" w:ascii="Times New Roman" w:hAnsi="Times New Roman" w:eastAsia="宋体" w:cs="Times New Roman"/>
                      <w:color w:val="auto"/>
                      <w:kern w:val="1"/>
                      <w:sz w:val="21"/>
                      <w:szCs w:val="21"/>
                      <w:lang w:val="en-US" w:eastAsia="zh-CN" w:bidi="ar-SA"/>
                    </w:rPr>
                  </w:pPr>
                  <w:r>
                    <w:rPr>
                      <w:rFonts w:hint="default" w:ascii="Times New Roman" w:hAnsi="Times New Roman" w:cs="Times New Roman"/>
                      <w:color w:val="auto"/>
                      <w:kern w:val="1"/>
                      <w:sz w:val="21"/>
                      <w:szCs w:val="21"/>
                    </w:rPr>
                    <w:t>无组织</w:t>
                  </w:r>
                </w:p>
                <w:p w14:paraId="3CC7E08C">
                  <w:pPr>
                    <w:snapToGrid w:val="0"/>
                    <w:jc w:val="center"/>
                    <w:rPr>
                      <w:rFonts w:hint="default" w:ascii="Times New Roman" w:hAnsi="Times New Roman" w:eastAsia="宋体" w:cs="Times New Roman"/>
                      <w:color w:val="auto"/>
                      <w:kern w:val="2"/>
                      <w:sz w:val="21"/>
                      <w:szCs w:val="21"/>
                      <w:lang w:val="en-US" w:eastAsia="zh-CN" w:bidi="ar-SA"/>
                    </w:rPr>
                  </w:pPr>
                </w:p>
              </w:tc>
              <w:tc>
                <w:tcPr>
                  <w:tcW w:w="1971" w:type="dxa"/>
                  <w:gridSpan w:val="2"/>
                  <w:shd w:val="clear" w:color="auto" w:fill="auto"/>
                  <w:noWrap w:val="0"/>
                  <w:vAlign w:val="center"/>
                </w:tcPr>
                <w:p w14:paraId="6681B447">
                  <w:pPr>
                    <w:snapToGrid w:val="0"/>
                    <w:jc w:val="center"/>
                    <w:rPr>
                      <w:rFonts w:hint="eastAsia" w:cs="Times New Roman"/>
                      <w:color w:val="auto"/>
                      <w:sz w:val="21"/>
                      <w:szCs w:val="21"/>
                      <w:lang w:eastAsia="zh-CN"/>
                    </w:rPr>
                  </w:pPr>
                  <w:r>
                    <w:rPr>
                      <w:rFonts w:hint="eastAsia" w:cs="Times New Roman"/>
                      <w:color w:val="auto"/>
                      <w:szCs w:val="21"/>
                      <w:lang w:val="en-US" w:eastAsia="zh-CN"/>
                    </w:rPr>
                    <w:t>淬火</w:t>
                  </w:r>
                </w:p>
              </w:tc>
              <w:tc>
                <w:tcPr>
                  <w:tcW w:w="976" w:type="dxa"/>
                  <w:shd w:val="clear" w:color="auto" w:fill="auto"/>
                  <w:noWrap w:val="0"/>
                  <w:vAlign w:val="center"/>
                </w:tcPr>
                <w:p w14:paraId="6D60BE23">
                  <w:pPr>
                    <w:widowControl/>
                    <w:jc w:val="center"/>
                    <w:rPr>
                      <w:color w:val="auto"/>
                      <w:szCs w:val="21"/>
                    </w:rPr>
                  </w:pPr>
                  <w:r>
                    <w:rPr>
                      <w:rFonts w:hint="eastAsia" w:cs="Times New Roman"/>
                      <w:i w:val="0"/>
                      <w:iCs w:val="0"/>
                      <w:color w:val="auto"/>
                      <w:kern w:val="0"/>
                      <w:sz w:val="21"/>
                      <w:szCs w:val="21"/>
                      <w:u w:val="none"/>
                      <w:lang w:val="en-US" w:eastAsia="zh-CN" w:bidi="ar"/>
                    </w:rPr>
                    <w:t>非甲烷总烃</w:t>
                  </w:r>
                </w:p>
              </w:tc>
              <w:tc>
                <w:tcPr>
                  <w:tcW w:w="4140" w:type="dxa"/>
                  <w:shd w:val="clear" w:color="auto" w:fill="auto"/>
                  <w:noWrap w:val="0"/>
                  <w:vAlign w:val="center"/>
                </w:tcPr>
                <w:p w14:paraId="6A333438">
                  <w:pPr>
                    <w:snapToGrid w:val="0"/>
                    <w:jc w:val="center"/>
                    <w:rPr>
                      <w:rFonts w:hint="default" w:ascii="Times New Roman" w:hAnsi="Times New Roman" w:cs="Times New Roman"/>
                      <w:bCs/>
                      <w:color w:val="auto"/>
                      <w:szCs w:val="18"/>
                      <w:lang w:val="en-US"/>
                    </w:rPr>
                  </w:pPr>
                  <w:r>
                    <w:rPr>
                      <w:rFonts w:hint="default" w:ascii="Times New Roman" w:hAnsi="Times New Roman" w:cs="Times New Roman"/>
                      <w:i w:val="0"/>
                      <w:iCs w:val="0"/>
                      <w:color w:val="auto"/>
                      <w:kern w:val="0"/>
                      <w:sz w:val="21"/>
                      <w:szCs w:val="21"/>
                      <w:u w:val="none"/>
                      <w:lang w:val="en-US" w:eastAsia="zh-CN" w:bidi="ar"/>
                    </w:rPr>
                    <w:t>设备密闭+集气管道</w:t>
                  </w:r>
                  <w:r>
                    <w:rPr>
                      <w:rFonts w:hint="eastAsia" w:ascii="Times New Roman" w:hAnsi="Times New Roman" w:cs="Times New Roman"/>
                      <w:i w:val="0"/>
                      <w:iCs w:val="0"/>
                      <w:color w:val="auto"/>
                      <w:kern w:val="0"/>
                      <w:sz w:val="21"/>
                      <w:szCs w:val="21"/>
                      <w:u w:val="none"/>
                      <w:lang w:val="en-US" w:eastAsia="zh-CN" w:bidi="ar"/>
                    </w:rPr>
                    <w:t>收集后无组织排放</w:t>
                  </w:r>
                </w:p>
              </w:tc>
              <w:tc>
                <w:tcPr>
                  <w:tcW w:w="2939" w:type="dxa"/>
                  <w:vMerge w:val="restart"/>
                  <w:shd w:val="clear" w:color="auto" w:fill="auto"/>
                  <w:noWrap w:val="0"/>
                  <w:vAlign w:val="center"/>
                </w:tcPr>
                <w:p w14:paraId="570F9945">
                  <w:pPr>
                    <w:widowControl/>
                    <w:jc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kern w:val="0"/>
                      <w:szCs w:val="21"/>
                    </w:rPr>
                    <w:t>《大气污染物综合排放标准》（</w:t>
                  </w:r>
                  <w:r>
                    <w:rPr>
                      <w:rFonts w:hint="default" w:ascii="Times New Roman" w:hAnsi="Times New Roman" w:cs="Times New Roman" w:eastAsiaTheme="minorEastAsia"/>
                      <w:color w:val="auto"/>
                      <w:kern w:val="0"/>
                      <w:szCs w:val="21"/>
                      <w:lang w:val="en-US" w:eastAsia="zh-CN"/>
                    </w:rPr>
                    <w:t>GB16297</w:t>
                  </w:r>
                  <w:r>
                    <w:rPr>
                      <w:rFonts w:hint="default" w:ascii="Times New Roman" w:hAnsi="Times New Roman" w:cs="Times New Roman" w:eastAsiaTheme="minorEastAsia"/>
                      <w:color w:val="auto"/>
                      <w:kern w:val="0"/>
                      <w:szCs w:val="21"/>
                    </w:rPr>
                    <w:t>-1996）</w:t>
                  </w:r>
                  <w:r>
                    <w:rPr>
                      <w:rFonts w:hint="default" w:ascii="Times New Roman" w:hAnsi="Times New Roman" w:cs="Times New Roman" w:eastAsiaTheme="minorEastAsia"/>
                      <w:color w:val="auto"/>
                      <w:kern w:val="0"/>
                      <w:szCs w:val="21"/>
                      <w:lang w:eastAsia="zh-CN"/>
                    </w:rPr>
                    <w:t>表</w:t>
                  </w:r>
                  <w:r>
                    <w:rPr>
                      <w:rFonts w:hint="default" w:ascii="Times New Roman" w:hAnsi="Times New Roman" w:cs="Times New Roman" w:eastAsiaTheme="minorEastAsia"/>
                      <w:color w:val="auto"/>
                      <w:kern w:val="0"/>
                      <w:szCs w:val="21"/>
                      <w:lang w:val="en-US" w:eastAsia="zh-CN"/>
                    </w:rPr>
                    <w:t>2</w:t>
                  </w:r>
                </w:p>
              </w:tc>
              <w:tc>
                <w:tcPr>
                  <w:tcW w:w="496" w:type="dxa"/>
                  <w:noWrap w:val="0"/>
                  <w:vAlign w:val="center"/>
                </w:tcPr>
                <w:p w14:paraId="01965F3E">
                  <w:pPr>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1</w:t>
                  </w:r>
                </w:p>
              </w:tc>
              <w:tc>
                <w:tcPr>
                  <w:tcW w:w="1283" w:type="dxa"/>
                  <w:vMerge w:val="continue"/>
                  <w:noWrap w:val="0"/>
                  <w:vAlign w:val="center"/>
                </w:tcPr>
                <w:p w14:paraId="1AD2A9EC">
                  <w:pPr>
                    <w:snapToGrid w:val="0"/>
                    <w:jc w:val="center"/>
                    <w:rPr>
                      <w:rFonts w:hint="default" w:ascii="Times New Roman" w:hAnsi="Times New Roman" w:cs="Times New Roman"/>
                      <w:color w:val="auto"/>
                      <w:szCs w:val="21"/>
                      <w:lang w:val="zh-CN"/>
                    </w:rPr>
                  </w:pPr>
                </w:p>
              </w:tc>
            </w:tr>
            <w:tr w14:paraId="37F2E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529" w:type="dxa"/>
                  <w:vMerge w:val="continue"/>
                  <w:noWrap w:val="0"/>
                  <w:vAlign w:val="center"/>
                </w:tcPr>
                <w:p w14:paraId="108AD7F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Cs w:val="18"/>
                      <w:lang w:val="zh-CN" w:eastAsia="zh-CN"/>
                    </w:rPr>
                  </w:pPr>
                </w:p>
              </w:tc>
              <w:tc>
                <w:tcPr>
                  <w:tcW w:w="508" w:type="dxa"/>
                  <w:vMerge w:val="continue"/>
                  <w:shd w:val="clear" w:color="auto" w:fill="auto"/>
                  <w:noWrap w:val="0"/>
                  <w:vAlign w:val="center"/>
                </w:tcPr>
                <w:p w14:paraId="5668A882">
                  <w:pPr>
                    <w:snapToGrid w:val="0"/>
                    <w:jc w:val="center"/>
                    <w:rPr>
                      <w:rFonts w:hint="default" w:ascii="Times New Roman" w:hAnsi="Times New Roman" w:eastAsia="宋体" w:cs="Times New Roman"/>
                      <w:color w:val="auto"/>
                      <w:kern w:val="2"/>
                      <w:sz w:val="21"/>
                      <w:szCs w:val="21"/>
                      <w:lang w:val="en-US" w:eastAsia="zh-CN" w:bidi="ar-SA"/>
                    </w:rPr>
                  </w:pPr>
                </w:p>
              </w:tc>
              <w:tc>
                <w:tcPr>
                  <w:tcW w:w="1971" w:type="dxa"/>
                  <w:gridSpan w:val="2"/>
                  <w:shd w:val="clear" w:color="auto" w:fill="auto"/>
                  <w:noWrap w:val="0"/>
                  <w:vAlign w:val="center"/>
                </w:tcPr>
                <w:p w14:paraId="710548DC">
                  <w:pPr>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eastAsia="zh-CN"/>
                    </w:rPr>
                    <w:t>厂界</w:t>
                  </w:r>
                </w:p>
              </w:tc>
              <w:tc>
                <w:tcPr>
                  <w:tcW w:w="976" w:type="dxa"/>
                  <w:shd w:val="clear" w:color="auto" w:fill="auto"/>
                  <w:noWrap w:val="0"/>
                  <w:vAlign w:val="center"/>
                </w:tcPr>
                <w:p w14:paraId="0730C9C7">
                  <w:pPr>
                    <w:widowControl/>
                    <w:jc w:val="center"/>
                    <w:rPr>
                      <w:rFonts w:hint="default" w:ascii="Times New Roman" w:hAnsi="Times New Roman" w:eastAsia="宋体" w:cs="Times New Roman"/>
                      <w:color w:val="auto"/>
                      <w:kern w:val="2"/>
                      <w:sz w:val="21"/>
                      <w:szCs w:val="21"/>
                      <w:lang w:val="en-US" w:eastAsia="zh-CN" w:bidi="ar-SA"/>
                    </w:rPr>
                  </w:pPr>
                  <w:r>
                    <w:rPr>
                      <w:color w:val="auto"/>
                      <w:szCs w:val="21"/>
                    </w:rPr>
                    <w:t>颗粒物</w:t>
                  </w:r>
                  <w:r>
                    <w:rPr>
                      <w:rFonts w:hint="eastAsia"/>
                      <w:color w:val="auto"/>
                      <w:szCs w:val="21"/>
                      <w:lang w:eastAsia="zh-CN"/>
                    </w:rPr>
                    <w:t>、</w:t>
                  </w:r>
                  <w:r>
                    <w:rPr>
                      <w:rFonts w:hint="eastAsia"/>
                      <w:color w:val="auto"/>
                      <w:szCs w:val="21"/>
                      <w:lang w:val="en-US" w:eastAsia="zh-CN"/>
                    </w:rPr>
                    <w:t>非甲烷总烃</w:t>
                  </w:r>
                </w:p>
              </w:tc>
              <w:tc>
                <w:tcPr>
                  <w:tcW w:w="4140" w:type="dxa"/>
                  <w:vMerge w:val="restart"/>
                  <w:shd w:val="clear" w:color="auto" w:fill="auto"/>
                  <w:noWrap w:val="0"/>
                  <w:vAlign w:val="center"/>
                </w:tcPr>
                <w:p w14:paraId="52545C5D">
                  <w:pPr>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bCs/>
                      <w:color w:val="auto"/>
                      <w:szCs w:val="18"/>
                    </w:rPr>
                    <w:t>提高废气收集效率，减少无组织排放，强化车间通风</w:t>
                  </w:r>
                </w:p>
              </w:tc>
              <w:tc>
                <w:tcPr>
                  <w:tcW w:w="2939" w:type="dxa"/>
                  <w:vMerge w:val="continue"/>
                  <w:shd w:val="clear" w:color="auto" w:fill="auto"/>
                  <w:noWrap w:val="0"/>
                  <w:vAlign w:val="center"/>
                </w:tcPr>
                <w:p w14:paraId="2A62496F">
                  <w:pPr>
                    <w:widowControl/>
                    <w:jc w:val="center"/>
                    <w:rPr>
                      <w:rFonts w:hint="default" w:ascii="Times New Roman" w:hAnsi="Times New Roman" w:cs="Times New Roman" w:eastAsiaTheme="minorEastAsia"/>
                      <w:color w:val="auto"/>
                      <w:kern w:val="0"/>
                      <w:sz w:val="21"/>
                      <w:szCs w:val="21"/>
                      <w:lang w:val="en-US" w:eastAsia="zh-CN" w:bidi="ar-SA"/>
                    </w:rPr>
                  </w:pPr>
                </w:p>
              </w:tc>
              <w:tc>
                <w:tcPr>
                  <w:tcW w:w="496" w:type="dxa"/>
                  <w:vMerge w:val="restart"/>
                  <w:noWrap w:val="0"/>
                  <w:vAlign w:val="center"/>
                </w:tcPr>
                <w:p w14:paraId="0E6F2892">
                  <w:pPr>
                    <w:snapToGrid w:val="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0</w:t>
                  </w:r>
                </w:p>
              </w:tc>
              <w:tc>
                <w:tcPr>
                  <w:tcW w:w="1283" w:type="dxa"/>
                  <w:vMerge w:val="continue"/>
                  <w:noWrap w:val="0"/>
                  <w:vAlign w:val="center"/>
                </w:tcPr>
                <w:p w14:paraId="7E40C950">
                  <w:pPr>
                    <w:snapToGrid w:val="0"/>
                    <w:jc w:val="center"/>
                    <w:rPr>
                      <w:rFonts w:hint="default" w:ascii="Times New Roman" w:hAnsi="Times New Roman" w:cs="Times New Roman"/>
                      <w:color w:val="auto"/>
                      <w:szCs w:val="21"/>
                      <w:lang w:val="zh-CN"/>
                    </w:rPr>
                  </w:pPr>
                </w:p>
              </w:tc>
            </w:tr>
            <w:tr w14:paraId="463C2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529" w:type="dxa"/>
                  <w:vMerge w:val="continue"/>
                  <w:noWrap w:val="0"/>
                  <w:vAlign w:val="center"/>
                </w:tcPr>
                <w:p w14:paraId="41518A38">
                  <w:pPr>
                    <w:snapToGrid w:val="0"/>
                    <w:jc w:val="center"/>
                    <w:rPr>
                      <w:color w:val="auto"/>
                    </w:rPr>
                  </w:pPr>
                </w:p>
              </w:tc>
              <w:tc>
                <w:tcPr>
                  <w:tcW w:w="508" w:type="dxa"/>
                  <w:vMerge w:val="continue"/>
                  <w:shd w:val="clear" w:color="auto" w:fill="auto"/>
                  <w:noWrap w:val="0"/>
                  <w:vAlign w:val="center"/>
                </w:tcPr>
                <w:p w14:paraId="3D2224CB">
                  <w:pPr>
                    <w:snapToGrid w:val="0"/>
                    <w:jc w:val="center"/>
                    <w:rPr>
                      <w:color w:val="auto"/>
                    </w:rPr>
                  </w:pPr>
                </w:p>
              </w:tc>
              <w:tc>
                <w:tcPr>
                  <w:tcW w:w="1971" w:type="dxa"/>
                  <w:gridSpan w:val="2"/>
                  <w:shd w:val="clear" w:color="auto" w:fill="auto"/>
                  <w:noWrap w:val="0"/>
                  <w:vAlign w:val="center"/>
                </w:tcPr>
                <w:p w14:paraId="5A4CF06A">
                  <w:pPr>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eastAsia="zh-CN"/>
                    </w:rPr>
                    <w:t>厂区内</w:t>
                  </w:r>
                </w:p>
              </w:tc>
              <w:tc>
                <w:tcPr>
                  <w:tcW w:w="976" w:type="dxa"/>
                  <w:shd w:val="clear" w:color="auto" w:fill="auto"/>
                  <w:noWrap w:val="0"/>
                  <w:vAlign w:val="center"/>
                </w:tcPr>
                <w:p w14:paraId="1635C65D">
                  <w:pPr>
                    <w:widowControl/>
                    <w:jc w:val="center"/>
                    <w:rPr>
                      <w:rFonts w:hint="default" w:ascii="Times New Roman" w:hAnsi="Times New Roman" w:cs="Times New Roman"/>
                      <w:color w:val="auto"/>
                      <w:sz w:val="21"/>
                      <w:szCs w:val="21"/>
                      <w:lang w:eastAsia="zh-CN"/>
                    </w:rPr>
                  </w:pPr>
                  <w:r>
                    <w:rPr>
                      <w:rFonts w:hint="default" w:ascii="Times New Roman" w:hAnsi="Times New Roman" w:cs="Times New Roman"/>
                      <w:i w:val="0"/>
                      <w:iCs w:val="0"/>
                      <w:color w:val="auto"/>
                      <w:kern w:val="0"/>
                      <w:sz w:val="21"/>
                      <w:szCs w:val="21"/>
                      <w:u w:val="none"/>
                      <w:lang w:val="en-US" w:eastAsia="zh-CN" w:bidi="ar"/>
                    </w:rPr>
                    <w:t>非甲烷总烃</w:t>
                  </w:r>
                </w:p>
              </w:tc>
              <w:tc>
                <w:tcPr>
                  <w:tcW w:w="4140" w:type="dxa"/>
                  <w:vMerge w:val="continue"/>
                  <w:shd w:val="clear" w:color="auto" w:fill="auto"/>
                  <w:noWrap w:val="0"/>
                  <w:vAlign w:val="center"/>
                </w:tcPr>
                <w:p w14:paraId="367A6991">
                  <w:pPr>
                    <w:snapToGrid w:val="0"/>
                    <w:jc w:val="center"/>
                    <w:rPr>
                      <w:rFonts w:hint="default" w:ascii="Times New Roman" w:hAnsi="Times New Roman" w:cs="Times New Roman"/>
                      <w:color w:val="auto"/>
                      <w:sz w:val="21"/>
                      <w:szCs w:val="21"/>
                      <w:lang w:eastAsia="zh-CN"/>
                    </w:rPr>
                  </w:pPr>
                </w:p>
              </w:tc>
              <w:tc>
                <w:tcPr>
                  <w:tcW w:w="2939" w:type="dxa"/>
                  <w:shd w:val="clear" w:color="auto" w:fill="auto"/>
                  <w:noWrap w:val="0"/>
                  <w:vAlign w:val="center"/>
                </w:tcPr>
                <w:p w14:paraId="25DF3DB9">
                  <w:pPr>
                    <w:widowControl/>
                    <w:jc w:val="center"/>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w:t>
                  </w:r>
                  <w:r>
                    <w:rPr>
                      <w:rFonts w:hint="default" w:ascii="Times New Roman" w:hAnsi="Times New Roman" w:cs="Times New Roman"/>
                      <w:color w:val="auto"/>
                      <w:sz w:val="21"/>
                      <w:szCs w:val="21"/>
                      <w:lang w:val="en-US" w:eastAsia="zh-CN"/>
                    </w:rPr>
                    <w:t>固定源挥发性有机物综合排放标准</w:t>
                  </w:r>
                  <w:r>
                    <w:rPr>
                      <w:rFonts w:hint="default" w:ascii="Times New Roman" w:hAnsi="Times New Roman" w:eastAsia="宋体" w:cs="Times New Roman"/>
                      <w:color w:val="auto"/>
                      <w:sz w:val="21"/>
                      <w:szCs w:val="21"/>
                      <w:lang w:val="en-US" w:eastAsia="zh-CN"/>
                    </w:rPr>
                    <w:t>第6部分：其他行业》（DB34/4812.6-2024）表4</w:t>
                  </w:r>
                </w:p>
              </w:tc>
              <w:tc>
                <w:tcPr>
                  <w:tcW w:w="496" w:type="dxa"/>
                  <w:vMerge w:val="continue"/>
                  <w:noWrap w:val="0"/>
                  <w:vAlign w:val="center"/>
                </w:tcPr>
                <w:p w14:paraId="0DC3BE84">
                  <w:pPr>
                    <w:snapToGrid w:val="0"/>
                    <w:jc w:val="center"/>
                    <w:rPr>
                      <w:rFonts w:hint="default" w:ascii="Times New Roman" w:hAnsi="Times New Roman" w:cs="Times New Roman"/>
                      <w:color w:val="auto"/>
                      <w:sz w:val="21"/>
                      <w:szCs w:val="21"/>
                      <w:lang w:eastAsia="zh-CN"/>
                    </w:rPr>
                  </w:pPr>
                </w:p>
              </w:tc>
              <w:tc>
                <w:tcPr>
                  <w:tcW w:w="1283" w:type="dxa"/>
                  <w:vMerge w:val="continue"/>
                  <w:noWrap w:val="0"/>
                  <w:vAlign w:val="center"/>
                </w:tcPr>
                <w:p w14:paraId="083AB399">
                  <w:pPr>
                    <w:snapToGrid w:val="0"/>
                    <w:jc w:val="center"/>
                    <w:rPr>
                      <w:rFonts w:hint="default" w:ascii="Times New Roman" w:hAnsi="Times New Roman" w:cs="Times New Roman"/>
                      <w:color w:val="auto"/>
                      <w:sz w:val="21"/>
                      <w:szCs w:val="21"/>
                      <w:lang w:eastAsia="zh-CN"/>
                    </w:rPr>
                  </w:pPr>
                </w:p>
              </w:tc>
            </w:tr>
            <w:tr w14:paraId="450FA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529" w:type="dxa"/>
                  <w:vMerge w:val="restart"/>
                  <w:noWrap w:val="0"/>
                  <w:vAlign w:val="center"/>
                </w:tcPr>
                <w:p w14:paraId="46985E60">
                  <w:pPr>
                    <w:autoSpaceDE w:val="0"/>
                    <w:autoSpaceDN w:val="0"/>
                    <w:snapToGrid w:val="0"/>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lang w:val="zh-CN"/>
                    </w:rPr>
                    <w:t>废水治理</w:t>
                  </w:r>
                </w:p>
              </w:tc>
              <w:tc>
                <w:tcPr>
                  <w:tcW w:w="3455" w:type="dxa"/>
                  <w:gridSpan w:val="4"/>
                  <w:noWrap w:val="0"/>
                  <w:vAlign w:val="center"/>
                </w:tcPr>
                <w:p w14:paraId="0023D338">
                  <w:pPr>
                    <w:autoSpaceDE w:val="0"/>
                    <w:autoSpaceDN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生活污水</w:t>
                  </w:r>
                </w:p>
              </w:tc>
              <w:tc>
                <w:tcPr>
                  <w:tcW w:w="4140" w:type="dxa"/>
                  <w:shd w:val="clear" w:color="auto" w:fill="auto"/>
                  <w:noWrap w:val="0"/>
                  <w:vAlign w:val="center"/>
                </w:tcPr>
                <w:p w14:paraId="4F40EDEB">
                  <w:pPr>
                    <w:jc w:val="center"/>
                    <w:outlineLvl w:val="0"/>
                    <w:rPr>
                      <w:rFonts w:hint="default" w:ascii="Times New Roman" w:hAnsi="Times New Roman" w:eastAsia="宋体" w:cs="Times New Roman"/>
                      <w:color w:val="auto"/>
                      <w:kern w:val="2"/>
                      <w:sz w:val="21"/>
                      <w:szCs w:val="21"/>
                      <w:lang w:val="zh-CN" w:eastAsia="zh-CN" w:bidi="ar-SA"/>
                    </w:rPr>
                  </w:pPr>
                  <w:r>
                    <w:rPr>
                      <w:rFonts w:hint="default" w:ascii="Times New Roman" w:hAnsi="Times New Roman" w:cs="Times New Roman"/>
                      <w:color w:val="auto"/>
                      <w:sz w:val="21"/>
                      <w:szCs w:val="21"/>
                    </w:rPr>
                    <w:t>化粪池</w:t>
                  </w:r>
                </w:p>
              </w:tc>
              <w:tc>
                <w:tcPr>
                  <w:tcW w:w="2939" w:type="dxa"/>
                  <w:vMerge w:val="restart"/>
                  <w:tcBorders>
                    <w:top w:val="single" w:color="auto" w:sz="4" w:space="0"/>
                    <w:right w:val="single" w:color="auto" w:sz="4" w:space="0"/>
                  </w:tcBorders>
                  <w:noWrap w:val="0"/>
                  <w:vAlign w:val="center"/>
                </w:tcPr>
                <w:p w14:paraId="10506BC6">
                  <w:pPr>
                    <w:jc w:val="center"/>
                    <w:outlineLvl w:val="0"/>
                    <w:rPr>
                      <w:rFonts w:hint="default" w:ascii="Times New Roman" w:hAnsi="Times New Roman" w:cs="Times New Roman"/>
                      <w:color w:val="auto"/>
                      <w:szCs w:val="21"/>
                    </w:rPr>
                  </w:pPr>
                  <w:r>
                    <w:rPr>
                      <w:rFonts w:hint="default" w:ascii="Times New Roman" w:hAnsi="Times New Roman" w:eastAsia="宋体" w:cs="Times New Roman"/>
                      <w:color w:val="auto"/>
                      <w:sz w:val="21"/>
                      <w:szCs w:val="21"/>
                      <w:lang w:bidi="ar"/>
                    </w:rPr>
                    <w:t>《污水综合排放标准》（GB8978-1996）表4中三级标准及</w:t>
                  </w:r>
                  <w:r>
                    <w:rPr>
                      <w:rFonts w:hint="eastAsia" w:cs="Times New Roman"/>
                      <w:color w:val="auto"/>
                      <w:sz w:val="21"/>
                      <w:szCs w:val="21"/>
                      <w:lang w:eastAsia="zh-CN" w:bidi="ar"/>
                    </w:rPr>
                    <w:t>芜湖县新芜开发区城东污水处理厂</w:t>
                  </w:r>
                  <w:r>
                    <w:rPr>
                      <w:rFonts w:hint="default" w:ascii="Times New Roman" w:hAnsi="Times New Roman" w:eastAsia="宋体" w:cs="Times New Roman"/>
                      <w:color w:val="auto"/>
                      <w:sz w:val="21"/>
                      <w:szCs w:val="21"/>
                    </w:rPr>
                    <w:t>接管</w:t>
                  </w:r>
                  <w:r>
                    <w:rPr>
                      <w:rFonts w:hint="default" w:ascii="Times New Roman" w:hAnsi="Times New Roman" w:eastAsia="宋体" w:cs="Times New Roman"/>
                      <w:color w:val="auto"/>
                      <w:sz w:val="21"/>
                      <w:szCs w:val="21"/>
                      <w:lang w:bidi="ar"/>
                    </w:rPr>
                    <w:t>要求</w:t>
                  </w:r>
                </w:p>
              </w:tc>
              <w:tc>
                <w:tcPr>
                  <w:tcW w:w="496" w:type="dxa"/>
                  <w:vMerge w:val="restart"/>
                  <w:tcBorders>
                    <w:left w:val="single" w:color="auto" w:sz="4" w:space="0"/>
                  </w:tcBorders>
                  <w:noWrap w:val="0"/>
                  <w:vAlign w:val="center"/>
                </w:tcPr>
                <w:p w14:paraId="2A89B2AA">
                  <w:pPr>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10</w:t>
                  </w:r>
                </w:p>
              </w:tc>
              <w:tc>
                <w:tcPr>
                  <w:tcW w:w="1283" w:type="dxa"/>
                  <w:vMerge w:val="continue"/>
                  <w:noWrap w:val="0"/>
                  <w:vAlign w:val="center"/>
                </w:tcPr>
                <w:p w14:paraId="19F4A0CF">
                  <w:pPr>
                    <w:snapToGrid w:val="0"/>
                    <w:jc w:val="center"/>
                    <w:rPr>
                      <w:rFonts w:hint="default" w:ascii="Times New Roman" w:hAnsi="Times New Roman" w:cs="Times New Roman"/>
                      <w:color w:val="auto"/>
                      <w:szCs w:val="21"/>
                    </w:rPr>
                  </w:pPr>
                </w:p>
              </w:tc>
            </w:tr>
            <w:tr w14:paraId="00027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529" w:type="dxa"/>
                  <w:vMerge w:val="continue"/>
                  <w:noWrap w:val="0"/>
                  <w:vAlign w:val="center"/>
                </w:tcPr>
                <w:p w14:paraId="26DEB0EB">
                  <w:pPr>
                    <w:autoSpaceDE w:val="0"/>
                    <w:autoSpaceDN w:val="0"/>
                    <w:snapToGrid w:val="0"/>
                    <w:jc w:val="center"/>
                    <w:rPr>
                      <w:rFonts w:hint="default" w:ascii="Times New Roman" w:hAnsi="Times New Roman" w:cs="Times New Roman"/>
                      <w:color w:val="auto"/>
                      <w:szCs w:val="21"/>
                      <w:lang w:val="zh-CN"/>
                    </w:rPr>
                  </w:pPr>
                </w:p>
              </w:tc>
              <w:tc>
                <w:tcPr>
                  <w:tcW w:w="3455" w:type="dxa"/>
                  <w:gridSpan w:val="4"/>
                  <w:shd w:val="clear" w:color="auto" w:fill="auto"/>
                  <w:noWrap w:val="0"/>
                  <w:vAlign w:val="center"/>
                </w:tcPr>
                <w:p w14:paraId="471A890A">
                  <w:pPr>
                    <w:keepNext w:val="0"/>
                    <w:keepLines w:val="0"/>
                    <w:pageBreakBefore w:val="0"/>
                    <w:kinsoku/>
                    <w:wordWrap/>
                    <w:overflowPunct/>
                    <w:topLinePunct w:val="0"/>
                    <w:autoSpaceDE w:val="0"/>
                    <w:autoSpaceDN w:val="0"/>
                    <w:bidi w:val="0"/>
                    <w:adjustRightInd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淬火冷却废水</w:t>
                  </w:r>
                </w:p>
              </w:tc>
              <w:tc>
                <w:tcPr>
                  <w:tcW w:w="4140" w:type="dxa"/>
                  <w:shd w:val="clear" w:color="auto" w:fill="auto"/>
                  <w:noWrap w:val="0"/>
                  <w:vAlign w:val="center"/>
                </w:tcPr>
                <w:p w14:paraId="22FC1017">
                  <w:pPr>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bCs/>
                      <w:color w:val="auto"/>
                      <w:sz w:val="21"/>
                      <w:szCs w:val="21"/>
                      <w:lang w:val="en-US" w:eastAsia="zh-CN"/>
                    </w:rPr>
                    <w:t>设备自带一个淬火液槽，淬火液在槽内循环使用，不外排，定期补充，定期捞渣</w:t>
                  </w:r>
                  <w:r>
                    <w:rPr>
                      <w:rFonts w:hint="eastAsia" w:cs="Times New Roman"/>
                      <w:bCs/>
                      <w:color w:val="auto"/>
                      <w:sz w:val="21"/>
                      <w:szCs w:val="21"/>
                      <w:lang w:val="en-US" w:eastAsia="zh-CN"/>
                    </w:rPr>
                    <w:t>，</w:t>
                  </w:r>
                  <w:r>
                    <w:rPr>
                      <w:rFonts w:hint="eastAsia" w:ascii="Times New Roman" w:hAnsi="Times New Roman" w:cs="Times New Roman"/>
                      <w:bCs/>
                      <w:color w:val="auto"/>
                      <w:sz w:val="21"/>
                      <w:szCs w:val="21"/>
                      <w:lang w:val="en-US" w:eastAsia="zh-CN"/>
                    </w:rPr>
                    <w:t>无需更换</w:t>
                  </w:r>
                </w:p>
              </w:tc>
              <w:tc>
                <w:tcPr>
                  <w:tcW w:w="2939" w:type="dxa"/>
                  <w:vMerge w:val="continue"/>
                  <w:tcBorders>
                    <w:right w:val="single" w:color="auto" w:sz="4" w:space="0"/>
                  </w:tcBorders>
                  <w:noWrap w:val="0"/>
                  <w:vAlign w:val="center"/>
                </w:tcPr>
                <w:p w14:paraId="51913ADB">
                  <w:pPr>
                    <w:jc w:val="center"/>
                    <w:outlineLvl w:val="0"/>
                    <w:rPr>
                      <w:rFonts w:hint="default" w:ascii="Times New Roman" w:hAnsi="Times New Roman" w:eastAsia="宋体" w:cs="Times New Roman"/>
                      <w:color w:val="auto"/>
                      <w:sz w:val="21"/>
                      <w:szCs w:val="21"/>
                      <w:lang w:bidi="ar"/>
                    </w:rPr>
                  </w:pPr>
                </w:p>
              </w:tc>
              <w:tc>
                <w:tcPr>
                  <w:tcW w:w="496" w:type="dxa"/>
                  <w:vMerge w:val="continue"/>
                  <w:tcBorders>
                    <w:left w:val="single" w:color="auto" w:sz="4" w:space="0"/>
                  </w:tcBorders>
                  <w:noWrap w:val="0"/>
                  <w:vAlign w:val="center"/>
                </w:tcPr>
                <w:p w14:paraId="4E439FBC">
                  <w:pPr>
                    <w:snapToGrid w:val="0"/>
                    <w:jc w:val="center"/>
                    <w:rPr>
                      <w:rFonts w:hint="default" w:ascii="Times New Roman" w:hAnsi="Times New Roman" w:cs="Times New Roman"/>
                      <w:color w:val="auto"/>
                      <w:szCs w:val="21"/>
                      <w:lang w:val="en-US" w:eastAsia="zh-CN"/>
                    </w:rPr>
                  </w:pPr>
                </w:p>
              </w:tc>
              <w:tc>
                <w:tcPr>
                  <w:tcW w:w="1283" w:type="dxa"/>
                  <w:vMerge w:val="continue"/>
                  <w:noWrap w:val="0"/>
                  <w:vAlign w:val="center"/>
                </w:tcPr>
                <w:p w14:paraId="797C2342">
                  <w:pPr>
                    <w:snapToGrid w:val="0"/>
                    <w:jc w:val="center"/>
                    <w:rPr>
                      <w:rFonts w:hint="default" w:ascii="Times New Roman" w:hAnsi="Times New Roman" w:cs="Times New Roman"/>
                      <w:color w:val="auto"/>
                      <w:szCs w:val="21"/>
                    </w:rPr>
                  </w:pPr>
                </w:p>
              </w:tc>
            </w:tr>
            <w:tr w14:paraId="5D403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529" w:type="dxa"/>
                  <w:vMerge w:val="continue"/>
                  <w:noWrap w:val="0"/>
                  <w:vAlign w:val="center"/>
                </w:tcPr>
                <w:p w14:paraId="4C760C04">
                  <w:pPr>
                    <w:autoSpaceDE w:val="0"/>
                    <w:autoSpaceDN w:val="0"/>
                    <w:snapToGrid w:val="0"/>
                    <w:jc w:val="center"/>
                    <w:rPr>
                      <w:rFonts w:hint="default" w:ascii="Times New Roman" w:hAnsi="Times New Roman" w:cs="Times New Roman"/>
                      <w:color w:val="auto"/>
                      <w:szCs w:val="21"/>
                      <w:lang w:val="zh-CN"/>
                    </w:rPr>
                  </w:pPr>
                </w:p>
              </w:tc>
              <w:tc>
                <w:tcPr>
                  <w:tcW w:w="3455" w:type="dxa"/>
                  <w:gridSpan w:val="4"/>
                  <w:shd w:val="clear" w:color="auto" w:fill="auto"/>
                  <w:noWrap w:val="0"/>
                  <w:vAlign w:val="center"/>
                </w:tcPr>
                <w:p w14:paraId="07AEDD0E">
                  <w:pPr>
                    <w:keepNext w:val="0"/>
                    <w:keepLines w:val="0"/>
                    <w:pageBreakBefore w:val="0"/>
                    <w:kinsoku/>
                    <w:wordWrap/>
                    <w:overflowPunct/>
                    <w:topLinePunct w:val="0"/>
                    <w:autoSpaceDE w:val="0"/>
                    <w:autoSpaceDN w:val="0"/>
                    <w:bidi w:val="0"/>
                    <w:adjustRightInd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湿式磨削废水</w:t>
                  </w:r>
                </w:p>
              </w:tc>
              <w:tc>
                <w:tcPr>
                  <w:tcW w:w="4140" w:type="dxa"/>
                  <w:shd w:val="clear" w:color="auto" w:fill="auto"/>
                  <w:noWrap w:val="0"/>
                  <w:vAlign w:val="center"/>
                </w:tcPr>
                <w:p w14:paraId="1BB1008B">
                  <w:pPr>
                    <w:adjustRightInd w:val="0"/>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sz w:val="21"/>
                      <w:szCs w:val="21"/>
                      <w:lang w:val="en-US" w:eastAsia="zh-CN"/>
                    </w:rPr>
                    <w:t>设置</w:t>
                  </w:r>
                  <w:r>
                    <w:rPr>
                      <w:rFonts w:hint="eastAsia" w:ascii="Times New Roman" w:hAnsi="Times New Roman" w:cs="Times New Roman"/>
                      <w:bCs/>
                      <w:color w:val="auto"/>
                      <w:sz w:val="21"/>
                      <w:szCs w:val="21"/>
                      <w:lang w:val="en-US" w:eastAsia="zh-CN"/>
                    </w:rPr>
                    <w:t>沉淀池沉淀处理后</w:t>
                  </w:r>
                  <w:r>
                    <w:rPr>
                      <w:rStyle w:val="77"/>
                      <w:rFonts w:hint="eastAsia"/>
                      <w:color w:val="auto"/>
                      <w:kern w:val="0"/>
                      <w:sz w:val="21"/>
                      <w:szCs w:val="21"/>
                      <w:lang w:val="en-US" w:eastAsia="zh-CN"/>
                    </w:rPr>
                    <w:t>循环使用，不外排，</w:t>
                  </w:r>
                  <w:r>
                    <w:rPr>
                      <w:rStyle w:val="77"/>
                      <w:rFonts w:hint="default"/>
                      <w:color w:val="auto"/>
                      <w:kern w:val="0"/>
                      <w:sz w:val="21"/>
                      <w:szCs w:val="21"/>
                      <w:lang w:val="en-US" w:eastAsia="zh-CN"/>
                    </w:rPr>
                    <w:t>定期补充</w:t>
                  </w:r>
                  <w:r>
                    <w:rPr>
                      <w:rStyle w:val="77"/>
                      <w:rFonts w:hint="eastAsia"/>
                      <w:color w:val="auto"/>
                      <w:kern w:val="0"/>
                      <w:sz w:val="21"/>
                      <w:szCs w:val="21"/>
                      <w:lang w:val="en-US" w:eastAsia="zh-CN"/>
                    </w:rPr>
                    <w:t>，定期捞渣，无需更换</w:t>
                  </w:r>
                </w:p>
              </w:tc>
              <w:tc>
                <w:tcPr>
                  <w:tcW w:w="2939" w:type="dxa"/>
                  <w:vMerge w:val="continue"/>
                  <w:tcBorders>
                    <w:right w:val="single" w:color="auto" w:sz="4" w:space="0"/>
                  </w:tcBorders>
                  <w:noWrap w:val="0"/>
                  <w:vAlign w:val="center"/>
                </w:tcPr>
                <w:p w14:paraId="6B143729">
                  <w:pPr>
                    <w:jc w:val="center"/>
                    <w:outlineLvl w:val="0"/>
                    <w:rPr>
                      <w:rFonts w:hint="default" w:ascii="Times New Roman" w:hAnsi="Times New Roman" w:eastAsia="宋体" w:cs="Times New Roman"/>
                      <w:color w:val="auto"/>
                      <w:sz w:val="21"/>
                      <w:szCs w:val="21"/>
                      <w:lang w:bidi="ar"/>
                    </w:rPr>
                  </w:pPr>
                </w:p>
              </w:tc>
              <w:tc>
                <w:tcPr>
                  <w:tcW w:w="496" w:type="dxa"/>
                  <w:vMerge w:val="continue"/>
                  <w:tcBorders>
                    <w:left w:val="single" w:color="auto" w:sz="4" w:space="0"/>
                  </w:tcBorders>
                  <w:noWrap w:val="0"/>
                  <w:vAlign w:val="center"/>
                </w:tcPr>
                <w:p w14:paraId="7C2281A6">
                  <w:pPr>
                    <w:snapToGrid w:val="0"/>
                    <w:jc w:val="center"/>
                    <w:rPr>
                      <w:rFonts w:hint="default" w:ascii="Times New Roman" w:hAnsi="Times New Roman" w:cs="Times New Roman"/>
                      <w:color w:val="auto"/>
                      <w:szCs w:val="21"/>
                      <w:lang w:val="en-US" w:eastAsia="zh-CN"/>
                    </w:rPr>
                  </w:pPr>
                </w:p>
              </w:tc>
              <w:tc>
                <w:tcPr>
                  <w:tcW w:w="1283" w:type="dxa"/>
                  <w:vMerge w:val="continue"/>
                  <w:noWrap w:val="0"/>
                  <w:vAlign w:val="center"/>
                </w:tcPr>
                <w:p w14:paraId="74A04CBE">
                  <w:pPr>
                    <w:snapToGrid w:val="0"/>
                    <w:jc w:val="center"/>
                    <w:rPr>
                      <w:rFonts w:hint="default" w:ascii="Times New Roman" w:hAnsi="Times New Roman" w:cs="Times New Roman"/>
                      <w:color w:val="auto"/>
                      <w:szCs w:val="21"/>
                    </w:rPr>
                  </w:pPr>
                </w:p>
              </w:tc>
            </w:tr>
            <w:tr w14:paraId="18908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529" w:type="dxa"/>
                  <w:noWrap w:val="0"/>
                  <w:vAlign w:val="center"/>
                </w:tcPr>
                <w:p w14:paraId="44B18E1B">
                  <w:pPr>
                    <w:autoSpaceDE w:val="0"/>
                    <w:autoSpaceDN w:val="0"/>
                    <w:snapToGrid w:val="0"/>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lang w:val="zh-CN"/>
                    </w:rPr>
                    <w:t>噪声控制</w:t>
                  </w:r>
                </w:p>
              </w:tc>
              <w:tc>
                <w:tcPr>
                  <w:tcW w:w="3455" w:type="dxa"/>
                  <w:gridSpan w:val="4"/>
                  <w:noWrap w:val="0"/>
                  <w:vAlign w:val="center"/>
                </w:tcPr>
                <w:p w14:paraId="7F865A21">
                  <w:pPr>
                    <w:autoSpaceDE w:val="0"/>
                    <w:autoSpaceDN w:val="0"/>
                    <w:snapToGrid w:val="0"/>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lang w:val="zh-CN"/>
                    </w:rPr>
                    <w:t>噪声</w:t>
                  </w:r>
                </w:p>
              </w:tc>
              <w:tc>
                <w:tcPr>
                  <w:tcW w:w="4140" w:type="dxa"/>
                  <w:noWrap w:val="0"/>
                  <w:vAlign w:val="center"/>
                </w:tcPr>
                <w:p w14:paraId="75E2256A">
                  <w:pPr>
                    <w:autoSpaceDE w:val="0"/>
                    <w:autoSpaceDN w:val="0"/>
                    <w:snapToGrid w:val="0"/>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lang w:val="zh-CN"/>
                    </w:rPr>
                    <w:t>隔声、减震</w:t>
                  </w:r>
                </w:p>
              </w:tc>
              <w:tc>
                <w:tcPr>
                  <w:tcW w:w="2939" w:type="dxa"/>
                  <w:noWrap w:val="0"/>
                  <w:vAlign w:val="center"/>
                </w:tcPr>
                <w:p w14:paraId="76BEA340">
                  <w:pPr>
                    <w:autoSpaceDE w:val="0"/>
                    <w:autoSpaceDN w:val="0"/>
                    <w:snapToGrid w:val="0"/>
                    <w:jc w:val="center"/>
                    <w:rPr>
                      <w:rFonts w:hint="default" w:ascii="Times New Roman" w:hAnsi="Times New Roman" w:cs="Times New Roman"/>
                      <w:color w:val="auto"/>
                      <w:szCs w:val="21"/>
                      <w:lang w:val="zh-CN"/>
                    </w:rPr>
                  </w:pPr>
                  <w:r>
                    <w:rPr>
                      <w:rFonts w:hint="default" w:ascii="Times New Roman" w:hAnsi="Times New Roman" w:cs="Times New Roman" w:eastAsiaTheme="minorEastAsia"/>
                      <w:color w:val="auto"/>
                      <w:sz w:val="21"/>
                      <w:szCs w:val="21"/>
                    </w:rPr>
                    <w:t>《工业企业厂界环境噪声排放标准》</w:t>
                  </w:r>
                  <w:r>
                    <w:rPr>
                      <w:rFonts w:hint="default" w:ascii="Times New Roman" w:hAnsi="Times New Roman" w:cs="Times New Roman" w:eastAsiaTheme="minorEastAsia"/>
                      <w:color w:val="auto"/>
                      <w:sz w:val="21"/>
                      <w:szCs w:val="21"/>
                      <w:lang w:eastAsia="zh-CN"/>
                    </w:rPr>
                    <w:t>（</w:t>
                  </w:r>
                  <w:r>
                    <w:rPr>
                      <w:rFonts w:hint="default" w:ascii="Times New Roman" w:hAnsi="Times New Roman" w:cs="Times New Roman" w:eastAsiaTheme="minorEastAsia"/>
                      <w:color w:val="auto"/>
                      <w:sz w:val="21"/>
                      <w:szCs w:val="21"/>
                    </w:rPr>
                    <w:t>GB12348-2008</w:t>
                  </w:r>
                  <w:r>
                    <w:rPr>
                      <w:rFonts w:hint="default" w:ascii="Times New Roman" w:hAnsi="Times New Roman" w:cs="Times New Roman" w:eastAsiaTheme="minorEastAsia"/>
                      <w:color w:val="auto"/>
                      <w:sz w:val="21"/>
                      <w:szCs w:val="21"/>
                      <w:lang w:eastAsia="zh-CN"/>
                    </w:rPr>
                    <w:t>）</w:t>
                  </w:r>
                  <w:r>
                    <w:rPr>
                      <w:rFonts w:hint="default" w:ascii="Times New Roman" w:hAnsi="Times New Roman" w:cs="Times New Roman" w:eastAsiaTheme="minorEastAsia"/>
                      <w:color w:val="auto"/>
                      <w:sz w:val="21"/>
                      <w:szCs w:val="21"/>
                    </w:rPr>
                    <w:t>中3类标准</w:t>
                  </w:r>
                </w:p>
              </w:tc>
              <w:tc>
                <w:tcPr>
                  <w:tcW w:w="496" w:type="dxa"/>
                  <w:noWrap w:val="0"/>
                  <w:vAlign w:val="center"/>
                </w:tcPr>
                <w:p w14:paraId="464600B6">
                  <w:pPr>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2</w:t>
                  </w:r>
                </w:p>
              </w:tc>
              <w:tc>
                <w:tcPr>
                  <w:tcW w:w="1283" w:type="dxa"/>
                  <w:vMerge w:val="continue"/>
                  <w:noWrap w:val="0"/>
                  <w:vAlign w:val="center"/>
                </w:tcPr>
                <w:p w14:paraId="04C65A20">
                  <w:pPr>
                    <w:snapToGrid w:val="0"/>
                    <w:jc w:val="center"/>
                    <w:rPr>
                      <w:rFonts w:hint="default" w:ascii="Times New Roman" w:hAnsi="Times New Roman" w:cs="Times New Roman"/>
                      <w:color w:val="auto"/>
                      <w:szCs w:val="21"/>
                    </w:rPr>
                  </w:pPr>
                </w:p>
              </w:tc>
            </w:tr>
            <w:tr w14:paraId="5D96E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529" w:type="dxa"/>
                  <w:vMerge w:val="restart"/>
                  <w:noWrap w:val="0"/>
                  <w:vAlign w:val="center"/>
                </w:tcPr>
                <w:p w14:paraId="028F6343">
                  <w:pPr>
                    <w:autoSpaceDE w:val="0"/>
                    <w:autoSpaceDN w:val="0"/>
                    <w:snapToGrid w:val="0"/>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lang w:val="zh-CN"/>
                    </w:rPr>
                    <w:t>固废处置</w:t>
                  </w:r>
                </w:p>
              </w:tc>
              <w:tc>
                <w:tcPr>
                  <w:tcW w:w="3455" w:type="dxa"/>
                  <w:gridSpan w:val="4"/>
                  <w:noWrap w:val="0"/>
                  <w:vAlign w:val="center"/>
                </w:tcPr>
                <w:p w14:paraId="6B39A608">
                  <w:pPr>
                    <w:autoSpaceDE w:val="0"/>
                    <w:autoSpaceDN w:val="0"/>
                    <w:snapToGrid w:val="0"/>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lang w:val="zh-CN"/>
                    </w:rPr>
                    <w:t>一般工业固废</w:t>
                  </w:r>
                </w:p>
              </w:tc>
              <w:tc>
                <w:tcPr>
                  <w:tcW w:w="4140" w:type="dxa"/>
                  <w:noWrap w:val="0"/>
                  <w:vAlign w:val="center"/>
                </w:tcPr>
                <w:p w14:paraId="416E7159">
                  <w:pPr>
                    <w:autoSpaceDE w:val="0"/>
                    <w:autoSpaceDN w:val="0"/>
                    <w:snapToGrid w:val="0"/>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rPr>
                    <w:t>一般固废暂存库</w:t>
                  </w:r>
                </w:p>
              </w:tc>
              <w:tc>
                <w:tcPr>
                  <w:tcW w:w="2939" w:type="dxa"/>
                  <w:noWrap w:val="0"/>
                  <w:vAlign w:val="center"/>
                </w:tcPr>
                <w:p w14:paraId="653A59B4">
                  <w:pPr>
                    <w:jc w:val="left"/>
                    <w:rPr>
                      <w:rFonts w:hint="default" w:ascii="Times New Roman" w:hAnsi="Times New Roman" w:cs="Times New Roman"/>
                      <w:color w:val="auto"/>
                      <w:szCs w:val="21"/>
                    </w:rPr>
                  </w:pPr>
                  <w:r>
                    <w:rPr>
                      <w:rFonts w:hint="eastAsia" w:cs="Times New Roman"/>
                      <w:color w:val="auto"/>
                      <w:sz w:val="21"/>
                      <w:szCs w:val="21"/>
                      <w:lang w:eastAsia="zh-CN"/>
                    </w:rPr>
                    <w:t>不合格品、废包装材料、布袋除尘器收集的粉尘、废</w:t>
                  </w:r>
                  <w:r>
                    <w:rPr>
                      <w:rFonts w:hint="eastAsia" w:cs="Times New Roman"/>
                      <w:color w:val="auto"/>
                      <w:sz w:val="21"/>
                      <w:szCs w:val="21"/>
                      <w:lang w:val="en-US" w:eastAsia="zh-CN"/>
                    </w:rPr>
                    <w:t>钢丸</w:t>
                  </w:r>
                  <w:r>
                    <w:rPr>
                      <w:rFonts w:hint="eastAsia" w:cs="Times New Roman"/>
                      <w:color w:val="auto"/>
                      <w:sz w:val="21"/>
                      <w:szCs w:val="21"/>
                      <w:lang w:eastAsia="zh-CN"/>
                    </w:rPr>
                    <w:t>、</w:t>
                  </w:r>
                  <w:r>
                    <w:rPr>
                      <w:rFonts w:hint="eastAsia" w:cs="Times New Roman"/>
                      <w:color w:val="auto"/>
                      <w:sz w:val="21"/>
                      <w:szCs w:val="21"/>
                      <w:lang w:val="en-US" w:eastAsia="zh-CN"/>
                    </w:rPr>
                    <w:t>废金属屑及边角料、废砂轮、沉淀池沉渣、淬火槽槽渣</w:t>
                  </w:r>
                  <w:r>
                    <w:rPr>
                      <w:rFonts w:hint="default" w:ascii="Times New Roman" w:hAnsi="Times New Roman" w:cs="Times New Roman"/>
                      <w:color w:val="auto"/>
                      <w:kern w:val="0"/>
                      <w:sz w:val="21"/>
                      <w:szCs w:val="21"/>
                    </w:rPr>
                    <w:t>收集后外售</w:t>
                  </w:r>
                </w:p>
              </w:tc>
              <w:tc>
                <w:tcPr>
                  <w:tcW w:w="496" w:type="dxa"/>
                  <w:noWrap w:val="0"/>
                  <w:vAlign w:val="center"/>
                </w:tcPr>
                <w:p w14:paraId="653F0A9B">
                  <w:pPr>
                    <w:snapToGrid w:val="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val="en-US" w:eastAsia="zh-CN"/>
                    </w:rPr>
                    <w:t>5</w:t>
                  </w:r>
                </w:p>
              </w:tc>
              <w:tc>
                <w:tcPr>
                  <w:tcW w:w="1283" w:type="dxa"/>
                  <w:vMerge w:val="continue"/>
                  <w:noWrap w:val="0"/>
                  <w:vAlign w:val="center"/>
                </w:tcPr>
                <w:p w14:paraId="5CB8C59A">
                  <w:pPr>
                    <w:snapToGrid w:val="0"/>
                    <w:jc w:val="center"/>
                    <w:rPr>
                      <w:rFonts w:hint="default" w:ascii="Times New Roman" w:hAnsi="Times New Roman" w:cs="Times New Roman"/>
                      <w:color w:val="auto"/>
                      <w:szCs w:val="21"/>
                    </w:rPr>
                  </w:pPr>
                </w:p>
              </w:tc>
            </w:tr>
            <w:tr w14:paraId="63011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529" w:type="dxa"/>
                  <w:vMerge w:val="continue"/>
                  <w:noWrap w:val="0"/>
                  <w:vAlign w:val="center"/>
                </w:tcPr>
                <w:p w14:paraId="162C5A13">
                  <w:pPr>
                    <w:autoSpaceDE w:val="0"/>
                    <w:autoSpaceDN w:val="0"/>
                    <w:snapToGrid w:val="0"/>
                    <w:jc w:val="center"/>
                    <w:rPr>
                      <w:rFonts w:hint="default" w:ascii="Times New Roman" w:hAnsi="Times New Roman" w:cs="Times New Roman"/>
                      <w:color w:val="auto"/>
                      <w:szCs w:val="21"/>
                      <w:lang w:val="zh-CN"/>
                    </w:rPr>
                  </w:pPr>
                </w:p>
              </w:tc>
              <w:tc>
                <w:tcPr>
                  <w:tcW w:w="3455" w:type="dxa"/>
                  <w:gridSpan w:val="4"/>
                  <w:noWrap w:val="0"/>
                  <w:vAlign w:val="center"/>
                </w:tcPr>
                <w:p w14:paraId="7F72628B">
                  <w:pPr>
                    <w:autoSpaceDE w:val="0"/>
                    <w:autoSpaceDN w:val="0"/>
                    <w:snapToGrid w:val="0"/>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lang w:val="zh-CN"/>
                    </w:rPr>
                    <w:t>危险废物</w:t>
                  </w:r>
                </w:p>
              </w:tc>
              <w:tc>
                <w:tcPr>
                  <w:tcW w:w="4140" w:type="dxa"/>
                  <w:noWrap w:val="0"/>
                  <w:vAlign w:val="center"/>
                </w:tcPr>
                <w:p w14:paraId="6811DB50">
                  <w:pPr>
                    <w:autoSpaceDE w:val="0"/>
                    <w:autoSpaceDN w:val="0"/>
                    <w:snapToGrid w:val="0"/>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rPr>
                    <w:t>危废暂存库（</w:t>
                  </w:r>
                  <w:r>
                    <w:rPr>
                      <w:rFonts w:hint="eastAsia" w:cs="Times New Roman"/>
                      <w:color w:val="auto"/>
                      <w:szCs w:val="21"/>
                      <w:lang w:val="en-US" w:eastAsia="zh-CN"/>
                    </w:rPr>
                    <w:t>15m</w:t>
                  </w:r>
                  <w:r>
                    <w:rPr>
                      <w:rFonts w:hint="default" w:ascii="Times New Roman" w:hAnsi="Times New Roman" w:cs="Times New Roman"/>
                      <w:color w:val="auto"/>
                      <w:szCs w:val="21"/>
                      <w:vertAlign w:val="superscript"/>
                    </w:rPr>
                    <w:t>2</w:t>
                  </w:r>
                  <w:r>
                    <w:rPr>
                      <w:rFonts w:hint="default" w:ascii="Times New Roman" w:hAnsi="Times New Roman" w:cs="Times New Roman"/>
                      <w:color w:val="auto"/>
                      <w:szCs w:val="21"/>
                    </w:rPr>
                    <w:t>），并采取防风、防晒、防雨、防漏、防渗</w:t>
                  </w:r>
                  <w:r>
                    <w:rPr>
                      <w:rFonts w:hint="eastAsia" w:cs="Times New Roman"/>
                      <w:color w:val="auto"/>
                      <w:szCs w:val="21"/>
                      <w:lang w:eastAsia="zh-CN"/>
                    </w:rPr>
                    <w:t>和</w:t>
                  </w:r>
                  <w:r>
                    <w:rPr>
                      <w:rFonts w:hint="default" w:ascii="Times New Roman" w:hAnsi="Times New Roman" w:cs="Times New Roman"/>
                      <w:color w:val="auto"/>
                      <w:szCs w:val="21"/>
                    </w:rPr>
                    <w:t>防腐措施</w:t>
                  </w:r>
                </w:p>
              </w:tc>
              <w:tc>
                <w:tcPr>
                  <w:tcW w:w="2939" w:type="dxa"/>
                  <w:noWrap w:val="0"/>
                  <w:vAlign w:val="center"/>
                </w:tcPr>
                <w:p w14:paraId="631C7FBD">
                  <w:pPr>
                    <w:jc w:val="left"/>
                    <w:rPr>
                      <w:rFonts w:hint="default" w:ascii="Times New Roman" w:hAnsi="Times New Roman" w:cs="Times New Roman"/>
                      <w:color w:val="auto"/>
                      <w:szCs w:val="21"/>
                      <w:lang w:val="zh-CN" w:eastAsia="zh-CN"/>
                    </w:rPr>
                  </w:pPr>
                  <w:r>
                    <w:rPr>
                      <w:rFonts w:hint="eastAsia" w:ascii="Times New Roman" w:hAnsi="Times New Roman" w:eastAsia="宋体" w:cs="Times New Roman"/>
                      <w:color w:val="auto"/>
                      <w:sz w:val="21"/>
                      <w:szCs w:val="21"/>
                      <w:lang w:eastAsia="zh-CN"/>
                    </w:rPr>
                    <w:t>废化学品包装桶（</w:t>
                  </w:r>
                  <w:r>
                    <w:rPr>
                      <w:rFonts w:hint="eastAsia" w:ascii="Times New Roman" w:hAnsi="Times New Roman" w:eastAsia="宋体" w:cs="Times New Roman"/>
                      <w:color w:val="auto"/>
                      <w:sz w:val="21"/>
                      <w:szCs w:val="21"/>
                      <w:lang w:val="en-US" w:eastAsia="zh-CN"/>
                    </w:rPr>
                    <w:t>废</w:t>
                  </w:r>
                  <w:r>
                    <w:rPr>
                      <w:rFonts w:hint="eastAsia" w:cs="Times New Roman"/>
                      <w:color w:val="auto"/>
                      <w:sz w:val="21"/>
                      <w:szCs w:val="21"/>
                      <w:lang w:val="en-US" w:eastAsia="zh-CN"/>
                    </w:rPr>
                    <w:t>水性脱模剂</w:t>
                  </w:r>
                  <w:r>
                    <w:rPr>
                      <w:rFonts w:hint="eastAsia" w:ascii="Times New Roman" w:hAnsi="Times New Roman" w:eastAsia="宋体" w:cs="Times New Roman"/>
                      <w:color w:val="auto"/>
                      <w:sz w:val="21"/>
                      <w:szCs w:val="21"/>
                      <w:lang w:val="en-US" w:eastAsia="zh-CN"/>
                    </w:rPr>
                    <w:t>桶、废</w:t>
                  </w:r>
                  <w:r>
                    <w:rPr>
                      <w:rFonts w:hint="eastAsia" w:cs="Times New Roman"/>
                      <w:color w:val="auto"/>
                      <w:sz w:val="21"/>
                      <w:szCs w:val="21"/>
                      <w:lang w:val="en-US" w:eastAsia="zh-CN"/>
                    </w:rPr>
                    <w:t>水性磨削液</w:t>
                  </w:r>
                  <w:r>
                    <w:rPr>
                      <w:rFonts w:hint="eastAsia" w:ascii="Times New Roman" w:hAnsi="Times New Roman" w:eastAsia="宋体" w:cs="Times New Roman"/>
                      <w:color w:val="auto"/>
                      <w:sz w:val="21"/>
                      <w:szCs w:val="21"/>
                      <w:lang w:val="en-US" w:eastAsia="zh-CN"/>
                    </w:rPr>
                    <w:t>桶、废水性淬火液桶、</w:t>
                  </w:r>
                  <w:r>
                    <w:rPr>
                      <w:rFonts w:hint="default" w:ascii="Times New Roman" w:hAnsi="Times New Roman" w:eastAsia="宋体" w:cs="Times New Roman"/>
                      <w:color w:val="auto"/>
                      <w:sz w:val="21"/>
                      <w:szCs w:val="21"/>
                      <w:lang w:val="en-US" w:eastAsia="zh-CN"/>
                    </w:rPr>
                    <w:t>废切削液桶、废机油桶</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废切</w:t>
                  </w:r>
                  <w:r>
                    <w:rPr>
                      <w:rFonts w:hint="eastAsia" w:cs="Times New Roman"/>
                      <w:bCs/>
                      <w:color w:val="auto"/>
                      <w:sz w:val="21"/>
                      <w:szCs w:val="21"/>
                      <w:lang w:val="en-US" w:eastAsia="zh-CN"/>
                    </w:rPr>
                    <w:t>削液、废润滑油、废液压油、含油金属屑、废水性脱模剂、废活性炭、</w:t>
                  </w:r>
                  <w:r>
                    <w:rPr>
                      <w:rFonts w:hint="eastAsia" w:cs="Times New Roman"/>
                      <w:bCs/>
                      <w:color w:val="auto"/>
                      <w:sz w:val="21"/>
                      <w:szCs w:val="21"/>
                      <w:lang w:val="en-US" w:eastAsia="zh-CN"/>
                    </w:rPr>
                    <w:t>油雾净化器收集的废油</w:t>
                  </w:r>
                  <w:r>
                    <w:rPr>
                      <w:rFonts w:hint="default" w:ascii="Times New Roman" w:hAnsi="Times New Roman" w:cs="Times New Roman"/>
                      <w:color w:val="auto"/>
                      <w:szCs w:val="21"/>
                    </w:rPr>
                    <w:t>收集后暂存于危险废物暂存库，定期委托有危废处理资质单位处置</w:t>
                  </w:r>
                </w:p>
              </w:tc>
              <w:tc>
                <w:tcPr>
                  <w:tcW w:w="496" w:type="dxa"/>
                  <w:noWrap w:val="0"/>
                  <w:vAlign w:val="center"/>
                </w:tcPr>
                <w:p w14:paraId="19A752D7">
                  <w:pPr>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10</w:t>
                  </w:r>
                </w:p>
              </w:tc>
              <w:tc>
                <w:tcPr>
                  <w:tcW w:w="1283" w:type="dxa"/>
                  <w:vMerge w:val="continue"/>
                  <w:noWrap w:val="0"/>
                  <w:vAlign w:val="center"/>
                </w:tcPr>
                <w:p w14:paraId="27A8F9EC">
                  <w:pPr>
                    <w:snapToGrid w:val="0"/>
                    <w:jc w:val="center"/>
                    <w:rPr>
                      <w:rFonts w:hint="default" w:ascii="Times New Roman" w:hAnsi="Times New Roman" w:cs="Times New Roman"/>
                      <w:color w:val="auto"/>
                      <w:szCs w:val="21"/>
                    </w:rPr>
                  </w:pPr>
                </w:p>
              </w:tc>
            </w:tr>
            <w:tr w14:paraId="6B43A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529" w:type="dxa"/>
                  <w:vMerge w:val="continue"/>
                  <w:noWrap w:val="0"/>
                  <w:vAlign w:val="center"/>
                </w:tcPr>
                <w:p w14:paraId="1A82658C">
                  <w:pPr>
                    <w:autoSpaceDE w:val="0"/>
                    <w:autoSpaceDN w:val="0"/>
                    <w:snapToGrid w:val="0"/>
                    <w:jc w:val="center"/>
                    <w:rPr>
                      <w:rFonts w:hint="default" w:ascii="Times New Roman" w:hAnsi="Times New Roman" w:cs="Times New Roman"/>
                      <w:color w:val="auto"/>
                      <w:szCs w:val="21"/>
                      <w:lang w:val="zh-CN"/>
                    </w:rPr>
                  </w:pPr>
                </w:p>
              </w:tc>
              <w:tc>
                <w:tcPr>
                  <w:tcW w:w="3455" w:type="dxa"/>
                  <w:gridSpan w:val="4"/>
                  <w:noWrap w:val="0"/>
                  <w:vAlign w:val="center"/>
                </w:tcPr>
                <w:p w14:paraId="3AF61DAE">
                  <w:pPr>
                    <w:autoSpaceDE w:val="0"/>
                    <w:autoSpaceDN w:val="0"/>
                    <w:snapToGrid w:val="0"/>
                    <w:jc w:val="center"/>
                    <w:rPr>
                      <w:rFonts w:hint="default" w:ascii="Times New Roman" w:hAnsi="Times New Roman" w:cs="Times New Roman"/>
                      <w:color w:val="auto"/>
                      <w:szCs w:val="21"/>
                      <w:lang w:val="zh-CN"/>
                    </w:rPr>
                  </w:pPr>
                  <w:r>
                    <w:rPr>
                      <w:rFonts w:hint="default" w:ascii="Times New Roman" w:hAnsi="Times New Roman" w:cs="Times New Roman"/>
                      <w:color w:val="auto"/>
                      <w:szCs w:val="21"/>
                      <w:lang w:val="zh-CN"/>
                    </w:rPr>
                    <w:t>生活垃圾</w:t>
                  </w:r>
                </w:p>
              </w:tc>
              <w:tc>
                <w:tcPr>
                  <w:tcW w:w="4140" w:type="dxa"/>
                  <w:noWrap w:val="0"/>
                  <w:vAlign w:val="center"/>
                </w:tcPr>
                <w:p w14:paraId="0FE2A176">
                  <w:pPr>
                    <w:autoSpaceDE w:val="0"/>
                    <w:autoSpaceDN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垃圾桶</w:t>
                  </w:r>
                </w:p>
              </w:tc>
              <w:tc>
                <w:tcPr>
                  <w:tcW w:w="2939" w:type="dxa"/>
                  <w:noWrap w:val="0"/>
                  <w:vAlign w:val="center"/>
                </w:tcPr>
                <w:p w14:paraId="0F914FA1">
                  <w:pPr>
                    <w:autoSpaceDE w:val="0"/>
                    <w:autoSpaceDN w:val="0"/>
                    <w:snapToGrid w:val="0"/>
                    <w:jc w:val="center"/>
                    <w:rPr>
                      <w:rFonts w:hint="default" w:ascii="Times New Roman" w:hAnsi="Times New Roman" w:cs="Times New Roman"/>
                      <w:color w:val="auto"/>
                      <w:szCs w:val="21"/>
                    </w:rPr>
                  </w:pPr>
                  <w:r>
                    <w:rPr>
                      <w:rFonts w:hint="default" w:ascii="Times New Roman" w:hAnsi="Times New Roman" w:eastAsia="宋体" w:cs="Times New Roman"/>
                      <w:color w:val="auto"/>
                      <w:sz w:val="21"/>
                      <w:szCs w:val="21"/>
                      <w:lang w:eastAsia="zh-CN"/>
                    </w:rPr>
                    <w:t>生活垃圾</w:t>
                  </w:r>
                  <w:r>
                    <w:rPr>
                      <w:rFonts w:hint="default" w:ascii="Times New Roman" w:hAnsi="Times New Roman" w:cs="Times New Roman"/>
                      <w:color w:val="auto"/>
                      <w:szCs w:val="21"/>
                    </w:rPr>
                    <w:t>委托环卫部门清运处理</w:t>
                  </w:r>
                </w:p>
              </w:tc>
              <w:tc>
                <w:tcPr>
                  <w:tcW w:w="496" w:type="dxa"/>
                  <w:noWrap w:val="0"/>
                  <w:vAlign w:val="center"/>
                </w:tcPr>
                <w:p w14:paraId="04B08DAE">
                  <w:pPr>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1283" w:type="dxa"/>
                  <w:vMerge w:val="continue"/>
                  <w:noWrap w:val="0"/>
                  <w:vAlign w:val="center"/>
                </w:tcPr>
                <w:p w14:paraId="0760368E">
                  <w:pPr>
                    <w:snapToGrid w:val="0"/>
                    <w:jc w:val="center"/>
                    <w:rPr>
                      <w:rFonts w:hint="default" w:ascii="Times New Roman" w:hAnsi="Times New Roman" w:cs="Times New Roman"/>
                      <w:color w:val="auto"/>
                      <w:szCs w:val="21"/>
                    </w:rPr>
                  </w:pPr>
                </w:p>
              </w:tc>
            </w:tr>
            <w:tr w14:paraId="5BEFA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1063" w:type="dxa"/>
                  <w:gridSpan w:val="7"/>
                  <w:noWrap w:val="0"/>
                  <w:vAlign w:val="center"/>
                </w:tcPr>
                <w:p w14:paraId="22523893">
                  <w:pPr>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合计</w:t>
                  </w:r>
                </w:p>
              </w:tc>
              <w:tc>
                <w:tcPr>
                  <w:tcW w:w="496" w:type="dxa"/>
                  <w:noWrap w:val="0"/>
                  <w:vAlign w:val="center"/>
                </w:tcPr>
                <w:p w14:paraId="52EA5DFB">
                  <w:pPr>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79</w:t>
                  </w:r>
                </w:p>
              </w:tc>
              <w:tc>
                <w:tcPr>
                  <w:tcW w:w="1283" w:type="dxa"/>
                  <w:noWrap w:val="0"/>
                  <w:vAlign w:val="center"/>
                </w:tcPr>
                <w:p w14:paraId="1683D3B0">
                  <w:pPr>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r>
          </w:tbl>
          <w:p w14:paraId="77FF1306">
            <w:pPr>
              <w:keepNext w:val="0"/>
              <w:keepLines w:val="0"/>
              <w:pageBreakBefore w:val="0"/>
              <w:widowControl w:val="0"/>
              <w:kinsoku/>
              <w:wordWrap/>
              <w:overflowPunct/>
              <w:topLinePunct w:val="0"/>
              <w:autoSpaceDE/>
              <w:autoSpaceDN/>
              <w:bidi w:val="0"/>
              <w:adjustRightInd/>
              <w:snapToGrid/>
              <w:spacing w:before="313" w:beforeLines="100" w:line="360" w:lineRule="auto"/>
              <w:ind w:firstLine="482" w:firstLineChars="200"/>
              <w:textAlignment w:val="auto"/>
              <w:rPr>
                <w:rFonts w:hint="default" w:ascii="Times New Roman" w:hAnsi="Times New Roman" w:eastAsia="宋体" w:cs="Times New Roman"/>
                <w:b/>
                <w:bCs/>
                <w:color w:val="auto"/>
                <w:sz w:val="24"/>
                <w:szCs w:val="24"/>
              </w:rPr>
            </w:pPr>
            <w:r>
              <w:rPr>
                <w:rFonts w:hint="eastAsia" w:cs="Times New Roman"/>
                <w:b/>
                <w:bCs/>
                <w:color w:val="auto"/>
                <w:sz w:val="24"/>
                <w:szCs w:val="24"/>
                <w:lang w:val="en-US" w:eastAsia="zh-CN"/>
              </w:rPr>
              <w:t>八</w:t>
            </w:r>
            <w:r>
              <w:rPr>
                <w:rFonts w:hint="default" w:ascii="Times New Roman" w:hAnsi="Times New Roman" w:cs="Times New Roman"/>
                <w:b/>
                <w:bCs/>
                <w:color w:val="auto"/>
                <w:sz w:val="24"/>
                <w:szCs w:val="24"/>
                <w:lang w:val="en-US" w:eastAsia="zh-CN"/>
              </w:rPr>
              <w:t>、</w:t>
            </w:r>
            <w:r>
              <w:rPr>
                <w:rFonts w:hint="default" w:ascii="Times New Roman" w:hAnsi="Times New Roman" w:eastAsia="宋体" w:cs="Times New Roman"/>
                <w:b/>
                <w:bCs/>
                <w:color w:val="auto"/>
                <w:sz w:val="24"/>
                <w:szCs w:val="24"/>
              </w:rPr>
              <w:t>生态环境影响分析</w:t>
            </w:r>
          </w:p>
          <w:p w14:paraId="5180C792">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无。</w:t>
            </w:r>
          </w:p>
          <w:p w14:paraId="3C47A50C">
            <w:pPr>
              <w:spacing w:line="360" w:lineRule="auto"/>
              <w:ind w:firstLine="482" w:firstLineChars="200"/>
              <w:rPr>
                <w:rFonts w:hint="default" w:ascii="Times New Roman" w:hAnsi="Times New Roman" w:eastAsia="宋体" w:cs="Times New Roman"/>
                <w:b/>
                <w:bCs/>
                <w:color w:val="auto"/>
                <w:sz w:val="24"/>
                <w:szCs w:val="24"/>
              </w:rPr>
            </w:pPr>
            <w:r>
              <w:rPr>
                <w:rFonts w:hint="eastAsia" w:cs="Times New Roman"/>
                <w:b/>
                <w:bCs/>
                <w:color w:val="auto"/>
                <w:sz w:val="24"/>
                <w:szCs w:val="24"/>
                <w:lang w:val="en-US" w:eastAsia="zh-CN"/>
              </w:rPr>
              <w:t>九</w:t>
            </w:r>
            <w:r>
              <w:rPr>
                <w:rFonts w:hint="default" w:ascii="Times New Roman" w:hAnsi="Times New Roman" w:cs="Times New Roman"/>
                <w:b/>
                <w:bCs/>
                <w:color w:val="auto"/>
                <w:sz w:val="24"/>
                <w:szCs w:val="24"/>
                <w:lang w:val="en-US" w:eastAsia="zh-CN"/>
              </w:rPr>
              <w:t>、</w:t>
            </w:r>
            <w:r>
              <w:rPr>
                <w:rFonts w:hint="default" w:ascii="Times New Roman" w:hAnsi="Times New Roman" w:eastAsia="宋体" w:cs="Times New Roman"/>
                <w:b/>
                <w:bCs/>
                <w:color w:val="auto"/>
                <w:sz w:val="24"/>
                <w:szCs w:val="24"/>
              </w:rPr>
              <w:t xml:space="preserve"> 电磁辐射环境影响分析</w:t>
            </w:r>
          </w:p>
          <w:p w14:paraId="60DD2286">
            <w:pPr>
              <w:spacing w:line="360" w:lineRule="auto"/>
              <w:ind w:firstLine="480" w:firstLineChars="200"/>
              <w:rPr>
                <w:rFonts w:hint="default" w:ascii="Times New Roman" w:hAnsi="Times New Roman" w:cs="Times New Roman"/>
                <w:b/>
                <w:bCs/>
                <w:color w:val="auto"/>
                <w:sz w:val="24"/>
              </w:rPr>
            </w:pPr>
            <w:r>
              <w:rPr>
                <w:rFonts w:hint="default" w:ascii="Times New Roman" w:hAnsi="Times New Roman" w:eastAsia="宋体" w:cs="Times New Roman"/>
                <w:color w:val="auto"/>
                <w:sz w:val="24"/>
                <w:szCs w:val="24"/>
              </w:rPr>
              <w:t>无。</w:t>
            </w:r>
          </w:p>
          <w:p w14:paraId="6898DD55">
            <w:pPr>
              <w:pStyle w:val="59"/>
              <w:tabs>
                <w:tab w:val="left" w:pos="720"/>
              </w:tabs>
              <w:spacing w:before="0" w:beforeAutospacing="0" w:after="0" w:afterAutospacing="0"/>
              <w:jc w:val="both"/>
              <w:outlineLvl w:val="0"/>
              <w:rPr>
                <w:rFonts w:hint="default" w:ascii="Times New Roman" w:hAnsi="Times New Roman" w:eastAsia="宋体" w:cs="Times New Roman"/>
                <w:snapToGrid w:val="0"/>
                <w:color w:val="auto"/>
                <w:szCs w:val="24"/>
                <w:lang w:eastAsia="zh-CN"/>
              </w:rPr>
            </w:pPr>
          </w:p>
        </w:tc>
      </w:tr>
    </w:tbl>
    <w:p w14:paraId="1011273E">
      <w:pPr>
        <w:pStyle w:val="78"/>
        <w:rPr>
          <w:rFonts w:hint="default" w:ascii="Times New Roman" w:hAnsi="Times New Roman" w:cs="Times New Roman"/>
          <w:color w:val="auto"/>
        </w:rPr>
        <w:sectPr>
          <w:pgSz w:w="16838" w:h="11905" w:orient="landscape"/>
          <w:pgMar w:top="1531" w:right="1701" w:bottom="1531" w:left="2126" w:header="851" w:footer="850" w:gutter="0"/>
          <w:cols w:space="0" w:num="1"/>
          <w:docGrid w:linePitch="312" w:charSpace="0"/>
        </w:sectPr>
      </w:pPr>
    </w:p>
    <w:p w14:paraId="4D20E9D5">
      <w:pPr>
        <w:pStyle w:val="59"/>
        <w:spacing w:before="0" w:beforeAutospacing="0" w:after="0" w:afterAutospacing="0"/>
        <w:jc w:val="center"/>
        <w:outlineLvl w:val="0"/>
        <w:rPr>
          <w:rFonts w:hint="default" w:ascii="Times New Roman" w:hAnsi="Times New Roman" w:cs="Times New Roman"/>
          <w:b/>
          <w:snapToGrid w:val="0"/>
          <w:color w:val="auto"/>
          <w:sz w:val="30"/>
          <w:szCs w:val="30"/>
        </w:rPr>
      </w:pPr>
      <w:r>
        <w:rPr>
          <w:rFonts w:hint="default" w:ascii="Times New Roman" w:hAnsi="Times New Roman" w:cs="Times New Roman"/>
          <w:b/>
          <w:snapToGrid w:val="0"/>
          <w:color w:val="auto"/>
          <w:sz w:val="30"/>
          <w:szCs w:val="30"/>
        </w:rPr>
        <w:t>五、</w:t>
      </w:r>
      <w:bookmarkStart w:id="2" w:name="_Hlk54167917"/>
      <w:r>
        <w:rPr>
          <w:rFonts w:hint="default" w:ascii="Times New Roman" w:hAnsi="Times New Roman" w:cs="Times New Roman"/>
          <w:b/>
          <w:snapToGrid w:val="0"/>
          <w:color w:val="auto"/>
          <w:sz w:val="30"/>
          <w:szCs w:val="30"/>
        </w:rPr>
        <w:t>环境保护措施监督检查清单</w:t>
      </w:r>
      <w:bookmarkEnd w:id="2"/>
    </w:p>
    <w:tbl>
      <w:tblPr>
        <w:tblStyle w:val="63"/>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82"/>
        <w:gridCol w:w="471"/>
        <w:gridCol w:w="663"/>
        <w:gridCol w:w="900"/>
        <w:gridCol w:w="1332"/>
        <w:gridCol w:w="2283"/>
        <w:gridCol w:w="2369"/>
      </w:tblGrid>
      <w:tr w14:paraId="5A83B8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82" w:type="dxa"/>
            <w:tcBorders>
              <w:top w:val="single" w:color="auto" w:sz="12" w:space="0"/>
              <w:left w:val="single" w:color="auto" w:sz="12" w:space="0"/>
              <w:bottom w:val="single" w:color="auto" w:sz="4" w:space="0"/>
              <w:tl2br w:val="single" w:color="auto" w:sz="4" w:space="0"/>
            </w:tcBorders>
          </w:tcPr>
          <w:p w14:paraId="222FFF79">
            <w:pPr>
              <w:adjustRightInd w:val="0"/>
              <w:snapToGrid w:val="0"/>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内容</w:t>
            </w:r>
          </w:p>
          <w:p w14:paraId="08C6BE37">
            <w:pPr>
              <w:adjustRightInd w:val="0"/>
              <w:snapToGrid w:val="0"/>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要素</w:t>
            </w:r>
          </w:p>
        </w:tc>
        <w:tc>
          <w:tcPr>
            <w:tcW w:w="2034" w:type="dxa"/>
            <w:gridSpan w:val="3"/>
            <w:tcBorders>
              <w:top w:val="single" w:color="auto" w:sz="12" w:space="0"/>
              <w:bottom w:val="single" w:color="auto" w:sz="4" w:space="0"/>
            </w:tcBorders>
            <w:vAlign w:val="center"/>
          </w:tcPr>
          <w:p w14:paraId="68F33408">
            <w:pPr>
              <w:adjustRightInd w:val="0"/>
              <w:snapToGrid w:val="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排放口(编号、名称)/污染源</w:t>
            </w:r>
          </w:p>
        </w:tc>
        <w:tc>
          <w:tcPr>
            <w:tcW w:w="1332" w:type="dxa"/>
            <w:tcBorders>
              <w:top w:val="single" w:color="auto" w:sz="12" w:space="0"/>
              <w:bottom w:val="single" w:color="auto" w:sz="4" w:space="0"/>
            </w:tcBorders>
            <w:vAlign w:val="center"/>
          </w:tcPr>
          <w:p w14:paraId="112EF267">
            <w:pPr>
              <w:adjustRightInd w:val="0"/>
              <w:snapToGrid w:val="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污染物项目</w:t>
            </w:r>
          </w:p>
        </w:tc>
        <w:tc>
          <w:tcPr>
            <w:tcW w:w="2283" w:type="dxa"/>
            <w:tcBorders>
              <w:top w:val="single" w:color="auto" w:sz="12" w:space="0"/>
              <w:bottom w:val="single" w:color="auto" w:sz="4" w:space="0"/>
            </w:tcBorders>
            <w:vAlign w:val="center"/>
          </w:tcPr>
          <w:p w14:paraId="23FE3A81">
            <w:pPr>
              <w:adjustRightInd w:val="0"/>
              <w:snapToGrid w:val="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环境保护措施</w:t>
            </w:r>
          </w:p>
        </w:tc>
        <w:tc>
          <w:tcPr>
            <w:tcW w:w="2369" w:type="dxa"/>
            <w:tcBorders>
              <w:top w:val="single" w:color="auto" w:sz="12" w:space="0"/>
              <w:bottom w:val="single" w:color="auto" w:sz="4" w:space="0"/>
              <w:right w:val="single" w:color="auto" w:sz="12" w:space="0"/>
            </w:tcBorders>
            <w:vAlign w:val="center"/>
          </w:tcPr>
          <w:p w14:paraId="4D9AEA46">
            <w:pPr>
              <w:adjustRightInd w:val="0"/>
              <w:snapToGrid w:val="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执行标准</w:t>
            </w:r>
          </w:p>
        </w:tc>
      </w:tr>
      <w:tr w14:paraId="0F530A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782" w:type="dxa"/>
            <w:vMerge w:val="restart"/>
            <w:tcBorders>
              <w:top w:val="single" w:color="auto" w:sz="4" w:space="0"/>
              <w:left w:val="single" w:color="auto" w:sz="12" w:space="0"/>
            </w:tcBorders>
            <w:vAlign w:val="center"/>
          </w:tcPr>
          <w:p w14:paraId="65A6D761">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大气环境</w:t>
            </w:r>
          </w:p>
        </w:tc>
        <w:tc>
          <w:tcPr>
            <w:tcW w:w="471" w:type="dxa"/>
            <w:vMerge w:val="restart"/>
            <w:tcBorders>
              <w:top w:val="single" w:color="auto" w:sz="4" w:space="0"/>
            </w:tcBorders>
            <w:vAlign w:val="center"/>
          </w:tcPr>
          <w:p w14:paraId="0B3C9C59">
            <w:pPr>
              <w:snapToGrid w:val="0"/>
              <w:jc w:val="center"/>
              <w:rPr>
                <w:rFonts w:hint="default" w:ascii="Times New Roman" w:hAnsi="Times New Roman" w:cs="Times New Roman"/>
                <w:color w:val="auto"/>
                <w:kern w:val="1"/>
                <w:sz w:val="21"/>
                <w:szCs w:val="21"/>
              </w:rPr>
            </w:pPr>
            <w:r>
              <w:rPr>
                <w:rFonts w:hint="default" w:ascii="Times New Roman" w:hAnsi="Times New Roman" w:cs="Times New Roman"/>
                <w:color w:val="auto"/>
                <w:kern w:val="1"/>
                <w:sz w:val="21"/>
                <w:szCs w:val="21"/>
              </w:rPr>
              <w:t>有组织</w:t>
            </w:r>
          </w:p>
        </w:tc>
        <w:tc>
          <w:tcPr>
            <w:tcW w:w="663" w:type="dxa"/>
            <w:tcBorders>
              <w:top w:val="single" w:color="auto" w:sz="4" w:space="0"/>
            </w:tcBorders>
            <w:vAlign w:val="center"/>
          </w:tcPr>
          <w:p w14:paraId="32821E89">
            <w:pPr>
              <w:snapToGrid w:val="0"/>
              <w:jc w:val="center"/>
              <w:rPr>
                <w:rFonts w:hint="eastAsia" w:cs="Times New Roman"/>
                <w:color w:val="auto"/>
                <w:szCs w:val="21"/>
                <w:lang w:val="en-US" w:eastAsia="zh-CN"/>
              </w:rPr>
            </w:pPr>
            <w:r>
              <w:rPr>
                <w:rFonts w:hint="eastAsia" w:cs="Times New Roman"/>
                <w:color w:val="auto"/>
                <w:szCs w:val="21"/>
                <w:lang w:val="en-US" w:eastAsia="zh-CN"/>
              </w:rPr>
              <w:t>抛丸</w:t>
            </w:r>
          </w:p>
          <w:p w14:paraId="7881A80A">
            <w:pPr>
              <w:snapToGrid w:val="0"/>
              <w:jc w:val="center"/>
              <w:rPr>
                <w:rFonts w:hint="default" w:ascii="Times New Roman" w:hAnsi="Times New Roman" w:cs="Times New Roman"/>
                <w:color w:val="auto"/>
                <w:kern w:val="1"/>
                <w:sz w:val="21"/>
                <w:szCs w:val="21"/>
              </w:rPr>
            </w:pPr>
            <w:r>
              <w:rPr>
                <w:rFonts w:hint="eastAsia" w:cs="Times New Roman"/>
                <w:color w:val="auto"/>
                <w:szCs w:val="21"/>
                <w:lang w:val="en-US" w:eastAsia="zh-CN"/>
              </w:rPr>
              <w:t>粉尘</w:t>
            </w:r>
          </w:p>
        </w:tc>
        <w:tc>
          <w:tcPr>
            <w:tcW w:w="900" w:type="dxa"/>
            <w:tcBorders>
              <w:top w:val="single" w:color="auto" w:sz="4" w:space="0"/>
            </w:tcBorders>
            <w:vAlign w:val="center"/>
          </w:tcPr>
          <w:p w14:paraId="6D7EDA47">
            <w:pPr>
              <w:snapToGrid w:val="0"/>
              <w:jc w:val="center"/>
              <w:rPr>
                <w:rFonts w:hint="eastAsia" w:cs="Times New Roman"/>
                <w:color w:val="auto"/>
                <w:szCs w:val="21"/>
                <w:lang w:val="en-US" w:eastAsia="zh-CN"/>
              </w:rPr>
            </w:pPr>
            <w:r>
              <w:rPr>
                <w:rFonts w:hint="default" w:ascii="Times New Roman" w:hAnsi="Times New Roman" w:eastAsia="宋体" w:cs="Times New Roman"/>
                <w:color w:val="auto"/>
                <w:szCs w:val="21"/>
              </w:rPr>
              <w:t>DA001</w:t>
            </w:r>
          </w:p>
        </w:tc>
        <w:tc>
          <w:tcPr>
            <w:tcW w:w="1332" w:type="dxa"/>
            <w:tcBorders>
              <w:top w:val="single" w:color="auto" w:sz="4" w:space="0"/>
            </w:tcBorders>
            <w:shd w:val="clear" w:color="auto" w:fill="auto"/>
            <w:vAlign w:val="center"/>
          </w:tcPr>
          <w:p w14:paraId="5EBE0CCD">
            <w:pPr>
              <w:widowControl/>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i w:val="0"/>
                <w:iCs w:val="0"/>
                <w:color w:val="auto"/>
                <w:kern w:val="0"/>
                <w:sz w:val="21"/>
                <w:szCs w:val="21"/>
                <w:u w:val="none"/>
                <w:lang w:val="en-US" w:eastAsia="zh-CN" w:bidi="ar"/>
              </w:rPr>
              <w:t>颗粒物</w:t>
            </w:r>
          </w:p>
        </w:tc>
        <w:tc>
          <w:tcPr>
            <w:tcW w:w="2283" w:type="dxa"/>
            <w:tcBorders>
              <w:top w:val="single" w:color="auto" w:sz="4" w:space="0"/>
            </w:tcBorders>
            <w:shd w:val="clear" w:color="auto" w:fill="auto"/>
            <w:vAlign w:val="center"/>
          </w:tcPr>
          <w:p w14:paraId="2465A4FA">
            <w:pPr>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i w:val="0"/>
                <w:iCs w:val="0"/>
                <w:color w:val="auto"/>
                <w:kern w:val="0"/>
                <w:sz w:val="21"/>
                <w:szCs w:val="21"/>
                <w:u w:val="none"/>
                <w:lang w:val="en-US" w:eastAsia="zh-CN" w:bidi="ar"/>
              </w:rPr>
              <w:t>设备密闭+集气管道+自带布袋除尘器</w:t>
            </w:r>
          </w:p>
        </w:tc>
        <w:tc>
          <w:tcPr>
            <w:tcW w:w="2369" w:type="dxa"/>
            <w:vMerge w:val="restart"/>
            <w:tcBorders>
              <w:top w:val="single" w:color="auto" w:sz="4" w:space="0"/>
              <w:right w:val="single" w:color="auto" w:sz="12" w:space="0"/>
            </w:tcBorders>
            <w:shd w:val="clear" w:color="auto" w:fill="auto"/>
            <w:vAlign w:val="center"/>
          </w:tcPr>
          <w:p w14:paraId="168D3A33">
            <w:pPr>
              <w:widowControl/>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color w:val="auto"/>
                <w:kern w:val="0"/>
                <w:sz w:val="21"/>
                <w:szCs w:val="21"/>
                <w:lang w:val="en-US" w:eastAsia="zh-CN" w:bidi="ar-SA"/>
              </w:rPr>
              <w:t>《大气污染物综合排放标准》（GB 1629-1996）表2</w:t>
            </w:r>
          </w:p>
        </w:tc>
      </w:tr>
      <w:tr w14:paraId="7F7A18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782" w:type="dxa"/>
            <w:vMerge w:val="continue"/>
            <w:tcBorders>
              <w:left w:val="single" w:color="auto" w:sz="12" w:space="0"/>
            </w:tcBorders>
            <w:vAlign w:val="center"/>
          </w:tcPr>
          <w:p w14:paraId="3841D0C4">
            <w:pPr>
              <w:adjustRightInd w:val="0"/>
              <w:snapToGrid w:val="0"/>
              <w:jc w:val="center"/>
              <w:rPr>
                <w:rFonts w:hint="default" w:ascii="Times New Roman" w:hAnsi="Times New Roman" w:cs="Times New Roman"/>
                <w:color w:val="auto"/>
                <w:sz w:val="21"/>
                <w:szCs w:val="21"/>
              </w:rPr>
            </w:pPr>
          </w:p>
        </w:tc>
        <w:tc>
          <w:tcPr>
            <w:tcW w:w="471" w:type="dxa"/>
            <w:vMerge w:val="continue"/>
            <w:vAlign w:val="center"/>
          </w:tcPr>
          <w:p w14:paraId="29815F3E">
            <w:pPr>
              <w:snapToGrid w:val="0"/>
              <w:jc w:val="center"/>
              <w:rPr>
                <w:rFonts w:hint="default" w:ascii="Times New Roman" w:hAnsi="Times New Roman" w:cs="Times New Roman"/>
                <w:color w:val="auto"/>
                <w:kern w:val="1"/>
                <w:sz w:val="21"/>
                <w:szCs w:val="21"/>
              </w:rPr>
            </w:pPr>
          </w:p>
        </w:tc>
        <w:tc>
          <w:tcPr>
            <w:tcW w:w="663" w:type="dxa"/>
            <w:tcBorders>
              <w:top w:val="single" w:color="auto" w:sz="4" w:space="0"/>
            </w:tcBorders>
            <w:vAlign w:val="center"/>
          </w:tcPr>
          <w:p w14:paraId="4BB19D12">
            <w:pPr>
              <w:snapToGrid w:val="0"/>
              <w:jc w:val="center"/>
              <w:rPr>
                <w:rFonts w:hint="default" w:cs="Times New Roman"/>
                <w:color w:val="auto"/>
                <w:szCs w:val="21"/>
                <w:lang w:val="en-US" w:eastAsia="zh-CN"/>
              </w:rPr>
            </w:pPr>
            <w:r>
              <w:rPr>
                <w:rFonts w:hint="eastAsia" w:cs="Times New Roman"/>
                <w:color w:val="auto"/>
                <w:szCs w:val="21"/>
                <w:lang w:val="en-US" w:eastAsia="zh-CN"/>
              </w:rPr>
              <w:t>锻造脱模</w:t>
            </w:r>
          </w:p>
        </w:tc>
        <w:tc>
          <w:tcPr>
            <w:tcW w:w="900" w:type="dxa"/>
            <w:tcBorders>
              <w:top w:val="single" w:color="auto" w:sz="4" w:space="0"/>
            </w:tcBorders>
            <w:vAlign w:val="center"/>
          </w:tcPr>
          <w:p w14:paraId="7C830E92">
            <w:pPr>
              <w:snapToGrid w:val="0"/>
              <w:jc w:val="center"/>
              <w:rPr>
                <w:rFonts w:hint="eastAsia" w:cs="Times New Roman"/>
                <w:color w:val="auto"/>
                <w:szCs w:val="21"/>
                <w:lang w:val="en-US" w:eastAsia="zh-CN"/>
              </w:rPr>
            </w:pPr>
            <w:r>
              <w:rPr>
                <w:rFonts w:hint="default" w:ascii="Times New Roman" w:hAnsi="Times New Roman" w:eastAsia="宋体" w:cs="Times New Roman"/>
                <w:color w:val="auto"/>
                <w:szCs w:val="21"/>
              </w:rPr>
              <w:t>DA00</w:t>
            </w:r>
            <w:r>
              <w:rPr>
                <w:rFonts w:hint="eastAsia" w:ascii="Times New Roman" w:hAnsi="Times New Roman" w:cs="Times New Roman"/>
                <w:color w:val="auto"/>
                <w:szCs w:val="21"/>
                <w:lang w:val="en-US" w:eastAsia="zh-CN"/>
              </w:rPr>
              <w:t>2</w:t>
            </w:r>
          </w:p>
        </w:tc>
        <w:tc>
          <w:tcPr>
            <w:tcW w:w="1332" w:type="dxa"/>
            <w:tcBorders>
              <w:top w:val="single" w:color="auto" w:sz="4" w:space="0"/>
            </w:tcBorders>
            <w:shd w:val="clear" w:color="auto" w:fill="auto"/>
            <w:vAlign w:val="center"/>
          </w:tcPr>
          <w:p w14:paraId="2AA125F0">
            <w:pPr>
              <w:widowControl/>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非甲烷总烃</w:t>
            </w:r>
          </w:p>
        </w:tc>
        <w:tc>
          <w:tcPr>
            <w:tcW w:w="2283" w:type="dxa"/>
            <w:tcBorders>
              <w:top w:val="single" w:color="auto" w:sz="4" w:space="0"/>
            </w:tcBorders>
            <w:shd w:val="clear" w:color="auto" w:fill="auto"/>
            <w:vAlign w:val="center"/>
          </w:tcPr>
          <w:p w14:paraId="3954ADE5">
            <w:pPr>
              <w:snapToGrid w:val="0"/>
              <w:jc w:val="center"/>
              <w:rPr>
                <w:rFonts w:hint="eastAsia" w:ascii="Times New Roman" w:hAnsi="Times New Roman" w:cs="Times New Roman"/>
                <w:color w:val="auto"/>
                <w:szCs w:val="21"/>
                <w:lang w:val="en-US" w:eastAsia="zh-CN"/>
              </w:rPr>
            </w:pPr>
            <w:r>
              <w:rPr>
                <w:rFonts w:hint="eastAsia" w:ascii="Times New Roman" w:hAnsi="Times New Roman" w:eastAsia="宋体" w:cs="Times New Roman"/>
                <w:color w:val="auto"/>
                <w:szCs w:val="21"/>
                <w:lang w:val="en-US" w:eastAsia="zh-CN"/>
              </w:rPr>
              <w:t>集气罩</w:t>
            </w:r>
            <w:r>
              <w:rPr>
                <w:rFonts w:hint="eastAsia" w:cs="Times New Roman"/>
                <w:color w:val="auto"/>
                <w:szCs w:val="21"/>
                <w:lang w:val="en-US" w:eastAsia="zh-CN"/>
              </w:rPr>
              <w:t>+</w:t>
            </w:r>
            <w:r>
              <w:rPr>
                <w:rFonts w:hint="default" w:ascii="Times New Roman" w:hAnsi="Times New Roman" w:cs="Times New Roman"/>
                <w:color w:val="auto"/>
                <w:szCs w:val="21"/>
                <w:lang w:eastAsia="zh-CN"/>
              </w:rPr>
              <w:t>静电</w:t>
            </w:r>
            <w:r>
              <w:rPr>
                <w:rFonts w:hint="default" w:ascii="Times New Roman" w:hAnsi="Times New Roman" w:cs="Times New Roman"/>
                <w:color w:val="auto"/>
                <w:szCs w:val="21"/>
                <w:lang w:val="en-US" w:eastAsia="zh-CN"/>
              </w:rPr>
              <w:t>式</w:t>
            </w:r>
            <w:r>
              <w:rPr>
                <w:rFonts w:hint="default" w:ascii="Times New Roman" w:hAnsi="Times New Roman" w:cs="Times New Roman"/>
                <w:color w:val="auto"/>
                <w:szCs w:val="21"/>
                <w:lang w:eastAsia="zh-CN"/>
              </w:rPr>
              <w:t>油雾净化</w:t>
            </w:r>
            <w:r>
              <w:rPr>
                <w:rFonts w:hint="default" w:ascii="Times New Roman" w:hAnsi="Times New Roman" w:cs="Times New Roman"/>
                <w:color w:val="auto"/>
                <w:szCs w:val="21"/>
                <w:lang w:val="en-US" w:eastAsia="zh-CN"/>
              </w:rPr>
              <w:t>器</w:t>
            </w:r>
            <w:r>
              <w:rPr>
                <w:rFonts w:hint="eastAsia" w:ascii="Times New Roman" w:hAnsi="Times New Roman" w:cs="Times New Roman"/>
                <w:color w:val="auto"/>
                <w:szCs w:val="21"/>
                <w:lang w:val="en-US" w:eastAsia="zh-CN"/>
              </w:rPr>
              <w:t>+</w:t>
            </w:r>
            <w:r>
              <w:rPr>
                <w:rFonts w:hint="eastAsia" w:cs="Times New Roman"/>
                <w:color w:val="auto"/>
                <w:szCs w:val="21"/>
                <w:lang w:val="en-US" w:eastAsia="zh-CN"/>
              </w:rPr>
              <w:t>两级活性炭吸附装置</w:t>
            </w:r>
          </w:p>
        </w:tc>
        <w:tc>
          <w:tcPr>
            <w:tcW w:w="2369" w:type="dxa"/>
            <w:vMerge w:val="continue"/>
            <w:tcBorders>
              <w:right w:val="single" w:color="auto" w:sz="12" w:space="0"/>
            </w:tcBorders>
            <w:shd w:val="clear" w:color="auto" w:fill="auto"/>
            <w:vAlign w:val="center"/>
          </w:tcPr>
          <w:p w14:paraId="400A380B">
            <w:pPr>
              <w:widowControl/>
              <w:jc w:val="center"/>
              <w:rPr>
                <w:rFonts w:hint="eastAsia" w:ascii="Times New Roman" w:hAnsi="Times New Roman" w:eastAsia="宋体" w:cs="Times New Roman"/>
                <w:color w:val="auto"/>
                <w:kern w:val="0"/>
                <w:sz w:val="21"/>
                <w:szCs w:val="21"/>
                <w:lang w:val="en-US" w:eastAsia="zh-CN" w:bidi="ar-SA"/>
              </w:rPr>
            </w:pPr>
          </w:p>
        </w:tc>
      </w:tr>
      <w:tr w14:paraId="33AA89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82" w:type="dxa"/>
            <w:vMerge w:val="continue"/>
            <w:tcBorders>
              <w:left w:val="single" w:color="auto" w:sz="12" w:space="0"/>
            </w:tcBorders>
            <w:vAlign w:val="center"/>
          </w:tcPr>
          <w:p w14:paraId="0BD762AC">
            <w:pPr>
              <w:adjustRightInd w:val="0"/>
              <w:snapToGrid w:val="0"/>
              <w:jc w:val="center"/>
              <w:rPr>
                <w:rFonts w:hint="default" w:ascii="Times New Roman" w:hAnsi="Times New Roman" w:cs="Times New Roman"/>
                <w:color w:val="auto"/>
                <w:sz w:val="21"/>
                <w:szCs w:val="21"/>
              </w:rPr>
            </w:pPr>
          </w:p>
        </w:tc>
        <w:tc>
          <w:tcPr>
            <w:tcW w:w="471" w:type="dxa"/>
            <w:vMerge w:val="restart"/>
            <w:tcBorders>
              <w:top w:val="single" w:color="auto" w:sz="4" w:space="0"/>
            </w:tcBorders>
            <w:vAlign w:val="center"/>
          </w:tcPr>
          <w:p w14:paraId="3B713FE7">
            <w:pPr>
              <w:snapToGrid w:val="0"/>
              <w:jc w:val="center"/>
              <w:rPr>
                <w:rFonts w:hint="default" w:ascii="Times New Roman" w:hAnsi="Times New Roman" w:cs="Times New Roman"/>
                <w:color w:val="auto"/>
                <w:kern w:val="1"/>
                <w:sz w:val="21"/>
                <w:szCs w:val="21"/>
              </w:rPr>
            </w:pPr>
            <w:r>
              <w:rPr>
                <w:rFonts w:hint="default" w:ascii="Times New Roman" w:hAnsi="Times New Roman" w:cs="Times New Roman"/>
                <w:color w:val="auto"/>
                <w:kern w:val="1"/>
                <w:sz w:val="21"/>
                <w:szCs w:val="21"/>
              </w:rPr>
              <w:t>无组织</w:t>
            </w:r>
          </w:p>
        </w:tc>
        <w:tc>
          <w:tcPr>
            <w:tcW w:w="1563" w:type="dxa"/>
            <w:gridSpan w:val="2"/>
            <w:tcBorders>
              <w:top w:val="single" w:color="auto" w:sz="4" w:space="0"/>
            </w:tcBorders>
            <w:vAlign w:val="center"/>
          </w:tcPr>
          <w:p w14:paraId="5B02723F">
            <w:pPr>
              <w:snapToGrid w:val="0"/>
              <w:jc w:val="center"/>
              <w:rPr>
                <w:rFonts w:hint="eastAsia" w:cs="Times New Roman"/>
                <w:color w:val="auto"/>
                <w:sz w:val="21"/>
                <w:szCs w:val="21"/>
                <w:lang w:eastAsia="zh-CN"/>
              </w:rPr>
            </w:pPr>
            <w:r>
              <w:rPr>
                <w:rFonts w:hint="eastAsia" w:cs="Times New Roman"/>
                <w:color w:val="auto"/>
                <w:szCs w:val="21"/>
                <w:lang w:val="en-US" w:eastAsia="zh-CN"/>
              </w:rPr>
              <w:t>淬火</w:t>
            </w:r>
          </w:p>
        </w:tc>
        <w:tc>
          <w:tcPr>
            <w:tcW w:w="1332" w:type="dxa"/>
            <w:tcBorders>
              <w:top w:val="single" w:color="auto" w:sz="4" w:space="0"/>
            </w:tcBorders>
            <w:shd w:val="clear" w:color="auto" w:fill="auto"/>
            <w:vAlign w:val="center"/>
          </w:tcPr>
          <w:p w14:paraId="0FF95C1D">
            <w:pPr>
              <w:widowControl/>
              <w:jc w:val="center"/>
              <w:rPr>
                <w:color w:val="auto"/>
                <w:szCs w:val="21"/>
              </w:rPr>
            </w:pPr>
            <w:r>
              <w:rPr>
                <w:rFonts w:hint="eastAsia"/>
                <w:color w:val="auto"/>
                <w:szCs w:val="21"/>
                <w:lang w:val="en-US" w:eastAsia="zh-CN"/>
              </w:rPr>
              <w:t>非甲烷总烃</w:t>
            </w:r>
          </w:p>
        </w:tc>
        <w:tc>
          <w:tcPr>
            <w:tcW w:w="2283" w:type="dxa"/>
            <w:tcBorders>
              <w:top w:val="single" w:color="auto" w:sz="4" w:space="0"/>
            </w:tcBorders>
            <w:vAlign w:val="center"/>
          </w:tcPr>
          <w:p w14:paraId="037D2810">
            <w:pPr>
              <w:snapToGrid w:val="0"/>
              <w:jc w:val="center"/>
              <w:rPr>
                <w:rFonts w:hint="default" w:ascii="Times New Roman" w:hAnsi="Times New Roman" w:cs="Times New Roman"/>
                <w:bCs/>
                <w:color w:val="auto"/>
                <w:szCs w:val="18"/>
                <w:lang w:val="en-US"/>
              </w:rPr>
            </w:pPr>
            <w:r>
              <w:rPr>
                <w:rFonts w:hint="default" w:ascii="Times New Roman" w:hAnsi="Times New Roman" w:cs="Times New Roman"/>
                <w:i w:val="0"/>
                <w:iCs w:val="0"/>
                <w:color w:val="auto"/>
                <w:kern w:val="0"/>
                <w:sz w:val="21"/>
                <w:szCs w:val="21"/>
                <w:u w:val="none"/>
                <w:lang w:val="en-US" w:eastAsia="zh-CN" w:bidi="ar"/>
              </w:rPr>
              <w:t>设备密闭+集气管道</w:t>
            </w:r>
            <w:r>
              <w:rPr>
                <w:rFonts w:hint="eastAsia" w:ascii="Times New Roman" w:hAnsi="Times New Roman" w:cs="Times New Roman"/>
                <w:i w:val="0"/>
                <w:iCs w:val="0"/>
                <w:color w:val="auto"/>
                <w:kern w:val="0"/>
                <w:sz w:val="21"/>
                <w:szCs w:val="21"/>
                <w:u w:val="none"/>
                <w:lang w:val="en-US" w:eastAsia="zh-CN" w:bidi="ar"/>
              </w:rPr>
              <w:t>收集后无组织排放</w:t>
            </w:r>
          </w:p>
        </w:tc>
        <w:tc>
          <w:tcPr>
            <w:tcW w:w="2369" w:type="dxa"/>
            <w:vMerge w:val="restart"/>
            <w:tcBorders>
              <w:right w:val="single" w:color="auto" w:sz="12" w:space="0"/>
            </w:tcBorders>
            <w:vAlign w:val="center"/>
          </w:tcPr>
          <w:p w14:paraId="02A39087">
            <w:pPr>
              <w:widowControl/>
              <w:jc w:val="center"/>
              <w:rPr>
                <w:rFonts w:hint="default" w:ascii="Times New Roman" w:hAnsi="Times New Roman" w:cs="Times New Roman" w:eastAsiaTheme="minorEastAsia"/>
                <w:color w:val="auto"/>
                <w:kern w:val="0"/>
                <w:szCs w:val="21"/>
                <w:lang w:val="zh-CN" w:eastAsia="zh-CN"/>
              </w:rPr>
            </w:pPr>
            <w:r>
              <w:rPr>
                <w:rFonts w:hint="default" w:ascii="Times New Roman" w:hAnsi="Times New Roman" w:cs="Times New Roman" w:eastAsiaTheme="minorEastAsia"/>
                <w:color w:val="auto"/>
                <w:kern w:val="0"/>
                <w:szCs w:val="21"/>
              </w:rPr>
              <w:t>《大气污染物综合排放标准》（</w:t>
            </w:r>
            <w:r>
              <w:rPr>
                <w:rFonts w:hint="default" w:ascii="Times New Roman" w:hAnsi="Times New Roman" w:cs="Times New Roman" w:eastAsiaTheme="minorEastAsia"/>
                <w:color w:val="auto"/>
                <w:kern w:val="0"/>
                <w:szCs w:val="21"/>
                <w:lang w:val="en-US" w:eastAsia="zh-CN"/>
              </w:rPr>
              <w:t>GB16297</w:t>
            </w:r>
            <w:r>
              <w:rPr>
                <w:rFonts w:hint="default" w:ascii="Times New Roman" w:hAnsi="Times New Roman" w:cs="Times New Roman" w:eastAsiaTheme="minorEastAsia"/>
                <w:color w:val="auto"/>
                <w:kern w:val="0"/>
                <w:szCs w:val="21"/>
              </w:rPr>
              <w:t>-1996）</w:t>
            </w:r>
            <w:r>
              <w:rPr>
                <w:rFonts w:hint="default" w:ascii="Times New Roman" w:hAnsi="Times New Roman" w:cs="Times New Roman" w:eastAsiaTheme="minorEastAsia"/>
                <w:color w:val="auto"/>
                <w:kern w:val="0"/>
                <w:szCs w:val="21"/>
                <w:lang w:eastAsia="zh-CN"/>
              </w:rPr>
              <w:t>表</w:t>
            </w:r>
            <w:r>
              <w:rPr>
                <w:rFonts w:hint="default" w:ascii="Times New Roman" w:hAnsi="Times New Roman" w:cs="Times New Roman" w:eastAsiaTheme="minorEastAsia"/>
                <w:color w:val="auto"/>
                <w:kern w:val="0"/>
                <w:szCs w:val="21"/>
                <w:lang w:val="en-US" w:eastAsia="zh-CN"/>
              </w:rPr>
              <w:t>2</w:t>
            </w:r>
          </w:p>
        </w:tc>
      </w:tr>
      <w:tr w14:paraId="72F676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82" w:type="dxa"/>
            <w:vMerge w:val="continue"/>
            <w:tcBorders>
              <w:left w:val="single" w:color="auto" w:sz="12" w:space="0"/>
            </w:tcBorders>
            <w:vAlign w:val="center"/>
          </w:tcPr>
          <w:p w14:paraId="3B62F7FA">
            <w:pPr>
              <w:adjustRightInd w:val="0"/>
              <w:snapToGrid w:val="0"/>
              <w:jc w:val="center"/>
              <w:rPr>
                <w:rFonts w:hint="default" w:ascii="Times New Roman" w:hAnsi="Times New Roman" w:cs="Times New Roman"/>
                <w:color w:val="auto"/>
                <w:sz w:val="21"/>
                <w:szCs w:val="21"/>
              </w:rPr>
            </w:pPr>
          </w:p>
        </w:tc>
        <w:tc>
          <w:tcPr>
            <w:tcW w:w="471" w:type="dxa"/>
            <w:vMerge w:val="continue"/>
            <w:vAlign w:val="center"/>
          </w:tcPr>
          <w:p w14:paraId="1EFB2F1D">
            <w:pPr>
              <w:snapToGrid w:val="0"/>
              <w:jc w:val="center"/>
              <w:rPr>
                <w:rFonts w:hint="default" w:ascii="Times New Roman" w:hAnsi="Times New Roman" w:cs="Times New Roman"/>
                <w:color w:val="auto"/>
                <w:kern w:val="1"/>
                <w:sz w:val="21"/>
                <w:szCs w:val="21"/>
              </w:rPr>
            </w:pPr>
          </w:p>
        </w:tc>
        <w:tc>
          <w:tcPr>
            <w:tcW w:w="1563" w:type="dxa"/>
            <w:gridSpan w:val="2"/>
            <w:tcBorders>
              <w:top w:val="single" w:color="auto" w:sz="4" w:space="0"/>
            </w:tcBorders>
            <w:vAlign w:val="center"/>
          </w:tcPr>
          <w:p w14:paraId="49409E14">
            <w:pPr>
              <w:snapToGrid w:val="0"/>
              <w:jc w:val="center"/>
              <w:rPr>
                <w:rFonts w:hint="default" w:ascii="Times New Roman" w:hAnsi="Times New Roman" w:eastAsia="宋体" w:cs="Times New Roman"/>
                <w:color w:val="auto"/>
                <w:sz w:val="21"/>
                <w:szCs w:val="21"/>
                <w:lang w:eastAsia="zh-CN"/>
              </w:rPr>
            </w:pPr>
            <w:r>
              <w:rPr>
                <w:rFonts w:hint="eastAsia" w:cs="Times New Roman"/>
                <w:color w:val="auto"/>
                <w:sz w:val="21"/>
                <w:szCs w:val="21"/>
                <w:lang w:eastAsia="zh-CN"/>
              </w:rPr>
              <w:t>厂界</w:t>
            </w:r>
          </w:p>
        </w:tc>
        <w:tc>
          <w:tcPr>
            <w:tcW w:w="1332" w:type="dxa"/>
            <w:tcBorders>
              <w:top w:val="single" w:color="auto" w:sz="4" w:space="0"/>
            </w:tcBorders>
            <w:shd w:val="clear" w:color="auto" w:fill="auto"/>
            <w:vAlign w:val="center"/>
          </w:tcPr>
          <w:p w14:paraId="756D99E1">
            <w:pPr>
              <w:widowControl/>
              <w:jc w:val="center"/>
              <w:rPr>
                <w:rFonts w:hint="default" w:ascii="Times New Roman" w:hAnsi="Times New Roman" w:eastAsia="宋体" w:cs="Times New Roman"/>
                <w:color w:val="auto"/>
                <w:kern w:val="2"/>
                <w:sz w:val="21"/>
                <w:szCs w:val="21"/>
                <w:lang w:val="en-US" w:eastAsia="zh-CN" w:bidi="ar-SA"/>
              </w:rPr>
            </w:pPr>
            <w:r>
              <w:rPr>
                <w:color w:val="auto"/>
                <w:szCs w:val="21"/>
              </w:rPr>
              <w:t>颗粒物</w:t>
            </w:r>
            <w:r>
              <w:rPr>
                <w:rFonts w:hint="eastAsia"/>
                <w:color w:val="auto"/>
                <w:szCs w:val="21"/>
                <w:lang w:eastAsia="zh-CN"/>
              </w:rPr>
              <w:t>、</w:t>
            </w:r>
            <w:r>
              <w:rPr>
                <w:rFonts w:hint="eastAsia"/>
                <w:color w:val="auto"/>
                <w:szCs w:val="21"/>
                <w:lang w:val="en-US" w:eastAsia="zh-CN"/>
              </w:rPr>
              <w:t>非甲烷总烃</w:t>
            </w:r>
          </w:p>
        </w:tc>
        <w:tc>
          <w:tcPr>
            <w:tcW w:w="2283" w:type="dxa"/>
            <w:vMerge w:val="restart"/>
            <w:tcBorders>
              <w:top w:val="single" w:color="auto" w:sz="4" w:space="0"/>
            </w:tcBorders>
            <w:vAlign w:val="center"/>
          </w:tcPr>
          <w:p w14:paraId="5DEC2EBB">
            <w:pPr>
              <w:snapToGrid w:val="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bCs/>
                <w:color w:val="auto"/>
                <w:szCs w:val="18"/>
              </w:rPr>
              <w:t>提高废气收集效率，减少无组织排放，强化车间通风</w:t>
            </w:r>
          </w:p>
        </w:tc>
        <w:tc>
          <w:tcPr>
            <w:tcW w:w="2369" w:type="dxa"/>
            <w:vMerge w:val="continue"/>
            <w:tcBorders>
              <w:right w:val="single" w:color="auto" w:sz="12" w:space="0"/>
            </w:tcBorders>
            <w:vAlign w:val="center"/>
          </w:tcPr>
          <w:p w14:paraId="705BC7AB">
            <w:pPr>
              <w:widowControl/>
              <w:jc w:val="center"/>
              <w:rPr>
                <w:rFonts w:hint="default" w:ascii="Times New Roman" w:hAnsi="Times New Roman" w:cs="Times New Roman" w:eastAsiaTheme="minorEastAsia"/>
                <w:color w:val="auto"/>
                <w:kern w:val="0"/>
                <w:szCs w:val="21"/>
                <w:lang w:val="zh-CN" w:eastAsia="zh-CN"/>
              </w:rPr>
            </w:pPr>
          </w:p>
        </w:tc>
      </w:tr>
      <w:tr w14:paraId="3BF234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82" w:type="dxa"/>
            <w:vMerge w:val="continue"/>
            <w:tcBorders>
              <w:left w:val="single" w:color="auto" w:sz="12" w:space="0"/>
            </w:tcBorders>
            <w:vAlign w:val="center"/>
          </w:tcPr>
          <w:p w14:paraId="5EA7812A">
            <w:pPr>
              <w:adjustRightInd w:val="0"/>
              <w:snapToGrid w:val="0"/>
              <w:jc w:val="center"/>
              <w:rPr>
                <w:rFonts w:hint="default" w:ascii="Times New Roman" w:hAnsi="Times New Roman" w:cs="Times New Roman"/>
                <w:color w:val="auto"/>
                <w:sz w:val="21"/>
                <w:szCs w:val="21"/>
              </w:rPr>
            </w:pPr>
          </w:p>
        </w:tc>
        <w:tc>
          <w:tcPr>
            <w:tcW w:w="471" w:type="dxa"/>
            <w:vMerge w:val="continue"/>
            <w:vAlign w:val="center"/>
          </w:tcPr>
          <w:p w14:paraId="1F924016">
            <w:pPr>
              <w:snapToGrid w:val="0"/>
              <w:jc w:val="center"/>
              <w:rPr>
                <w:rFonts w:hint="default" w:ascii="Times New Roman" w:hAnsi="Times New Roman" w:cs="Times New Roman"/>
                <w:color w:val="auto"/>
                <w:kern w:val="1"/>
                <w:sz w:val="21"/>
                <w:szCs w:val="21"/>
              </w:rPr>
            </w:pPr>
          </w:p>
        </w:tc>
        <w:tc>
          <w:tcPr>
            <w:tcW w:w="1563" w:type="dxa"/>
            <w:gridSpan w:val="2"/>
            <w:tcBorders>
              <w:top w:val="single" w:color="auto" w:sz="4" w:space="0"/>
            </w:tcBorders>
            <w:vAlign w:val="center"/>
          </w:tcPr>
          <w:p w14:paraId="297628FD">
            <w:pPr>
              <w:snapToGrid w:val="0"/>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厂区内</w:t>
            </w:r>
          </w:p>
        </w:tc>
        <w:tc>
          <w:tcPr>
            <w:tcW w:w="1332" w:type="dxa"/>
            <w:tcBorders>
              <w:top w:val="single" w:color="auto" w:sz="4" w:space="0"/>
            </w:tcBorders>
            <w:shd w:val="clear" w:color="auto" w:fill="auto"/>
            <w:vAlign w:val="center"/>
          </w:tcPr>
          <w:p w14:paraId="1041C4FA">
            <w:pPr>
              <w:widowControl/>
              <w:jc w:val="center"/>
              <w:rPr>
                <w:color w:val="auto"/>
                <w:szCs w:val="21"/>
              </w:rPr>
            </w:pPr>
            <w:r>
              <w:rPr>
                <w:rFonts w:hint="default" w:ascii="Times New Roman" w:hAnsi="Times New Roman" w:cs="Times New Roman"/>
                <w:i w:val="0"/>
                <w:iCs w:val="0"/>
                <w:color w:val="auto"/>
                <w:kern w:val="0"/>
                <w:sz w:val="21"/>
                <w:szCs w:val="21"/>
                <w:u w:val="none"/>
                <w:lang w:val="en-US" w:eastAsia="zh-CN" w:bidi="ar"/>
              </w:rPr>
              <w:t>非甲烷总烃</w:t>
            </w:r>
          </w:p>
        </w:tc>
        <w:tc>
          <w:tcPr>
            <w:tcW w:w="2283" w:type="dxa"/>
            <w:vMerge w:val="continue"/>
            <w:vAlign w:val="center"/>
          </w:tcPr>
          <w:p w14:paraId="34448FD7">
            <w:pPr>
              <w:snapToGrid w:val="0"/>
              <w:jc w:val="center"/>
              <w:rPr>
                <w:rFonts w:hint="default" w:ascii="Times New Roman" w:hAnsi="Times New Roman" w:cs="Times New Roman"/>
                <w:bCs/>
                <w:color w:val="auto"/>
                <w:szCs w:val="18"/>
              </w:rPr>
            </w:pPr>
          </w:p>
        </w:tc>
        <w:tc>
          <w:tcPr>
            <w:tcW w:w="2369" w:type="dxa"/>
            <w:tcBorders>
              <w:right w:val="single" w:color="auto" w:sz="12" w:space="0"/>
            </w:tcBorders>
            <w:vAlign w:val="center"/>
          </w:tcPr>
          <w:p w14:paraId="26BEAE10">
            <w:pPr>
              <w:widowControl/>
              <w:jc w:val="center"/>
              <w:rPr>
                <w:rFonts w:hint="default" w:ascii="Times New Roman" w:hAnsi="Times New Roman" w:cs="Times New Roman" w:eastAsiaTheme="minorEastAsia"/>
                <w:color w:val="auto"/>
                <w:kern w:val="0"/>
                <w:szCs w:val="21"/>
              </w:rPr>
            </w:pPr>
            <w:r>
              <w:rPr>
                <w:rFonts w:hint="default" w:ascii="Times New Roman" w:hAnsi="Times New Roman" w:eastAsia="宋体" w:cs="Times New Roman"/>
                <w:color w:val="auto"/>
                <w:sz w:val="21"/>
                <w:szCs w:val="21"/>
                <w:lang w:val="en-US" w:eastAsia="zh-CN"/>
              </w:rPr>
              <w:t>《</w:t>
            </w:r>
            <w:r>
              <w:rPr>
                <w:rFonts w:hint="default" w:ascii="Times New Roman" w:hAnsi="Times New Roman" w:cs="Times New Roman"/>
                <w:color w:val="auto"/>
                <w:sz w:val="21"/>
                <w:szCs w:val="21"/>
                <w:lang w:val="en-US" w:eastAsia="zh-CN"/>
              </w:rPr>
              <w:t>固定源挥发性有机物综合排放标准</w:t>
            </w:r>
            <w:r>
              <w:rPr>
                <w:rFonts w:hint="default" w:ascii="Times New Roman" w:hAnsi="Times New Roman" w:eastAsia="宋体" w:cs="Times New Roman"/>
                <w:color w:val="auto"/>
                <w:sz w:val="21"/>
                <w:szCs w:val="21"/>
                <w:lang w:val="en-US" w:eastAsia="zh-CN"/>
              </w:rPr>
              <w:t>第6部分：其他行业》（DB34/4812.6-2024）表4</w:t>
            </w:r>
          </w:p>
        </w:tc>
      </w:tr>
      <w:tr w14:paraId="05F1CE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782" w:type="dxa"/>
            <w:vMerge w:val="restart"/>
            <w:tcBorders>
              <w:top w:val="single" w:color="auto" w:sz="4" w:space="0"/>
              <w:left w:val="single" w:color="auto" w:sz="12" w:space="0"/>
            </w:tcBorders>
            <w:vAlign w:val="center"/>
          </w:tcPr>
          <w:p w14:paraId="3EEFBE74">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地表水</w:t>
            </w:r>
          </w:p>
          <w:p w14:paraId="1D087872">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环境</w:t>
            </w:r>
          </w:p>
        </w:tc>
        <w:tc>
          <w:tcPr>
            <w:tcW w:w="2034" w:type="dxa"/>
            <w:gridSpan w:val="3"/>
            <w:tcBorders>
              <w:top w:val="single" w:color="auto" w:sz="4" w:space="0"/>
            </w:tcBorders>
            <w:vAlign w:val="center"/>
          </w:tcPr>
          <w:p w14:paraId="1E2919AB">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生活污水</w:t>
            </w:r>
          </w:p>
        </w:tc>
        <w:tc>
          <w:tcPr>
            <w:tcW w:w="1332" w:type="dxa"/>
            <w:tcBorders>
              <w:top w:val="single" w:color="auto" w:sz="4" w:space="0"/>
            </w:tcBorders>
            <w:vAlign w:val="center"/>
          </w:tcPr>
          <w:p w14:paraId="20564C7E">
            <w:pPr>
              <w:jc w:val="center"/>
              <w:outlineLvl w:val="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pH、COD、BOD</w:t>
            </w:r>
            <w:r>
              <w:rPr>
                <w:rFonts w:hint="default" w:ascii="Times New Roman" w:hAnsi="Times New Roman" w:cs="Times New Roman"/>
                <w:color w:val="auto"/>
                <w:sz w:val="21"/>
                <w:szCs w:val="21"/>
                <w:vertAlign w:val="subscript"/>
              </w:rPr>
              <w:t>5</w:t>
            </w:r>
            <w:r>
              <w:rPr>
                <w:rFonts w:hint="default" w:ascii="Times New Roman" w:hAnsi="Times New Roman" w:cs="Times New Roman"/>
                <w:color w:val="auto"/>
                <w:sz w:val="21"/>
                <w:szCs w:val="21"/>
              </w:rPr>
              <w:t>、SS、氨氮</w:t>
            </w:r>
            <w:r>
              <w:rPr>
                <w:rFonts w:hint="eastAsia" w:cs="Times New Roman"/>
                <w:color w:val="auto"/>
                <w:sz w:val="21"/>
                <w:szCs w:val="21"/>
                <w:lang w:eastAsia="zh-CN"/>
              </w:rPr>
              <w:t>、</w:t>
            </w:r>
            <w:r>
              <w:rPr>
                <w:rFonts w:hint="eastAsia" w:cs="Times New Roman"/>
                <w:color w:val="auto"/>
                <w:sz w:val="21"/>
                <w:szCs w:val="21"/>
                <w:lang w:val="en-US" w:eastAsia="zh-CN"/>
              </w:rPr>
              <w:t>TP、TN</w:t>
            </w:r>
          </w:p>
        </w:tc>
        <w:tc>
          <w:tcPr>
            <w:tcW w:w="2283" w:type="dxa"/>
            <w:tcBorders>
              <w:top w:val="single" w:color="auto" w:sz="4" w:space="0"/>
            </w:tcBorders>
            <w:vAlign w:val="center"/>
          </w:tcPr>
          <w:p w14:paraId="3742DE6C">
            <w:pPr>
              <w:jc w:val="center"/>
              <w:outlineLvl w:val="0"/>
              <w:rPr>
                <w:rFonts w:hint="default" w:ascii="Times New Roman" w:hAnsi="Times New Roman" w:cs="Times New Roman"/>
                <w:color w:val="auto"/>
                <w:sz w:val="21"/>
                <w:szCs w:val="21"/>
              </w:rPr>
            </w:pPr>
            <w:bookmarkStart w:id="3" w:name="_Toc63415136"/>
            <w:r>
              <w:rPr>
                <w:rFonts w:hint="default" w:ascii="Times New Roman" w:hAnsi="Times New Roman" w:cs="Times New Roman"/>
                <w:color w:val="auto"/>
                <w:sz w:val="21"/>
                <w:szCs w:val="21"/>
              </w:rPr>
              <w:t>化粪池</w:t>
            </w:r>
            <w:bookmarkEnd w:id="3"/>
          </w:p>
        </w:tc>
        <w:tc>
          <w:tcPr>
            <w:tcW w:w="2369" w:type="dxa"/>
            <w:vMerge w:val="restart"/>
            <w:tcBorders>
              <w:top w:val="single" w:color="auto" w:sz="4" w:space="0"/>
              <w:right w:val="single" w:color="auto" w:sz="12" w:space="0"/>
            </w:tcBorders>
            <w:vAlign w:val="center"/>
          </w:tcPr>
          <w:p w14:paraId="65AEB617">
            <w:pPr>
              <w:jc w:val="center"/>
              <w:outlineLvl w:val="0"/>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bidi="ar"/>
              </w:rPr>
              <w:t>《污水综合排放标准》（GB8978-1996）表4中三级标准及</w:t>
            </w:r>
            <w:r>
              <w:rPr>
                <w:rFonts w:hint="eastAsia" w:cs="Times New Roman"/>
                <w:color w:val="auto"/>
                <w:sz w:val="21"/>
                <w:szCs w:val="21"/>
                <w:lang w:eastAsia="zh-CN" w:bidi="ar"/>
              </w:rPr>
              <w:t>芜湖县新芜开发区城东污水处理厂</w:t>
            </w:r>
            <w:r>
              <w:rPr>
                <w:rFonts w:hint="default" w:ascii="Times New Roman" w:hAnsi="Times New Roman" w:eastAsia="宋体" w:cs="Times New Roman"/>
                <w:color w:val="auto"/>
                <w:sz w:val="21"/>
                <w:szCs w:val="21"/>
              </w:rPr>
              <w:t>接管</w:t>
            </w:r>
            <w:r>
              <w:rPr>
                <w:rFonts w:hint="default" w:ascii="Times New Roman" w:hAnsi="Times New Roman" w:eastAsia="宋体" w:cs="Times New Roman"/>
                <w:color w:val="auto"/>
                <w:sz w:val="21"/>
                <w:szCs w:val="21"/>
                <w:lang w:bidi="ar"/>
              </w:rPr>
              <w:t>要求</w:t>
            </w:r>
          </w:p>
        </w:tc>
      </w:tr>
      <w:tr w14:paraId="7C804E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782" w:type="dxa"/>
            <w:vMerge w:val="continue"/>
            <w:tcBorders>
              <w:left w:val="single" w:color="auto" w:sz="12" w:space="0"/>
            </w:tcBorders>
            <w:vAlign w:val="center"/>
          </w:tcPr>
          <w:p w14:paraId="0DFD76FB">
            <w:pPr>
              <w:adjustRightInd w:val="0"/>
              <w:snapToGrid w:val="0"/>
              <w:jc w:val="center"/>
              <w:rPr>
                <w:rFonts w:hint="default" w:ascii="Times New Roman" w:hAnsi="Times New Roman" w:cs="Times New Roman"/>
                <w:color w:val="auto"/>
                <w:sz w:val="21"/>
                <w:szCs w:val="21"/>
              </w:rPr>
            </w:pPr>
          </w:p>
        </w:tc>
        <w:tc>
          <w:tcPr>
            <w:tcW w:w="2034" w:type="dxa"/>
            <w:gridSpan w:val="3"/>
            <w:tcBorders>
              <w:top w:val="single" w:color="auto" w:sz="4" w:space="0"/>
            </w:tcBorders>
            <w:shd w:val="clear" w:color="auto" w:fill="auto"/>
            <w:vAlign w:val="center"/>
          </w:tcPr>
          <w:p w14:paraId="4A9EDD55">
            <w:pPr>
              <w:keepNext w:val="0"/>
              <w:keepLines w:val="0"/>
              <w:pageBreakBefore w:val="0"/>
              <w:kinsoku/>
              <w:wordWrap/>
              <w:overflowPunct/>
              <w:topLinePunct w:val="0"/>
              <w:autoSpaceDE w:val="0"/>
              <w:autoSpaceDN w:val="0"/>
              <w:bidi w:val="0"/>
              <w:adjustRightIn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淬火冷却废水</w:t>
            </w:r>
          </w:p>
        </w:tc>
        <w:tc>
          <w:tcPr>
            <w:tcW w:w="1332" w:type="dxa"/>
            <w:tcBorders>
              <w:top w:val="single" w:color="auto" w:sz="4" w:space="0"/>
            </w:tcBorders>
            <w:shd w:val="clear" w:color="auto" w:fill="auto"/>
            <w:vAlign w:val="center"/>
          </w:tcPr>
          <w:p w14:paraId="0A86213C">
            <w:pPr>
              <w:keepNext w:val="0"/>
              <w:keepLines w:val="0"/>
              <w:pageBreakBefore w:val="0"/>
              <w:kinsoku/>
              <w:wordWrap/>
              <w:overflowPunct/>
              <w:topLinePunct w:val="0"/>
              <w:autoSpaceDE w:val="0"/>
              <w:autoSpaceDN w:val="0"/>
              <w:bidi w:val="0"/>
              <w:adjustRightIn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COD</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SS</w:t>
            </w:r>
            <w:r>
              <w:rPr>
                <w:rFonts w:hint="eastAsia" w:cs="Times New Roman"/>
                <w:color w:val="auto"/>
                <w:sz w:val="21"/>
                <w:szCs w:val="21"/>
                <w:lang w:eastAsia="zh-CN"/>
              </w:rPr>
              <w:t>、</w:t>
            </w:r>
            <w:r>
              <w:rPr>
                <w:rFonts w:hint="eastAsia" w:cs="Times New Roman"/>
                <w:color w:val="auto"/>
                <w:sz w:val="21"/>
                <w:szCs w:val="21"/>
                <w:lang w:val="en-US" w:eastAsia="zh-CN"/>
              </w:rPr>
              <w:t>石油类</w:t>
            </w:r>
          </w:p>
        </w:tc>
        <w:tc>
          <w:tcPr>
            <w:tcW w:w="2283" w:type="dxa"/>
            <w:tcBorders>
              <w:top w:val="single" w:color="auto" w:sz="4" w:space="0"/>
            </w:tcBorders>
            <w:shd w:val="clear" w:color="auto" w:fill="auto"/>
            <w:vAlign w:val="center"/>
          </w:tcPr>
          <w:p w14:paraId="2334733F">
            <w:pPr>
              <w:adjustRightInd w:val="0"/>
              <w:snapToGrid w:val="0"/>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bCs/>
                <w:color w:val="auto"/>
                <w:sz w:val="21"/>
                <w:szCs w:val="21"/>
                <w:lang w:val="en-US" w:eastAsia="zh-CN"/>
              </w:rPr>
              <w:t>设备自带一个淬火液槽，淬火液在槽内循环使用，不外排，定期补充，定期捞渣</w:t>
            </w:r>
            <w:r>
              <w:rPr>
                <w:rFonts w:hint="eastAsia" w:cs="Times New Roman"/>
                <w:bCs/>
                <w:color w:val="auto"/>
                <w:sz w:val="21"/>
                <w:szCs w:val="21"/>
                <w:lang w:val="en-US" w:eastAsia="zh-CN"/>
              </w:rPr>
              <w:t>，</w:t>
            </w:r>
            <w:r>
              <w:rPr>
                <w:rFonts w:hint="eastAsia" w:ascii="Times New Roman" w:hAnsi="Times New Roman" w:cs="Times New Roman"/>
                <w:bCs/>
                <w:color w:val="auto"/>
                <w:sz w:val="21"/>
                <w:szCs w:val="21"/>
                <w:lang w:val="en-US" w:eastAsia="zh-CN"/>
              </w:rPr>
              <w:t>无需更换</w:t>
            </w:r>
          </w:p>
        </w:tc>
        <w:tc>
          <w:tcPr>
            <w:tcW w:w="2369" w:type="dxa"/>
            <w:vMerge w:val="continue"/>
            <w:tcBorders>
              <w:right w:val="single" w:color="auto" w:sz="12" w:space="0"/>
            </w:tcBorders>
            <w:vAlign w:val="center"/>
          </w:tcPr>
          <w:p w14:paraId="1E148066">
            <w:pPr>
              <w:jc w:val="center"/>
              <w:outlineLvl w:val="0"/>
              <w:rPr>
                <w:rFonts w:hint="default" w:ascii="Times New Roman" w:hAnsi="Times New Roman" w:eastAsia="宋体" w:cs="Times New Roman"/>
                <w:color w:val="auto"/>
                <w:sz w:val="21"/>
                <w:szCs w:val="21"/>
                <w:lang w:bidi="ar"/>
              </w:rPr>
            </w:pPr>
          </w:p>
        </w:tc>
      </w:tr>
      <w:tr w14:paraId="5FF190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782" w:type="dxa"/>
            <w:vMerge w:val="continue"/>
            <w:tcBorders>
              <w:left w:val="single" w:color="auto" w:sz="12" w:space="0"/>
            </w:tcBorders>
            <w:vAlign w:val="center"/>
          </w:tcPr>
          <w:p w14:paraId="0A9FC460">
            <w:pPr>
              <w:adjustRightInd w:val="0"/>
              <w:snapToGrid w:val="0"/>
              <w:jc w:val="center"/>
              <w:rPr>
                <w:rFonts w:hint="default" w:ascii="Times New Roman" w:hAnsi="Times New Roman" w:cs="Times New Roman"/>
                <w:color w:val="auto"/>
                <w:sz w:val="21"/>
                <w:szCs w:val="21"/>
              </w:rPr>
            </w:pPr>
          </w:p>
        </w:tc>
        <w:tc>
          <w:tcPr>
            <w:tcW w:w="2034" w:type="dxa"/>
            <w:gridSpan w:val="3"/>
            <w:tcBorders>
              <w:top w:val="single" w:color="auto" w:sz="4" w:space="0"/>
            </w:tcBorders>
            <w:shd w:val="clear" w:color="auto" w:fill="auto"/>
            <w:vAlign w:val="center"/>
          </w:tcPr>
          <w:p w14:paraId="207DEAFD">
            <w:pPr>
              <w:keepNext w:val="0"/>
              <w:keepLines w:val="0"/>
              <w:pageBreakBefore w:val="0"/>
              <w:kinsoku/>
              <w:wordWrap/>
              <w:overflowPunct/>
              <w:topLinePunct w:val="0"/>
              <w:autoSpaceDE w:val="0"/>
              <w:autoSpaceDN w:val="0"/>
              <w:bidi w:val="0"/>
              <w:adjustRightIn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湿式磨削废水</w:t>
            </w:r>
          </w:p>
        </w:tc>
        <w:tc>
          <w:tcPr>
            <w:tcW w:w="1332" w:type="dxa"/>
            <w:tcBorders>
              <w:top w:val="single" w:color="auto" w:sz="4" w:space="0"/>
            </w:tcBorders>
            <w:shd w:val="clear" w:color="auto" w:fill="auto"/>
            <w:vAlign w:val="center"/>
          </w:tcPr>
          <w:p w14:paraId="1488C551">
            <w:pPr>
              <w:keepNext w:val="0"/>
              <w:keepLines w:val="0"/>
              <w:pageBreakBefore w:val="0"/>
              <w:kinsoku/>
              <w:wordWrap/>
              <w:overflowPunct/>
              <w:topLinePunct w:val="0"/>
              <w:autoSpaceDE w:val="0"/>
              <w:autoSpaceDN w:val="0"/>
              <w:bidi w:val="0"/>
              <w:adjustRightIn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SS</w:t>
            </w:r>
            <w:r>
              <w:rPr>
                <w:rFonts w:hint="eastAsia" w:cs="Times New Roman"/>
                <w:color w:val="auto"/>
                <w:sz w:val="21"/>
                <w:szCs w:val="21"/>
                <w:lang w:eastAsia="zh-CN"/>
              </w:rPr>
              <w:t>、</w:t>
            </w:r>
            <w:r>
              <w:rPr>
                <w:rFonts w:hint="eastAsia" w:cs="Times New Roman"/>
                <w:color w:val="auto"/>
                <w:sz w:val="21"/>
                <w:szCs w:val="21"/>
                <w:lang w:val="en-US" w:eastAsia="zh-CN"/>
              </w:rPr>
              <w:t>石油类</w:t>
            </w:r>
          </w:p>
        </w:tc>
        <w:tc>
          <w:tcPr>
            <w:tcW w:w="2283" w:type="dxa"/>
            <w:tcBorders>
              <w:top w:val="single" w:color="auto" w:sz="4" w:space="0"/>
            </w:tcBorders>
            <w:shd w:val="clear" w:color="auto" w:fill="auto"/>
            <w:vAlign w:val="center"/>
          </w:tcPr>
          <w:p w14:paraId="5BA5F88D">
            <w:pPr>
              <w:adjustRightInd w:val="0"/>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sz w:val="21"/>
                <w:szCs w:val="21"/>
                <w:lang w:val="en-US" w:eastAsia="zh-CN"/>
              </w:rPr>
              <w:t>设置</w:t>
            </w:r>
            <w:r>
              <w:rPr>
                <w:rFonts w:hint="eastAsia" w:ascii="Times New Roman" w:hAnsi="Times New Roman" w:cs="Times New Roman"/>
                <w:bCs/>
                <w:color w:val="auto"/>
                <w:sz w:val="21"/>
                <w:szCs w:val="21"/>
                <w:lang w:val="en-US" w:eastAsia="zh-CN"/>
              </w:rPr>
              <w:t>沉淀池沉淀处理后</w:t>
            </w:r>
            <w:r>
              <w:rPr>
                <w:rStyle w:val="77"/>
                <w:rFonts w:hint="eastAsia"/>
                <w:color w:val="auto"/>
                <w:kern w:val="0"/>
                <w:sz w:val="21"/>
                <w:szCs w:val="21"/>
                <w:lang w:val="en-US" w:eastAsia="zh-CN"/>
              </w:rPr>
              <w:t>循环使用，不外排，</w:t>
            </w:r>
            <w:r>
              <w:rPr>
                <w:rStyle w:val="77"/>
                <w:rFonts w:hint="default"/>
                <w:color w:val="auto"/>
                <w:kern w:val="0"/>
                <w:sz w:val="21"/>
                <w:szCs w:val="21"/>
                <w:lang w:val="en-US" w:eastAsia="zh-CN"/>
              </w:rPr>
              <w:t>定期补充</w:t>
            </w:r>
            <w:r>
              <w:rPr>
                <w:rStyle w:val="77"/>
                <w:rFonts w:hint="eastAsia"/>
                <w:color w:val="auto"/>
                <w:kern w:val="0"/>
                <w:sz w:val="21"/>
                <w:szCs w:val="21"/>
                <w:lang w:val="en-US" w:eastAsia="zh-CN"/>
              </w:rPr>
              <w:t>，定期捞渣，无需更换</w:t>
            </w:r>
          </w:p>
        </w:tc>
        <w:tc>
          <w:tcPr>
            <w:tcW w:w="2369" w:type="dxa"/>
            <w:vMerge w:val="continue"/>
            <w:tcBorders>
              <w:right w:val="single" w:color="auto" w:sz="12" w:space="0"/>
            </w:tcBorders>
            <w:vAlign w:val="center"/>
          </w:tcPr>
          <w:p w14:paraId="177E3F2E">
            <w:pPr>
              <w:jc w:val="center"/>
              <w:outlineLvl w:val="0"/>
              <w:rPr>
                <w:rFonts w:hint="default" w:ascii="Times New Roman" w:hAnsi="Times New Roman" w:eastAsia="宋体" w:cs="Times New Roman"/>
                <w:color w:val="auto"/>
                <w:sz w:val="21"/>
                <w:szCs w:val="21"/>
                <w:lang w:bidi="ar"/>
              </w:rPr>
            </w:pPr>
          </w:p>
        </w:tc>
      </w:tr>
      <w:tr w14:paraId="1E2B01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82" w:type="dxa"/>
            <w:tcBorders>
              <w:top w:val="single" w:color="auto" w:sz="4" w:space="0"/>
              <w:left w:val="single" w:color="auto" w:sz="12" w:space="0"/>
              <w:bottom w:val="single" w:color="auto" w:sz="4" w:space="0"/>
            </w:tcBorders>
            <w:vAlign w:val="center"/>
          </w:tcPr>
          <w:p w14:paraId="0C512349">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声环境</w:t>
            </w:r>
          </w:p>
        </w:tc>
        <w:tc>
          <w:tcPr>
            <w:tcW w:w="2034" w:type="dxa"/>
            <w:gridSpan w:val="3"/>
            <w:tcBorders>
              <w:top w:val="single" w:color="auto" w:sz="4" w:space="0"/>
              <w:bottom w:val="single" w:color="auto" w:sz="4" w:space="0"/>
            </w:tcBorders>
            <w:vAlign w:val="center"/>
          </w:tcPr>
          <w:p w14:paraId="775B0353">
            <w:pPr>
              <w:adjustRightInd w:val="0"/>
              <w:snapToGrid w:val="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设备</w:t>
            </w:r>
          </w:p>
        </w:tc>
        <w:tc>
          <w:tcPr>
            <w:tcW w:w="1332" w:type="dxa"/>
            <w:tcBorders>
              <w:top w:val="single" w:color="auto" w:sz="4" w:space="0"/>
              <w:bottom w:val="single" w:color="auto" w:sz="4" w:space="0"/>
            </w:tcBorders>
            <w:vAlign w:val="center"/>
          </w:tcPr>
          <w:p w14:paraId="4FA866E5">
            <w:pPr>
              <w:adjustRightInd w:val="0"/>
              <w:snapToGrid w:val="0"/>
              <w:jc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噪声</w:t>
            </w:r>
          </w:p>
        </w:tc>
        <w:tc>
          <w:tcPr>
            <w:tcW w:w="2283" w:type="dxa"/>
            <w:tcBorders>
              <w:top w:val="single" w:color="auto" w:sz="4" w:space="0"/>
              <w:bottom w:val="single" w:color="auto" w:sz="4" w:space="0"/>
            </w:tcBorders>
            <w:vAlign w:val="center"/>
          </w:tcPr>
          <w:p w14:paraId="50EDE3D6">
            <w:pPr>
              <w:adjustRightInd w:val="0"/>
              <w:snapToGrid w:val="0"/>
              <w:jc w:val="center"/>
              <w:rPr>
                <w:rFonts w:hint="default" w:ascii="Times New Roman" w:hAnsi="Times New Roman" w:cs="Times New Roman" w:eastAsiaTheme="minorEastAsia"/>
                <w:color w:val="auto"/>
                <w:sz w:val="21"/>
                <w:szCs w:val="21"/>
              </w:rPr>
            </w:pPr>
            <w:r>
              <w:rPr>
                <w:rFonts w:hint="default" w:ascii="Times New Roman" w:hAnsi="Times New Roman" w:eastAsia="宋体" w:cs="Times New Roman"/>
                <w:color w:val="auto"/>
                <w:sz w:val="21"/>
                <w:szCs w:val="21"/>
                <w:lang w:val="en-US" w:eastAsia="zh-CN"/>
              </w:rPr>
              <w:t>选用低噪音设备，设备基础减振，隔声消声降噪；风机进、出风管加设消音器，基础下加设减振器</w:t>
            </w:r>
            <w:r>
              <w:rPr>
                <w:rFonts w:hint="default" w:ascii="Times New Roman" w:hAnsi="Times New Roman" w:eastAsia="宋体" w:cs="Times New Roman"/>
                <w:color w:val="auto"/>
                <w:sz w:val="21"/>
                <w:szCs w:val="21"/>
                <w:lang w:val="zh-CN" w:eastAsia="zh-CN"/>
              </w:rPr>
              <w:t>等</w:t>
            </w:r>
          </w:p>
        </w:tc>
        <w:tc>
          <w:tcPr>
            <w:tcW w:w="2369" w:type="dxa"/>
            <w:tcBorders>
              <w:top w:val="single" w:color="auto" w:sz="4" w:space="0"/>
              <w:bottom w:val="single" w:color="auto" w:sz="4" w:space="0"/>
              <w:right w:val="single" w:color="auto" w:sz="12" w:space="0"/>
            </w:tcBorders>
            <w:vAlign w:val="center"/>
          </w:tcPr>
          <w:p w14:paraId="5137B1A0">
            <w:pPr>
              <w:adjustRightInd w:val="0"/>
              <w:snapToGrid w:val="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《工业企业厂界环境噪声排放标准》</w:t>
            </w:r>
            <w:r>
              <w:rPr>
                <w:rFonts w:hint="default" w:ascii="Times New Roman" w:hAnsi="Times New Roman" w:cs="Times New Roman" w:eastAsiaTheme="minorEastAsia"/>
                <w:color w:val="auto"/>
                <w:sz w:val="21"/>
                <w:szCs w:val="21"/>
                <w:lang w:eastAsia="zh-CN"/>
              </w:rPr>
              <w:t>（</w:t>
            </w:r>
            <w:r>
              <w:rPr>
                <w:rFonts w:hint="default" w:ascii="Times New Roman" w:hAnsi="Times New Roman" w:cs="Times New Roman" w:eastAsiaTheme="minorEastAsia"/>
                <w:color w:val="auto"/>
                <w:sz w:val="21"/>
                <w:szCs w:val="21"/>
              </w:rPr>
              <w:t>GB12348-2008</w:t>
            </w:r>
            <w:r>
              <w:rPr>
                <w:rFonts w:hint="default" w:ascii="Times New Roman" w:hAnsi="Times New Roman" w:cs="Times New Roman" w:eastAsiaTheme="minorEastAsia"/>
                <w:color w:val="auto"/>
                <w:sz w:val="21"/>
                <w:szCs w:val="21"/>
                <w:lang w:eastAsia="zh-CN"/>
              </w:rPr>
              <w:t>）</w:t>
            </w:r>
            <w:r>
              <w:rPr>
                <w:rFonts w:hint="default" w:ascii="Times New Roman" w:hAnsi="Times New Roman" w:cs="Times New Roman" w:eastAsiaTheme="minorEastAsia"/>
                <w:color w:val="auto"/>
                <w:sz w:val="21"/>
                <w:szCs w:val="21"/>
              </w:rPr>
              <w:t>中3类标准</w:t>
            </w:r>
          </w:p>
        </w:tc>
      </w:tr>
      <w:tr w14:paraId="166EAA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82" w:type="dxa"/>
            <w:tcBorders>
              <w:top w:val="single" w:color="auto" w:sz="4" w:space="0"/>
              <w:left w:val="single" w:color="auto" w:sz="12" w:space="0"/>
              <w:bottom w:val="single" w:color="auto" w:sz="4" w:space="0"/>
            </w:tcBorders>
            <w:vAlign w:val="center"/>
          </w:tcPr>
          <w:p w14:paraId="1CE3A1B1">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电磁辐射</w:t>
            </w:r>
          </w:p>
        </w:tc>
        <w:tc>
          <w:tcPr>
            <w:tcW w:w="2034" w:type="dxa"/>
            <w:gridSpan w:val="3"/>
            <w:tcBorders>
              <w:top w:val="single" w:color="auto" w:sz="4" w:space="0"/>
              <w:bottom w:val="single" w:color="auto" w:sz="4" w:space="0"/>
            </w:tcBorders>
            <w:vAlign w:val="center"/>
          </w:tcPr>
          <w:p w14:paraId="03163F53">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1332" w:type="dxa"/>
            <w:tcBorders>
              <w:top w:val="single" w:color="auto" w:sz="4" w:space="0"/>
              <w:bottom w:val="single" w:color="auto" w:sz="4" w:space="0"/>
            </w:tcBorders>
            <w:vAlign w:val="center"/>
          </w:tcPr>
          <w:p w14:paraId="25504E40">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2283" w:type="dxa"/>
            <w:tcBorders>
              <w:top w:val="single" w:color="auto" w:sz="4" w:space="0"/>
              <w:bottom w:val="single" w:color="auto" w:sz="4" w:space="0"/>
            </w:tcBorders>
            <w:vAlign w:val="center"/>
          </w:tcPr>
          <w:p w14:paraId="7A64F6ED">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2369" w:type="dxa"/>
            <w:tcBorders>
              <w:top w:val="single" w:color="auto" w:sz="4" w:space="0"/>
              <w:bottom w:val="single" w:color="auto" w:sz="4" w:space="0"/>
              <w:right w:val="single" w:color="auto" w:sz="12" w:space="0"/>
            </w:tcBorders>
            <w:vAlign w:val="center"/>
          </w:tcPr>
          <w:p w14:paraId="1323F3A3">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389E1C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782" w:type="dxa"/>
            <w:tcBorders>
              <w:top w:val="single" w:color="auto" w:sz="4" w:space="0"/>
              <w:left w:val="single" w:color="auto" w:sz="12" w:space="0"/>
              <w:bottom w:val="single" w:color="auto" w:sz="4" w:space="0"/>
            </w:tcBorders>
            <w:vAlign w:val="center"/>
          </w:tcPr>
          <w:p w14:paraId="6FF4F036">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固体废物</w:t>
            </w:r>
          </w:p>
        </w:tc>
        <w:tc>
          <w:tcPr>
            <w:tcW w:w="8018" w:type="dxa"/>
            <w:gridSpan w:val="6"/>
            <w:tcBorders>
              <w:top w:val="single" w:color="auto" w:sz="4" w:space="0"/>
              <w:bottom w:val="single" w:color="auto" w:sz="4" w:space="0"/>
              <w:right w:val="single" w:color="auto" w:sz="12" w:space="0"/>
            </w:tcBorders>
            <w:vAlign w:val="center"/>
          </w:tcPr>
          <w:p w14:paraId="0A2DCE74">
            <w:pPr>
              <w:jc w:val="left"/>
              <w:rPr>
                <w:rFonts w:hint="default" w:ascii="Times New Roman" w:hAnsi="Times New Roman" w:eastAsia="宋体" w:cs="Times New Roman"/>
                <w:color w:val="auto"/>
                <w:sz w:val="21"/>
                <w:szCs w:val="21"/>
                <w:lang w:eastAsia="zh-CN"/>
              </w:rPr>
            </w:pPr>
            <w:r>
              <w:rPr>
                <w:rFonts w:hint="eastAsia" w:cs="Times New Roman"/>
                <w:color w:val="auto"/>
                <w:sz w:val="21"/>
                <w:szCs w:val="21"/>
                <w:lang w:eastAsia="zh-CN"/>
              </w:rPr>
              <w:t>不合格品、废包装材料、布袋除尘器收集的粉尘、废</w:t>
            </w:r>
            <w:r>
              <w:rPr>
                <w:rFonts w:hint="eastAsia" w:cs="Times New Roman"/>
                <w:color w:val="auto"/>
                <w:sz w:val="21"/>
                <w:szCs w:val="21"/>
                <w:lang w:val="en-US" w:eastAsia="zh-CN"/>
              </w:rPr>
              <w:t>钢丸</w:t>
            </w:r>
            <w:r>
              <w:rPr>
                <w:rFonts w:hint="eastAsia" w:cs="Times New Roman"/>
                <w:color w:val="auto"/>
                <w:sz w:val="21"/>
                <w:szCs w:val="21"/>
                <w:lang w:eastAsia="zh-CN"/>
              </w:rPr>
              <w:t>、</w:t>
            </w:r>
            <w:r>
              <w:rPr>
                <w:rFonts w:hint="eastAsia" w:cs="Times New Roman"/>
                <w:color w:val="auto"/>
                <w:sz w:val="21"/>
                <w:szCs w:val="21"/>
                <w:lang w:val="en-US" w:eastAsia="zh-CN"/>
              </w:rPr>
              <w:t>废金属屑及边角料、废砂轮、沉淀池沉渣、</w:t>
            </w:r>
            <w:r>
              <w:rPr>
                <w:rFonts w:hint="eastAsia" w:ascii="Times New Roman" w:hAnsi="Times New Roman" w:eastAsia="宋体" w:cs="Times New Roman"/>
                <w:color w:val="auto"/>
                <w:sz w:val="21"/>
                <w:szCs w:val="21"/>
                <w:lang w:val="en-US" w:eastAsia="zh-CN"/>
              </w:rPr>
              <w:t>淬火槽槽渣</w:t>
            </w:r>
            <w:r>
              <w:rPr>
                <w:rFonts w:hint="default" w:ascii="Times New Roman" w:hAnsi="Times New Roman" w:eastAsia="宋体" w:cs="Times New Roman"/>
                <w:color w:val="auto"/>
                <w:sz w:val="21"/>
                <w:szCs w:val="21"/>
                <w:lang w:eastAsia="zh-CN"/>
              </w:rPr>
              <w:t>收集后外售；</w:t>
            </w:r>
          </w:p>
          <w:p w14:paraId="1102F956">
            <w:pPr>
              <w:jc w:val="left"/>
              <w:rPr>
                <w:rFonts w:hint="default" w:ascii="Times New Roman" w:hAnsi="Times New Roman" w:cs="Times New Roman"/>
                <w:color w:val="auto"/>
                <w:szCs w:val="21"/>
                <w:lang w:eastAsia="zh-CN"/>
              </w:rPr>
            </w:pPr>
            <w:r>
              <w:rPr>
                <w:rFonts w:hint="eastAsia" w:ascii="Times New Roman" w:hAnsi="Times New Roman" w:eastAsia="宋体" w:cs="Times New Roman"/>
                <w:color w:val="auto"/>
                <w:sz w:val="21"/>
                <w:szCs w:val="21"/>
                <w:lang w:eastAsia="zh-CN"/>
              </w:rPr>
              <w:t>废化学品包装桶（</w:t>
            </w:r>
            <w:r>
              <w:rPr>
                <w:rFonts w:hint="eastAsia" w:ascii="Times New Roman" w:hAnsi="Times New Roman" w:eastAsia="宋体" w:cs="Times New Roman"/>
                <w:color w:val="auto"/>
                <w:sz w:val="21"/>
                <w:szCs w:val="21"/>
                <w:lang w:val="en-US" w:eastAsia="zh-CN"/>
              </w:rPr>
              <w:t>废</w:t>
            </w:r>
            <w:r>
              <w:rPr>
                <w:rFonts w:hint="eastAsia" w:cs="Times New Roman"/>
                <w:color w:val="auto"/>
                <w:sz w:val="21"/>
                <w:szCs w:val="21"/>
                <w:lang w:val="en-US" w:eastAsia="zh-CN"/>
              </w:rPr>
              <w:t>水性脱模剂</w:t>
            </w:r>
            <w:r>
              <w:rPr>
                <w:rFonts w:hint="eastAsia" w:ascii="Times New Roman" w:hAnsi="Times New Roman" w:eastAsia="宋体" w:cs="Times New Roman"/>
                <w:color w:val="auto"/>
                <w:sz w:val="21"/>
                <w:szCs w:val="21"/>
                <w:lang w:val="en-US" w:eastAsia="zh-CN"/>
              </w:rPr>
              <w:t>桶、废</w:t>
            </w:r>
            <w:r>
              <w:rPr>
                <w:rFonts w:hint="eastAsia" w:cs="Times New Roman"/>
                <w:color w:val="auto"/>
                <w:sz w:val="21"/>
                <w:szCs w:val="21"/>
                <w:lang w:val="en-US" w:eastAsia="zh-CN"/>
              </w:rPr>
              <w:t>水性磨削液</w:t>
            </w:r>
            <w:r>
              <w:rPr>
                <w:rFonts w:hint="eastAsia" w:ascii="Times New Roman" w:hAnsi="Times New Roman" w:eastAsia="宋体" w:cs="Times New Roman"/>
                <w:color w:val="auto"/>
                <w:sz w:val="21"/>
                <w:szCs w:val="21"/>
                <w:lang w:val="en-US" w:eastAsia="zh-CN"/>
              </w:rPr>
              <w:t>桶、废水性淬火液桶、</w:t>
            </w:r>
            <w:r>
              <w:rPr>
                <w:rFonts w:hint="default" w:ascii="Times New Roman" w:hAnsi="Times New Roman" w:eastAsia="宋体" w:cs="Times New Roman"/>
                <w:color w:val="auto"/>
                <w:sz w:val="21"/>
                <w:szCs w:val="21"/>
                <w:lang w:val="en-US" w:eastAsia="zh-CN"/>
              </w:rPr>
              <w:t>废切削液桶、废机油桶</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废切</w:t>
            </w:r>
            <w:r>
              <w:rPr>
                <w:rFonts w:hint="eastAsia" w:cs="Times New Roman"/>
                <w:bCs/>
                <w:color w:val="auto"/>
                <w:sz w:val="21"/>
                <w:szCs w:val="21"/>
                <w:lang w:val="en-US" w:eastAsia="zh-CN"/>
              </w:rPr>
              <w:t>削液、废润滑油、废液压油、含油金属屑、废水性脱模剂、废活性炭、</w:t>
            </w:r>
            <w:r>
              <w:rPr>
                <w:rFonts w:hint="eastAsia" w:cs="Times New Roman"/>
                <w:bCs/>
                <w:color w:val="auto"/>
                <w:sz w:val="21"/>
                <w:szCs w:val="21"/>
                <w:lang w:val="en-US" w:eastAsia="zh-CN"/>
              </w:rPr>
              <w:t>油雾净化器收集的废油</w:t>
            </w:r>
            <w:r>
              <w:rPr>
                <w:rFonts w:hint="default" w:ascii="Times New Roman" w:hAnsi="Times New Roman" w:cs="Times New Roman"/>
                <w:color w:val="auto"/>
                <w:szCs w:val="21"/>
              </w:rPr>
              <w:t>收集后暂存于危险废物暂存库，定期委托有危废处理资质单位处置</w:t>
            </w:r>
            <w:r>
              <w:rPr>
                <w:rFonts w:hint="default" w:ascii="Times New Roman" w:hAnsi="Times New Roman" w:cs="Times New Roman"/>
                <w:color w:val="auto"/>
                <w:szCs w:val="21"/>
                <w:lang w:eastAsia="zh-CN"/>
              </w:rPr>
              <w:t>；</w:t>
            </w:r>
          </w:p>
          <w:p w14:paraId="431590A7">
            <w:pPr>
              <w:jc w:val="left"/>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生活垃圾统一由环卫部门清运。</w:t>
            </w:r>
          </w:p>
        </w:tc>
      </w:tr>
      <w:tr w14:paraId="22EFE6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782" w:type="dxa"/>
            <w:tcBorders>
              <w:top w:val="single" w:color="auto" w:sz="4" w:space="0"/>
              <w:left w:val="single" w:color="auto" w:sz="12" w:space="0"/>
              <w:bottom w:val="single" w:color="auto" w:sz="4" w:space="0"/>
            </w:tcBorders>
            <w:vAlign w:val="center"/>
          </w:tcPr>
          <w:p w14:paraId="63B55993">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土壤及地下水污染防治措施</w:t>
            </w:r>
          </w:p>
        </w:tc>
        <w:tc>
          <w:tcPr>
            <w:tcW w:w="8018" w:type="dxa"/>
            <w:gridSpan w:val="6"/>
            <w:tcBorders>
              <w:top w:val="single" w:color="auto" w:sz="4" w:space="0"/>
              <w:bottom w:val="single" w:color="auto" w:sz="4" w:space="0"/>
              <w:right w:val="single" w:color="auto" w:sz="12" w:space="0"/>
            </w:tcBorders>
            <w:vAlign w:val="center"/>
          </w:tcPr>
          <w:p w14:paraId="708F275C">
            <w:pPr>
              <w:pStyle w:val="28"/>
              <w:keepNext w:val="0"/>
              <w:keepLines w:val="0"/>
              <w:pageBreakBefore w:val="0"/>
              <w:kinsoku/>
              <w:wordWrap/>
              <w:overflowPunct/>
              <w:topLinePunct w:val="0"/>
              <w:autoSpaceDE/>
              <w:autoSpaceDN/>
              <w:bidi w:val="0"/>
              <w:adjustRightInd/>
              <w:spacing w:before="0" w:after="0" w:line="240" w:lineRule="auto"/>
              <w:ind w:right="0"/>
              <w:textAlignment w:val="auto"/>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lang w:val="en-US" w:eastAsia="zh-CN"/>
              </w:rPr>
              <w:t>危废暂存库</w:t>
            </w:r>
            <w:r>
              <w:rPr>
                <w:rFonts w:hint="eastAsia" w:cs="Times New Roman"/>
                <w:color w:val="auto"/>
                <w:kern w:val="0"/>
                <w:sz w:val="21"/>
                <w:szCs w:val="21"/>
                <w:lang w:val="en-US" w:eastAsia="zh-CN"/>
              </w:rPr>
              <w:t>、辅料区、沉淀池、淬火区、脱模区</w:t>
            </w:r>
            <w:r>
              <w:rPr>
                <w:rFonts w:hint="default" w:ascii="Times New Roman" w:hAnsi="Times New Roman" w:eastAsia="宋体" w:cs="Times New Roman"/>
                <w:color w:val="auto"/>
                <w:kern w:val="0"/>
                <w:sz w:val="21"/>
                <w:szCs w:val="21"/>
                <w:lang w:val="en-US" w:eastAsia="zh-CN"/>
              </w:rPr>
              <w:t>为重点防渗区。防渗措施：</w:t>
            </w:r>
            <w:r>
              <w:rPr>
                <w:rFonts w:hint="default" w:ascii="Times New Roman" w:hAnsi="Times New Roman" w:eastAsia="宋体" w:cs="Times New Roman"/>
                <w:color w:val="auto"/>
                <w:sz w:val="21"/>
                <w:szCs w:val="21"/>
              </w:rPr>
              <w:t>在混凝土硬化上方涂刷环氧树脂涂料；等效黏土防渗层Mb≥6.0m，K≤1×10</w:t>
            </w:r>
            <w:r>
              <w:rPr>
                <w:rFonts w:hint="default" w:ascii="Times New Roman" w:hAnsi="Times New Roman" w:eastAsia="宋体" w:cs="Times New Roman"/>
                <w:color w:val="auto"/>
                <w:sz w:val="21"/>
                <w:szCs w:val="21"/>
                <w:vertAlign w:val="superscript"/>
              </w:rPr>
              <w:t>-7</w:t>
            </w:r>
            <w:r>
              <w:rPr>
                <w:rFonts w:hint="eastAsia" w:cs="Times New Roman"/>
                <w:color w:val="auto"/>
                <w:sz w:val="21"/>
                <w:szCs w:val="21"/>
                <w:lang w:eastAsia="zh-CN"/>
              </w:rPr>
              <w:t>c</w:t>
            </w:r>
            <w:r>
              <w:rPr>
                <w:rFonts w:hint="default" w:ascii="Times New Roman" w:hAnsi="Times New Roman" w:eastAsia="宋体" w:cs="Times New Roman"/>
                <w:color w:val="auto"/>
                <w:sz w:val="21"/>
                <w:szCs w:val="21"/>
              </w:rPr>
              <w:t>m/s</w:t>
            </w:r>
            <w:r>
              <w:rPr>
                <w:rFonts w:hint="eastAsia" w:cs="Times New Roman"/>
                <w:color w:val="auto"/>
                <w:sz w:val="21"/>
                <w:szCs w:val="21"/>
                <w:lang w:eastAsia="zh-CN"/>
              </w:rPr>
              <w:t>；其中危废暂存库按照《危险废物贮存污染控制标准》（GB18597-2023），至少1m厚黏土层（渗透系数不大于10</w:t>
            </w:r>
            <w:r>
              <w:rPr>
                <w:rFonts w:hint="eastAsia" w:cs="Times New Roman"/>
                <w:color w:val="auto"/>
                <w:sz w:val="21"/>
                <w:szCs w:val="21"/>
                <w:vertAlign w:val="superscript"/>
                <w:lang w:eastAsia="zh-CN"/>
              </w:rPr>
              <w:t>-7</w:t>
            </w:r>
            <w:r>
              <w:rPr>
                <w:rFonts w:hint="eastAsia" w:cs="Times New Roman"/>
                <w:color w:val="auto"/>
                <w:sz w:val="21"/>
                <w:szCs w:val="21"/>
                <w:lang w:eastAsia="zh-CN"/>
              </w:rPr>
              <w:t>cm/s）；或至少2mm厚高密度聚乙烯膜等人工防渗材料（渗透系数不大于10</w:t>
            </w:r>
            <w:r>
              <w:rPr>
                <w:rFonts w:hint="eastAsia" w:cs="Times New Roman"/>
                <w:color w:val="auto"/>
                <w:sz w:val="21"/>
                <w:szCs w:val="21"/>
                <w:vertAlign w:val="superscript"/>
                <w:lang w:eastAsia="zh-CN"/>
              </w:rPr>
              <w:t>-10</w:t>
            </w:r>
            <w:r>
              <w:rPr>
                <w:rFonts w:hint="eastAsia" w:cs="Times New Roman"/>
                <w:color w:val="auto"/>
                <w:sz w:val="21"/>
                <w:szCs w:val="21"/>
                <w:lang w:eastAsia="zh-CN"/>
              </w:rPr>
              <w:t>cm/s）</w:t>
            </w:r>
            <w:r>
              <w:rPr>
                <w:rFonts w:hint="default" w:ascii="Times New Roman" w:hAnsi="Times New Roman" w:eastAsia="宋体" w:cs="Times New Roman"/>
                <w:color w:val="auto"/>
                <w:sz w:val="21"/>
                <w:szCs w:val="21"/>
              </w:rPr>
              <w:t>。</w:t>
            </w:r>
          </w:p>
          <w:p w14:paraId="4BB10C7F">
            <w:pPr>
              <w:keepNext w:val="0"/>
              <w:keepLines w:val="0"/>
              <w:pageBreakBefore w:val="0"/>
              <w:kinsoku/>
              <w:wordWrap/>
              <w:overflowPunct/>
              <w:topLinePunct w:val="0"/>
              <w:autoSpaceDE/>
              <w:autoSpaceDN/>
              <w:bidi w:val="0"/>
              <w:adjustRightInd/>
              <w:spacing w:line="240" w:lineRule="auto"/>
              <w:textAlignment w:val="auto"/>
              <w:rPr>
                <w:rFonts w:hint="default" w:ascii="Times New Roman" w:hAnsi="Times New Roman" w:eastAsia="宋体" w:cs="Times New Roman"/>
                <w:color w:val="auto"/>
                <w:sz w:val="21"/>
                <w:szCs w:val="21"/>
              </w:rPr>
            </w:pPr>
            <w:r>
              <w:rPr>
                <w:rFonts w:hint="default" w:ascii="Times New Roman" w:hAnsi="Times New Roman" w:cs="Times New Roman" w:eastAsiaTheme="minorEastAsia"/>
                <w:color w:val="auto"/>
                <w:szCs w:val="21"/>
              </w:rPr>
              <w:t>生产车间、一般固废暂存场所</w:t>
            </w:r>
            <w:r>
              <w:rPr>
                <w:rFonts w:hint="default" w:ascii="Times New Roman" w:hAnsi="Times New Roman" w:cs="Times New Roman" w:eastAsiaTheme="minorEastAsia"/>
                <w:color w:val="auto"/>
                <w:szCs w:val="21"/>
                <w:lang w:eastAsia="zh-CN"/>
              </w:rPr>
              <w:t>、</w:t>
            </w:r>
            <w:r>
              <w:rPr>
                <w:rFonts w:hint="eastAsia" w:cs="Times New Roman" w:eastAsiaTheme="minorEastAsia"/>
                <w:color w:val="auto"/>
                <w:szCs w:val="21"/>
                <w:lang w:eastAsia="zh-CN"/>
              </w:rPr>
              <w:t>厂区道路、</w:t>
            </w:r>
            <w:r>
              <w:rPr>
                <w:rFonts w:hint="default" w:ascii="Times New Roman" w:hAnsi="Times New Roman" w:cs="Times New Roman" w:eastAsiaTheme="minorEastAsia"/>
                <w:color w:val="auto"/>
                <w:szCs w:val="21"/>
                <w:lang w:eastAsia="zh-CN"/>
              </w:rPr>
              <w:t>化粪池</w:t>
            </w:r>
            <w:r>
              <w:rPr>
                <w:rFonts w:hint="default" w:ascii="Times New Roman" w:hAnsi="Times New Roman" w:eastAsia="宋体" w:cs="Times New Roman"/>
                <w:color w:val="auto"/>
                <w:kern w:val="0"/>
                <w:sz w:val="21"/>
                <w:szCs w:val="21"/>
                <w:lang w:val="en-US" w:eastAsia="zh-CN"/>
              </w:rPr>
              <w:t>为一般防渗区。防渗措施：</w:t>
            </w:r>
            <w:r>
              <w:rPr>
                <w:rFonts w:hint="default" w:ascii="Times New Roman" w:hAnsi="Times New Roman" w:eastAsia="宋体" w:cs="Times New Roman"/>
                <w:color w:val="auto"/>
                <w:sz w:val="21"/>
                <w:szCs w:val="21"/>
              </w:rPr>
              <w:t>采用防渗混凝土硬化，</w:t>
            </w:r>
            <w:r>
              <w:rPr>
                <w:rFonts w:hint="default" w:ascii="Times New Roman" w:hAnsi="Times New Roman" w:eastAsia="宋体" w:cs="Times New Roman"/>
                <w:color w:val="auto"/>
                <w:sz w:val="21"/>
                <w:szCs w:val="21"/>
                <w:lang w:val="en-US" w:eastAsia="zh-CN"/>
              </w:rPr>
              <w:t>满足</w:t>
            </w:r>
            <w:r>
              <w:rPr>
                <w:rFonts w:hint="default" w:ascii="Times New Roman" w:hAnsi="Times New Roman" w:eastAsia="宋体" w:cs="Times New Roman"/>
                <w:color w:val="auto"/>
                <w:sz w:val="21"/>
                <w:szCs w:val="21"/>
              </w:rPr>
              <w:t>等效黏土防渗层Mb≥1.5m，K≤1×10</w:t>
            </w:r>
            <w:r>
              <w:rPr>
                <w:rFonts w:hint="default" w:ascii="Times New Roman" w:hAnsi="Times New Roman" w:eastAsia="宋体" w:cs="Times New Roman"/>
                <w:color w:val="auto"/>
                <w:sz w:val="21"/>
                <w:szCs w:val="21"/>
                <w:vertAlign w:val="superscript"/>
              </w:rPr>
              <w:t>-7</w:t>
            </w:r>
            <w:r>
              <w:rPr>
                <w:rFonts w:hint="default" w:ascii="Times New Roman" w:hAnsi="Times New Roman" w:eastAsia="宋体" w:cs="Times New Roman"/>
                <w:color w:val="auto"/>
                <w:sz w:val="21"/>
                <w:szCs w:val="21"/>
              </w:rPr>
              <w:t>cm/s。</w:t>
            </w:r>
          </w:p>
          <w:p w14:paraId="227AAA57">
            <w:pPr>
              <w:adjustRightInd w:val="0"/>
              <w:snapToGrid w:val="0"/>
              <w:jc w:val="left"/>
              <w:rPr>
                <w:rFonts w:hint="default" w:ascii="Times New Roman" w:hAnsi="Times New Roman" w:cs="Times New Roman"/>
                <w:color w:val="auto"/>
                <w:sz w:val="21"/>
                <w:szCs w:val="21"/>
              </w:rPr>
            </w:pPr>
            <w:r>
              <w:rPr>
                <w:rFonts w:hint="default" w:ascii="Times New Roman" w:hAnsi="Times New Roman" w:cs="Times New Roman" w:eastAsiaTheme="minorEastAsia"/>
                <w:color w:val="auto"/>
                <w:kern w:val="0"/>
                <w:szCs w:val="21"/>
              </w:rPr>
              <w:t>重点、一般污染防治区之外的区域</w:t>
            </w:r>
            <w:r>
              <w:rPr>
                <w:rFonts w:hint="default" w:ascii="Times New Roman" w:hAnsi="Times New Roman" w:eastAsia="宋体" w:cs="Times New Roman"/>
                <w:color w:val="auto"/>
                <w:kern w:val="0"/>
                <w:sz w:val="21"/>
                <w:szCs w:val="21"/>
                <w:lang w:val="en-US" w:eastAsia="zh-CN"/>
              </w:rPr>
              <w:t>为简单防渗区；防渗措施：</w:t>
            </w:r>
            <w:r>
              <w:rPr>
                <w:rFonts w:hint="default" w:ascii="Times New Roman" w:hAnsi="Times New Roman" w:eastAsia="宋体" w:cs="Times New Roman"/>
                <w:color w:val="auto"/>
                <w:sz w:val="21"/>
                <w:szCs w:val="21"/>
              </w:rPr>
              <w:t>采用普通水泥硬化。</w:t>
            </w:r>
          </w:p>
        </w:tc>
      </w:tr>
      <w:tr w14:paraId="31C155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782" w:type="dxa"/>
            <w:tcBorders>
              <w:top w:val="single" w:color="auto" w:sz="4" w:space="0"/>
              <w:left w:val="single" w:color="auto" w:sz="12" w:space="0"/>
              <w:bottom w:val="single" w:color="auto" w:sz="4" w:space="0"/>
            </w:tcBorders>
            <w:vAlign w:val="center"/>
          </w:tcPr>
          <w:p w14:paraId="12B5CD22">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生态保护措施</w:t>
            </w:r>
          </w:p>
        </w:tc>
        <w:tc>
          <w:tcPr>
            <w:tcW w:w="8018" w:type="dxa"/>
            <w:gridSpan w:val="6"/>
            <w:tcBorders>
              <w:top w:val="single" w:color="auto" w:sz="4" w:space="0"/>
              <w:bottom w:val="single" w:color="auto" w:sz="4" w:space="0"/>
              <w:right w:val="single" w:color="auto" w:sz="12" w:space="0"/>
            </w:tcBorders>
            <w:vAlign w:val="center"/>
          </w:tcPr>
          <w:p w14:paraId="1E34800D">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无</w:t>
            </w:r>
          </w:p>
        </w:tc>
      </w:tr>
      <w:tr w14:paraId="3B50E3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782" w:type="dxa"/>
            <w:tcBorders>
              <w:top w:val="single" w:color="auto" w:sz="4" w:space="0"/>
              <w:left w:val="single" w:color="auto" w:sz="12" w:space="0"/>
              <w:bottom w:val="single" w:color="auto" w:sz="4" w:space="0"/>
            </w:tcBorders>
            <w:vAlign w:val="center"/>
          </w:tcPr>
          <w:p w14:paraId="47DCE046">
            <w:pPr>
              <w:adjustRightInd w:val="0"/>
              <w:snapToGrid w:val="0"/>
              <w:jc w:val="center"/>
              <w:rPr>
                <w:rFonts w:hint="default" w:ascii="Times New Roman" w:hAnsi="Times New Roman" w:cs="Times New Roman"/>
                <w:color w:val="auto"/>
                <w:spacing w:val="-8"/>
                <w:sz w:val="21"/>
                <w:szCs w:val="21"/>
              </w:rPr>
            </w:pPr>
            <w:r>
              <w:rPr>
                <w:rFonts w:hint="default" w:ascii="Times New Roman" w:hAnsi="Times New Roman" w:cs="Times New Roman"/>
                <w:color w:val="auto"/>
                <w:spacing w:val="-8"/>
                <w:sz w:val="21"/>
                <w:szCs w:val="21"/>
              </w:rPr>
              <w:t>环境风险</w:t>
            </w:r>
          </w:p>
          <w:p w14:paraId="1F12BC93">
            <w:pPr>
              <w:adjustRightInd w:val="0"/>
              <w:snapToGrid w:val="0"/>
              <w:jc w:val="center"/>
              <w:rPr>
                <w:rFonts w:hint="default" w:ascii="Times New Roman" w:hAnsi="Times New Roman" w:cs="Times New Roman"/>
                <w:color w:val="auto"/>
                <w:spacing w:val="-8"/>
                <w:sz w:val="21"/>
                <w:szCs w:val="21"/>
              </w:rPr>
            </w:pPr>
            <w:r>
              <w:rPr>
                <w:rFonts w:hint="default" w:ascii="Times New Roman" w:hAnsi="Times New Roman" w:cs="Times New Roman"/>
                <w:color w:val="auto"/>
                <w:spacing w:val="-8"/>
                <w:sz w:val="21"/>
                <w:szCs w:val="21"/>
              </w:rPr>
              <w:t>防范措施</w:t>
            </w:r>
          </w:p>
        </w:tc>
        <w:tc>
          <w:tcPr>
            <w:tcW w:w="8018" w:type="dxa"/>
            <w:gridSpan w:val="6"/>
            <w:tcBorders>
              <w:top w:val="single" w:color="auto" w:sz="4" w:space="0"/>
              <w:bottom w:val="single" w:color="auto" w:sz="4" w:space="0"/>
              <w:right w:val="single" w:color="auto" w:sz="12" w:space="0"/>
            </w:tcBorders>
            <w:vAlign w:val="center"/>
          </w:tcPr>
          <w:p w14:paraId="334EF7C1">
            <w:pPr>
              <w:adjustRightInd w:val="0"/>
              <w:snapToGrid w:val="0"/>
              <w:jc w:val="left"/>
              <w:rPr>
                <w:rFonts w:hint="default" w:ascii="Times New Roman" w:hAnsi="Times New Roman" w:cs="Times New Roman"/>
                <w:color w:val="auto"/>
                <w:sz w:val="21"/>
                <w:szCs w:val="21"/>
              </w:rPr>
            </w:pPr>
            <w:r>
              <w:rPr>
                <w:rFonts w:hint="default" w:ascii="Times New Roman" w:hAnsi="Times New Roman" w:eastAsia="宋体" w:cs="Times New Roman"/>
                <w:color w:val="auto"/>
                <w:kern w:val="0"/>
                <w:sz w:val="21"/>
                <w:szCs w:val="21"/>
                <w:lang w:val="en-US" w:eastAsia="zh-CN" w:bidi="ar-SA"/>
              </w:rPr>
              <w:t>加强环境风险管理，严格遵守有关防爆、防火规章制度，加强岗位责任制，避免失误操作，进一步完善事故风险防范措施，并备有应急响应所需的物资；加强废气污染处理设施的运行和管理，保证其正常运行，杜绝事故性排放。危废暂存间按照《危险废物贮存污染控制标准》（GB18597-2023）要求建设。</w:t>
            </w:r>
          </w:p>
        </w:tc>
      </w:tr>
      <w:tr w14:paraId="33C8E3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782" w:type="dxa"/>
            <w:tcBorders>
              <w:top w:val="single" w:color="auto" w:sz="4" w:space="0"/>
              <w:left w:val="single" w:color="auto" w:sz="12" w:space="0"/>
              <w:bottom w:val="single" w:color="auto" w:sz="12" w:space="0"/>
            </w:tcBorders>
            <w:vAlign w:val="center"/>
          </w:tcPr>
          <w:p w14:paraId="4B5B0734">
            <w:pPr>
              <w:adjustRightInd w:val="0"/>
              <w:snapToGrid w:val="0"/>
              <w:jc w:val="center"/>
              <w:rPr>
                <w:rFonts w:hint="default" w:ascii="Times New Roman" w:hAnsi="Times New Roman" w:cs="Times New Roman"/>
                <w:color w:val="auto"/>
                <w:spacing w:val="-8"/>
                <w:sz w:val="21"/>
                <w:szCs w:val="21"/>
              </w:rPr>
            </w:pPr>
            <w:r>
              <w:rPr>
                <w:rFonts w:hint="default" w:ascii="Times New Roman" w:hAnsi="Times New Roman" w:cs="Times New Roman"/>
                <w:color w:val="auto"/>
                <w:spacing w:val="-8"/>
                <w:sz w:val="21"/>
                <w:szCs w:val="21"/>
              </w:rPr>
              <w:t>其他环境管理要求</w:t>
            </w:r>
          </w:p>
        </w:tc>
        <w:tc>
          <w:tcPr>
            <w:tcW w:w="8018" w:type="dxa"/>
            <w:gridSpan w:val="6"/>
            <w:tcBorders>
              <w:top w:val="single" w:color="auto" w:sz="4" w:space="0"/>
              <w:bottom w:val="single" w:color="auto" w:sz="12" w:space="0"/>
              <w:right w:val="single" w:color="auto" w:sz="12" w:space="0"/>
            </w:tcBorders>
            <w:vAlign w:val="center"/>
          </w:tcPr>
          <w:p w14:paraId="4A6A1C0D">
            <w:pPr>
              <w:adjustRightInd w:val="0"/>
              <w:snapToGrid w:val="0"/>
              <w:spacing w:line="360" w:lineRule="auto"/>
              <w:ind w:firstLine="420" w:firstLineChars="20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1、环境管理</w:t>
            </w:r>
          </w:p>
          <w:p w14:paraId="2B2E9594">
            <w:pPr>
              <w:adjustRightInd w:val="0"/>
              <w:snapToGrid w:val="0"/>
              <w:spacing w:line="360" w:lineRule="auto"/>
              <w:ind w:firstLine="420" w:firstLineChars="20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为了更好贯彻执行国家环境保护法律、法规、政策与标准，及时掌握和了解工程污染治理措施的效果，以及工程所在区域环境质量状况，更好地监控环保设施的运行情况，协调公司与地方环保职能部门的工作，同时保证企业生产管理和环境管理的正常运作，建立环境管理体系与监测制度是非常必要和重要的。</w:t>
            </w:r>
          </w:p>
          <w:p w14:paraId="445B7DC1">
            <w:pPr>
              <w:adjustRightInd w:val="0"/>
              <w:snapToGrid w:val="0"/>
              <w:spacing w:line="360" w:lineRule="auto"/>
              <w:ind w:firstLine="420" w:firstLineChars="20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2、排污口规范化管理</w:t>
            </w:r>
          </w:p>
          <w:p w14:paraId="4FEABDDB">
            <w:pPr>
              <w:adjustRightInd w:val="0"/>
              <w:snapToGrid w:val="0"/>
              <w:spacing w:line="360" w:lineRule="auto"/>
              <w:ind w:firstLine="420" w:firstLineChars="20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根据国家、地方颁布的有关环境保护规定，废气排气筒、厂区废水总排放口、噪声排放源和固废贮存处置场所均应按《环境保护图形标志--排放口</w:t>
            </w:r>
            <w:r>
              <w:rPr>
                <w:rFonts w:hint="eastAsia" w:cs="Times New Roman"/>
                <w:color w:val="auto"/>
                <w:sz w:val="21"/>
                <w:szCs w:val="21"/>
                <w:lang w:eastAsia="zh-CN"/>
              </w:rPr>
              <w:t>（</w:t>
            </w:r>
            <w:r>
              <w:rPr>
                <w:rFonts w:hint="default" w:ascii="Times New Roman" w:hAnsi="Times New Roman" w:cs="Times New Roman"/>
                <w:color w:val="auto"/>
                <w:sz w:val="21"/>
                <w:szCs w:val="21"/>
              </w:rPr>
              <w:t>源</w:t>
            </w:r>
            <w:r>
              <w:rPr>
                <w:rFonts w:hint="eastAsia" w:cs="Times New Roman"/>
                <w:color w:val="auto"/>
                <w:sz w:val="21"/>
                <w:szCs w:val="21"/>
                <w:lang w:eastAsia="zh-CN"/>
              </w:rPr>
              <w:t>）</w:t>
            </w:r>
            <w:r>
              <w:rPr>
                <w:rFonts w:hint="default" w:ascii="Times New Roman" w:hAnsi="Times New Roman" w:cs="Times New Roman"/>
                <w:color w:val="auto"/>
                <w:sz w:val="21"/>
                <w:szCs w:val="21"/>
              </w:rPr>
              <w:t>》要求设立明显标志，具体标识见下表，标志牌应设在与之功能相应的醒目处，并保持清晰、完整。</w:t>
            </w:r>
          </w:p>
          <w:p w14:paraId="3591B641">
            <w:pPr>
              <w:adjustRightInd w:val="0"/>
              <w:snapToGrid w:val="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表5-1  环境保护图形标志一览表</w:t>
            </w:r>
          </w:p>
          <w:tbl>
            <w:tblPr>
              <w:tblStyle w:val="6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86"/>
              <w:gridCol w:w="1988"/>
              <w:gridCol w:w="1826"/>
              <w:gridCol w:w="1522"/>
              <w:gridCol w:w="1969"/>
            </w:tblGrid>
            <w:tr w14:paraId="05BDD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311" w:type="pct"/>
                  <w:noWrap w:val="0"/>
                  <w:vAlign w:val="center"/>
                </w:tcPr>
                <w:p w14:paraId="11D4D641">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序号</w:t>
                  </w:r>
                </w:p>
              </w:tc>
              <w:tc>
                <w:tcPr>
                  <w:tcW w:w="1275" w:type="pct"/>
                  <w:noWrap w:val="0"/>
                  <w:vAlign w:val="center"/>
                </w:tcPr>
                <w:p w14:paraId="03199D41">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提示图形符号</w:t>
                  </w:r>
                </w:p>
              </w:tc>
              <w:tc>
                <w:tcPr>
                  <w:tcW w:w="1172" w:type="pct"/>
                  <w:noWrap w:val="0"/>
                  <w:vAlign w:val="center"/>
                </w:tcPr>
                <w:p w14:paraId="24993129">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警示图形符号</w:t>
                  </w:r>
                </w:p>
              </w:tc>
              <w:tc>
                <w:tcPr>
                  <w:tcW w:w="977" w:type="pct"/>
                  <w:noWrap w:val="0"/>
                  <w:vAlign w:val="center"/>
                </w:tcPr>
                <w:p w14:paraId="7E65C95A">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名称</w:t>
                  </w:r>
                </w:p>
              </w:tc>
              <w:tc>
                <w:tcPr>
                  <w:tcW w:w="1263" w:type="pct"/>
                  <w:noWrap w:val="0"/>
                  <w:vAlign w:val="center"/>
                </w:tcPr>
                <w:p w14:paraId="588371AB">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功能</w:t>
                  </w:r>
                </w:p>
              </w:tc>
            </w:tr>
            <w:tr w14:paraId="67306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38" w:hRule="atLeast"/>
              </w:trPr>
              <w:tc>
                <w:tcPr>
                  <w:tcW w:w="311" w:type="pct"/>
                  <w:noWrap w:val="0"/>
                  <w:vAlign w:val="center"/>
                </w:tcPr>
                <w:p w14:paraId="753910BF">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1275" w:type="pct"/>
                  <w:noWrap w:val="0"/>
                  <w:vAlign w:val="center"/>
                </w:tcPr>
                <w:p w14:paraId="3637A6BC">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drawing>
                      <wp:inline distT="0" distB="0" distL="114300" distR="114300">
                        <wp:extent cx="600075" cy="600075"/>
                        <wp:effectExtent l="0" t="0" r="9525" b="952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3"/>
                                <a:stretch>
                                  <a:fillRect/>
                                </a:stretch>
                              </pic:blipFill>
                              <pic:spPr>
                                <a:xfrm>
                                  <a:off x="0" y="0"/>
                                  <a:ext cx="600075" cy="600075"/>
                                </a:xfrm>
                                <a:prstGeom prst="rect">
                                  <a:avLst/>
                                </a:prstGeom>
                                <a:noFill/>
                                <a:ln>
                                  <a:noFill/>
                                </a:ln>
                              </pic:spPr>
                            </pic:pic>
                          </a:graphicData>
                        </a:graphic>
                      </wp:inline>
                    </w:drawing>
                  </w:r>
                </w:p>
              </w:tc>
              <w:tc>
                <w:tcPr>
                  <w:tcW w:w="1172" w:type="pct"/>
                  <w:noWrap w:val="0"/>
                  <w:vAlign w:val="center"/>
                </w:tcPr>
                <w:p w14:paraId="14994E7E">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drawing>
                      <wp:inline distT="0" distB="0" distL="114300" distR="114300">
                        <wp:extent cx="638175" cy="619125"/>
                        <wp:effectExtent l="0" t="0" r="9525" b="9525"/>
                        <wp:docPr id="22"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4"/>
                                <pic:cNvPicPr>
                                  <a:picLocks noChangeAspect="1"/>
                                </pic:cNvPicPr>
                              </pic:nvPicPr>
                              <pic:blipFill>
                                <a:blip r:embed="rId24"/>
                                <a:stretch>
                                  <a:fillRect/>
                                </a:stretch>
                              </pic:blipFill>
                              <pic:spPr>
                                <a:xfrm>
                                  <a:off x="0" y="0"/>
                                  <a:ext cx="638175" cy="619125"/>
                                </a:xfrm>
                                <a:prstGeom prst="rect">
                                  <a:avLst/>
                                </a:prstGeom>
                                <a:noFill/>
                                <a:ln>
                                  <a:noFill/>
                                </a:ln>
                              </pic:spPr>
                            </pic:pic>
                          </a:graphicData>
                        </a:graphic>
                      </wp:inline>
                    </w:drawing>
                  </w:r>
                </w:p>
              </w:tc>
              <w:tc>
                <w:tcPr>
                  <w:tcW w:w="977" w:type="pct"/>
                  <w:noWrap w:val="0"/>
                  <w:vAlign w:val="center"/>
                </w:tcPr>
                <w:p w14:paraId="3D034862">
                  <w:pPr>
                    <w:pStyle w:val="1098"/>
                    <w:snapToGrid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污水总排放口</w:t>
                  </w:r>
                </w:p>
              </w:tc>
              <w:tc>
                <w:tcPr>
                  <w:tcW w:w="1263" w:type="pct"/>
                  <w:noWrap w:val="0"/>
                  <w:vAlign w:val="center"/>
                </w:tcPr>
                <w:p w14:paraId="19B5EE43">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表示污水向水体排放</w:t>
                  </w:r>
                </w:p>
              </w:tc>
            </w:tr>
            <w:tr w14:paraId="3F8BD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9" w:hRule="atLeast"/>
              </w:trPr>
              <w:tc>
                <w:tcPr>
                  <w:tcW w:w="311" w:type="pct"/>
                  <w:noWrap w:val="0"/>
                  <w:vAlign w:val="center"/>
                </w:tcPr>
                <w:p w14:paraId="3947FA7C">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1275" w:type="pct"/>
                  <w:noWrap w:val="0"/>
                  <w:vAlign w:val="center"/>
                </w:tcPr>
                <w:p w14:paraId="4262B809">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drawing>
                      <wp:inline distT="0" distB="0" distL="114300" distR="114300">
                        <wp:extent cx="676275" cy="647700"/>
                        <wp:effectExtent l="0" t="0" r="9525" b="0"/>
                        <wp:docPr id="21"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5"/>
                                <pic:cNvPicPr>
                                  <a:picLocks noChangeAspect="1"/>
                                </pic:cNvPicPr>
                              </pic:nvPicPr>
                              <pic:blipFill>
                                <a:blip r:embed="rId25"/>
                                <a:stretch>
                                  <a:fillRect/>
                                </a:stretch>
                              </pic:blipFill>
                              <pic:spPr>
                                <a:xfrm>
                                  <a:off x="0" y="0"/>
                                  <a:ext cx="676275" cy="647700"/>
                                </a:xfrm>
                                <a:prstGeom prst="rect">
                                  <a:avLst/>
                                </a:prstGeom>
                                <a:noFill/>
                                <a:ln>
                                  <a:noFill/>
                                </a:ln>
                              </pic:spPr>
                            </pic:pic>
                          </a:graphicData>
                        </a:graphic>
                      </wp:inline>
                    </w:drawing>
                  </w:r>
                </w:p>
              </w:tc>
              <w:tc>
                <w:tcPr>
                  <w:tcW w:w="1172" w:type="pct"/>
                  <w:noWrap w:val="0"/>
                  <w:vAlign w:val="center"/>
                </w:tcPr>
                <w:p w14:paraId="64F8B3EC">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drawing>
                      <wp:inline distT="0" distB="0" distL="114300" distR="114300">
                        <wp:extent cx="638175" cy="619125"/>
                        <wp:effectExtent l="0" t="0" r="9525" b="9525"/>
                        <wp:docPr id="20"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6"/>
                                <pic:cNvPicPr>
                                  <a:picLocks noChangeAspect="1"/>
                                </pic:cNvPicPr>
                              </pic:nvPicPr>
                              <pic:blipFill>
                                <a:blip r:embed="rId26"/>
                                <a:stretch>
                                  <a:fillRect/>
                                </a:stretch>
                              </pic:blipFill>
                              <pic:spPr>
                                <a:xfrm>
                                  <a:off x="0" y="0"/>
                                  <a:ext cx="638175" cy="619125"/>
                                </a:xfrm>
                                <a:prstGeom prst="rect">
                                  <a:avLst/>
                                </a:prstGeom>
                                <a:noFill/>
                                <a:ln>
                                  <a:noFill/>
                                </a:ln>
                              </pic:spPr>
                            </pic:pic>
                          </a:graphicData>
                        </a:graphic>
                      </wp:inline>
                    </w:drawing>
                  </w:r>
                </w:p>
              </w:tc>
              <w:tc>
                <w:tcPr>
                  <w:tcW w:w="977" w:type="pct"/>
                  <w:noWrap w:val="0"/>
                  <w:vAlign w:val="center"/>
                </w:tcPr>
                <w:p w14:paraId="0B06D503">
                  <w:pPr>
                    <w:pStyle w:val="1098"/>
                    <w:snapToGrid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废气排放口</w:t>
                  </w:r>
                </w:p>
              </w:tc>
              <w:tc>
                <w:tcPr>
                  <w:tcW w:w="1263" w:type="pct"/>
                  <w:noWrap w:val="0"/>
                  <w:vAlign w:val="center"/>
                </w:tcPr>
                <w:p w14:paraId="4724D030">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表示废气向大气环境排放</w:t>
                  </w:r>
                </w:p>
              </w:tc>
            </w:tr>
            <w:tr w14:paraId="495D1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73" w:hRule="atLeast"/>
              </w:trPr>
              <w:tc>
                <w:tcPr>
                  <w:tcW w:w="311" w:type="pct"/>
                  <w:noWrap w:val="0"/>
                  <w:vAlign w:val="center"/>
                </w:tcPr>
                <w:p w14:paraId="3D0578F7">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1275" w:type="pct"/>
                  <w:noWrap w:val="0"/>
                  <w:vAlign w:val="center"/>
                </w:tcPr>
                <w:p w14:paraId="5FBE3B6D">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drawing>
                      <wp:inline distT="0" distB="0" distL="114300" distR="114300">
                        <wp:extent cx="676275" cy="647700"/>
                        <wp:effectExtent l="0" t="0" r="9525" b="0"/>
                        <wp:docPr id="19"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7"/>
                                <pic:cNvPicPr>
                                  <a:picLocks noChangeAspect="1"/>
                                </pic:cNvPicPr>
                              </pic:nvPicPr>
                              <pic:blipFill>
                                <a:blip r:embed="rId27"/>
                                <a:stretch>
                                  <a:fillRect/>
                                </a:stretch>
                              </pic:blipFill>
                              <pic:spPr>
                                <a:xfrm>
                                  <a:off x="0" y="0"/>
                                  <a:ext cx="676275" cy="647700"/>
                                </a:xfrm>
                                <a:prstGeom prst="rect">
                                  <a:avLst/>
                                </a:prstGeom>
                                <a:noFill/>
                                <a:ln>
                                  <a:noFill/>
                                </a:ln>
                              </pic:spPr>
                            </pic:pic>
                          </a:graphicData>
                        </a:graphic>
                      </wp:inline>
                    </w:drawing>
                  </w:r>
                </w:p>
              </w:tc>
              <w:tc>
                <w:tcPr>
                  <w:tcW w:w="1172" w:type="pct"/>
                  <w:noWrap w:val="0"/>
                  <w:vAlign w:val="center"/>
                </w:tcPr>
                <w:p w14:paraId="6AB82700">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drawing>
                      <wp:inline distT="0" distB="0" distL="114300" distR="114300">
                        <wp:extent cx="638175" cy="619125"/>
                        <wp:effectExtent l="0" t="0" r="9525" b="9525"/>
                        <wp:docPr id="1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8"/>
                                <pic:cNvPicPr>
                                  <a:picLocks noChangeAspect="1"/>
                                </pic:cNvPicPr>
                              </pic:nvPicPr>
                              <pic:blipFill>
                                <a:blip r:embed="rId28"/>
                                <a:stretch>
                                  <a:fillRect/>
                                </a:stretch>
                              </pic:blipFill>
                              <pic:spPr>
                                <a:xfrm>
                                  <a:off x="0" y="0"/>
                                  <a:ext cx="638175" cy="619125"/>
                                </a:xfrm>
                                <a:prstGeom prst="rect">
                                  <a:avLst/>
                                </a:prstGeom>
                                <a:noFill/>
                                <a:ln>
                                  <a:noFill/>
                                </a:ln>
                              </pic:spPr>
                            </pic:pic>
                          </a:graphicData>
                        </a:graphic>
                      </wp:inline>
                    </w:drawing>
                  </w:r>
                </w:p>
              </w:tc>
              <w:tc>
                <w:tcPr>
                  <w:tcW w:w="977" w:type="pct"/>
                  <w:noWrap w:val="0"/>
                  <w:vAlign w:val="center"/>
                </w:tcPr>
                <w:p w14:paraId="3438857A">
                  <w:pPr>
                    <w:pStyle w:val="1098"/>
                    <w:snapToGrid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噪声排放源</w:t>
                  </w:r>
                </w:p>
              </w:tc>
              <w:tc>
                <w:tcPr>
                  <w:tcW w:w="1263" w:type="pct"/>
                  <w:noWrap w:val="0"/>
                  <w:vAlign w:val="center"/>
                </w:tcPr>
                <w:p w14:paraId="7F1918DB">
                  <w:pPr>
                    <w:pStyle w:val="1098"/>
                    <w:snapToGrid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表示噪声向外环境排放</w:t>
                  </w:r>
                </w:p>
              </w:tc>
            </w:tr>
            <w:tr w14:paraId="21789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311" w:type="pct"/>
                  <w:noWrap w:val="0"/>
                  <w:vAlign w:val="center"/>
                </w:tcPr>
                <w:p w14:paraId="2CD73916">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w:t>
                  </w:r>
                </w:p>
              </w:tc>
              <w:tc>
                <w:tcPr>
                  <w:tcW w:w="1275" w:type="pct"/>
                  <w:noWrap w:val="0"/>
                  <w:vAlign w:val="center"/>
                </w:tcPr>
                <w:p w14:paraId="19BA6123">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drawing>
                      <wp:inline distT="0" distB="0" distL="114300" distR="114300">
                        <wp:extent cx="638175" cy="619125"/>
                        <wp:effectExtent l="0" t="0" r="9525" b="9525"/>
                        <wp:docPr id="1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9"/>
                                <pic:cNvPicPr>
                                  <a:picLocks noChangeAspect="1"/>
                                </pic:cNvPicPr>
                              </pic:nvPicPr>
                              <pic:blipFill>
                                <a:blip r:embed="rId29"/>
                                <a:stretch>
                                  <a:fillRect/>
                                </a:stretch>
                              </pic:blipFill>
                              <pic:spPr>
                                <a:xfrm>
                                  <a:off x="0" y="0"/>
                                  <a:ext cx="638175" cy="619125"/>
                                </a:xfrm>
                                <a:prstGeom prst="rect">
                                  <a:avLst/>
                                </a:prstGeom>
                                <a:noFill/>
                                <a:ln>
                                  <a:noFill/>
                                </a:ln>
                              </pic:spPr>
                            </pic:pic>
                          </a:graphicData>
                        </a:graphic>
                      </wp:inline>
                    </w:drawing>
                  </w:r>
                </w:p>
              </w:tc>
              <w:tc>
                <w:tcPr>
                  <w:tcW w:w="1172" w:type="pct"/>
                  <w:noWrap w:val="0"/>
                  <w:vAlign w:val="center"/>
                </w:tcPr>
                <w:p w14:paraId="58DFB3D4">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drawing>
                      <wp:inline distT="0" distB="0" distL="114300" distR="114300">
                        <wp:extent cx="714375" cy="657225"/>
                        <wp:effectExtent l="0" t="0" r="9525" b="9525"/>
                        <wp:docPr id="16"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0"/>
                                <pic:cNvPicPr>
                                  <a:picLocks noChangeAspect="1"/>
                                </pic:cNvPicPr>
                              </pic:nvPicPr>
                              <pic:blipFill>
                                <a:blip r:embed="rId30"/>
                                <a:stretch>
                                  <a:fillRect/>
                                </a:stretch>
                              </pic:blipFill>
                              <pic:spPr>
                                <a:xfrm>
                                  <a:off x="0" y="0"/>
                                  <a:ext cx="714375" cy="657225"/>
                                </a:xfrm>
                                <a:prstGeom prst="rect">
                                  <a:avLst/>
                                </a:prstGeom>
                                <a:noFill/>
                                <a:ln>
                                  <a:noFill/>
                                </a:ln>
                              </pic:spPr>
                            </pic:pic>
                          </a:graphicData>
                        </a:graphic>
                      </wp:inline>
                    </w:drawing>
                  </w:r>
                </w:p>
              </w:tc>
              <w:tc>
                <w:tcPr>
                  <w:tcW w:w="977" w:type="pct"/>
                  <w:noWrap w:val="0"/>
                  <w:vAlign w:val="center"/>
                </w:tcPr>
                <w:p w14:paraId="1AD6AAD9">
                  <w:pPr>
                    <w:pStyle w:val="1098"/>
                    <w:snapToGrid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一般固体废物标示</w:t>
                  </w:r>
                </w:p>
              </w:tc>
              <w:tc>
                <w:tcPr>
                  <w:tcW w:w="1263" w:type="pct"/>
                  <w:noWrap w:val="0"/>
                  <w:vAlign w:val="center"/>
                </w:tcPr>
                <w:p w14:paraId="29257F22">
                  <w:pPr>
                    <w:pStyle w:val="1098"/>
                    <w:snapToGrid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一般固体废物贮存、处置场</w:t>
                  </w:r>
                </w:p>
              </w:tc>
            </w:tr>
            <w:tr w14:paraId="549FB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16" w:hRule="atLeast"/>
              </w:trPr>
              <w:tc>
                <w:tcPr>
                  <w:tcW w:w="311" w:type="pct"/>
                  <w:noWrap w:val="0"/>
                  <w:vAlign w:val="center"/>
                </w:tcPr>
                <w:p w14:paraId="735DD5D3">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w:t>
                  </w:r>
                </w:p>
              </w:tc>
              <w:tc>
                <w:tcPr>
                  <w:tcW w:w="1275" w:type="pct"/>
                  <w:noWrap w:val="0"/>
                  <w:vAlign w:val="center"/>
                </w:tcPr>
                <w:p w14:paraId="5AF228E4">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drawing>
                      <wp:anchor distT="0" distB="0" distL="114300" distR="114300" simplePos="0" relativeHeight="251660288" behindDoc="0" locked="0" layoutInCell="1" allowOverlap="1">
                        <wp:simplePos x="0" y="0"/>
                        <wp:positionH relativeFrom="column">
                          <wp:posOffset>26035</wp:posOffset>
                        </wp:positionH>
                        <wp:positionV relativeFrom="paragraph">
                          <wp:posOffset>80645</wp:posOffset>
                        </wp:positionV>
                        <wp:extent cx="1169035" cy="767715"/>
                        <wp:effectExtent l="0" t="0" r="12065" b="13335"/>
                        <wp:wrapNone/>
                        <wp:docPr id="15"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8"/>
                                <pic:cNvPicPr>
                                  <a:picLocks noChangeAspect="1"/>
                                </pic:cNvPicPr>
                              </pic:nvPicPr>
                              <pic:blipFill>
                                <a:blip r:embed="rId31"/>
                                <a:stretch>
                                  <a:fillRect/>
                                </a:stretch>
                              </pic:blipFill>
                              <pic:spPr>
                                <a:xfrm>
                                  <a:off x="0" y="0"/>
                                  <a:ext cx="1169035" cy="767715"/>
                                </a:xfrm>
                                <a:prstGeom prst="rect">
                                  <a:avLst/>
                                </a:prstGeom>
                                <a:noFill/>
                                <a:ln>
                                  <a:noFill/>
                                </a:ln>
                              </pic:spPr>
                            </pic:pic>
                          </a:graphicData>
                        </a:graphic>
                      </wp:anchor>
                    </w:drawing>
                  </w:r>
                </w:p>
              </w:tc>
              <w:tc>
                <w:tcPr>
                  <w:tcW w:w="1172" w:type="pct"/>
                  <w:noWrap w:val="0"/>
                  <w:vAlign w:val="center"/>
                </w:tcPr>
                <w:p w14:paraId="48B24082">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drawing>
                      <wp:inline distT="0" distB="0" distL="114300" distR="114300">
                        <wp:extent cx="850900" cy="875665"/>
                        <wp:effectExtent l="0" t="0" r="6350" b="635"/>
                        <wp:docPr id="14" name="图片 31" descr="D:\微信接收\WeChat Files\LX12122334\FileStorage\Temp\16777464101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1" descr="D:\微信接收\WeChat Files\LX12122334\FileStorage\Temp\1677746410193.png"/>
                                <pic:cNvPicPr>
                                  <a:picLocks noChangeAspect="1"/>
                                </pic:cNvPicPr>
                              </pic:nvPicPr>
                              <pic:blipFill>
                                <a:blip r:embed="rId32"/>
                                <a:stretch>
                                  <a:fillRect/>
                                </a:stretch>
                              </pic:blipFill>
                              <pic:spPr>
                                <a:xfrm>
                                  <a:off x="0" y="0"/>
                                  <a:ext cx="850900" cy="875665"/>
                                </a:xfrm>
                                <a:prstGeom prst="rect">
                                  <a:avLst/>
                                </a:prstGeom>
                                <a:noFill/>
                                <a:ln>
                                  <a:noFill/>
                                </a:ln>
                              </pic:spPr>
                            </pic:pic>
                          </a:graphicData>
                        </a:graphic>
                      </wp:inline>
                    </w:drawing>
                  </w:r>
                </w:p>
              </w:tc>
              <w:tc>
                <w:tcPr>
                  <w:tcW w:w="977" w:type="pct"/>
                  <w:noWrap w:val="0"/>
                  <w:vAlign w:val="center"/>
                </w:tcPr>
                <w:p w14:paraId="3971137C">
                  <w:pPr>
                    <w:pStyle w:val="1098"/>
                    <w:snapToGrid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危险固体废物标示</w:t>
                  </w:r>
                </w:p>
              </w:tc>
              <w:tc>
                <w:tcPr>
                  <w:tcW w:w="1263" w:type="pct"/>
                  <w:noWrap w:val="0"/>
                  <w:vAlign w:val="center"/>
                </w:tcPr>
                <w:p w14:paraId="2C6F8D00">
                  <w:pPr>
                    <w:pStyle w:val="1098"/>
                    <w:snapToGrid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危险固体废物贮存、处置场</w:t>
                  </w:r>
                </w:p>
              </w:tc>
            </w:tr>
          </w:tbl>
          <w:p w14:paraId="5F73AD3F">
            <w:pPr>
              <w:spacing w:line="440" w:lineRule="exact"/>
              <w:ind w:firstLine="422" w:firstLineChars="200"/>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3、排污许可证管理要求</w:t>
            </w:r>
          </w:p>
          <w:p w14:paraId="285747D9">
            <w:pPr>
              <w:spacing w:line="440" w:lineRule="exact"/>
              <w:ind w:firstLine="420" w:firstLineChars="20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根据《固定污染源排污许可分类管理名录（2019年版）》，本项目排污许可分类为</w:t>
            </w:r>
            <w:r>
              <w:rPr>
                <w:rFonts w:hint="eastAsia" w:cs="Times New Roman"/>
                <w:color w:val="auto"/>
                <w:sz w:val="21"/>
                <w:szCs w:val="21"/>
                <w:lang w:val="en-US" w:eastAsia="zh-CN"/>
              </w:rPr>
              <w:t>登记</w:t>
            </w:r>
            <w:r>
              <w:rPr>
                <w:rFonts w:hint="default" w:ascii="Times New Roman" w:hAnsi="Times New Roman" w:cs="Times New Roman"/>
                <w:color w:val="auto"/>
                <w:sz w:val="21"/>
                <w:szCs w:val="21"/>
              </w:rPr>
              <w:t>管理，建设单位在取得环评批复后，及时在全国排污许可证管理信息平台上填报</w:t>
            </w:r>
            <w:r>
              <w:rPr>
                <w:rFonts w:hint="eastAsia" w:cs="Times New Roman"/>
                <w:color w:val="auto"/>
                <w:sz w:val="21"/>
                <w:szCs w:val="21"/>
                <w:lang w:val="en-US" w:eastAsia="zh-CN"/>
              </w:rPr>
              <w:t>登记</w:t>
            </w:r>
            <w:r>
              <w:rPr>
                <w:rFonts w:hint="default" w:ascii="Times New Roman" w:hAnsi="Times New Roman" w:cs="Times New Roman"/>
                <w:color w:val="auto"/>
                <w:sz w:val="21"/>
                <w:szCs w:val="21"/>
              </w:rPr>
              <w:t>管理信息。</w:t>
            </w:r>
          </w:p>
          <w:p w14:paraId="1F5157F5">
            <w:pPr>
              <w:spacing w:line="440" w:lineRule="exact"/>
              <w:ind w:firstLine="422" w:firstLineChars="200"/>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4、自主验收要求</w:t>
            </w:r>
          </w:p>
          <w:p w14:paraId="7E77E84F">
            <w:pPr>
              <w:spacing w:line="440" w:lineRule="exact"/>
              <w:ind w:firstLine="420" w:firstLineChars="200"/>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建设单位应在本项目建设完成并进行试生产后，按照《建设项目竣工环境保护验收暂行办法》（2017年11月22日实施）中的相关规定，进行自主验收。</w:t>
            </w:r>
          </w:p>
          <w:p w14:paraId="34E15FE9">
            <w:pPr>
              <w:spacing w:line="440" w:lineRule="exact"/>
              <w:ind w:firstLine="420" w:firstLineChars="200"/>
              <w:rPr>
                <w:rFonts w:hint="default" w:ascii="Times New Roman" w:hAnsi="Times New Roman" w:cs="Times New Roman"/>
                <w:color w:val="auto"/>
                <w:kern w:val="0"/>
                <w:sz w:val="21"/>
                <w:szCs w:val="21"/>
              </w:rPr>
            </w:pPr>
          </w:p>
          <w:p w14:paraId="10BFF86C">
            <w:pPr>
              <w:spacing w:line="440" w:lineRule="exact"/>
              <w:ind w:firstLine="420" w:firstLineChars="200"/>
              <w:rPr>
                <w:rFonts w:hint="default" w:ascii="Times New Roman" w:hAnsi="Times New Roman" w:cs="Times New Roman"/>
                <w:color w:val="auto"/>
                <w:kern w:val="0"/>
                <w:sz w:val="21"/>
                <w:szCs w:val="21"/>
              </w:rPr>
            </w:pPr>
          </w:p>
          <w:p w14:paraId="0EB19692">
            <w:pPr>
              <w:spacing w:line="440" w:lineRule="exact"/>
              <w:ind w:firstLine="420" w:firstLineChars="200"/>
              <w:rPr>
                <w:rFonts w:hint="default" w:ascii="Times New Roman" w:hAnsi="Times New Roman" w:cs="Times New Roman"/>
                <w:color w:val="auto"/>
                <w:kern w:val="0"/>
                <w:sz w:val="21"/>
                <w:szCs w:val="21"/>
              </w:rPr>
            </w:pPr>
          </w:p>
          <w:p w14:paraId="4DA9C51B">
            <w:pPr>
              <w:spacing w:line="440" w:lineRule="exact"/>
              <w:ind w:firstLine="420" w:firstLineChars="200"/>
              <w:rPr>
                <w:rFonts w:hint="default" w:ascii="Times New Roman" w:hAnsi="Times New Roman" w:cs="Times New Roman"/>
                <w:color w:val="auto"/>
                <w:kern w:val="0"/>
                <w:sz w:val="21"/>
                <w:szCs w:val="21"/>
              </w:rPr>
            </w:pPr>
          </w:p>
          <w:p w14:paraId="2F3F6D2E">
            <w:pPr>
              <w:spacing w:line="440" w:lineRule="exact"/>
              <w:ind w:firstLine="420" w:firstLineChars="200"/>
              <w:rPr>
                <w:rFonts w:hint="default" w:ascii="Times New Roman" w:hAnsi="Times New Roman" w:cs="Times New Roman"/>
                <w:color w:val="auto"/>
                <w:kern w:val="0"/>
                <w:sz w:val="21"/>
                <w:szCs w:val="21"/>
              </w:rPr>
            </w:pPr>
          </w:p>
          <w:p w14:paraId="1AC5D1B9">
            <w:pPr>
              <w:spacing w:line="440" w:lineRule="exact"/>
              <w:ind w:firstLine="420" w:firstLineChars="200"/>
              <w:rPr>
                <w:rFonts w:hint="default" w:ascii="Times New Roman" w:hAnsi="Times New Roman" w:cs="Times New Roman"/>
                <w:color w:val="auto"/>
                <w:kern w:val="0"/>
                <w:sz w:val="21"/>
                <w:szCs w:val="21"/>
              </w:rPr>
            </w:pPr>
          </w:p>
          <w:p w14:paraId="3E81D05D">
            <w:pPr>
              <w:spacing w:line="440" w:lineRule="exact"/>
              <w:ind w:firstLine="420" w:firstLineChars="200"/>
              <w:rPr>
                <w:rFonts w:hint="default" w:ascii="Times New Roman" w:hAnsi="Times New Roman" w:cs="Times New Roman"/>
                <w:color w:val="auto"/>
                <w:kern w:val="0"/>
                <w:sz w:val="21"/>
                <w:szCs w:val="21"/>
              </w:rPr>
            </w:pPr>
          </w:p>
          <w:p w14:paraId="48BE5139">
            <w:pPr>
              <w:spacing w:line="440" w:lineRule="exact"/>
              <w:ind w:firstLine="420" w:firstLineChars="200"/>
              <w:rPr>
                <w:rFonts w:hint="default" w:ascii="Times New Roman" w:hAnsi="Times New Roman" w:cs="Times New Roman"/>
                <w:color w:val="auto"/>
                <w:kern w:val="0"/>
                <w:sz w:val="21"/>
                <w:szCs w:val="21"/>
              </w:rPr>
            </w:pPr>
          </w:p>
          <w:p w14:paraId="149A01E6">
            <w:pPr>
              <w:spacing w:line="440" w:lineRule="exact"/>
              <w:ind w:firstLine="420" w:firstLineChars="200"/>
              <w:rPr>
                <w:rFonts w:hint="default" w:ascii="Times New Roman" w:hAnsi="Times New Roman" w:cs="Times New Roman"/>
                <w:color w:val="auto"/>
                <w:kern w:val="0"/>
                <w:sz w:val="21"/>
                <w:szCs w:val="21"/>
              </w:rPr>
            </w:pPr>
          </w:p>
          <w:p w14:paraId="349B2B79">
            <w:pPr>
              <w:spacing w:line="440" w:lineRule="exact"/>
              <w:ind w:firstLine="420" w:firstLineChars="200"/>
              <w:rPr>
                <w:rFonts w:hint="default" w:ascii="Times New Roman" w:hAnsi="Times New Roman" w:cs="Times New Roman"/>
                <w:color w:val="auto"/>
                <w:kern w:val="0"/>
                <w:sz w:val="21"/>
                <w:szCs w:val="21"/>
              </w:rPr>
            </w:pPr>
          </w:p>
          <w:p w14:paraId="5573CBAA">
            <w:pPr>
              <w:spacing w:line="440" w:lineRule="exact"/>
              <w:ind w:firstLine="420" w:firstLineChars="200"/>
              <w:rPr>
                <w:rFonts w:hint="default" w:ascii="Times New Roman" w:hAnsi="Times New Roman" w:cs="Times New Roman"/>
                <w:color w:val="auto"/>
                <w:kern w:val="0"/>
                <w:sz w:val="21"/>
                <w:szCs w:val="21"/>
              </w:rPr>
            </w:pPr>
          </w:p>
          <w:p w14:paraId="31753549">
            <w:pPr>
              <w:spacing w:line="440" w:lineRule="exact"/>
              <w:ind w:firstLine="420" w:firstLineChars="200"/>
              <w:rPr>
                <w:rFonts w:hint="default" w:ascii="Times New Roman" w:hAnsi="Times New Roman" w:cs="Times New Roman"/>
                <w:color w:val="auto"/>
                <w:kern w:val="0"/>
                <w:sz w:val="21"/>
                <w:szCs w:val="21"/>
              </w:rPr>
            </w:pPr>
          </w:p>
          <w:p w14:paraId="534FFDE4">
            <w:pPr>
              <w:spacing w:line="440" w:lineRule="exact"/>
              <w:ind w:firstLine="420" w:firstLineChars="200"/>
              <w:rPr>
                <w:rFonts w:hint="default" w:ascii="Times New Roman" w:hAnsi="Times New Roman" w:cs="Times New Roman"/>
                <w:color w:val="auto"/>
                <w:kern w:val="0"/>
                <w:sz w:val="21"/>
                <w:szCs w:val="21"/>
              </w:rPr>
            </w:pPr>
          </w:p>
          <w:p w14:paraId="25FF1D6C">
            <w:pPr>
              <w:spacing w:line="440" w:lineRule="exact"/>
              <w:ind w:firstLine="420" w:firstLineChars="200"/>
              <w:rPr>
                <w:rFonts w:hint="default" w:ascii="Times New Roman" w:hAnsi="Times New Roman" w:cs="Times New Roman"/>
                <w:color w:val="auto"/>
                <w:kern w:val="0"/>
                <w:sz w:val="21"/>
                <w:szCs w:val="21"/>
              </w:rPr>
            </w:pPr>
          </w:p>
          <w:p w14:paraId="7B21066A">
            <w:pPr>
              <w:spacing w:line="440" w:lineRule="exact"/>
              <w:ind w:firstLine="420" w:firstLineChars="200"/>
              <w:rPr>
                <w:rFonts w:hint="default" w:ascii="Times New Roman" w:hAnsi="Times New Roman" w:cs="Times New Roman"/>
                <w:color w:val="auto"/>
                <w:kern w:val="0"/>
                <w:sz w:val="21"/>
                <w:szCs w:val="21"/>
              </w:rPr>
            </w:pPr>
          </w:p>
          <w:p w14:paraId="14CC483F">
            <w:pPr>
              <w:spacing w:line="440" w:lineRule="exact"/>
              <w:rPr>
                <w:rFonts w:hint="default" w:ascii="Times New Roman" w:hAnsi="Times New Roman" w:cs="Times New Roman"/>
                <w:color w:val="auto"/>
                <w:kern w:val="0"/>
                <w:sz w:val="21"/>
                <w:szCs w:val="21"/>
              </w:rPr>
            </w:pPr>
          </w:p>
        </w:tc>
      </w:tr>
    </w:tbl>
    <w:p w14:paraId="1B7793F3">
      <w:pPr>
        <w:rPr>
          <w:rFonts w:hint="default" w:ascii="Times New Roman" w:hAnsi="Times New Roman" w:cs="Times New Roman"/>
          <w:b/>
          <w:snapToGrid w:val="0"/>
          <w:color w:val="auto"/>
          <w:sz w:val="30"/>
          <w:szCs w:val="30"/>
        </w:rPr>
        <w:sectPr>
          <w:pgSz w:w="11905" w:h="16838"/>
          <w:pgMar w:top="1701" w:right="1531" w:bottom="2126" w:left="1531" w:header="851" w:footer="850" w:gutter="0"/>
          <w:cols w:space="0" w:num="1"/>
          <w:docGrid w:linePitch="312" w:charSpace="0"/>
        </w:sectPr>
      </w:pPr>
      <w:r>
        <w:rPr>
          <w:rFonts w:hint="default" w:ascii="Times New Roman" w:hAnsi="Times New Roman" w:cs="Times New Roman"/>
          <w:snapToGrid w:val="0"/>
          <w:color w:val="auto"/>
        </w:rPr>
        <w:br w:type="page"/>
      </w:r>
    </w:p>
    <w:p w14:paraId="65B934FA">
      <w:pPr>
        <w:pStyle w:val="59"/>
        <w:tabs>
          <w:tab w:val="left" w:pos="8766"/>
          <w:tab w:val="left" w:pos="11571"/>
        </w:tabs>
        <w:spacing w:before="0" w:beforeAutospacing="0" w:after="0" w:afterAutospacing="0"/>
        <w:jc w:val="center"/>
        <w:outlineLvl w:val="0"/>
        <w:rPr>
          <w:rFonts w:hint="default" w:ascii="Times New Roman" w:hAnsi="Times New Roman" w:cs="Times New Roman"/>
          <w:b/>
          <w:snapToGrid w:val="0"/>
          <w:color w:val="auto"/>
          <w:sz w:val="30"/>
          <w:szCs w:val="30"/>
        </w:rPr>
      </w:pPr>
      <w:r>
        <w:rPr>
          <w:rFonts w:hint="default" w:ascii="Times New Roman" w:hAnsi="Times New Roman" w:cs="Times New Roman"/>
          <w:b/>
          <w:snapToGrid w:val="0"/>
          <w:color w:val="auto"/>
          <w:sz w:val="30"/>
          <w:szCs w:val="30"/>
        </w:rPr>
        <w:t>六、结论</w:t>
      </w:r>
    </w:p>
    <w:tbl>
      <w:tblPr>
        <w:tblStyle w:val="63"/>
        <w:tblW w:w="0" w:type="auto"/>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865"/>
      </w:tblGrid>
      <w:tr w14:paraId="4F84183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1991" w:hRule="atLeast"/>
          <w:jc w:val="center"/>
        </w:trPr>
        <w:tc>
          <w:tcPr>
            <w:tcW w:w="8865" w:type="dxa"/>
            <w:vAlign w:val="center"/>
          </w:tcPr>
          <w:p w14:paraId="54D2CEF9">
            <w:pPr>
              <w:pStyle w:val="10"/>
              <w:spacing w:line="360" w:lineRule="auto"/>
              <w:ind w:left="0" w:leftChars="0" w:firstLine="480" w:firstLineChars="200"/>
              <w:jc w:val="left"/>
              <w:rPr>
                <w:rFonts w:hint="default" w:ascii="Times New Roman" w:hAnsi="Times New Roman" w:cs="Times New Roman"/>
                <w:bCs/>
                <w:color w:val="auto"/>
              </w:rPr>
            </w:pPr>
            <w:r>
              <w:rPr>
                <w:rFonts w:hint="default" w:ascii="Times New Roman" w:hAnsi="Times New Roman" w:cs="Times New Roman"/>
                <w:bCs/>
                <w:color w:val="auto"/>
              </w:rPr>
              <w:t>本项目符合产业政策，符合“三线一单”环保要求，选址符合地区总体规划要求；项目污染治理措施能够满足环保管理的要求，废水、噪声、固体废物均能实现达标排放和安全处置，对声环境、地表及地下水环境、土壤环境的影响较小；项目虽存在一定的环境风险，但在落实风险防范措施的情况下，其风险值在可接受的水平。因此，从环境影响角度分析，该项目的建设是可行的。</w:t>
            </w:r>
          </w:p>
          <w:p w14:paraId="49DE3834">
            <w:pPr>
              <w:spacing w:line="360" w:lineRule="auto"/>
              <w:ind w:firstLine="480" w:firstLineChars="200"/>
              <w:jc w:val="left"/>
              <w:rPr>
                <w:rFonts w:hint="default" w:ascii="Times New Roman" w:hAnsi="Times New Roman" w:cs="Times New Roman"/>
                <w:color w:val="auto"/>
                <w:kern w:val="0"/>
                <w:sz w:val="24"/>
                <w:szCs w:val="20"/>
                <w:lang w:val="zh-CN" w:bidi="he-IL"/>
              </w:rPr>
            </w:pPr>
          </w:p>
        </w:tc>
      </w:tr>
    </w:tbl>
    <w:p w14:paraId="23352639">
      <w:pPr>
        <w:tabs>
          <w:tab w:val="left" w:pos="952"/>
        </w:tabs>
        <w:rPr>
          <w:rFonts w:hint="default" w:ascii="Times New Roman" w:hAnsi="Times New Roman" w:cs="Times New Roman"/>
          <w:color w:val="auto"/>
        </w:rPr>
        <w:sectPr>
          <w:pgSz w:w="11905" w:h="16838"/>
          <w:pgMar w:top="1701" w:right="1531" w:bottom="2126" w:left="1531" w:header="851" w:footer="850" w:gutter="0"/>
          <w:cols w:space="0" w:num="1"/>
          <w:docGrid w:linePitch="312" w:charSpace="0"/>
        </w:sectPr>
      </w:pPr>
    </w:p>
    <w:p w14:paraId="41DBB2F2">
      <w:pPr>
        <w:pStyle w:val="59"/>
        <w:adjustRightInd w:val="0"/>
        <w:snapToGrid w:val="0"/>
        <w:spacing w:before="0" w:beforeAutospacing="0" w:after="0" w:afterAutospacing="0"/>
        <w:outlineLvl w:val="0"/>
        <w:rPr>
          <w:rFonts w:hint="default" w:ascii="Times New Roman" w:hAnsi="Times New Roman" w:cs="Times New Roman"/>
          <w:b/>
          <w:snapToGrid w:val="0"/>
          <w:color w:val="auto"/>
          <w:sz w:val="32"/>
          <w:szCs w:val="32"/>
        </w:rPr>
      </w:pPr>
      <w:r>
        <w:rPr>
          <w:rFonts w:hint="default" w:ascii="Times New Roman" w:hAnsi="Times New Roman" w:cs="Times New Roman"/>
          <w:b/>
          <w:snapToGrid w:val="0"/>
          <w:color w:val="auto"/>
          <w:sz w:val="32"/>
          <w:szCs w:val="32"/>
        </w:rPr>
        <w:t>附表</w:t>
      </w:r>
    </w:p>
    <w:p w14:paraId="346A254E">
      <w:pPr>
        <w:pStyle w:val="59"/>
        <w:adjustRightInd w:val="0"/>
        <w:snapToGrid w:val="0"/>
        <w:spacing w:before="0" w:beforeAutospacing="0" w:after="0" w:afterAutospacing="0"/>
        <w:jc w:val="center"/>
        <w:rPr>
          <w:rFonts w:hint="default" w:ascii="Times New Roman" w:hAnsi="Times New Roman" w:cs="Times New Roman"/>
          <w:snapToGrid w:val="0"/>
          <w:color w:val="auto"/>
          <w:sz w:val="38"/>
          <w:szCs w:val="38"/>
        </w:rPr>
      </w:pPr>
      <w:r>
        <w:rPr>
          <w:rFonts w:hint="default" w:ascii="Times New Roman" w:hAnsi="Times New Roman" w:cs="Times New Roman"/>
          <w:snapToGrid w:val="0"/>
          <w:color w:val="auto"/>
          <w:sz w:val="38"/>
          <w:szCs w:val="38"/>
        </w:rPr>
        <w:t>建设项目污染物排放量汇总表（t/a）</w:t>
      </w:r>
    </w:p>
    <w:tbl>
      <w:tblPr>
        <w:tblStyle w:val="63"/>
        <w:tblW w:w="1362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23"/>
        <w:gridCol w:w="1483"/>
        <w:gridCol w:w="1563"/>
        <w:gridCol w:w="1400"/>
        <w:gridCol w:w="1401"/>
        <w:gridCol w:w="1960"/>
        <w:gridCol w:w="1401"/>
        <w:gridCol w:w="1648"/>
        <w:gridCol w:w="1442"/>
      </w:tblGrid>
      <w:tr w14:paraId="048CC5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1323" w:type="dxa"/>
            <w:tcBorders>
              <w:tl2br w:val="single" w:color="auto" w:sz="4" w:space="0"/>
            </w:tcBorders>
            <w:tcMar>
              <w:left w:w="28" w:type="dxa"/>
              <w:right w:w="28" w:type="dxa"/>
            </w:tcMar>
            <w:vAlign w:val="center"/>
          </w:tcPr>
          <w:p w14:paraId="76FA7EF7">
            <w:pPr>
              <w:pStyle w:val="98"/>
              <w:spacing w:beforeLines="0" w:afterLines="0" w:line="240" w:lineRule="auto"/>
              <w:jc w:val="right"/>
              <w:rPr>
                <w:rFonts w:hint="default" w:ascii="Times New Roman" w:hAnsi="Times New Roman" w:cs="Times New Roman"/>
                <w:snapToGrid w:val="0"/>
                <w:color w:val="auto"/>
                <w:spacing w:val="-6"/>
                <w:kern w:val="21"/>
                <w:sz w:val="24"/>
                <w:szCs w:val="24"/>
              </w:rPr>
            </w:pPr>
            <w:r>
              <w:rPr>
                <w:rFonts w:hint="default" w:ascii="Times New Roman" w:hAnsi="Times New Roman" w:cs="Times New Roman"/>
                <w:snapToGrid w:val="0"/>
                <w:color w:val="auto"/>
                <w:spacing w:val="-6"/>
                <w:kern w:val="21"/>
                <w:sz w:val="24"/>
                <w:szCs w:val="24"/>
              </w:rPr>
              <w:t>项目</w:t>
            </w:r>
          </w:p>
          <w:p w14:paraId="2434D2AA">
            <w:pPr>
              <w:pStyle w:val="98"/>
              <w:spacing w:beforeLines="0" w:afterLines="0" w:line="240" w:lineRule="auto"/>
              <w:jc w:val="left"/>
              <w:rPr>
                <w:rFonts w:hint="default" w:ascii="Times New Roman" w:hAnsi="Times New Roman" w:cs="Times New Roman"/>
                <w:snapToGrid w:val="0"/>
                <w:color w:val="auto"/>
                <w:spacing w:val="-6"/>
                <w:kern w:val="21"/>
                <w:sz w:val="24"/>
                <w:szCs w:val="24"/>
              </w:rPr>
            </w:pPr>
            <w:r>
              <w:rPr>
                <w:rFonts w:hint="default" w:ascii="Times New Roman" w:hAnsi="Times New Roman" w:cs="Times New Roman"/>
                <w:snapToGrid w:val="0"/>
                <w:color w:val="auto"/>
                <w:spacing w:val="-6"/>
                <w:kern w:val="21"/>
                <w:sz w:val="24"/>
                <w:szCs w:val="24"/>
              </w:rPr>
              <w:t>分类</w:t>
            </w:r>
          </w:p>
        </w:tc>
        <w:tc>
          <w:tcPr>
            <w:tcW w:w="1483" w:type="dxa"/>
            <w:tcMar>
              <w:left w:w="28" w:type="dxa"/>
              <w:right w:w="28" w:type="dxa"/>
            </w:tcMar>
            <w:vAlign w:val="center"/>
          </w:tcPr>
          <w:p w14:paraId="0906D873">
            <w:pPr>
              <w:pStyle w:val="98"/>
              <w:spacing w:beforeLines="0" w:afterLines="0" w:line="240" w:lineRule="auto"/>
              <w:rPr>
                <w:rFonts w:hint="default" w:ascii="Times New Roman" w:hAnsi="Times New Roman" w:cs="Times New Roman"/>
                <w:snapToGrid w:val="0"/>
                <w:color w:val="auto"/>
                <w:spacing w:val="-6"/>
                <w:kern w:val="21"/>
                <w:sz w:val="24"/>
                <w:szCs w:val="24"/>
              </w:rPr>
            </w:pPr>
            <w:r>
              <w:rPr>
                <w:rFonts w:hint="default" w:ascii="Times New Roman" w:hAnsi="Times New Roman" w:cs="Times New Roman"/>
                <w:snapToGrid w:val="0"/>
                <w:color w:val="auto"/>
                <w:spacing w:val="-6"/>
                <w:kern w:val="21"/>
                <w:sz w:val="24"/>
                <w:szCs w:val="24"/>
              </w:rPr>
              <w:t>污染物名称</w:t>
            </w:r>
          </w:p>
        </w:tc>
        <w:tc>
          <w:tcPr>
            <w:tcW w:w="1563" w:type="dxa"/>
            <w:tcMar>
              <w:left w:w="28" w:type="dxa"/>
              <w:right w:w="28" w:type="dxa"/>
            </w:tcMar>
            <w:vAlign w:val="center"/>
          </w:tcPr>
          <w:p w14:paraId="01DB1D13">
            <w:pPr>
              <w:pStyle w:val="98"/>
              <w:spacing w:beforeLines="0" w:afterLines="0" w:line="240" w:lineRule="auto"/>
              <w:rPr>
                <w:rFonts w:hint="default" w:ascii="Times New Roman" w:hAnsi="Times New Roman" w:cs="Times New Roman"/>
                <w:snapToGrid w:val="0"/>
                <w:color w:val="auto"/>
                <w:spacing w:val="-6"/>
                <w:kern w:val="21"/>
                <w:sz w:val="24"/>
                <w:szCs w:val="24"/>
              </w:rPr>
            </w:pPr>
            <w:r>
              <w:rPr>
                <w:rFonts w:hint="default" w:ascii="Times New Roman" w:hAnsi="Times New Roman" w:cs="Times New Roman"/>
                <w:snapToGrid w:val="0"/>
                <w:color w:val="auto"/>
                <w:spacing w:val="-6"/>
                <w:kern w:val="21"/>
                <w:sz w:val="24"/>
                <w:szCs w:val="24"/>
              </w:rPr>
              <w:t>现有工程排放量（固体废物产生量）</w:t>
            </w:r>
            <w:r>
              <w:rPr>
                <w:rFonts w:hint="default" w:ascii="Times New Roman" w:hAnsi="Times New Roman" w:cs="Times New Roman"/>
                <w:snapToGrid w:val="0"/>
                <w:color w:val="auto"/>
                <w:spacing w:val="-6"/>
                <w:kern w:val="21"/>
                <w:sz w:val="24"/>
                <w:szCs w:val="24"/>
              </w:rPr>
              <w:fldChar w:fldCharType="begin"/>
            </w:r>
            <w:r>
              <w:rPr>
                <w:rFonts w:hint="default" w:ascii="Times New Roman" w:hAnsi="Times New Roman" w:cs="Times New Roman"/>
                <w:snapToGrid w:val="0"/>
                <w:color w:val="auto"/>
                <w:spacing w:val="-6"/>
                <w:kern w:val="21"/>
                <w:sz w:val="24"/>
                <w:szCs w:val="24"/>
              </w:rPr>
              <w:instrText xml:space="preserve"> = 1 \* GB3 \* MERGEFORMAT </w:instrText>
            </w:r>
            <w:r>
              <w:rPr>
                <w:rFonts w:hint="default" w:ascii="Times New Roman" w:hAnsi="Times New Roman" w:cs="Times New Roman"/>
                <w:snapToGrid w:val="0"/>
                <w:color w:val="auto"/>
                <w:spacing w:val="-6"/>
                <w:kern w:val="21"/>
                <w:sz w:val="24"/>
                <w:szCs w:val="24"/>
              </w:rPr>
              <w:fldChar w:fldCharType="separate"/>
            </w:r>
            <w:r>
              <w:rPr>
                <w:rFonts w:hint="default" w:ascii="Times New Roman" w:hAnsi="Times New Roman" w:cs="Times New Roman"/>
                <w:color w:val="auto"/>
                <w:kern w:val="2"/>
                <w:sz w:val="24"/>
                <w:szCs w:val="24"/>
              </w:rPr>
              <w:t>①</w:t>
            </w:r>
            <w:r>
              <w:rPr>
                <w:rFonts w:hint="default" w:ascii="Times New Roman" w:hAnsi="Times New Roman" w:cs="Times New Roman"/>
                <w:snapToGrid w:val="0"/>
                <w:color w:val="auto"/>
                <w:spacing w:val="-6"/>
                <w:kern w:val="21"/>
                <w:sz w:val="24"/>
                <w:szCs w:val="24"/>
              </w:rPr>
              <w:fldChar w:fldCharType="end"/>
            </w:r>
          </w:p>
        </w:tc>
        <w:tc>
          <w:tcPr>
            <w:tcW w:w="1400" w:type="dxa"/>
            <w:tcMar>
              <w:left w:w="28" w:type="dxa"/>
              <w:right w:w="28" w:type="dxa"/>
            </w:tcMar>
            <w:vAlign w:val="center"/>
          </w:tcPr>
          <w:p w14:paraId="260F0500">
            <w:pPr>
              <w:pStyle w:val="98"/>
              <w:spacing w:beforeLines="0" w:afterLines="0" w:line="240" w:lineRule="auto"/>
              <w:rPr>
                <w:rFonts w:hint="default" w:ascii="Times New Roman" w:hAnsi="Times New Roman" w:cs="Times New Roman"/>
                <w:snapToGrid w:val="0"/>
                <w:color w:val="auto"/>
                <w:spacing w:val="-6"/>
                <w:kern w:val="21"/>
                <w:sz w:val="24"/>
                <w:szCs w:val="24"/>
              </w:rPr>
            </w:pPr>
            <w:r>
              <w:rPr>
                <w:rFonts w:hint="default" w:ascii="Times New Roman" w:hAnsi="Times New Roman" w:cs="Times New Roman"/>
                <w:snapToGrid w:val="0"/>
                <w:color w:val="auto"/>
                <w:spacing w:val="-6"/>
                <w:kern w:val="21"/>
                <w:sz w:val="24"/>
                <w:szCs w:val="24"/>
              </w:rPr>
              <w:t>现有工程许可排放量</w:t>
            </w:r>
            <w:r>
              <w:rPr>
                <w:rFonts w:hint="default" w:ascii="Times New Roman" w:hAnsi="Times New Roman" w:cs="Times New Roman"/>
                <w:snapToGrid w:val="0"/>
                <w:color w:val="auto"/>
                <w:spacing w:val="-6"/>
                <w:kern w:val="21"/>
                <w:sz w:val="24"/>
                <w:szCs w:val="24"/>
              </w:rPr>
              <w:fldChar w:fldCharType="begin"/>
            </w:r>
            <w:r>
              <w:rPr>
                <w:rFonts w:hint="default" w:ascii="Times New Roman" w:hAnsi="Times New Roman" w:cs="Times New Roman"/>
                <w:snapToGrid w:val="0"/>
                <w:color w:val="auto"/>
                <w:spacing w:val="-6"/>
                <w:kern w:val="21"/>
                <w:sz w:val="24"/>
                <w:szCs w:val="24"/>
              </w:rPr>
              <w:instrText xml:space="preserve"> = 2 \* GB3 \* MERGEFORMAT </w:instrText>
            </w:r>
            <w:r>
              <w:rPr>
                <w:rFonts w:hint="default" w:ascii="Times New Roman" w:hAnsi="Times New Roman" w:cs="Times New Roman"/>
                <w:snapToGrid w:val="0"/>
                <w:color w:val="auto"/>
                <w:spacing w:val="-6"/>
                <w:kern w:val="21"/>
                <w:sz w:val="24"/>
                <w:szCs w:val="24"/>
              </w:rPr>
              <w:fldChar w:fldCharType="separate"/>
            </w:r>
            <w:r>
              <w:rPr>
                <w:rFonts w:hint="default" w:ascii="Times New Roman" w:hAnsi="Times New Roman" w:cs="Times New Roman"/>
                <w:snapToGrid w:val="0"/>
                <w:color w:val="auto"/>
                <w:spacing w:val="-6"/>
                <w:kern w:val="21"/>
                <w:sz w:val="24"/>
                <w:szCs w:val="24"/>
              </w:rPr>
              <w:t>②</w:t>
            </w:r>
            <w:r>
              <w:rPr>
                <w:rFonts w:hint="default" w:ascii="Times New Roman" w:hAnsi="Times New Roman" w:cs="Times New Roman"/>
                <w:snapToGrid w:val="0"/>
                <w:color w:val="auto"/>
                <w:spacing w:val="-6"/>
                <w:kern w:val="21"/>
                <w:sz w:val="24"/>
                <w:szCs w:val="24"/>
              </w:rPr>
              <w:fldChar w:fldCharType="end"/>
            </w:r>
          </w:p>
        </w:tc>
        <w:tc>
          <w:tcPr>
            <w:tcW w:w="1401" w:type="dxa"/>
            <w:tcMar>
              <w:left w:w="28" w:type="dxa"/>
              <w:right w:w="28" w:type="dxa"/>
            </w:tcMar>
            <w:vAlign w:val="center"/>
          </w:tcPr>
          <w:p w14:paraId="6DA61EED">
            <w:pPr>
              <w:pStyle w:val="98"/>
              <w:spacing w:beforeLines="0" w:afterLines="0" w:line="240" w:lineRule="auto"/>
              <w:rPr>
                <w:rFonts w:hint="default" w:ascii="Times New Roman" w:hAnsi="Times New Roman" w:cs="Times New Roman"/>
                <w:snapToGrid w:val="0"/>
                <w:color w:val="auto"/>
                <w:spacing w:val="-6"/>
                <w:kern w:val="21"/>
                <w:sz w:val="24"/>
                <w:szCs w:val="24"/>
              </w:rPr>
            </w:pPr>
            <w:r>
              <w:rPr>
                <w:rFonts w:hint="default" w:ascii="Times New Roman" w:hAnsi="Times New Roman" w:cs="Times New Roman"/>
                <w:snapToGrid w:val="0"/>
                <w:color w:val="auto"/>
                <w:spacing w:val="-6"/>
                <w:kern w:val="21"/>
                <w:sz w:val="24"/>
                <w:szCs w:val="24"/>
              </w:rPr>
              <w:t>在建工程排放量（固体废物产生量）</w:t>
            </w:r>
            <w:r>
              <w:rPr>
                <w:rFonts w:hint="default" w:ascii="Times New Roman" w:hAnsi="Times New Roman" w:cs="Times New Roman"/>
                <w:snapToGrid w:val="0"/>
                <w:color w:val="auto"/>
                <w:spacing w:val="-6"/>
                <w:kern w:val="21"/>
                <w:sz w:val="24"/>
                <w:szCs w:val="24"/>
              </w:rPr>
              <w:fldChar w:fldCharType="begin"/>
            </w:r>
            <w:r>
              <w:rPr>
                <w:rFonts w:hint="default" w:ascii="Times New Roman" w:hAnsi="Times New Roman" w:cs="Times New Roman"/>
                <w:snapToGrid w:val="0"/>
                <w:color w:val="auto"/>
                <w:spacing w:val="-6"/>
                <w:kern w:val="21"/>
                <w:sz w:val="24"/>
                <w:szCs w:val="24"/>
              </w:rPr>
              <w:instrText xml:space="preserve"> = 3 \* GB3 \* MERGEFORMAT </w:instrText>
            </w:r>
            <w:r>
              <w:rPr>
                <w:rFonts w:hint="default" w:ascii="Times New Roman" w:hAnsi="Times New Roman" w:cs="Times New Roman"/>
                <w:snapToGrid w:val="0"/>
                <w:color w:val="auto"/>
                <w:spacing w:val="-6"/>
                <w:kern w:val="21"/>
                <w:sz w:val="24"/>
                <w:szCs w:val="24"/>
              </w:rPr>
              <w:fldChar w:fldCharType="separate"/>
            </w:r>
            <w:r>
              <w:rPr>
                <w:rFonts w:hint="default" w:ascii="Times New Roman" w:hAnsi="Times New Roman" w:cs="Times New Roman"/>
                <w:color w:val="auto"/>
                <w:kern w:val="2"/>
                <w:sz w:val="24"/>
                <w:szCs w:val="24"/>
              </w:rPr>
              <w:t>③</w:t>
            </w:r>
            <w:r>
              <w:rPr>
                <w:rFonts w:hint="default" w:ascii="Times New Roman" w:hAnsi="Times New Roman" w:cs="Times New Roman"/>
                <w:snapToGrid w:val="0"/>
                <w:color w:val="auto"/>
                <w:spacing w:val="-6"/>
                <w:kern w:val="21"/>
                <w:sz w:val="24"/>
                <w:szCs w:val="24"/>
              </w:rPr>
              <w:fldChar w:fldCharType="end"/>
            </w:r>
          </w:p>
        </w:tc>
        <w:tc>
          <w:tcPr>
            <w:tcW w:w="1960" w:type="dxa"/>
            <w:tcMar>
              <w:left w:w="28" w:type="dxa"/>
              <w:right w:w="28" w:type="dxa"/>
            </w:tcMar>
            <w:vAlign w:val="center"/>
          </w:tcPr>
          <w:p w14:paraId="0F88A951">
            <w:pPr>
              <w:pStyle w:val="98"/>
              <w:spacing w:beforeLines="0" w:afterLines="0" w:line="240" w:lineRule="auto"/>
              <w:rPr>
                <w:rFonts w:hint="default" w:ascii="Times New Roman" w:hAnsi="Times New Roman" w:cs="Times New Roman"/>
                <w:snapToGrid w:val="0"/>
                <w:color w:val="auto"/>
                <w:spacing w:val="-6"/>
                <w:kern w:val="21"/>
                <w:sz w:val="24"/>
                <w:szCs w:val="24"/>
              </w:rPr>
            </w:pPr>
            <w:r>
              <w:rPr>
                <w:rFonts w:hint="default" w:ascii="Times New Roman" w:hAnsi="Times New Roman" w:cs="Times New Roman"/>
                <w:snapToGrid w:val="0"/>
                <w:color w:val="auto"/>
                <w:spacing w:val="-6"/>
                <w:kern w:val="21"/>
                <w:sz w:val="24"/>
                <w:szCs w:val="24"/>
              </w:rPr>
              <w:t>本项目排放量（固体废物产生量）</w:t>
            </w:r>
            <w:r>
              <w:rPr>
                <w:rFonts w:hint="default" w:ascii="Times New Roman" w:hAnsi="Times New Roman" w:cs="Times New Roman"/>
                <w:snapToGrid w:val="0"/>
                <w:color w:val="auto"/>
                <w:spacing w:val="-6"/>
                <w:kern w:val="21"/>
                <w:sz w:val="24"/>
                <w:szCs w:val="24"/>
              </w:rPr>
              <w:fldChar w:fldCharType="begin"/>
            </w:r>
            <w:r>
              <w:rPr>
                <w:rFonts w:hint="default" w:ascii="Times New Roman" w:hAnsi="Times New Roman" w:cs="Times New Roman"/>
                <w:snapToGrid w:val="0"/>
                <w:color w:val="auto"/>
                <w:spacing w:val="-6"/>
                <w:kern w:val="21"/>
                <w:sz w:val="24"/>
                <w:szCs w:val="24"/>
              </w:rPr>
              <w:instrText xml:space="preserve"> = 4 \* GB3 \* MERGEFORMAT </w:instrText>
            </w:r>
            <w:r>
              <w:rPr>
                <w:rFonts w:hint="default" w:ascii="Times New Roman" w:hAnsi="Times New Roman" w:cs="Times New Roman"/>
                <w:snapToGrid w:val="0"/>
                <w:color w:val="auto"/>
                <w:spacing w:val="-6"/>
                <w:kern w:val="21"/>
                <w:sz w:val="24"/>
                <w:szCs w:val="24"/>
              </w:rPr>
              <w:fldChar w:fldCharType="separate"/>
            </w:r>
            <w:r>
              <w:rPr>
                <w:rFonts w:hint="default" w:ascii="Times New Roman" w:hAnsi="Times New Roman" w:cs="Times New Roman"/>
                <w:color w:val="auto"/>
                <w:kern w:val="2"/>
                <w:sz w:val="24"/>
                <w:szCs w:val="24"/>
              </w:rPr>
              <w:t>④</w:t>
            </w:r>
            <w:r>
              <w:rPr>
                <w:rFonts w:hint="default" w:ascii="Times New Roman" w:hAnsi="Times New Roman" w:cs="Times New Roman"/>
                <w:snapToGrid w:val="0"/>
                <w:color w:val="auto"/>
                <w:spacing w:val="-6"/>
                <w:kern w:val="21"/>
                <w:sz w:val="24"/>
                <w:szCs w:val="24"/>
              </w:rPr>
              <w:fldChar w:fldCharType="end"/>
            </w:r>
          </w:p>
        </w:tc>
        <w:tc>
          <w:tcPr>
            <w:tcW w:w="1401" w:type="dxa"/>
            <w:tcMar>
              <w:left w:w="28" w:type="dxa"/>
              <w:right w:w="28" w:type="dxa"/>
            </w:tcMar>
            <w:vAlign w:val="center"/>
          </w:tcPr>
          <w:p w14:paraId="0FBC9B6D">
            <w:pPr>
              <w:pStyle w:val="98"/>
              <w:spacing w:beforeLines="0" w:afterLines="0" w:line="240" w:lineRule="auto"/>
              <w:rPr>
                <w:rFonts w:hint="default" w:ascii="Times New Roman" w:hAnsi="Times New Roman" w:cs="Times New Roman"/>
                <w:snapToGrid w:val="0"/>
                <w:color w:val="auto"/>
                <w:kern w:val="21"/>
                <w:sz w:val="24"/>
                <w:szCs w:val="24"/>
              </w:rPr>
            </w:pPr>
            <w:r>
              <w:rPr>
                <w:rFonts w:hint="default" w:ascii="Times New Roman" w:hAnsi="Times New Roman" w:cs="Times New Roman"/>
                <w:snapToGrid w:val="0"/>
                <w:color w:val="auto"/>
                <w:kern w:val="21"/>
                <w:sz w:val="24"/>
                <w:szCs w:val="24"/>
              </w:rPr>
              <w:t>以新带老削减量（新建项目不填）</w:t>
            </w:r>
            <w:r>
              <w:rPr>
                <w:rFonts w:hint="default" w:ascii="Times New Roman" w:hAnsi="Times New Roman" w:cs="Times New Roman"/>
                <w:snapToGrid w:val="0"/>
                <w:color w:val="auto"/>
                <w:kern w:val="21"/>
                <w:sz w:val="24"/>
                <w:szCs w:val="24"/>
              </w:rPr>
              <w:fldChar w:fldCharType="begin"/>
            </w:r>
            <w:r>
              <w:rPr>
                <w:rFonts w:hint="default" w:ascii="Times New Roman" w:hAnsi="Times New Roman" w:cs="Times New Roman"/>
                <w:snapToGrid w:val="0"/>
                <w:color w:val="auto"/>
                <w:kern w:val="21"/>
                <w:sz w:val="24"/>
                <w:szCs w:val="24"/>
              </w:rPr>
              <w:instrText xml:space="preserve"> = 5 \* GB3 \* MERGEFORMAT </w:instrText>
            </w:r>
            <w:r>
              <w:rPr>
                <w:rFonts w:hint="default" w:ascii="Times New Roman" w:hAnsi="Times New Roman" w:cs="Times New Roman"/>
                <w:snapToGrid w:val="0"/>
                <w:color w:val="auto"/>
                <w:kern w:val="21"/>
                <w:sz w:val="24"/>
                <w:szCs w:val="24"/>
              </w:rPr>
              <w:fldChar w:fldCharType="separate"/>
            </w:r>
            <w:r>
              <w:rPr>
                <w:rFonts w:hint="default" w:ascii="Times New Roman" w:hAnsi="Times New Roman" w:cs="Times New Roman"/>
                <w:color w:val="auto"/>
                <w:kern w:val="2"/>
                <w:sz w:val="24"/>
                <w:szCs w:val="24"/>
              </w:rPr>
              <w:t>⑤</w:t>
            </w:r>
            <w:r>
              <w:rPr>
                <w:rFonts w:hint="default" w:ascii="Times New Roman" w:hAnsi="Times New Roman" w:cs="Times New Roman"/>
                <w:snapToGrid w:val="0"/>
                <w:color w:val="auto"/>
                <w:kern w:val="21"/>
                <w:sz w:val="24"/>
                <w:szCs w:val="24"/>
              </w:rPr>
              <w:fldChar w:fldCharType="end"/>
            </w:r>
          </w:p>
        </w:tc>
        <w:tc>
          <w:tcPr>
            <w:tcW w:w="1648" w:type="dxa"/>
            <w:tcMar>
              <w:left w:w="28" w:type="dxa"/>
              <w:right w:w="28" w:type="dxa"/>
            </w:tcMar>
            <w:vAlign w:val="center"/>
          </w:tcPr>
          <w:p w14:paraId="762FC99D">
            <w:pPr>
              <w:pStyle w:val="98"/>
              <w:spacing w:beforeLines="0" w:afterLines="0" w:line="240" w:lineRule="auto"/>
              <w:rPr>
                <w:rFonts w:hint="default" w:ascii="Times New Roman" w:hAnsi="Times New Roman" w:cs="Times New Roman"/>
                <w:snapToGrid w:val="0"/>
                <w:color w:val="auto"/>
                <w:kern w:val="21"/>
                <w:sz w:val="24"/>
                <w:szCs w:val="24"/>
              </w:rPr>
            </w:pPr>
            <w:r>
              <w:rPr>
                <w:rFonts w:hint="default" w:ascii="Times New Roman" w:hAnsi="Times New Roman" w:cs="Times New Roman"/>
                <w:snapToGrid w:val="0"/>
                <w:color w:val="auto"/>
                <w:kern w:val="21"/>
                <w:sz w:val="24"/>
                <w:szCs w:val="24"/>
              </w:rPr>
              <w:t>本项目建成后全厂排放量（固体废物产生量）</w:t>
            </w:r>
            <w:r>
              <w:rPr>
                <w:rFonts w:hint="default" w:ascii="Times New Roman" w:hAnsi="Times New Roman" w:cs="Times New Roman"/>
                <w:snapToGrid w:val="0"/>
                <w:color w:val="auto"/>
                <w:kern w:val="21"/>
                <w:sz w:val="24"/>
                <w:szCs w:val="24"/>
              </w:rPr>
              <w:fldChar w:fldCharType="begin"/>
            </w:r>
            <w:r>
              <w:rPr>
                <w:rFonts w:hint="default" w:ascii="Times New Roman" w:hAnsi="Times New Roman" w:cs="Times New Roman"/>
                <w:snapToGrid w:val="0"/>
                <w:color w:val="auto"/>
                <w:kern w:val="21"/>
                <w:sz w:val="24"/>
                <w:szCs w:val="24"/>
              </w:rPr>
              <w:instrText xml:space="preserve"> = 6 \* GB3 \* MERGEFORMAT </w:instrText>
            </w:r>
            <w:r>
              <w:rPr>
                <w:rFonts w:hint="default" w:ascii="Times New Roman" w:hAnsi="Times New Roman" w:cs="Times New Roman"/>
                <w:snapToGrid w:val="0"/>
                <w:color w:val="auto"/>
                <w:kern w:val="21"/>
                <w:sz w:val="24"/>
                <w:szCs w:val="24"/>
              </w:rPr>
              <w:fldChar w:fldCharType="separate"/>
            </w:r>
            <w:r>
              <w:rPr>
                <w:rFonts w:hint="default" w:ascii="Times New Roman" w:hAnsi="Times New Roman" w:cs="Times New Roman"/>
                <w:color w:val="auto"/>
                <w:kern w:val="2"/>
                <w:sz w:val="24"/>
                <w:szCs w:val="24"/>
              </w:rPr>
              <w:t>⑥</w:t>
            </w:r>
            <w:r>
              <w:rPr>
                <w:rFonts w:hint="default" w:ascii="Times New Roman" w:hAnsi="Times New Roman" w:cs="Times New Roman"/>
                <w:snapToGrid w:val="0"/>
                <w:color w:val="auto"/>
                <w:kern w:val="21"/>
                <w:sz w:val="24"/>
                <w:szCs w:val="24"/>
              </w:rPr>
              <w:fldChar w:fldCharType="end"/>
            </w:r>
          </w:p>
        </w:tc>
        <w:tc>
          <w:tcPr>
            <w:tcW w:w="1442" w:type="dxa"/>
            <w:tcMar>
              <w:left w:w="28" w:type="dxa"/>
              <w:right w:w="28" w:type="dxa"/>
            </w:tcMar>
            <w:vAlign w:val="center"/>
          </w:tcPr>
          <w:p w14:paraId="2FFE5E10">
            <w:pPr>
              <w:pStyle w:val="98"/>
              <w:spacing w:beforeLines="0" w:afterLines="0" w:line="240" w:lineRule="auto"/>
              <w:rPr>
                <w:rFonts w:hint="default" w:ascii="Times New Roman" w:hAnsi="Times New Roman" w:cs="Times New Roman"/>
                <w:snapToGrid w:val="0"/>
                <w:color w:val="auto"/>
                <w:spacing w:val="-6"/>
                <w:kern w:val="21"/>
                <w:sz w:val="24"/>
                <w:szCs w:val="24"/>
              </w:rPr>
            </w:pPr>
            <w:r>
              <w:rPr>
                <w:rFonts w:hint="default" w:ascii="Times New Roman" w:hAnsi="Times New Roman" w:cs="Times New Roman"/>
                <w:snapToGrid w:val="0"/>
                <w:color w:val="auto"/>
                <w:spacing w:val="-6"/>
                <w:kern w:val="21"/>
                <w:sz w:val="24"/>
                <w:szCs w:val="24"/>
              </w:rPr>
              <w:t>变化量</w:t>
            </w:r>
          </w:p>
          <w:p w14:paraId="34D5D700">
            <w:pPr>
              <w:pStyle w:val="98"/>
              <w:spacing w:beforeLines="0" w:afterLines="0" w:line="240" w:lineRule="auto"/>
              <w:rPr>
                <w:rFonts w:hint="default" w:ascii="Times New Roman" w:hAnsi="Times New Roman" w:cs="Times New Roman"/>
                <w:snapToGrid w:val="0"/>
                <w:color w:val="auto"/>
                <w:spacing w:val="-6"/>
                <w:kern w:val="21"/>
                <w:sz w:val="24"/>
                <w:szCs w:val="24"/>
              </w:rPr>
            </w:pPr>
            <w:r>
              <w:rPr>
                <w:rFonts w:hint="default" w:ascii="Times New Roman" w:hAnsi="Times New Roman" w:cs="Times New Roman"/>
                <w:snapToGrid w:val="0"/>
                <w:color w:val="auto"/>
                <w:spacing w:val="-6"/>
                <w:kern w:val="21"/>
                <w:sz w:val="24"/>
                <w:szCs w:val="24"/>
              </w:rPr>
              <w:fldChar w:fldCharType="begin"/>
            </w:r>
            <w:r>
              <w:rPr>
                <w:rFonts w:hint="default" w:ascii="Times New Roman" w:hAnsi="Times New Roman" w:cs="Times New Roman"/>
                <w:snapToGrid w:val="0"/>
                <w:color w:val="auto"/>
                <w:spacing w:val="-6"/>
                <w:kern w:val="21"/>
                <w:sz w:val="24"/>
                <w:szCs w:val="24"/>
              </w:rPr>
              <w:instrText xml:space="preserve"> = 7 \* GB3 \* MERGEFORMAT </w:instrText>
            </w:r>
            <w:r>
              <w:rPr>
                <w:rFonts w:hint="default" w:ascii="Times New Roman" w:hAnsi="Times New Roman" w:cs="Times New Roman"/>
                <w:snapToGrid w:val="0"/>
                <w:color w:val="auto"/>
                <w:spacing w:val="-6"/>
                <w:kern w:val="21"/>
                <w:sz w:val="24"/>
                <w:szCs w:val="24"/>
              </w:rPr>
              <w:fldChar w:fldCharType="separate"/>
            </w:r>
            <w:r>
              <w:rPr>
                <w:rFonts w:hint="default" w:ascii="Times New Roman" w:hAnsi="Times New Roman" w:cs="Times New Roman"/>
                <w:color w:val="auto"/>
                <w:kern w:val="2"/>
                <w:sz w:val="24"/>
                <w:szCs w:val="24"/>
              </w:rPr>
              <w:t>⑦</w:t>
            </w:r>
            <w:r>
              <w:rPr>
                <w:rFonts w:hint="default" w:ascii="Times New Roman" w:hAnsi="Times New Roman" w:cs="Times New Roman"/>
                <w:snapToGrid w:val="0"/>
                <w:color w:val="auto"/>
                <w:spacing w:val="-6"/>
                <w:kern w:val="21"/>
                <w:sz w:val="24"/>
                <w:szCs w:val="24"/>
              </w:rPr>
              <w:fldChar w:fldCharType="end"/>
            </w:r>
          </w:p>
        </w:tc>
      </w:tr>
      <w:tr w14:paraId="648644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323" w:type="dxa"/>
            <w:vMerge w:val="restart"/>
            <w:vAlign w:val="center"/>
          </w:tcPr>
          <w:p w14:paraId="05644A5E">
            <w:pPr>
              <w:pStyle w:val="98"/>
              <w:spacing w:beforeLines="0" w:afterLines="0" w:line="240" w:lineRule="auto"/>
              <w:rPr>
                <w:rFonts w:hint="default" w:ascii="Times New Roman" w:hAnsi="Times New Roman" w:cs="Times New Roman"/>
                <w:snapToGrid w:val="0"/>
                <w:color w:val="auto"/>
                <w:kern w:val="21"/>
                <w:sz w:val="24"/>
                <w:szCs w:val="24"/>
              </w:rPr>
            </w:pPr>
            <w:r>
              <w:rPr>
                <w:rFonts w:hint="default" w:ascii="Times New Roman" w:hAnsi="Times New Roman" w:cs="Times New Roman"/>
                <w:snapToGrid w:val="0"/>
                <w:color w:val="auto"/>
                <w:kern w:val="21"/>
                <w:sz w:val="24"/>
                <w:szCs w:val="24"/>
              </w:rPr>
              <w:t>废气</w:t>
            </w:r>
          </w:p>
        </w:tc>
        <w:tc>
          <w:tcPr>
            <w:tcW w:w="1483" w:type="dxa"/>
            <w:vAlign w:val="center"/>
          </w:tcPr>
          <w:p w14:paraId="17581402">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颗粒物</w:t>
            </w:r>
          </w:p>
        </w:tc>
        <w:tc>
          <w:tcPr>
            <w:tcW w:w="1563" w:type="dxa"/>
            <w:vAlign w:val="center"/>
          </w:tcPr>
          <w:p w14:paraId="6F6A10C5">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400" w:type="dxa"/>
            <w:vAlign w:val="center"/>
          </w:tcPr>
          <w:p w14:paraId="60BC46C3">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w:t>
            </w:r>
          </w:p>
        </w:tc>
        <w:tc>
          <w:tcPr>
            <w:tcW w:w="1401" w:type="dxa"/>
            <w:vAlign w:val="center"/>
          </w:tcPr>
          <w:p w14:paraId="6BA0453F">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960" w:type="dxa"/>
            <w:shd w:val="clear" w:color="auto" w:fill="auto"/>
            <w:vAlign w:val="center"/>
          </w:tcPr>
          <w:p w14:paraId="79A5A37D">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0.0395</w:t>
            </w:r>
          </w:p>
        </w:tc>
        <w:tc>
          <w:tcPr>
            <w:tcW w:w="1401" w:type="dxa"/>
            <w:vAlign w:val="center"/>
          </w:tcPr>
          <w:p w14:paraId="48317313">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648" w:type="dxa"/>
            <w:vAlign w:val="center"/>
          </w:tcPr>
          <w:p w14:paraId="0BD759C7">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0.0395</w:t>
            </w:r>
          </w:p>
        </w:tc>
        <w:tc>
          <w:tcPr>
            <w:tcW w:w="1442" w:type="dxa"/>
            <w:vAlign w:val="center"/>
          </w:tcPr>
          <w:p w14:paraId="62115E0D">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+0.0395</w:t>
            </w:r>
          </w:p>
        </w:tc>
      </w:tr>
      <w:tr w14:paraId="4D9806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323" w:type="dxa"/>
            <w:vMerge w:val="continue"/>
            <w:vAlign w:val="center"/>
          </w:tcPr>
          <w:p w14:paraId="4C56A05A">
            <w:pPr>
              <w:pStyle w:val="98"/>
              <w:spacing w:beforeLines="0" w:afterLines="0" w:line="240" w:lineRule="auto"/>
              <w:rPr>
                <w:rFonts w:hint="default" w:ascii="Times New Roman" w:hAnsi="Times New Roman" w:cs="Times New Roman"/>
                <w:snapToGrid w:val="0"/>
                <w:color w:val="auto"/>
                <w:kern w:val="21"/>
                <w:sz w:val="24"/>
                <w:szCs w:val="24"/>
              </w:rPr>
            </w:pPr>
          </w:p>
        </w:tc>
        <w:tc>
          <w:tcPr>
            <w:tcW w:w="1483" w:type="dxa"/>
            <w:vAlign w:val="center"/>
          </w:tcPr>
          <w:p w14:paraId="6728B8C8">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非甲烷总烃</w:t>
            </w:r>
          </w:p>
        </w:tc>
        <w:tc>
          <w:tcPr>
            <w:tcW w:w="1563" w:type="dxa"/>
            <w:shd w:val="clear" w:color="auto" w:fill="auto"/>
            <w:vAlign w:val="center"/>
          </w:tcPr>
          <w:p w14:paraId="2B4FB990">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400" w:type="dxa"/>
            <w:shd w:val="clear" w:color="auto" w:fill="auto"/>
            <w:vAlign w:val="center"/>
          </w:tcPr>
          <w:p w14:paraId="05F3290E">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w:t>
            </w:r>
          </w:p>
        </w:tc>
        <w:tc>
          <w:tcPr>
            <w:tcW w:w="1401" w:type="dxa"/>
            <w:shd w:val="clear" w:color="auto" w:fill="auto"/>
            <w:vAlign w:val="center"/>
          </w:tcPr>
          <w:p w14:paraId="2CA7E0AF">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960" w:type="dxa"/>
            <w:shd w:val="clear" w:color="auto" w:fill="auto"/>
            <w:vAlign w:val="center"/>
          </w:tcPr>
          <w:p w14:paraId="62F7903B">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0.144012</w:t>
            </w:r>
          </w:p>
        </w:tc>
        <w:tc>
          <w:tcPr>
            <w:tcW w:w="1401" w:type="dxa"/>
            <w:shd w:val="clear" w:color="auto" w:fill="auto"/>
            <w:vAlign w:val="center"/>
          </w:tcPr>
          <w:p w14:paraId="3E67A70E">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648" w:type="dxa"/>
            <w:shd w:val="clear" w:color="auto" w:fill="auto"/>
            <w:vAlign w:val="center"/>
          </w:tcPr>
          <w:p w14:paraId="67BBC0C6">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0.144012</w:t>
            </w:r>
          </w:p>
        </w:tc>
        <w:tc>
          <w:tcPr>
            <w:tcW w:w="1442" w:type="dxa"/>
            <w:shd w:val="clear" w:color="auto" w:fill="auto"/>
            <w:vAlign w:val="center"/>
          </w:tcPr>
          <w:p w14:paraId="2D306046">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w:t>
            </w:r>
            <w:r>
              <w:rPr>
                <w:rFonts w:hint="eastAsia" w:cs="Times New Roman"/>
                <w:i w:val="0"/>
                <w:iCs w:val="0"/>
                <w:color w:val="auto"/>
                <w:kern w:val="0"/>
                <w:sz w:val="24"/>
                <w:szCs w:val="24"/>
                <w:u w:val="none"/>
                <w:lang w:val="en-US" w:eastAsia="zh-CN" w:bidi="ar"/>
              </w:rPr>
              <w:t>0.144012</w:t>
            </w:r>
          </w:p>
        </w:tc>
      </w:tr>
      <w:tr w14:paraId="291003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1323" w:type="dxa"/>
            <w:vMerge w:val="restart"/>
            <w:vAlign w:val="center"/>
          </w:tcPr>
          <w:p w14:paraId="3E4414E0">
            <w:pPr>
              <w:pStyle w:val="98"/>
              <w:spacing w:beforeLines="0" w:afterLines="0" w:line="240" w:lineRule="auto"/>
              <w:rPr>
                <w:rFonts w:hint="default" w:ascii="Times New Roman" w:hAnsi="Times New Roman" w:cs="Times New Roman"/>
                <w:snapToGrid w:val="0"/>
                <w:color w:val="auto"/>
                <w:kern w:val="21"/>
                <w:sz w:val="24"/>
                <w:szCs w:val="24"/>
              </w:rPr>
            </w:pPr>
            <w:r>
              <w:rPr>
                <w:rFonts w:hint="default" w:ascii="Times New Roman" w:hAnsi="Times New Roman" w:cs="Times New Roman"/>
                <w:snapToGrid w:val="0"/>
                <w:color w:val="auto"/>
                <w:kern w:val="21"/>
                <w:sz w:val="24"/>
                <w:szCs w:val="24"/>
              </w:rPr>
              <w:t>废水</w:t>
            </w:r>
          </w:p>
        </w:tc>
        <w:tc>
          <w:tcPr>
            <w:tcW w:w="1483" w:type="dxa"/>
            <w:vAlign w:val="center"/>
          </w:tcPr>
          <w:p w14:paraId="6CFB6641">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废水量</w:t>
            </w:r>
          </w:p>
        </w:tc>
        <w:tc>
          <w:tcPr>
            <w:tcW w:w="1563" w:type="dxa"/>
            <w:vAlign w:val="center"/>
          </w:tcPr>
          <w:p w14:paraId="351DB58A">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400" w:type="dxa"/>
            <w:vAlign w:val="center"/>
          </w:tcPr>
          <w:p w14:paraId="0294445F">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w:t>
            </w:r>
          </w:p>
        </w:tc>
        <w:tc>
          <w:tcPr>
            <w:tcW w:w="1401" w:type="dxa"/>
            <w:vAlign w:val="center"/>
          </w:tcPr>
          <w:p w14:paraId="29C0AD95">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960" w:type="dxa"/>
            <w:vAlign w:val="center"/>
          </w:tcPr>
          <w:p w14:paraId="79AB5F0E">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1536</w:t>
            </w:r>
          </w:p>
        </w:tc>
        <w:tc>
          <w:tcPr>
            <w:tcW w:w="1401" w:type="dxa"/>
            <w:vAlign w:val="center"/>
          </w:tcPr>
          <w:p w14:paraId="4EDD4C9E">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0</w:t>
            </w:r>
          </w:p>
        </w:tc>
        <w:tc>
          <w:tcPr>
            <w:tcW w:w="1648" w:type="dxa"/>
            <w:vAlign w:val="center"/>
          </w:tcPr>
          <w:p w14:paraId="28FF7404">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1536</w:t>
            </w:r>
          </w:p>
        </w:tc>
        <w:tc>
          <w:tcPr>
            <w:tcW w:w="1442" w:type="dxa"/>
            <w:vAlign w:val="center"/>
          </w:tcPr>
          <w:p w14:paraId="33EBB604">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+1536</w:t>
            </w:r>
          </w:p>
        </w:tc>
      </w:tr>
      <w:tr w14:paraId="637924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323" w:type="dxa"/>
            <w:vMerge w:val="continue"/>
            <w:vAlign w:val="center"/>
          </w:tcPr>
          <w:p w14:paraId="50938176">
            <w:pPr>
              <w:jc w:val="center"/>
              <w:rPr>
                <w:rFonts w:hint="default" w:ascii="Times New Roman" w:hAnsi="Times New Roman" w:cs="Times New Roman"/>
                <w:snapToGrid w:val="0"/>
                <w:color w:val="auto"/>
                <w:kern w:val="21"/>
                <w:sz w:val="24"/>
                <w:szCs w:val="24"/>
              </w:rPr>
            </w:pPr>
          </w:p>
        </w:tc>
        <w:tc>
          <w:tcPr>
            <w:tcW w:w="1483" w:type="dxa"/>
            <w:vAlign w:val="center"/>
          </w:tcPr>
          <w:p w14:paraId="5B63C9DB">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COD</w:t>
            </w:r>
          </w:p>
        </w:tc>
        <w:tc>
          <w:tcPr>
            <w:tcW w:w="1563" w:type="dxa"/>
            <w:vAlign w:val="center"/>
          </w:tcPr>
          <w:p w14:paraId="38C15BC9">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400" w:type="dxa"/>
            <w:vAlign w:val="center"/>
          </w:tcPr>
          <w:p w14:paraId="522EF45E">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w:t>
            </w:r>
          </w:p>
        </w:tc>
        <w:tc>
          <w:tcPr>
            <w:tcW w:w="1401" w:type="dxa"/>
            <w:vAlign w:val="center"/>
          </w:tcPr>
          <w:p w14:paraId="3F6A38F6">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960" w:type="dxa"/>
            <w:shd w:val="clear" w:color="auto" w:fill="auto"/>
            <w:vAlign w:val="center"/>
          </w:tcPr>
          <w:p w14:paraId="639842F1">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 xml:space="preserve">0.444 </w:t>
            </w:r>
          </w:p>
        </w:tc>
        <w:tc>
          <w:tcPr>
            <w:tcW w:w="1401" w:type="dxa"/>
            <w:vAlign w:val="center"/>
          </w:tcPr>
          <w:p w14:paraId="3F989788">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648" w:type="dxa"/>
            <w:shd w:val="clear" w:color="auto" w:fill="auto"/>
            <w:vAlign w:val="center"/>
          </w:tcPr>
          <w:p w14:paraId="408DC3E6">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 xml:space="preserve">0.444 </w:t>
            </w:r>
          </w:p>
        </w:tc>
        <w:tc>
          <w:tcPr>
            <w:tcW w:w="1442" w:type="dxa"/>
            <w:shd w:val="clear" w:color="auto" w:fill="auto"/>
            <w:vAlign w:val="center"/>
          </w:tcPr>
          <w:p w14:paraId="5A837479">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w:t>
            </w:r>
            <w:r>
              <w:rPr>
                <w:rFonts w:hint="default" w:ascii="Times New Roman" w:hAnsi="Times New Roman" w:eastAsia="宋体" w:cs="Times New Roman"/>
                <w:i w:val="0"/>
                <w:iCs w:val="0"/>
                <w:color w:val="auto"/>
                <w:kern w:val="0"/>
                <w:sz w:val="24"/>
                <w:szCs w:val="24"/>
                <w:u w:val="none"/>
                <w:lang w:val="en-US" w:eastAsia="zh-CN" w:bidi="ar"/>
              </w:rPr>
              <w:t xml:space="preserve">0.444 </w:t>
            </w:r>
          </w:p>
        </w:tc>
      </w:tr>
      <w:tr w14:paraId="499A0C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323" w:type="dxa"/>
            <w:vMerge w:val="continue"/>
            <w:vAlign w:val="center"/>
          </w:tcPr>
          <w:p w14:paraId="1E864715">
            <w:pPr>
              <w:jc w:val="center"/>
              <w:rPr>
                <w:rFonts w:hint="default" w:ascii="Times New Roman" w:hAnsi="Times New Roman" w:cs="Times New Roman"/>
                <w:snapToGrid w:val="0"/>
                <w:color w:val="auto"/>
                <w:kern w:val="21"/>
                <w:sz w:val="24"/>
                <w:szCs w:val="24"/>
              </w:rPr>
            </w:pPr>
          </w:p>
        </w:tc>
        <w:tc>
          <w:tcPr>
            <w:tcW w:w="1483" w:type="dxa"/>
            <w:vAlign w:val="center"/>
          </w:tcPr>
          <w:p w14:paraId="4448159A">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BOD</w:t>
            </w:r>
            <w:r>
              <w:rPr>
                <w:rFonts w:hint="default" w:ascii="Times New Roman" w:hAnsi="Times New Roman" w:eastAsia="宋体" w:cs="Times New Roman"/>
                <w:i w:val="0"/>
                <w:iCs w:val="0"/>
                <w:color w:val="auto"/>
                <w:kern w:val="0"/>
                <w:sz w:val="24"/>
                <w:szCs w:val="24"/>
                <w:u w:val="none"/>
                <w:vertAlign w:val="subscript"/>
                <w:lang w:val="en-US" w:eastAsia="zh-CN" w:bidi="ar"/>
              </w:rPr>
              <w:t>5</w:t>
            </w:r>
          </w:p>
        </w:tc>
        <w:tc>
          <w:tcPr>
            <w:tcW w:w="1563" w:type="dxa"/>
            <w:vAlign w:val="center"/>
          </w:tcPr>
          <w:p w14:paraId="54E3384E">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400" w:type="dxa"/>
            <w:vAlign w:val="center"/>
          </w:tcPr>
          <w:p w14:paraId="690AA84B">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w:t>
            </w:r>
          </w:p>
        </w:tc>
        <w:tc>
          <w:tcPr>
            <w:tcW w:w="1401" w:type="dxa"/>
            <w:vAlign w:val="center"/>
          </w:tcPr>
          <w:p w14:paraId="60526A46">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960" w:type="dxa"/>
            <w:shd w:val="clear" w:color="auto" w:fill="auto"/>
            <w:vAlign w:val="center"/>
          </w:tcPr>
          <w:p w14:paraId="56712054">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 xml:space="preserve">0.243 </w:t>
            </w:r>
          </w:p>
        </w:tc>
        <w:tc>
          <w:tcPr>
            <w:tcW w:w="1401" w:type="dxa"/>
            <w:vAlign w:val="center"/>
          </w:tcPr>
          <w:p w14:paraId="76648A28">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648" w:type="dxa"/>
            <w:shd w:val="clear" w:color="auto" w:fill="auto"/>
            <w:vAlign w:val="center"/>
          </w:tcPr>
          <w:p w14:paraId="1CEB2614">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 xml:space="preserve">0.243 </w:t>
            </w:r>
          </w:p>
        </w:tc>
        <w:tc>
          <w:tcPr>
            <w:tcW w:w="1442" w:type="dxa"/>
            <w:shd w:val="clear" w:color="auto" w:fill="auto"/>
            <w:vAlign w:val="center"/>
          </w:tcPr>
          <w:p w14:paraId="5AD79085">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w:t>
            </w:r>
            <w:r>
              <w:rPr>
                <w:rFonts w:hint="default" w:ascii="Times New Roman" w:hAnsi="Times New Roman" w:eastAsia="宋体" w:cs="Times New Roman"/>
                <w:i w:val="0"/>
                <w:iCs w:val="0"/>
                <w:color w:val="auto"/>
                <w:kern w:val="0"/>
                <w:sz w:val="24"/>
                <w:szCs w:val="24"/>
                <w:u w:val="none"/>
                <w:lang w:val="en-US" w:eastAsia="zh-CN" w:bidi="ar"/>
              </w:rPr>
              <w:t xml:space="preserve">0.243 </w:t>
            </w:r>
          </w:p>
        </w:tc>
      </w:tr>
      <w:tr w14:paraId="7E0ED8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323" w:type="dxa"/>
            <w:vMerge w:val="continue"/>
            <w:vAlign w:val="center"/>
          </w:tcPr>
          <w:p w14:paraId="737EAFFD">
            <w:pPr>
              <w:jc w:val="center"/>
              <w:rPr>
                <w:rFonts w:hint="default" w:ascii="Times New Roman" w:hAnsi="Times New Roman" w:cs="Times New Roman"/>
                <w:snapToGrid w:val="0"/>
                <w:color w:val="auto"/>
                <w:kern w:val="21"/>
                <w:sz w:val="24"/>
                <w:szCs w:val="24"/>
              </w:rPr>
            </w:pPr>
          </w:p>
        </w:tc>
        <w:tc>
          <w:tcPr>
            <w:tcW w:w="1483" w:type="dxa"/>
            <w:vAlign w:val="center"/>
          </w:tcPr>
          <w:p w14:paraId="05A7AA6C">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SS</w:t>
            </w:r>
          </w:p>
        </w:tc>
        <w:tc>
          <w:tcPr>
            <w:tcW w:w="1563" w:type="dxa"/>
            <w:vAlign w:val="center"/>
          </w:tcPr>
          <w:p w14:paraId="5C055667">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400" w:type="dxa"/>
            <w:vAlign w:val="center"/>
          </w:tcPr>
          <w:p w14:paraId="2C208AB1">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w:t>
            </w:r>
          </w:p>
        </w:tc>
        <w:tc>
          <w:tcPr>
            <w:tcW w:w="1401" w:type="dxa"/>
            <w:vAlign w:val="center"/>
          </w:tcPr>
          <w:p w14:paraId="28783DD6">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960" w:type="dxa"/>
            <w:shd w:val="clear" w:color="auto" w:fill="auto"/>
            <w:vAlign w:val="center"/>
          </w:tcPr>
          <w:p w14:paraId="37D258C4">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 xml:space="preserve">0.215 </w:t>
            </w:r>
          </w:p>
        </w:tc>
        <w:tc>
          <w:tcPr>
            <w:tcW w:w="1401" w:type="dxa"/>
            <w:vAlign w:val="center"/>
          </w:tcPr>
          <w:p w14:paraId="6758E135">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648" w:type="dxa"/>
            <w:shd w:val="clear" w:color="auto" w:fill="auto"/>
            <w:vAlign w:val="center"/>
          </w:tcPr>
          <w:p w14:paraId="01C0BA83">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 xml:space="preserve">0.215 </w:t>
            </w:r>
          </w:p>
        </w:tc>
        <w:tc>
          <w:tcPr>
            <w:tcW w:w="1442" w:type="dxa"/>
            <w:shd w:val="clear" w:color="auto" w:fill="auto"/>
            <w:vAlign w:val="center"/>
          </w:tcPr>
          <w:p w14:paraId="13388CBA">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w:t>
            </w:r>
            <w:r>
              <w:rPr>
                <w:rFonts w:hint="default" w:ascii="Times New Roman" w:hAnsi="Times New Roman" w:eastAsia="宋体" w:cs="Times New Roman"/>
                <w:i w:val="0"/>
                <w:iCs w:val="0"/>
                <w:color w:val="auto"/>
                <w:kern w:val="0"/>
                <w:sz w:val="24"/>
                <w:szCs w:val="24"/>
                <w:u w:val="none"/>
                <w:lang w:val="en-US" w:eastAsia="zh-CN" w:bidi="ar"/>
              </w:rPr>
              <w:t xml:space="preserve">0.215 </w:t>
            </w:r>
          </w:p>
        </w:tc>
      </w:tr>
      <w:tr w14:paraId="469FC6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323" w:type="dxa"/>
            <w:vMerge w:val="continue"/>
            <w:vAlign w:val="center"/>
          </w:tcPr>
          <w:p w14:paraId="6ADB51B6">
            <w:pPr>
              <w:jc w:val="center"/>
              <w:rPr>
                <w:rFonts w:hint="default" w:ascii="Times New Roman" w:hAnsi="Times New Roman" w:cs="Times New Roman"/>
                <w:snapToGrid w:val="0"/>
                <w:color w:val="auto"/>
                <w:kern w:val="21"/>
                <w:sz w:val="24"/>
                <w:szCs w:val="24"/>
              </w:rPr>
            </w:pPr>
          </w:p>
        </w:tc>
        <w:tc>
          <w:tcPr>
            <w:tcW w:w="1483" w:type="dxa"/>
            <w:vAlign w:val="center"/>
          </w:tcPr>
          <w:p w14:paraId="070403A4">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NH</w:t>
            </w:r>
            <w:r>
              <w:rPr>
                <w:rFonts w:hint="default" w:ascii="Times New Roman" w:hAnsi="Times New Roman" w:eastAsia="宋体" w:cs="Times New Roman"/>
                <w:i w:val="0"/>
                <w:iCs w:val="0"/>
                <w:color w:val="auto"/>
                <w:kern w:val="0"/>
                <w:sz w:val="24"/>
                <w:szCs w:val="24"/>
                <w:u w:val="none"/>
                <w:vertAlign w:val="subscript"/>
                <w:lang w:val="en-US" w:eastAsia="zh-CN" w:bidi="ar"/>
              </w:rPr>
              <w:t>3</w:t>
            </w:r>
            <w:r>
              <w:rPr>
                <w:rFonts w:hint="default" w:ascii="Times New Roman" w:hAnsi="Times New Roman" w:eastAsia="宋体" w:cs="Times New Roman"/>
                <w:i w:val="0"/>
                <w:iCs w:val="0"/>
                <w:color w:val="auto"/>
                <w:kern w:val="0"/>
                <w:sz w:val="24"/>
                <w:szCs w:val="24"/>
                <w:u w:val="none"/>
                <w:lang w:val="en-US" w:eastAsia="zh-CN" w:bidi="ar"/>
              </w:rPr>
              <w:t>-N</w:t>
            </w:r>
          </w:p>
        </w:tc>
        <w:tc>
          <w:tcPr>
            <w:tcW w:w="1563" w:type="dxa"/>
            <w:vAlign w:val="center"/>
          </w:tcPr>
          <w:p w14:paraId="4052594B">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400" w:type="dxa"/>
            <w:vAlign w:val="center"/>
          </w:tcPr>
          <w:p w14:paraId="2640D6E6">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w:t>
            </w:r>
          </w:p>
        </w:tc>
        <w:tc>
          <w:tcPr>
            <w:tcW w:w="1401" w:type="dxa"/>
            <w:vAlign w:val="center"/>
          </w:tcPr>
          <w:p w14:paraId="35FE276E">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960" w:type="dxa"/>
            <w:shd w:val="clear" w:color="auto" w:fill="auto"/>
            <w:vAlign w:val="center"/>
          </w:tcPr>
          <w:p w14:paraId="476C3A34">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 xml:space="preserve">0.045 </w:t>
            </w:r>
          </w:p>
        </w:tc>
        <w:tc>
          <w:tcPr>
            <w:tcW w:w="1401" w:type="dxa"/>
            <w:vAlign w:val="center"/>
          </w:tcPr>
          <w:p w14:paraId="61819D42">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648" w:type="dxa"/>
            <w:shd w:val="clear" w:color="auto" w:fill="auto"/>
            <w:vAlign w:val="center"/>
          </w:tcPr>
          <w:p w14:paraId="21EFC25C">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 xml:space="preserve">0.045 </w:t>
            </w:r>
          </w:p>
        </w:tc>
        <w:tc>
          <w:tcPr>
            <w:tcW w:w="1442" w:type="dxa"/>
            <w:shd w:val="clear" w:color="auto" w:fill="auto"/>
            <w:vAlign w:val="center"/>
          </w:tcPr>
          <w:p w14:paraId="69B89843">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w:t>
            </w:r>
            <w:r>
              <w:rPr>
                <w:rFonts w:hint="default" w:ascii="Times New Roman" w:hAnsi="Times New Roman" w:eastAsia="宋体" w:cs="Times New Roman"/>
                <w:i w:val="0"/>
                <w:iCs w:val="0"/>
                <w:color w:val="auto"/>
                <w:kern w:val="0"/>
                <w:sz w:val="24"/>
                <w:szCs w:val="24"/>
                <w:u w:val="none"/>
                <w:lang w:val="en-US" w:eastAsia="zh-CN" w:bidi="ar"/>
              </w:rPr>
              <w:t xml:space="preserve">0.045 </w:t>
            </w:r>
          </w:p>
        </w:tc>
      </w:tr>
      <w:tr w14:paraId="4F0B05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323" w:type="dxa"/>
            <w:vMerge w:val="continue"/>
            <w:vAlign w:val="center"/>
          </w:tcPr>
          <w:p w14:paraId="425CD0EB">
            <w:pPr>
              <w:jc w:val="center"/>
              <w:rPr>
                <w:rFonts w:hint="default" w:ascii="Times New Roman" w:hAnsi="Times New Roman" w:cs="Times New Roman"/>
                <w:snapToGrid w:val="0"/>
                <w:color w:val="auto"/>
                <w:kern w:val="21"/>
                <w:sz w:val="24"/>
                <w:szCs w:val="24"/>
              </w:rPr>
            </w:pPr>
          </w:p>
        </w:tc>
        <w:tc>
          <w:tcPr>
            <w:tcW w:w="1483" w:type="dxa"/>
            <w:vAlign w:val="center"/>
          </w:tcPr>
          <w:p w14:paraId="5043953F">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TP</w:t>
            </w:r>
          </w:p>
        </w:tc>
        <w:tc>
          <w:tcPr>
            <w:tcW w:w="1563" w:type="dxa"/>
            <w:vAlign w:val="center"/>
          </w:tcPr>
          <w:p w14:paraId="17991AEF">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400" w:type="dxa"/>
            <w:vAlign w:val="center"/>
          </w:tcPr>
          <w:p w14:paraId="4BFFCD43">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w:t>
            </w:r>
          </w:p>
        </w:tc>
        <w:tc>
          <w:tcPr>
            <w:tcW w:w="1401" w:type="dxa"/>
            <w:vAlign w:val="center"/>
          </w:tcPr>
          <w:p w14:paraId="0D93CD38">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960" w:type="dxa"/>
            <w:shd w:val="clear" w:color="auto" w:fill="auto"/>
            <w:vAlign w:val="center"/>
          </w:tcPr>
          <w:p w14:paraId="430C92E5">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 xml:space="preserve">0.006 </w:t>
            </w:r>
          </w:p>
        </w:tc>
        <w:tc>
          <w:tcPr>
            <w:tcW w:w="1401" w:type="dxa"/>
            <w:vAlign w:val="center"/>
          </w:tcPr>
          <w:p w14:paraId="0598D67A">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648" w:type="dxa"/>
            <w:shd w:val="clear" w:color="auto" w:fill="auto"/>
            <w:vAlign w:val="center"/>
          </w:tcPr>
          <w:p w14:paraId="3F16EEE8">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 xml:space="preserve">0.006 </w:t>
            </w:r>
          </w:p>
        </w:tc>
        <w:tc>
          <w:tcPr>
            <w:tcW w:w="1442" w:type="dxa"/>
            <w:shd w:val="clear" w:color="auto" w:fill="auto"/>
            <w:vAlign w:val="center"/>
          </w:tcPr>
          <w:p w14:paraId="7A0068C8">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w:t>
            </w:r>
            <w:r>
              <w:rPr>
                <w:rFonts w:hint="default" w:ascii="Times New Roman" w:hAnsi="Times New Roman" w:eastAsia="宋体" w:cs="Times New Roman"/>
                <w:i w:val="0"/>
                <w:iCs w:val="0"/>
                <w:color w:val="auto"/>
                <w:kern w:val="0"/>
                <w:sz w:val="24"/>
                <w:szCs w:val="24"/>
                <w:u w:val="none"/>
                <w:lang w:val="en-US" w:eastAsia="zh-CN" w:bidi="ar"/>
              </w:rPr>
              <w:t xml:space="preserve">0.006 </w:t>
            </w:r>
          </w:p>
        </w:tc>
      </w:tr>
      <w:tr w14:paraId="323792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323" w:type="dxa"/>
            <w:vMerge w:val="continue"/>
            <w:vAlign w:val="center"/>
          </w:tcPr>
          <w:p w14:paraId="6294B969">
            <w:pPr>
              <w:jc w:val="center"/>
              <w:rPr>
                <w:rFonts w:hint="default" w:ascii="Times New Roman" w:hAnsi="Times New Roman" w:cs="Times New Roman"/>
                <w:snapToGrid w:val="0"/>
                <w:color w:val="auto"/>
                <w:kern w:val="21"/>
                <w:sz w:val="24"/>
                <w:szCs w:val="24"/>
              </w:rPr>
            </w:pPr>
          </w:p>
        </w:tc>
        <w:tc>
          <w:tcPr>
            <w:tcW w:w="1483" w:type="dxa"/>
            <w:vAlign w:val="center"/>
          </w:tcPr>
          <w:p w14:paraId="232A26E2">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TN</w:t>
            </w:r>
          </w:p>
        </w:tc>
        <w:tc>
          <w:tcPr>
            <w:tcW w:w="1563" w:type="dxa"/>
            <w:vAlign w:val="center"/>
          </w:tcPr>
          <w:p w14:paraId="6F5C986B">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400" w:type="dxa"/>
            <w:vAlign w:val="center"/>
          </w:tcPr>
          <w:p w14:paraId="06F2A9E5">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w:t>
            </w:r>
          </w:p>
        </w:tc>
        <w:tc>
          <w:tcPr>
            <w:tcW w:w="1401" w:type="dxa"/>
            <w:vAlign w:val="center"/>
          </w:tcPr>
          <w:p w14:paraId="08B80DAA">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960" w:type="dxa"/>
            <w:shd w:val="clear" w:color="auto" w:fill="auto"/>
            <w:vAlign w:val="center"/>
          </w:tcPr>
          <w:p w14:paraId="269A737F">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 xml:space="preserve">0.061 </w:t>
            </w:r>
          </w:p>
        </w:tc>
        <w:tc>
          <w:tcPr>
            <w:tcW w:w="1401" w:type="dxa"/>
            <w:vAlign w:val="center"/>
          </w:tcPr>
          <w:p w14:paraId="577461CD">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648" w:type="dxa"/>
            <w:shd w:val="clear" w:color="auto" w:fill="auto"/>
            <w:vAlign w:val="center"/>
          </w:tcPr>
          <w:p w14:paraId="5CF39336">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 xml:space="preserve">0.061 </w:t>
            </w:r>
          </w:p>
        </w:tc>
        <w:tc>
          <w:tcPr>
            <w:tcW w:w="1442" w:type="dxa"/>
            <w:shd w:val="clear" w:color="auto" w:fill="auto"/>
            <w:vAlign w:val="center"/>
          </w:tcPr>
          <w:p w14:paraId="3460DDF3">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w:t>
            </w:r>
            <w:r>
              <w:rPr>
                <w:rFonts w:hint="default" w:ascii="Times New Roman" w:hAnsi="Times New Roman" w:eastAsia="宋体" w:cs="Times New Roman"/>
                <w:i w:val="0"/>
                <w:iCs w:val="0"/>
                <w:color w:val="auto"/>
                <w:kern w:val="0"/>
                <w:sz w:val="24"/>
                <w:szCs w:val="24"/>
                <w:u w:val="none"/>
                <w:lang w:val="en-US" w:eastAsia="zh-CN" w:bidi="ar"/>
              </w:rPr>
              <w:t xml:space="preserve">0.061 </w:t>
            </w:r>
          </w:p>
        </w:tc>
      </w:tr>
      <w:tr w14:paraId="50CF46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restart"/>
            <w:vAlign w:val="center"/>
          </w:tcPr>
          <w:p w14:paraId="51B05A5F">
            <w:pPr>
              <w:pStyle w:val="98"/>
              <w:spacing w:beforeLines="0" w:afterLines="0" w:line="240" w:lineRule="auto"/>
              <w:rPr>
                <w:rFonts w:hint="default" w:ascii="Times New Roman" w:hAnsi="Times New Roman" w:cs="Times New Roman"/>
                <w:snapToGrid w:val="0"/>
                <w:color w:val="auto"/>
                <w:kern w:val="21"/>
                <w:sz w:val="24"/>
                <w:szCs w:val="24"/>
              </w:rPr>
            </w:pPr>
            <w:r>
              <w:rPr>
                <w:rFonts w:hint="default" w:ascii="Times New Roman" w:hAnsi="Times New Roman" w:cs="Times New Roman"/>
                <w:snapToGrid w:val="0"/>
                <w:color w:val="auto"/>
                <w:kern w:val="21"/>
                <w:sz w:val="24"/>
                <w:szCs w:val="24"/>
              </w:rPr>
              <w:t>一般工业固体废物</w:t>
            </w:r>
          </w:p>
        </w:tc>
        <w:tc>
          <w:tcPr>
            <w:tcW w:w="1483" w:type="dxa"/>
            <w:shd w:val="clear" w:color="auto" w:fill="auto"/>
            <w:vAlign w:val="center"/>
          </w:tcPr>
          <w:p w14:paraId="18823D52">
            <w:pPr>
              <w:spacing w:line="360" w:lineRule="exact"/>
              <w:jc w:val="center"/>
              <w:rPr>
                <w:rFonts w:hint="default" w:ascii="Times New Roman" w:hAnsi="Times New Roman" w:eastAsia="宋体" w:cs="Times New Roman"/>
                <w:caps w:val="0"/>
                <w:color w:val="auto"/>
                <w:kern w:val="2"/>
                <w:sz w:val="24"/>
                <w:szCs w:val="24"/>
                <w:lang w:val="en-US" w:eastAsia="zh-CN" w:bidi="ar-SA"/>
              </w:rPr>
            </w:pPr>
            <w:r>
              <w:rPr>
                <w:rFonts w:hint="default" w:ascii="Times New Roman" w:hAnsi="Times New Roman" w:cs="Times New Roman"/>
                <w:color w:val="auto"/>
                <w:sz w:val="24"/>
                <w:szCs w:val="24"/>
                <w:lang w:eastAsia="zh-CN"/>
              </w:rPr>
              <w:t>不合格品</w:t>
            </w:r>
          </w:p>
        </w:tc>
        <w:tc>
          <w:tcPr>
            <w:tcW w:w="1563" w:type="dxa"/>
            <w:vAlign w:val="center"/>
          </w:tcPr>
          <w:p w14:paraId="417BE76F">
            <w:pPr>
              <w:pStyle w:val="98"/>
              <w:spacing w:beforeLines="0" w:afterLines="0" w:line="240" w:lineRule="auto"/>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400" w:type="dxa"/>
            <w:vAlign w:val="center"/>
          </w:tcPr>
          <w:p w14:paraId="3B21BA11">
            <w:pPr>
              <w:pStyle w:val="98"/>
              <w:spacing w:beforeLines="0" w:afterLines="0" w:line="240" w:lineRule="auto"/>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w:t>
            </w:r>
          </w:p>
        </w:tc>
        <w:tc>
          <w:tcPr>
            <w:tcW w:w="1401" w:type="dxa"/>
            <w:vAlign w:val="center"/>
          </w:tcPr>
          <w:p w14:paraId="39D9C998">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960" w:type="dxa"/>
            <w:shd w:val="clear" w:color="auto" w:fill="auto"/>
            <w:vAlign w:val="center"/>
          </w:tcPr>
          <w:p w14:paraId="46493FF6">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1</w:t>
            </w:r>
          </w:p>
        </w:tc>
        <w:tc>
          <w:tcPr>
            <w:tcW w:w="1401" w:type="dxa"/>
            <w:vAlign w:val="center"/>
          </w:tcPr>
          <w:p w14:paraId="59BBFC5C">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648" w:type="dxa"/>
            <w:shd w:val="clear" w:color="auto" w:fill="auto"/>
            <w:vAlign w:val="center"/>
          </w:tcPr>
          <w:p w14:paraId="7ECC6E30">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1</w:t>
            </w:r>
          </w:p>
        </w:tc>
        <w:tc>
          <w:tcPr>
            <w:tcW w:w="1442" w:type="dxa"/>
            <w:shd w:val="clear" w:color="auto" w:fill="auto"/>
            <w:vAlign w:val="center"/>
          </w:tcPr>
          <w:p w14:paraId="4B058801">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w:t>
            </w:r>
            <w:r>
              <w:rPr>
                <w:rFonts w:hint="default" w:ascii="Times New Roman" w:hAnsi="Times New Roman" w:eastAsia="宋体" w:cs="Times New Roman"/>
                <w:i w:val="0"/>
                <w:iCs w:val="0"/>
                <w:color w:val="auto"/>
                <w:kern w:val="0"/>
                <w:sz w:val="24"/>
                <w:szCs w:val="24"/>
                <w:u w:val="none"/>
                <w:lang w:val="en-US" w:eastAsia="zh-CN" w:bidi="ar"/>
              </w:rPr>
              <w:t>1</w:t>
            </w:r>
          </w:p>
        </w:tc>
      </w:tr>
      <w:tr w14:paraId="139DA4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0714681E">
            <w:pPr>
              <w:pStyle w:val="98"/>
              <w:spacing w:beforeLines="0" w:afterLines="0" w:line="240" w:lineRule="auto"/>
              <w:rPr>
                <w:rFonts w:hint="default" w:ascii="Times New Roman" w:hAnsi="Times New Roman" w:cs="Times New Roman"/>
                <w:snapToGrid w:val="0"/>
                <w:color w:val="auto"/>
                <w:kern w:val="21"/>
                <w:sz w:val="24"/>
                <w:szCs w:val="24"/>
              </w:rPr>
            </w:pPr>
          </w:p>
        </w:tc>
        <w:tc>
          <w:tcPr>
            <w:tcW w:w="1483" w:type="dxa"/>
            <w:shd w:val="clear" w:color="auto" w:fill="auto"/>
            <w:vAlign w:val="center"/>
          </w:tcPr>
          <w:p w14:paraId="5A899EE8">
            <w:pPr>
              <w:spacing w:line="360" w:lineRule="exact"/>
              <w:jc w:val="center"/>
              <w:rPr>
                <w:rFonts w:hint="default" w:ascii="Times New Roman" w:hAnsi="Times New Roman" w:eastAsia="宋体" w:cs="Times New Roman"/>
                <w:caps w:val="0"/>
                <w:color w:val="auto"/>
                <w:kern w:val="2"/>
                <w:sz w:val="24"/>
                <w:szCs w:val="24"/>
                <w:lang w:val="en-US" w:eastAsia="zh-CN" w:bidi="ar-SA"/>
              </w:rPr>
            </w:pPr>
            <w:r>
              <w:rPr>
                <w:rFonts w:hint="default" w:ascii="Times New Roman" w:hAnsi="Times New Roman" w:cs="Times New Roman"/>
                <w:color w:val="auto"/>
                <w:kern w:val="0"/>
                <w:sz w:val="24"/>
                <w:szCs w:val="24"/>
              </w:rPr>
              <w:t>废包装材料</w:t>
            </w:r>
          </w:p>
        </w:tc>
        <w:tc>
          <w:tcPr>
            <w:tcW w:w="1563" w:type="dxa"/>
            <w:vAlign w:val="center"/>
          </w:tcPr>
          <w:p w14:paraId="60B68EC2">
            <w:pPr>
              <w:pStyle w:val="98"/>
              <w:spacing w:beforeLines="0" w:afterLines="0" w:line="240" w:lineRule="auto"/>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400" w:type="dxa"/>
            <w:vAlign w:val="center"/>
          </w:tcPr>
          <w:p w14:paraId="6802B602">
            <w:pPr>
              <w:pStyle w:val="98"/>
              <w:spacing w:beforeLines="0" w:afterLines="0" w:line="240" w:lineRule="auto"/>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w:t>
            </w:r>
          </w:p>
        </w:tc>
        <w:tc>
          <w:tcPr>
            <w:tcW w:w="1401" w:type="dxa"/>
            <w:vAlign w:val="center"/>
          </w:tcPr>
          <w:p w14:paraId="75BB5446">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960" w:type="dxa"/>
            <w:shd w:val="clear" w:color="auto" w:fill="auto"/>
            <w:vAlign w:val="center"/>
          </w:tcPr>
          <w:p w14:paraId="05282F9F">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2</w:t>
            </w:r>
          </w:p>
        </w:tc>
        <w:tc>
          <w:tcPr>
            <w:tcW w:w="1401" w:type="dxa"/>
            <w:vAlign w:val="center"/>
          </w:tcPr>
          <w:p w14:paraId="69681FE0">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648" w:type="dxa"/>
            <w:shd w:val="clear" w:color="auto" w:fill="auto"/>
            <w:vAlign w:val="center"/>
          </w:tcPr>
          <w:p w14:paraId="655B7553">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2</w:t>
            </w:r>
          </w:p>
        </w:tc>
        <w:tc>
          <w:tcPr>
            <w:tcW w:w="1442" w:type="dxa"/>
            <w:shd w:val="clear" w:color="auto" w:fill="auto"/>
            <w:vAlign w:val="center"/>
          </w:tcPr>
          <w:p w14:paraId="657FB490">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+2</w:t>
            </w:r>
          </w:p>
        </w:tc>
      </w:tr>
      <w:tr w14:paraId="524FC1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6857DF01">
            <w:pPr>
              <w:pStyle w:val="98"/>
              <w:spacing w:beforeLines="0" w:afterLines="0" w:line="240" w:lineRule="auto"/>
              <w:rPr>
                <w:rFonts w:hint="default" w:ascii="Times New Roman" w:hAnsi="Times New Roman" w:cs="Times New Roman"/>
                <w:snapToGrid w:val="0"/>
                <w:color w:val="auto"/>
                <w:kern w:val="21"/>
                <w:sz w:val="24"/>
                <w:szCs w:val="24"/>
              </w:rPr>
            </w:pPr>
          </w:p>
        </w:tc>
        <w:tc>
          <w:tcPr>
            <w:tcW w:w="1483" w:type="dxa"/>
            <w:shd w:val="clear" w:color="auto" w:fill="auto"/>
            <w:vAlign w:val="center"/>
          </w:tcPr>
          <w:p w14:paraId="599D0BA9">
            <w:pPr>
              <w:spacing w:line="360" w:lineRule="exact"/>
              <w:jc w:val="center"/>
              <w:rPr>
                <w:rFonts w:hint="default" w:ascii="Times New Roman" w:hAnsi="Times New Roman" w:eastAsia="宋体" w:cs="Times New Roman"/>
                <w:caps w:val="0"/>
                <w:color w:val="auto"/>
                <w:kern w:val="2"/>
                <w:sz w:val="24"/>
                <w:szCs w:val="24"/>
                <w:lang w:val="en-US" w:eastAsia="zh-CN" w:bidi="ar-SA"/>
              </w:rPr>
            </w:pPr>
            <w:r>
              <w:rPr>
                <w:rFonts w:hint="default" w:ascii="Times New Roman" w:hAnsi="Times New Roman" w:cs="Times New Roman"/>
                <w:bCs/>
                <w:color w:val="auto"/>
                <w:sz w:val="24"/>
                <w:szCs w:val="24"/>
                <w:lang w:eastAsia="zh-CN"/>
              </w:rPr>
              <w:t>布袋除尘器收集的粉尘</w:t>
            </w:r>
          </w:p>
        </w:tc>
        <w:tc>
          <w:tcPr>
            <w:tcW w:w="1563" w:type="dxa"/>
            <w:vAlign w:val="center"/>
          </w:tcPr>
          <w:p w14:paraId="12DC0438">
            <w:pPr>
              <w:pStyle w:val="98"/>
              <w:spacing w:beforeLines="0" w:afterLines="0" w:line="240" w:lineRule="auto"/>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400" w:type="dxa"/>
            <w:vAlign w:val="center"/>
          </w:tcPr>
          <w:p w14:paraId="3AAF4760">
            <w:pPr>
              <w:pStyle w:val="98"/>
              <w:spacing w:beforeLines="0" w:afterLines="0" w:line="240" w:lineRule="auto"/>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w:t>
            </w:r>
          </w:p>
        </w:tc>
        <w:tc>
          <w:tcPr>
            <w:tcW w:w="1401" w:type="dxa"/>
            <w:vAlign w:val="center"/>
          </w:tcPr>
          <w:p w14:paraId="4B5DD522">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960" w:type="dxa"/>
            <w:shd w:val="clear" w:color="auto" w:fill="auto"/>
            <w:vAlign w:val="center"/>
          </w:tcPr>
          <w:p w14:paraId="3E79A213">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1.951</w:t>
            </w:r>
          </w:p>
        </w:tc>
        <w:tc>
          <w:tcPr>
            <w:tcW w:w="1401" w:type="dxa"/>
            <w:vAlign w:val="center"/>
          </w:tcPr>
          <w:p w14:paraId="0679578F">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648" w:type="dxa"/>
            <w:shd w:val="clear" w:color="auto" w:fill="auto"/>
            <w:vAlign w:val="center"/>
          </w:tcPr>
          <w:p w14:paraId="5F503290">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1.951</w:t>
            </w:r>
          </w:p>
        </w:tc>
        <w:tc>
          <w:tcPr>
            <w:tcW w:w="1442" w:type="dxa"/>
            <w:shd w:val="clear" w:color="auto" w:fill="auto"/>
            <w:vAlign w:val="center"/>
          </w:tcPr>
          <w:p w14:paraId="255D2743">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w:t>
            </w:r>
            <w:r>
              <w:rPr>
                <w:rFonts w:hint="eastAsia" w:cs="Times New Roman"/>
                <w:i w:val="0"/>
                <w:iCs w:val="0"/>
                <w:color w:val="auto"/>
                <w:kern w:val="0"/>
                <w:sz w:val="24"/>
                <w:szCs w:val="24"/>
                <w:u w:val="none"/>
                <w:lang w:val="en-US" w:eastAsia="zh-CN" w:bidi="ar"/>
              </w:rPr>
              <w:t>1.951</w:t>
            </w:r>
          </w:p>
        </w:tc>
      </w:tr>
      <w:tr w14:paraId="5CCE93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4DDB837B">
            <w:pPr>
              <w:pStyle w:val="98"/>
              <w:spacing w:beforeLines="0" w:afterLines="0" w:line="240" w:lineRule="auto"/>
              <w:rPr>
                <w:rFonts w:hint="default" w:ascii="Times New Roman" w:hAnsi="Times New Roman" w:cs="Times New Roman"/>
                <w:snapToGrid w:val="0"/>
                <w:color w:val="auto"/>
                <w:kern w:val="21"/>
                <w:sz w:val="24"/>
                <w:szCs w:val="24"/>
              </w:rPr>
            </w:pPr>
          </w:p>
        </w:tc>
        <w:tc>
          <w:tcPr>
            <w:tcW w:w="1483" w:type="dxa"/>
            <w:shd w:val="clear" w:color="auto" w:fill="auto"/>
            <w:vAlign w:val="center"/>
          </w:tcPr>
          <w:p w14:paraId="4EA21FD6">
            <w:pPr>
              <w:jc w:val="cente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cs="Times New Roman"/>
                <w:color w:val="auto"/>
                <w:sz w:val="24"/>
                <w:szCs w:val="24"/>
                <w:lang w:eastAsia="zh-CN"/>
              </w:rPr>
              <w:t>废</w:t>
            </w:r>
            <w:r>
              <w:rPr>
                <w:rFonts w:hint="eastAsia" w:ascii="Times New Roman" w:hAnsi="Times New Roman" w:cs="Times New Roman"/>
                <w:color w:val="auto"/>
                <w:sz w:val="24"/>
                <w:szCs w:val="24"/>
                <w:lang w:val="en-US" w:eastAsia="zh-CN"/>
              </w:rPr>
              <w:t>钢丸</w:t>
            </w:r>
          </w:p>
        </w:tc>
        <w:tc>
          <w:tcPr>
            <w:tcW w:w="1563" w:type="dxa"/>
            <w:vAlign w:val="center"/>
          </w:tcPr>
          <w:p w14:paraId="614B4A3D">
            <w:pPr>
              <w:pStyle w:val="98"/>
              <w:spacing w:beforeLines="0" w:afterLines="0" w:line="240" w:lineRule="auto"/>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400" w:type="dxa"/>
            <w:vAlign w:val="center"/>
          </w:tcPr>
          <w:p w14:paraId="05EBD7DC">
            <w:pPr>
              <w:pStyle w:val="98"/>
              <w:spacing w:beforeLines="0" w:afterLines="0" w:line="240" w:lineRule="auto"/>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w:t>
            </w:r>
          </w:p>
        </w:tc>
        <w:tc>
          <w:tcPr>
            <w:tcW w:w="1401" w:type="dxa"/>
            <w:vAlign w:val="center"/>
          </w:tcPr>
          <w:p w14:paraId="03D7282B">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960" w:type="dxa"/>
            <w:shd w:val="clear" w:color="auto" w:fill="auto"/>
            <w:vAlign w:val="center"/>
          </w:tcPr>
          <w:p w14:paraId="27A51F7A">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0.01</w:t>
            </w:r>
          </w:p>
        </w:tc>
        <w:tc>
          <w:tcPr>
            <w:tcW w:w="1401" w:type="dxa"/>
            <w:vAlign w:val="center"/>
          </w:tcPr>
          <w:p w14:paraId="5AA976FE">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648" w:type="dxa"/>
            <w:shd w:val="clear" w:color="auto" w:fill="auto"/>
            <w:vAlign w:val="center"/>
          </w:tcPr>
          <w:p w14:paraId="3D617B45">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0.01</w:t>
            </w:r>
          </w:p>
        </w:tc>
        <w:tc>
          <w:tcPr>
            <w:tcW w:w="1442" w:type="dxa"/>
            <w:shd w:val="clear" w:color="auto" w:fill="auto"/>
            <w:vAlign w:val="center"/>
          </w:tcPr>
          <w:p w14:paraId="0F143170">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w:t>
            </w:r>
            <w:r>
              <w:rPr>
                <w:rFonts w:hint="default" w:ascii="Times New Roman" w:hAnsi="Times New Roman" w:eastAsia="宋体" w:cs="Times New Roman"/>
                <w:i w:val="0"/>
                <w:iCs w:val="0"/>
                <w:color w:val="auto"/>
                <w:kern w:val="0"/>
                <w:sz w:val="24"/>
                <w:szCs w:val="24"/>
                <w:u w:val="none"/>
                <w:lang w:val="en-US" w:eastAsia="zh-CN" w:bidi="ar"/>
              </w:rPr>
              <w:t>0.01</w:t>
            </w:r>
          </w:p>
        </w:tc>
      </w:tr>
      <w:tr w14:paraId="258509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02E45EDA">
            <w:pPr>
              <w:pStyle w:val="98"/>
              <w:spacing w:beforeLines="0" w:afterLines="0" w:line="240" w:lineRule="auto"/>
              <w:rPr>
                <w:rFonts w:hint="default" w:ascii="Times New Roman" w:hAnsi="Times New Roman" w:cs="Times New Roman"/>
                <w:snapToGrid w:val="0"/>
                <w:color w:val="auto"/>
                <w:kern w:val="21"/>
                <w:sz w:val="24"/>
                <w:szCs w:val="24"/>
              </w:rPr>
            </w:pPr>
          </w:p>
        </w:tc>
        <w:tc>
          <w:tcPr>
            <w:tcW w:w="1483" w:type="dxa"/>
            <w:shd w:val="clear" w:color="auto" w:fill="auto"/>
            <w:vAlign w:val="center"/>
          </w:tcPr>
          <w:p w14:paraId="402C83F2">
            <w:pPr>
              <w:jc w:val="center"/>
              <w:rPr>
                <w:rFonts w:hint="default" w:ascii="Times New Roman" w:hAnsi="Times New Roman" w:eastAsia="宋体" w:cs="Times New Roman"/>
                <w:color w:val="auto"/>
                <w:kern w:val="2"/>
                <w:sz w:val="24"/>
                <w:szCs w:val="24"/>
                <w:lang w:val="en-US" w:eastAsia="zh-CN" w:bidi="ar-SA"/>
              </w:rPr>
            </w:pPr>
            <w:r>
              <w:rPr>
                <w:rFonts w:hint="eastAsia" w:ascii="Times New Roman" w:hAnsi="Times New Roman" w:cs="Times New Roman"/>
                <w:color w:val="auto"/>
                <w:sz w:val="24"/>
                <w:szCs w:val="24"/>
                <w:lang w:eastAsia="zh-CN"/>
              </w:rPr>
              <w:t>废金属屑及边角料</w:t>
            </w:r>
          </w:p>
        </w:tc>
        <w:tc>
          <w:tcPr>
            <w:tcW w:w="1563" w:type="dxa"/>
            <w:vAlign w:val="center"/>
          </w:tcPr>
          <w:p w14:paraId="3A738567">
            <w:pPr>
              <w:pStyle w:val="98"/>
              <w:spacing w:beforeLines="0" w:afterLines="0" w:line="240" w:lineRule="auto"/>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400" w:type="dxa"/>
            <w:vAlign w:val="center"/>
          </w:tcPr>
          <w:p w14:paraId="37829BD5">
            <w:pPr>
              <w:pStyle w:val="98"/>
              <w:spacing w:beforeLines="0" w:afterLines="0" w:line="240" w:lineRule="auto"/>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w:t>
            </w:r>
          </w:p>
        </w:tc>
        <w:tc>
          <w:tcPr>
            <w:tcW w:w="1401" w:type="dxa"/>
            <w:vAlign w:val="center"/>
          </w:tcPr>
          <w:p w14:paraId="70A9BD68">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960" w:type="dxa"/>
            <w:shd w:val="clear" w:color="auto" w:fill="auto"/>
            <w:vAlign w:val="center"/>
          </w:tcPr>
          <w:p w14:paraId="2B2CBDAD">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18</w:t>
            </w:r>
          </w:p>
        </w:tc>
        <w:tc>
          <w:tcPr>
            <w:tcW w:w="1401" w:type="dxa"/>
            <w:vAlign w:val="center"/>
          </w:tcPr>
          <w:p w14:paraId="31506A15">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648" w:type="dxa"/>
            <w:shd w:val="clear" w:color="auto" w:fill="auto"/>
            <w:vAlign w:val="center"/>
          </w:tcPr>
          <w:p w14:paraId="2B315CFD">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18</w:t>
            </w:r>
          </w:p>
        </w:tc>
        <w:tc>
          <w:tcPr>
            <w:tcW w:w="1442" w:type="dxa"/>
            <w:shd w:val="clear" w:color="auto" w:fill="auto"/>
            <w:vAlign w:val="center"/>
          </w:tcPr>
          <w:p w14:paraId="18C3CA11">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+18</w:t>
            </w:r>
          </w:p>
        </w:tc>
      </w:tr>
      <w:tr w14:paraId="253EC2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21CDDCF1">
            <w:pPr>
              <w:pStyle w:val="98"/>
              <w:spacing w:beforeLines="0" w:afterLines="0" w:line="240" w:lineRule="auto"/>
              <w:rPr>
                <w:rFonts w:hint="default" w:ascii="Times New Roman" w:hAnsi="Times New Roman" w:cs="Times New Roman"/>
                <w:snapToGrid w:val="0"/>
                <w:color w:val="auto"/>
                <w:kern w:val="21"/>
                <w:sz w:val="24"/>
                <w:szCs w:val="24"/>
              </w:rPr>
            </w:pPr>
          </w:p>
        </w:tc>
        <w:tc>
          <w:tcPr>
            <w:tcW w:w="1483" w:type="dxa"/>
            <w:shd w:val="clear" w:color="auto" w:fill="auto"/>
            <w:vAlign w:val="center"/>
          </w:tcPr>
          <w:p w14:paraId="3971CFAF">
            <w:pPr>
              <w:jc w:val="center"/>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cs="Times New Roman"/>
                <w:color w:val="auto"/>
                <w:sz w:val="24"/>
                <w:szCs w:val="24"/>
                <w:lang w:val="en-US" w:eastAsia="zh-CN"/>
              </w:rPr>
              <w:t>废砂轮</w:t>
            </w:r>
          </w:p>
        </w:tc>
        <w:tc>
          <w:tcPr>
            <w:tcW w:w="1563" w:type="dxa"/>
            <w:vAlign w:val="center"/>
          </w:tcPr>
          <w:p w14:paraId="1C491D8A">
            <w:pPr>
              <w:pStyle w:val="98"/>
              <w:spacing w:beforeLines="0" w:afterLines="0" w:line="240" w:lineRule="auto"/>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400" w:type="dxa"/>
            <w:vAlign w:val="center"/>
          </w:tcPr>
          <w:p w14:paraId="25BB633A">
            <w:pPr>
              <w:pStyle w:val="98"/>
              <w:spacing w:beforeLines="0" w:afterLines="0" w:line="240" w:lineRule="auto"/>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w:t>
            </w:r>
          </w:p>
        </w:tc>
        <w:tc>
          <w:tcPr>
            <w:tcW w:w="1401" w:type="dxa"/>
            <w:vAlign w:val="center"/>
          </w:tcPr>
          <w:p w14:paraId="17CA6398">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960" w:type="dxa"/>
            <w:shd w:val="clear" w:color="auto" w:fill="auto"/>
            <w:vAlign w:val="center"/>
          </w:tcPr>
          <w:p w14:paraId="5A95E76E">
            <w:pPr>
              <w:adjustRightInd w:val="0"/>
              <w:snapToGrid w:val="0"/>
              <w:jc w:val="center"/>
              <w:textAlignment w:val="baseline"/>
              <w:rPr>
                <w:rFonts w:hint="eastAsia"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0.01</w:t>
            </w:r>
          </w:p>
        </w:tc>
        <w:tc>
          <w:tcPr>
            <w:tcW w:w="1401" w:type="dxa"/>
            <w:vAlign w:val="center"/>
          </w:tcPr>
          <w:p w14:paraId="6A8594B2">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648" w:type="dxa"/>
            <w:shd w:val="clear" w:color="auto" w:fill="auto"/>
            <w:vAlign w:val="center"/>
          </w:tcPr>
          <w:p w14:paraId="74E72FEE">
            <w:pPr>
              <w:adjustRightInd w:val="0"/>
              <w:snapToGrid w:val="0"/>
              <w:jc w:val="center"/>
              <w:textAlignment w:val="baseline"/>
              <w:rPr>
                <w:rFonts w:hint="eastAsia"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0.01</w:t>
            </w:r>
          </w:p>
        </w:tc>
        <w:tc>
          <w:tcPr>
            <w:tcW w:w="1442" w:type="dxa"/>
            <w:shd w:val="clear" w:color="auto" w:fill="auto"/>
            <w:vAlign w:val="center"/>
          </w:tcPr>
          <w:p w14:paraId="53813B73">
            <w:pPr>
              <w:adjustRightInd w:val="0"/>
              <w:snapToGrid w:val="0"/>
              <w:jc w:val="center"/>
              <w:textAlignment w:val="baseline"/>
              <w:rPr>
                <w:rFonts w:hint="eastAsia"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+0.01</w:t>
            </w:r>
          </w:p>
        </w:tc>
      </w:tr>
      <w:tr w14:paraId="6DB732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5FAD6FD4">
            <w:pPr>
              <w:pStyle w:val="98"/>
              <w:spacing w:beforeLines="0" w:afterLines="0" w:line="240" w:lineRule="auto"/>
              <w:rPr>
                <w:rFonts w:hint="default" w:ascii="Times New Roman" w:hAnsi="Times New Roman" w:cs="Times New Roman"/>
                <w:snapToGrid w:val="0"/>
                <w:color w:val="auto"/>
                <w:kern w:val="21"/>
                <w:sz w:val="24"/>
                <w:szCs w:val="24"/>
              </w:rPr>
            </w:pPr>
          </w:p>
        </w:tc>
        <w:tc>
          <w:tcPr>
            <w:tcW w:w="1483" w:type="dxa"/>
            <w:shd w:val="clear" w:color="auto" w:fill="auto"/>
            <w:vAlign w:val="center"/>
          </w:tcPr>
          <w:p w14:paraId="530EE6DA">
            <w:pPr>
              <w:jc w:val="center"/>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cs="Times New Roman"/>
                <w:color w:val="auto"/>
                <w:sz w:val="24"/>
                <w:szCs w:val="24"/>
                <w:lang w:val="en-US" w:eastAsia="zh-CN"/>
              </w:rPr>
              <w:t>沉淀池沉渣</w:t>
            </w:r>
          </w:p>
        </w:tc>
        <w:tc>
          <w:tcPr>
            <w:tcW w:w="1563" w:type="dxa"/>
            <w:vAlign w:val="center"/>
          </w:tcPr>
          <w:p w14:paraId="536F766B">
            <w:pPr>
              <w:pStyle w:val="98"/>
              <w:spacing w:beforeLines="0" w:afterLines="0" w:line="240" w:lineRule="auto"/>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400" w:type="dxa"/>
            <w:vAlign w:val="center"/>
          </w:tcPr>
          <w:p w14:paraId="344730CB">
            <w:pPr>
              <w:pStyle w:val="98"/>
              <w:spacing w:beforeLines="0" w:afterLines="0" w:line="240" w:lineRule="auto"/>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w:t>
            </w:r>
          </w:p>
        </w:tc>
        <w:tc>
          <w:tcPr>
            <w:tcW w:w="1401" w:type="dxa"/>
            <w:vAlign w:val="center"/>
          </w:tcPr>
          <w:p w14:paraId="3F32DCF1">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960" w:type="dxa"/>
            <w:shd w:val="clear" w:color="auto" w:fill="auto"/>
            <w:vAlign w:val="center"/>
          </w:tcPr>
          <w:p w14:paraId="5C376468">
            <w:pPr>
              <w:adjustRightInd w:val="0"/>
              <w:snapToGrid w:val="0"/>
              <w:jc w:val="center"/>
              <w:textAlignment w:val="baseline"/>
              <w:rPr>
                <w:rFonts w:hint="eastAsia"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0.1</w:t>
            </w:r>
          </w:p>
        </w:tc>
        <w:tc>
          <w:tcPr>
            <w:tcW w:w="1401" w:type="dxa"/>
            <w:vAlign w:val="center"/>
          </w:tcPr>
          <w:p w14:paraId="282779E9">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648" w:type="dxa"/>
            <w:shd w:val="clear" w:color="auto" w:fill="auto"/>
            <w:vAlign w:val="center"/>
          </w:tcPr>
          <w:p w14:paraId="328E9038">
            <w:pPr>
              <w:adjustRightInd w:val="0"/>
              <w:snapToGrid w:val="0"/>
              <w:jc w:val="center"/>
              <w:textAlignment w:val="baseline"/>
              <w:rPr>
                <w:rFonts w:hint="eastAsia"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0.1</w:t>
            </w:r>
          </w:p>
        </w:tc>
        <w:tc>
          <w:tcPr>
            <w:tcW w:w="1442" w:type="dxa"/>
            <w:shd w:val="clear" w:color="auto" w:fill="auto"/>
            <w:vAlign w:val="center"/>
          </w:tcPr>
          <w:p w14:paraId="467A76AD">
            <w:pPr>
              <w:adjustRightInd w:val="0"/>
              <w:snapToGrid w:val="0"/>
              <w:jc w:val="center"/>
              <w:textAlignment w:val="baseline"/>
              <w:rPr>
                <w:rFonts w:hint="eastAsia"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+0.1</w:t>
            </w:r>
          </w:p>
        </w:tc>
      </w:tr>
      <w:tr w14:paraId="298200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323" w:type="dxa"/>
            <w:vMerge w:val="continue"/>
            <w:vAlign w:val="center"/>
          </w:tcPr>
          <w:p w14:paraId="4A47A299">
            <w:pPr>
              <w:pStyle w:val="98"/>
              <w:spacing w:beforeLines="0" w:afterLines="0" w:line="240" w:lineRule="auto"/>
              <w:rPr>
                <w:rFonts w:hint="default" w:ascii="Times New Roman" w:hAnsi="Times New Roman" w:cs="Times New Roman"/>
                <w:snapToGrid w:val="0"/>
                <w:color w:val="auto"/>
                <w:kern w:val="21"/>
                <w:sz w:val="24"/>
                <w:szCs w:val="24"/>
              </w:rPr>
            </w:pPr>
          </w:p>
        </w:tc>
        <w:tc>
          <w:tcPr>
            <w:tcW w:w="1483" w:type="dxa"/>
            <w:shd w:val="clear" w:color="auto" w:fill="auto"/>
            <w:vAlign w:val="center"/>
          </w:tcPr>
          <w:p w14:paraId="3250C9F2">
            <w:pPr>
              <w:jc w:val="center"/>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cs="Times New Roman"/>
                <w:color w:val="auto"/>
                <w:sz w:val="24"/>
                <w:szCs w:val="24"/>
                <w:lang w:val="en-US" w:eastAsia="zh-CN"/>
              </w:rPr>
              <w:t>淬火槽槽渣</w:t>
            </w:r>
          </w:p>
        </w:tc>
        <w:tc>
          <w:tcPr>
            <w:tcW w:w="1563" w:type="dxa"/>
            <w:vAlign w:val="center"/>
          </w:tcPr>
          <w:p w14:paraId="20364C41">
            <w:pPr>
              <w:pStyle w:val="98"/>
              <w:spacing w:beforeLines="0" w:afterLines="0" w:line="240" w:lineRule="auto"/>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400" w:type="dxa"/>
            <w:vAlign w:val="center"/>
          </w:tcPr>
          <w:p w14:paraId="62608B1B">
            <w:pPr>
              <w:pStyle w:val="98"/>
              <w:spacing w:beforeLines="0" w:afterLines="0" w:line="240" w:lineRule="auto"/>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w:t>
            </w:r>
          </w:p>
        </w:tc>
        <w:tc>
          <w:tcPr>
            <w:tcW w:w="1401" w:type="dxa"/>
            <w:vAlign w:val="center"/>
          </w:tcPr>
          <w:p w14:paraId="703469E8">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960" w:type="dxa"/>
            <w:shd w:val="clear" w:color="auto" w:fill="auto"/>
            <w:vAlign w:val="center"/>
          </w:tcPr>
          <w:p w14:paraId="0B216CB4">
            <w:pPr>
              <w:adjustRightInd w:val="0"/>
              <w:snapToGrid w:val="0"/>
              <w:jc w:val="center"/>
              <w:textAlignment w:val="baseline"/>
              <w:rPr>
                <w:rFonts w:hint="eastAsia"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0.1</w:t>
            </w:r>
          </w:p>
        </w:tc>
        <w:tc>
          <w:tcPr>
            <w:tcW w:w="1401" w:type="dxa"/>
            <w:vAlign w:val="center"/>
          </w:tcPr>
          <w:p w14:paraId="63A9DA6A">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648" w:type="dxa"/>
            <w:shd w:val="clear" w:color="auto" w:fill="auto"/>
            <w:vAlign w:val="center"/>
          </w:tcPr>
          <w:p w14:paraId="62E6D525">
            <w:pPr>
              <w:adjustRightInd w:val="0"/>
              <w:snapToGrid w:val="0"/>
              <w:jc w:val="center"/>
              <w:textAlignment w:val="baseline"/>
              <w:rPr>
                <w:rFonts w:hint="eastAsia"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0.1</w:t>
            </w:r>
          </w:p>
        </w:tc>
        <w:tc>
          <w:tcPr>
            <w:tcW w:w="1442" w:type="dxa"/>
            <w:shd w:val="clear" w:color="auto" w:fill="auto"/>
            <w:vAlign w:val="center"/>
          </w:tcPr>
          <w:p w14:paraId="53EE9FF7">
            <w:pPr>
              <w:adjustRightInd w:val="0"/>
              <w:snapToGrid w:val="0"/>
              <w:jc w:val="center"/>
              <w:textAlignment w:val="baseline"/>
              <w:rPr>
                <w:rFonts w:hint="eastAsia"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+0.1</w:t>
            </w:r>
          </w:p>
        </w:tc>
      </w:tr>
      <w:tr w14:paraId="12F037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1323" w:type="dxa"/>
            <w:vMerge w:val="restart"/>
            <w:vAlign w:val="center"/>
          </w:tcPr>
          <w:p w14:paraId="7D951D9B">
            <w:pPr>
              <w:pStyle w:val="98"/>
              <w:spacing w:beforeLines="0" w:afterLines="0" w:line="240" w:lineRule="auto"/>
              <w:rPr>
                <w:rFonts w:hint="default" w:ascii="Times New Roman" w:hAnsi="Times New Roman" w:eastAsia="宋体" w:cs="Times New Roman"/>
                <w:snapToGrid w:val="0"/>
                <w:color w:val="auto"/>
                <w:kern w:val="21"/>
                <w:sz w:val="24"/>
                <w:szCs w:val="24"/>
              </w:rPr>
            </w:pPr>
            <w:r>
              <w:rPr>
                <w:rFonts w:hint="default" w:ascii="Times New Roman" w:hAnsi="Times New Roman" w:eastAsia="宋体" w:cs="Times New Roman"/>
                <w:snapToGrid w:val="0"/>
                <w:color w:val="auto"/>
                <w:kern w:val="21"/>
                <w:sz w:val="24"/>
                <w:szCs w:val="24"/>
              </w:rPr>
              <w:t>危险废物</w:t>
            </w:r>
          </w:p>
        </w:tc>
        <w:tc>
          <w:tcPr>
            <w:tcW w:w="1483" w:type="dxa"/>
            <w:shd w:val="clear" w:color="auto" w:fill="auto"/>
            <w:vAlign w:val="center"/>
          </w:tcPr>
          <w:p w14:paraId="43CF3876">
            <w:pPr>
              <w:spacing w:line="360" w:lineRule="exact"/>
              <w:jc w:val="center"/>
              <w:rPr>
                <w:rFonts w:hint="eastAsia" w:ascii="Times New Roman" w:hAnsi="Times New Roman" w:cs="Times New Roman"/>
                <w:color w:val="auto"/>
                <w:sz w:val="24"/>
                <w:szCs w:val="24"/>
                <w:lang w:eastAsia="zh-CN"/>
              </w:rPr>
            </w:pPr>
            <w:r>
              <w:rPr>
                <w:rFonts w:hint="eastAsia" w:ascii="Times New Roman" w:hAnsi="Times New Roman" w:cs="Times New Roman"/>
                <w:color w:val="auto"/>
                <w:sz w:val="24"/>
                <w:szCs w:val="24"/>
                <w:lang w:eastAsia="zh-CN"/>
              </w:rPr>
              <w:t>废化学品</w:t>
            </w:r>
          </w:p>
          <w:p w14:paraId="59406651">
            <w:pPr>
              <w:spacing w:line="360" w:lineRule="exact"/>
              <w:jc w:val="center"/>
              <w:rPr>
                <w:rFonts w:hint="default" w:ascii="Times New Roman" w:hAnsi="Times New Roman" w:eastAsia="宋体" w:cs="Times New Roman"/>
                <w:caps w:val="0"/>
                <w:color w:val="auto"/>
                <w:kern w:val="2"/>
                <w:sz w:val="24"/>
                <w:szCs w:val="24"/>
                <w:lang w:val="zh-CN" w:eastAsia="zh-CN" w:bidi="ar-SA"/>
              </w:rPr>
            </w:pPr>
            <w:r>
              <w:rPr>
                <w:rFonts w:hint="eastAsia" w:ascii="Times New Roman" w:hAnsi="Times New Roman" w:cs="Times New Roman"/>
                <w:color w:val="auto"/>
                <w:sz w:val="24"/>
                <w:szCs w:val="24"/>
                <w:lang w:eastAsia="zh-CN"/>
              </w:rPr>
              <w:t>包装桶</w:t>
            </w:r>
          </w:p>
        </w:tc>
        <w:tc>
          <w:tcPr>
            <w:tcW w:w="1563" w:type="dxa"/>
            <w:vAlign w:val="center"/>
          </w:tcPr>
          <w:p w14:paraId="76BF11F5">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400" w:type="dxa"/>
            <w:vAlign w:val="center"/>
          </w:tcPr>
          <w:p w14:paraId="5EB96250">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w:t>
            </w:r>
          </w:p>
        </w:tc>
        <w:tc>
          <w:tcPr>
            <w:tcW w:w="1401" w:type="dxa"/>
            <w:vAlign w:val="center"/>
          </w:tcPr>
          <w:p w14:paraId="6832FB6C">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960" w:type="dxa"/>
            <w:shd w:val="clear" w:color="auto" w:fill="auto"/>
            <w:vAlign w:val="center"/>
          </w:tcPr>
          <w:p w14:paraId="5E1A8E3C">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1.8054</w:t>
            </w:r>
          </w:p>
        </w:tc>
        <w:tc>
          <w:tcPr>
            <w:tcW w:w="1401" w:type="dxa"/>
            <w:vAlign w:val="center"/>
          </w:tcPr>
          <w:p w14:paraId="51029B2D">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648" w:type="dxa"/>
            <w:shd w:val="clear" w:color="auto" w:fill="auto"/>
            <w:vAlign w:val="center"/>
          </w:tcPr>
          <w:p w14:paraId="0E925DC3">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1.8054</w:t>
            </w:r>
          </w:p>
        </w:tc>
        <w:tc>
          <w:tcPr>
            <w:tcW w:w="1442" w:type="dxa"/>
            <w:shd w:val="clear" w:color="auto" w:fill="auto"/>
            <w:vAlign w:val="center"/>
          </w:tcPr>
          <w:p w14:paraId="254307ED">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+1.8054</w:t>
            </w:r>
          </w:p>
        </w:tc>
      </w:tr>
      <w:tr w14:paraId="31E25E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323" w:type="dxa"/>
            <w:vMerge w:val="continue"/>
            <w:vAlign w:val="center"/>
          </w:tcPr>
          <w:p w14:paraId="11EBC271">
            <w:pPr>
              <w:pStyle w:val="98"/>
              <w:spacing w:beforeLines="0" w:afterLines="0" w:line="240" w:lineRule="auto"/>
              <w:rPr>
                <w:rFonts w:hint="default" w:ascii="Times New Roman" w:hAnsi="Times New Roman" w:eastAsia="宋体" w:cs="Times New Roman"/>
                <w:snapToGrid w:val="0"/>
                <w:color w:val="auto"/>
                <w:kern w:val="21"/>
                <w:sz w:val="24"/>
                <w:szCs w:val="24"/>
              </w:rPr>
            </w:pPr>
          </w:p>
        </w:tc>
        <w:tc>
          <w:tcPr>
            <w:tcW w:w="1483" w:type="dxa"/>
            <w:shd w:val="clear" w:color="auto" w:fill="auto"/>
            <w:vAlign w:val="center"/>
          </w:tcPr>
          <w:p w14:paraId="4B37AE6E">
            <w:pPr>
              <w:spacing w:line="360" w:lineRule="exact"/>
              <w:jc w:val="center"/>
              <w:rPr>
                <w:rFonts w:hint="default" w:ascii="Times New Roman" w:hAnsi="Times New Roman" w:eastAsia="宋体" w:cs="Times New Roman"/>
                <w:caps w:val="0"/>
                <w:color w:val="auto"/>
                <w:kern w:val="2"/>
                <w:sz w:val="24"/>
                <w:szCs w:val="24"/>
                <w:lang w:val="zh-CN" w:eastAsia="zh-CN" w:bidi="ar-SA"/>
              </w:rPr>
            </w:pPr>
            <w:r>
              <w:rPr>
                <w:rFonts w:hint="default" w:ascii="Times New Roman" w:hAnsi="Times New Roman" w:cs="Times New Roman"/>
                <w:bCs/>
                <w:color w:val="auto"/>
                <w:sz w:val="24"/>
                <w:szCs w:val="24"/>
                <w:lang w:eastAsia="zh-CN"/>
              </w:rPr>
              <w:t>废切削液</w:t>
            </w:r>
          </w:p>
        </w:tc>
        <w:tc>
          <w:tcPr>
            <w:tcW w:w="1563" w:type="dxa"/>
            <w:vAlign w:val="center"/>
          </w:tcPr>
          <w:p w14:paraId="1BB4E92A">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400" w:type="dxa"/>
            <w:vAlign w:val="center"/>
          </w:tcPr>
          <w:p w14:paraId="4EF98758">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w:t>
            </w:r>
          </w:p>
        </w:tc>
        <w:tc>
          <w:tcPr>
            <w:tcW w:w="1401" w:type="dxa"/>
            <w:vAlign w:val="center"/>
          </w:tcPr>
          <w:p w14:paraId="5F6FEF8A">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960" w:type="dxa"/>
            <w:shd w:val="clear" w:color="auto" w:fill="auto"/>
            <w:vAlign w:val="center"/>
          </w:tcPr>
          <w:p w14:paraId="1521664F">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2.52</w:t>
            </w:r>
          </w:p>
        </w:tc>
        <w:tc>
          <w:tcPr>
            <w:tcW w:w="1401" w:type="dxa"/>
            <w:vAlign w:val="center"/>
          </w:tcPr>
          <w:p w14:paraId="3E837553">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648" w:type="dxa"/>
            <w:shd w:val="clear" w:color="auto" w:fill="auto"/>
            <w:vAlign w:val="center"/>
          </w:tcPr>
          <w:p w14:paraId="7BB61C95">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2.52</w:t>
            </w:r>
          </w:p>
        </w:tc>
        <w:tc>
          <w:tcPr>
            <w:tcW w:w="1442" w:type="dxa"/>
            <w:shd w:val="clear" w:color="auto" w:fill="auto"/>
            <w:vAlign w:val="center"/>
          </w:tcPr>
          <w:p w14:paraId="076A8D2F">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+2.52</w:t>
            </w:r>
          </w:p>
        </w:tc>
      </w:tr>
      <w:tr w14:paraId="64B437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323" w:type="dxa"/>
            <w:vMerge w:val="continue"/>
            <w:vAlign w:val="center"/>
          </w:tcPr>
          <w:p w14:paraId="64CFE557">
            <w:pPr>
              <w:pStyle w:val="98"/>
              <w:spacing w:beforeLines="0" w:afterLines="0" w:line="240" w:lineRule="auto"/>
              <w:rPr>
                <w:rFonts w:hint="default" w:ascii="Times New Roman" w:hAnsi="Times New Roman" w:eastAsia="宋体" w:cs="Times New Roman"/>
                <w:snapToGrid w:val="0"/>
                <w:color w:val="auto"/>
                <w:kern w:val="21"/>
                <w:sz w:val="24"/>
                <w:szCs w:val="24"/>
              </w:rPr>
            </w:pPr>
          </w:p>
        </w:tc>
        <w:tc>
          <w:tcPr>
            <w:tcW w:w="1483" w:type="dxa"/>
            <w:shd w:val="clear" w:color="auto" w:fill="auto"/>
            <w:vAlign w:val="center"/>
          </w:tcPr>
          <w:p w14:paraId="75C0818F">
            <w:pPr>
              <w:spacing w:line="360" w:lineRule="exact"/>
              <w:jc w:val="center"/>
              <w:rPr>
                <w:rFonts w:hint="default" w:ascii="Times New Roman" w:hAnsi="Times New Roman" w:eastAsia="宋体" w:cs="Times New Roman"/>
                <w:caps w:val="0"/>
                <w:color w:val="auto"/>
                <w:kern w:val="2"/>
                <w:sz w:val="24"/>
                <w:szCs w:val="24"/>
                <w:lang w:val="en-US" w:eastAsia="zh-CN" w:bidi="ar-SA"/>
              </w:rPr>
            </w:pPr>
            <w:r>
              <w:rPr>
                <w:rFonts w:hint="default" w:ascii="Times New Roman" w:hAnsi="Times New Roman" w:cs="Times New Roman"/>
                <w:color w:val="auto"/>
                <w:sz w:val="24"/>
                <w:szCs w:val="24"/>
                <w:lang w:eastAsia="zh-CN"/>
              </w:rPr>
              <w:t>废润滑油</w:t>
            </w:r>
          </w:p>
        </w:tc>
        <w:tc>
          <w:tcPr>
            <w:tcW w:w="1563" w:type="dxa"/>
            <w:vAlign w:val="center"/>
          </w:tcPr>
          <w:p w14:paraId="1BC0583E">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400" w:type="dxa"/>
            <w:vAlign w:val="center"/>
          </w:tcPr>
          <w:p w14:paraId="5C486D96">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w:t>
            </w:r>
          </w:p>
        </w:tc>
        <w:tc>
          <w:tcPr>
            <w:tcW w:w="1401" w:type="dxa"/>
            <w:vAlign w:val="center"/>
          </w:tcPr>
          <w:p w14:paraId="5B2EF6DF">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960" w:type="dxa"/>
            <w:shd w:val="clear" w:color="auto" w:fill="auto"/>
            <w:vAlign w:val="center"/>
          </w:tcPr>
          <w:p w14:paraId="2B29680E">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r>
              <w:rPr>
                <w:rFonts w:hint="eastAsia" w:ascii="Times New Roman" w:hAnsi="Times New Roman" w:eastAsia="宋体" w:cs="Times New Roman"/>
                <w:i w:val="0"/>
                <w:iCs w:val="0"/>
                <w:color w:val="auto"/>
                <w:kern w:val="0"/>
                <w:sz w:val="24"/>
                <w:szCs w:val="24"/>
                <w:u w:val="none"/>
                <w:lang w:val="en-US" w:eastAsia="zh-CN" w:bidi="ar"/>
              </w:rPr>
              <w:t>4</w:t>
            </w:r>
          </w:p>
        </w:tc>
        <w:tc>
          <w:tcPr>
            <w:tcW w:w="1401" w:type="dxa"/>
            <w:vAlign w:val="center"/>
          </w:tcPr>
          <w:p w14:paraId="3B2FE23F">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648" w:type="dxa"/>
            <w:shd w:val="clear" w:color="auto" w:fill="auto"/>
            <w:vAlign w:val="center"/>
          </w:tcPr>
          <w:p w14:paraId="7E05F080">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r>
              <w:rPr>
                <w:rFonts w:hint="eastAsia" w:ascii="Times New Roman" w:hAnsi="Times New Roman" w:eastAsia="宋体" w:cs="Times New Roman"/>
                <w:i w:val="0"/>
                <w:iCs w:val="0"/>
                <w:color w:val="auto"/>
                <w:kern w:val="0"/>
                <w:sz w:val="24"/>
                <w:szCs w:val="24"/>
                <w:u w:val="none"/>
                <w:lang w:val="en-US" w:eastAsia="zh-CN" w:bidi="ar"/>
              </w:rPr>
              <w:t>4</w:t>
            </w:r>
          </w:p>
        </w:tc>
        <w:tc>
          <w:tcPr>
            <w:tcW w:w="1442" w:type="dxa"/>
            <w:shd w:val="clear" w:color="auto" w:fill="auto"/>
            <w:vAlign w:val="center"/>
          </w:tcPr>
          <w:p w14:paraId="031C8CDC">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w:t>
            </w:r>
            <w:r>
              <w:rPr>
                <w:rFonts w:hint="default" w:ascii="Times New Roman" w:hAnsi="Times New Roman" w:eastAsia="宋体" w:cs="Times New Roman"/>
                <w:i w:val="0"/>
                <w:iCs w:val="0"/>
                <w:color w:val="auto"/>
                <w:kern w:val="0"/>
                <w:sz w:val="24"/>
                <w:szCs w:val="24"/>
                <w:u w:val="none"/>
                <w:lang w:val="en-US" w:eastAsia="zh-CN" w:bidi="ar"/>
              </w:rPr>
              <w:t>0.</w:t>
            </w:r>
            <w:r>
              <w:rPr>
                <w:rFonts w:hint="eastAsia" w:ascii="Times New Roman" w:hAnsi="Times New Roman" w:eastAsia="宋体" w:cs="Times New Roman"/>
                <w:i w:val="0"/>
                <w:iCs w:val="0"/>
                <w:color w:val="auto"/>
                <w:kern w:val="0"/>
                <w:sz w:val="24"/>
                <w:szCs w:val="24"/>
                <w:u w:val="none"/>
                <w:lang w:val="en-US" w:eastAsia="zh-CN" w:bidi="ar"/>
              </w:rPr>
              <w:t>4</w:t>
            </w:r>
          </w:p>
        </w:tc>
      </w:tr>
      <w:tr w14:paraId="2EC4EE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323" w:type="dxa"/>
            <w:vMerge w:val="continue"/>
            <w:vAlign w:val="center"/>
          </w:tcPr>
          <w:p w14:paraId="76CACB53">
            <w:pPr>
              <w:pStyle w:val="98"/>
              <w:spacing w:beforeLines="0" w:afterLines="0" w:line="240" w:lineRule="auto"/>
              <w:rPr>
                <w:rFonts w:hint="default" w:ascii="Times New Roman" w:hAnsi="Times New Roman" w:eastAsia="宋体" w:cs="Times New Roman"/>
                <w:snapToGrid w:val="0"/>
                <w:color w:val="auto"/>
                <w:kern w:val="21"/>
                <w:sz w:val="24"/>
                <w:szCs w:val="24"/>
              </w:rPr>
            </w:pPr>
          </w:p>
        </w:tc>
        <w:tc>
          <w:tcPr>
            <w:tcW w:w="1483" w:type="dxa"/>
            <w:shd w:val="clear" w:color="auto" w:fill="auto"/>
            <w:vAlign w:val="center"/>
          </w:tcPr>
          <w:p w14:paraId="617AD1B5">
            <w:pPr>
              <w:spacing w:line="360" w:lineRule="exact"/>
              <w:jc w:val="center"/>
              <w:rPr>
                <w:rFonts w:hint="default" w:ascii="Times New Roman" w:hAnsi="Times New Roman" w:eastAsia="宋体" w:cs="Times New Roman"/>
                <w:caps w:val="0"/>
                <w:color w:val="auto"/>
                <w:kern w:val="2"/>
                <w:sz w:val="24"/>
                <w:szCs w:val="24"/>
                <w:lang w:val="en-US" w:eastAsia="zh-CN" w:bidi="ar-SA"/>
              </w:rPr>
            </w:pPr>
            <w:r>
              <w:rPr>
                <w:rFonts w:hint="default" w:ascii="Times New Roman" w:hAnsi="Times New Roman" w:eastAsia="宋体" w:cs="Times New Roman"/>
                <w:caps w:val="0"/>
                <w:color w:val="auto"/>
                <w:sz w:val="24"/>
                <w:szCs w:val="24"/>
                <w:lang w:val="en-US" w:eastAsia="zh-CN"/>
              </w:rPr>
              <w:t>废</w:t>
            </w:r>
            <w:r>
              <w:rPr>
                <w:rFonts w:hint="default" w:ascii="Times New Roman" w:hAnsi="Times New Roman" w:cs="Times New Roman"/>
                <w:caps w:val="0"/>
                <w:color w:val="auto"/>
                <w:sz w:val="24"/>
                <w:szCs w:val="24"/>
                <w:lang w:val="en-US" w:eastAsia="zh-CN"/>
              </w:rPr>
              <w:t>液压</w:t>
            </w:r>
            <w:r>
              <w:rPr>
                <w:rFonts w:hint="default" w:ascii="Times New Roman" w:hAnsi="Times New Roman" w:eastAsia="宋体" w:cs="Times New Roman"/>
                <w:caps w:val="0"/>
                <w:color w:val="auto"/>
                <w:sz w:val="24"/>
                <w:szCs w:val="24"/>
                <w:lang w:val="en-US" w:eastAsia="zh-CN"/>
              </w:rPr>
              <w:t>油</w:t>
            </w:r>
          </w:p>
        </w:tc>
        <w:tc>
          <w:tcPr>
            <w:tcW w:w="1563" w:type="dxa"/>
            <w:vAlign w:val="center"/>
          </w:tcPr>
          <w:p w14:paraId="69FBD9A0">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400" w:type="dxa"/>
            <w:vAlign w:val="center"/>
          </w:tcPr>
          <w:p w14:paraId="69245F6E">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w:t>
            </w:r>
          </w:p>
        </w:tc>
        <w:tc>
          <w:tcPr>
            <w:tcW w:w="1401" w:type="dxa"/>
            <w:vAlign w:val="center"/>
          </w:tcPr>
          <w:p w14:paraId="67632EFE">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960" w:type="dxa"/>
            <w:shd w:val="clear" w:color="auto" w:fill="auto"/>
            <w:vAlign w:val="center"/>
          </w:tcPr>
          <w:p w14:paraId="781B9D96">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0.3</w:t>
            </w:r>
          </w:p>
        </w:tc>
        <w:tc>
          <w:tcPr>
            <w:tcW w:w="1401" w:type="dxa"/>
            <w:vAlign w:val="center"/>
          </w:tcPr>
          <w:p w14:paraId="61E1400F">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648" w:type="dxa"/>
            <w:shd w:val="clear" w:color="auto" w:fill="auto"/>
            <w:vAlign w:val="center"/>
          </w:tcPr>
          <w:p w14:paraId="4D6589FE">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0.3</w:t>
            </w:r>
          </w:p>
        </w:tc>
        <w:tc>
          <w:tcPr>
            <w:tcW w:w="1442" w:type="dxa"/>
            <w:shd w:val="clear" w:color="auto" w:fill="auto"/>
            <w:vAlign w:val="center"/>
          </w:tcPr>
          <w:p w14:paraId="458CA37E">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+0.3</w:t>
            </w:r>
          </w:p>
        </w:tc>
      </w:tr>
      <w:tr w14:paraId="5B1687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323" w:type="dxa"/>
            <w:vMerge w:val="continue"/>
            <w:vAlign w:val="center"/>
          </w:tcPr>
          <w:p w14:paraId="5A205889">
            <w:pPr>
              <w:pStyle w:val="98"/>
              <w:spacing w:beforeLines="0" w:afterLines="0" w:line="240" w:lineRule="auto"/>
              <w:rPr>
                <w:rFonts w:hint="default" w:ascii="Times New Roman" w:hAnsi="Times New Roman" w:eastAsia="宋体" w:cs="Times New Roman"/>
                <w:snapToGrid w:val="0"/>
                <w:color w:val="auto"/>
                <w:kern w:val="21"/>
                <w:sz w:val="24"/>
                <w:szCs w:val="24"/>
              </w:rPr>
            </w:pPr>
          </w:p>
        </w:tc>
        <w:tc>
          <w:tcPr>
            <w:tcW w:w="1483" w:type="dxa"/>
            <w:shd w:val="clear" w:color="auto" w:fill="auto"/>
            <w:vAlign w:val="center"/>
          </w:tcPr>
          <w:p w14:paraId="57CDD2CB">
            <w:pPr>
              <w:spacing w:line="360" w:lineRule="exact"/>
              <w:jc w:val="center"/>
              <w:rPr>
                <w:rFonts w:hint="default" w:ascii="Times New Roman" w:hAnsi="Times New Roman" w:cs="Times New Roman" w:eastAsiaTheme="minorEastAsia"/>
                <w:color w:val="auto"/>
                <w:kern w:val="0"/>
                <w:sz w:val="24"/>
                <w:szCs w:val="24"/>
                <w:lang w:val="en-US" w:eastAsia="zh-CN" w:bidi="ar-SA"/>
              </w:rPr>
            </w:pPr>
            <w:r>
              <w:rPr>
                <w:rFonts w:hint="default" w:ascii="Times New Roman" w:hAnsi="Times New Roman" w:cs="Times New Roman" w:eastAsiaTheme="minorEastAsia"/>
                <w:color w:val="auto"/>
                <w:kern w:val="0"/>
                <w:sz w:val="24"/>
                <w:szCs w:val="24"/>
                <w:lang w:eastAsia="zh-CN"/>
              </w:rPr>
              <w:t>含油金属屑</w:t>
            </w:r>
          </w:p>
        </w:tc>
        <w:tc>
          <w:tcPr>
            <w:tcW w:w="1563" w:type="dxa"/>
            <w:vAlign w:val="center"/>
          </w:tcPr>
          <w:p w14:paraId="20CBCAD3">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400" w:type="dxa"/>
            <w:vAlign w:val="center"/>
          </w:tcPr>
          <w:p w14:paraId="7EBCF276">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w:t>
            </w:r>
          </w:p>
        </w:tc>
        <w:tc>
          <w:tcPr>
            <w:tcW w:w="1401" w:type="dxa"/>
            <w:vAlign w:val="center"/>
          </w:tcPr>
          <w:p w14:paraId="1632B8E3">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960" w:type="dxa"/>
            <w:shd w:val="clear" w:color="auto" w:fill="auto"/>
            <w:vAlign w:val="center"/>
          </w:tcPr>
          <w:p w14:paraId="16819C57">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9</w:t>
            </w:r>
          </w:p>
        </w:tc>
        <w:tc>
          <w:tcPr>
            <w:tcW w:w="1401" w:type="dxa"/>
            <w:vAlign w:val="center"/>
          </w:tcPr>
          <w:p w14:paraId="5616C8D4">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648" w:type="dxa"/>
            <w:shd w:val="clear" w:color="auto" w:fill="auto"/>
            <w:vAlign w:val="center"/>
          </w:tcPr>
          <w:p w14:paraId="0A913888">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9</w:t>
            </w:r>
          </w:p>
        </w:tc>
        <w:tc>
          <w:tcPr>
            <w:tcW w:w="1442" w:type="dxa"/>
            <w:shd w:val="clear" w:color="auto" w:fill="auto"/>
            <w:vAlign w:val="center"/>
          </w:tcPr>
          <w:p w14:paraId="39299EF4">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+9</w:t>
            </w:r>
          </w:p>
        </w:tc>
      </w:tr>
      <w:tr w14:paraId="1D53DB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323" w:type="dxa"/>
            <w:vMerge w:val="continue"/>
            <w:vAlign w:val="center"/>
          </w:tcPr>
          <w:p w14:paraId="61CB198A">
            <w:pPr>
              <w:pStyle w:val="98"/>
              <w:spacing w:beforeLines="0" w:afterLines="0" w:line="240" w:lineRule="auto"/>
              <w:rPr>
                <w:rFonts w:hint="default" w:ascii="Times New Roman" w:hAnsi="Times New Roman" w:eastAsia="宋体" w:cs="Times New Roman"/>
                <w:snapToGrid w:val="0"/>
                <w:color w:val="auto"/>
                <w:kern w:val="21"/>
                <w:sz w:val="24"/>
                <w:szCs w:val="24"/>
              </w:rPr>
            </w:pPr>
          </w:p>
        </w:tc>
        <w:tc>
          <w:tcPr>
            <w:tcW w:w="1483" w:type="dxa"/>
            <w:shd w:val="clear" w:color="auto" w:fill="auto"/>
            <w:vAlign w:val="center"/>
          </w:tcPr>
          <w:p w14:paraId="1678E473">
            <w:pPr>
              <w:jc w:val="center"/>
              <w:rPr>
                <w:rFonts w:hint="default" w:ascii="Times New Roman" w:hAnsi="Times New Roman" w:cs="Times New Roman" w:eastAsiaTheme="minorEastAsia"/>
                <w:color w:val="auto"/>
                <w:kern w:val="0"/>
                <w:sz w:val="24"/>
                <w:szCs w:val="24"/>
                <w:lang w:eastAsia="zh-CN"/>
              </w:rPr>
            </w:pPr>
            <w:r>
              <w:rPr>
                <w:rFonts w:hint="default" w:ascii="Times New Roman" w:hAnsi="Times New Roman" w:cs="Times New Roman"/>
                <w:color w:val="auto"/>
                <w:spacing w:val="-4"/>
                <w:sz w:val="24"/>
                <w:szCs w:val="24"/>
                <w:lang w:eastAsia="zh-CN"/>
              </w:rPr>
              <w:t>废</w:t>
            </w:r>
            <w:r>
              <w:rPr>
                <w:rFonts w:hint="eastAsia" w:cs="Times New Roman"/>
                <w:color w:val="auto"/>
                <w:spacing w:val="-4"/>
                <w:sz w:val="24"/>
                <w:szCs w:val="24"/>
                <w:lang w:eastAsia="zh-CN"/>
              </w:rPr>
              <w:t>水性脱模剂</w:t>
            </w:r>
          </w:p>
        </w:tc>
        <w:tc>
          <w:tcPr>
            <w:tcW w:w="1563" w:type="dxa"/>
            <w:vAlign w:val="center"/>
          </w:tcPr>
          <w:p w14:paraId="40F88675">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400" w:type="dxa"/>
            <w:vAlign w:val="center"/>
          </w:tcPr>
          <w:p w14:paraId="16779843">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w:t>
            </w:r>
          </w:p>
        </w:tc>
        <w:tc>
          <w:tcPr>
            <w:tcW w:w="1401" w:type="dxa"/>
            <w:vAlign w:val="center"/>
          </w:tcPr>
          <w:p w14:paraId="2AD17BDD">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960" w:type="dxa"/>
            <w:shd w:val="clear" w:color="auto" w:fill="auto"/>
            <w:vAlign w:val="center"/>
          </w:tcPr>
          <w:p w14:paraId="2B55A91E">
            <w:pPr>
              <w:adjustRightInd w:val="0"/>
              <w:snapToGrid w:val="0"/>
              <w:jc w:val="center"/>
              <w:textAlignment w:val="baseline"/>
              <w:rPr>
                <w:rFonts w:hint="eastAsia"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4.536</w:t>
            </w:r>
          </w:p>
        </w:tc>
        <w:tc>
          <w:tcPr>
            <w:tcW w:w="1401" w:type="dxa"/>
            <w:vAlign w:val="center"/>
          </w:tcPr>
          <w:p w14:paraId="275B7857">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648" w:type="dxa"/>
            <w:shd w:val="clear" w:color="auto" w:fill="auto"/>
            <w:vAlign w:val="center"/>
          </w:tcPr>
          <w:p w14:paraId="14B4B096">
            <w:pPr>
              <w:adjustRightInd w:val="0"/>
              <w:snapToGrid w:val="0"/>
              <w:jc w:val="center"/>
              <w:textAlignment w:val="baseline"/>
              <w:rPr>
                <w:rFonts w:hint="eastAsia"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4.536</w:t>
            </w:r>
          </w:p>
        </w:tc>
        <w:tc>
          <w:tcPr>
            <w:tcW w:w="1442" w:type="dxa"/>
            <w:shd w:val="clear" w:color="auto" w:fill="auto"/>
            <w:vAlign w:val="center"/>
          </w:tcPr>
          <w:p w14:paraId="297E697D">
            <w:pPr>
              <w:adjustRightInd w:val="0"/>
              <w:snapToGrid w:val="0"/>
              <w:jc w:val="center"/>
              <w:textAlignment w:val="baseline"/>
              <w:rPr>
                <w:rFonts w:hint="eastAsia"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+4.536</w:t>
            </w:r>
          </w:p>
        </w:tc>
      </w:tr>
      <w:tr w14:paraId="4C48AB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323" w:type="dxa"/>
            <w:vMerge w:val="continue"/>
            <w:vAlign w:val="center"/>
          </w:tcPr>
          <w:p w14:paraId="38447B9E">
            <w:pPr>
              <w:pStyle w:val="98"/>
              <w:spacing w:beforeLines="0" w:afterLines="0" w:line="240" w:lineRule="auto"/>
              <w:rPr>
                <w:rFonts w:hint="default" w:ascii="Times New Roman" w:hAnsi="Times New Roman" w:eastAsia="宋体" w:cs="Times New Roman"/>
                <w:snapToGrid w:val="0"/>
                <w:color w:val="auto"/>
                <w:kern w:val="21"/>
                <w:sz w:val="24"/>
                <w:szCs w:val="24"/>
              </w:rPr>
            </w:pPr>
          </w:p>
        </w:tc>
        <w:tc>
          <w:tcPr>
            <w:tcW w:w="1483" w:type="dxa"/>
            <w:shd w:val="clear" w:color="auto" w:fill="auto"/>
            <w:vAlign w:val="center"/>
          </w:tcPr>
          <w:p w14:paraId="06F1CB62">
            <w:pPr>
              <w:spacing w:line="360" w:lineRule="exact"/>
              <w:jc w:val="center"/>
              <w:rPr>
                <w:rFonts w:hint="default" w:ascii="Times New Roman" w:hAnsi="Times New Roman" w:cs="Times New Roman" w:eastAsiaTheme="minorEastAsia"/>
                <w:color w:val="auto"/>
                <w:kern w:val="0"/>
                <w:sz w:val="24"/>
                <w:szCs w:val="24"/>
                <w:lang w:eastAsia="zh-CN"/>
              </w:rPr>
            </w:pPr>
            <w:r>
              <w:rPr>
                <w:rFonts w:hint="default" w:ascii="Times New Roman" w:hAnsi="Times New Roman" w:cs="Times New Roman" w:eastAsiaTheme="minorEastAsia"/>
                <w:color w:val="auto"/>
                <w:kern w:val="0"/>
                <w:sz w:val="24"/>
                <w:szCs w:val="24"/>
                <w:lang w:eastAsia="zh-CN"/>
              </w:rPr>
              <w:t>废活性炭</w:t>
            </w:r>
          </w:p>
        </w:tc>
        <w:tc>
          <w:tcPr>
            <w:tcW w:w="1563" w:type="dxa"/>
            <w:vAlign w:val="center"/>
          </w:tcPr>
          <w:p w14:paraId="34583BB3">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400" w:type="dxa"/>
            <w:vAlign w:val="center"/>
          </w:tcPr>
          <w:p w14:paraId="46F7248C">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w:t>
            </w:r>
          </w:p>
        </w:tc>
        <w:tc>
          <w:tcPr>
            <w:tcW w:w="1401" w:type="dxa"/>
            <w:vAlign w:val="center"/>
          </w:tcPr>
          <w:p w14:paraId="0A7DC997">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960" w:type="dxa"/>
            <w:shd w:val="clear" w:color="auto" w:fill="auto"/>
            <w:vAlign w:val="center"/>
          </w:tcPr>
          <w:p w14:paraId="07FC833E">
            <w:pPr>
              <w:adjustRightInd w:val="0"/>
              <w:snapToGrid w:val="0"/>
              <w:jc w:val="center"/>
              <w:textAlignment w:val="baseline"/>
              <w:rPr>
                <w:rFonts w:hint="eastAsia"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2.6524</w:t>
            </w:r>
          </w:p>
        </w:tc>
        <w:tc>
          <w:tcPr>
            <w:tcW w:w="1401" w:type="dxa"/>
            <w:vAlign w:val="center"/>
          </w:tcPr>
          <w:p w14:paraId="6E2D8234">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648" w:type="dxa"/>
            <w:shd w:val="clear" w:color="auto" w:fill="auto"/>
            <w:vAlign w:val="center"/>
          </w:tcPr>
          <w:p w14:paraId="2E5F7C41">
            <w:pPr>
              <w:adjustRightInd w:val="0"/>
              <w:snapToGrid w:val="0"/>
              <w:jc w:val="center"/>
              <w:textAlignment w:val="baseline"/>
              <w:rPr>
                <w:rFonts w:hint="eastAsia"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2.6524</w:t>
            </w:r>
          </w:p>
        </w:tc>
        <w:tc>
          <w:tcPr>
            <w:tcW w:w="1442" w:type="dxa"/>
            <w:shd w:val="clear" w:color="auto" w:fill="auto"/>
            <w:vAlign w:val="center"/>
          </w:tcPr>
          <w:p w14:paraId="57F6E6A4">
            <w:pPr>
              <w:adjustRightInd w:val="0"/>
              <w:snapToGrid w:val="0"/>
              <w:jc w:val="center"/>
              <w:textAlignment w:val="baseline"/>
              <w:rPr>
                <w:rFonts w:hint="eastAsia"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w:t>
            </w:r>
            <w:r>
              <w:rPr>
                <w:rFonts w:hint="eastAsia" w:cs="Times New Roman"/>
                <w:i w:val="0"/>
                <w:iCs w:val="0"/>
                <w:color w:val="auto"/>
                <w:kern w:val="0"/>
                <w:sz w:val="24"/>
                <w:szCs w:val="24"/>
                <w:u w:val="none"/>
                <w:lang w:val="en-US" w:eastAsia="zh-CN" w:bidi="ar"/>
              </w:rPr>
              <w:t>2.6524</w:t>
            </w:r>
          </w:p>
        </w:tc>
      </w:tr>
      <w:tr w14:paraId="61CE49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323" w:type="dxa"/>
            <w:vMerge w:val="continue"/>
            <w:vAlign w:val="center"/>
          </w:tcPr>
          <w:p w14:paraId="069CE667">
            <w:pPr>
              <w:pStyle w:val="98"/>
              <w:spacing w:beforeLines="0" w:afterLines="0" w:line="240" w:lineRule="auto"/>
              <w:rPr>
                <w:rFonts w:hint="default" w:ascii="Times New Roman" w:hAnsi="Times New Roman" w:eastAsia="宋体" w:cs="Times New Roman"/>
                <w:snapToGrid w:val="0"/>
                <w:color w:val="auto"/>
                <w:kern w:val="21"/>
                <w:sz w:val="24"/>
                <w:szCs w:val="24"/>
              </w:rPr>
            </w:pPr>
          </w:p>
        </w:tc>
        <w:tc>
          <w:tcPr>
            <w:tcW w:w="1483" w:type="dxa"/>
            <w:shd w:val="clear" w:color="auto" w:fill="auto"/>
            <w:vAlign w:val="center"/>
          </w:tcPr>
          <w:p w14:paraId="00F680CE">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i w:val="0"/>
                <w:iCs w:val="0"/>
                <w:color w:val="auto"/>
                <w:kern w:val="0"/>
                <w:sz w:val="24"/>
                <w:szCs w:val="24"/>
                <w:u w:val="none"/>
                <w:lang w:val="en-US" w:eastAsia="zh-CN" w:bidi="ar"/>
              </w:rPr>
              <w:t>油雾净化器收集的废油</w:t>
            </w:r>
          </w:p>
        </w:tc>
        <w:tc>
          <w:tcPr>
            <w:tcW w:w="1563" w:type="dxa"/>
            <w:shd w:val="clear" w:color="auto" w:fill="auto"/>
            <w:vAlign w:val="center"/>
          </w:tcPr>
          <w:p w14:paraId="7074A44F">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400" w:type="dxa"/>
            <w:shd w:val="clear" w:color="auto" w:fill="auto"/>
            <w:vAlign w:val="center"/>
          </w:tcPr>
          <w:p w14:paraId="52ACB2CB">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w:t>
            </w:r>
          </w:p>
        </w:tc>
        <w:tc>
          <w:tcPr>
            <w:tcW w:w="1401" w:type="dxa"/>
            <w:shd w:val="clear" w:color="auto" w:fill="auto"/>
            <w:vAlign w:val="center"/>
          </w:tcPr>
          <w:p w14:paraId="52EC0E6C">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960" w:type="dxa"/>
            <w:shd w:val="clear" w:color="auto" w:fill="auto"/>
            <w:vAlign w:val="center"/>
          </w:tcPr>
          <w:p w14:paraId="23A19A94">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0.05</w:t>
            </w:r>
          </w:p>
        </w:tc>
        <w:tc>
          <w:tcPr>
            <w:tcW w:w="1401" w:type="dxa"/>
            <w:shd w:val="clear" w:color="auto" w:fill="auto"/>
            <w:vAlign w:val="center"/>
          </w:tcPr>
          <w:p w14:paraId="21E26487">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648" w:type="dxa"/>
            <w:shd w:val="clear" w:color="auto" w:fill="auto"/>
            <w:vAlign w:val="center"/>
          </w:tcPr>
          <w:p w14:paraId="1DC3344A">
            <w:pPr>
              <w:adjustRightInd w:val="0"/>
              <w:snapToGrid w:val="0"/>
              <w:jc w:val="center"/>
              <w:textAlignment w:val="baseline"/>
              <w:rPr>
                <w:rFonts w:hint="eastAsia"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0.05</w:t>
            </w:r>
          </w:p>
        </w:tc>
        <w:tc>
          <w:tcPr>
            <w:tcW w:w="1442" w:type="dxa"/>
            <w:shd w:val="clear" w:color="auto" w:fill="auto"/>
            <w:vAlign w:val="center"/>
          </w:tcPr>
          <w:p w14:paraId="1486FE16">
            <w:pPr>
              <w:adjustRightInd w:val="0"/>
              <w:snapToGrid w:val="0"/>
              <w:jc w:val="center"/>
              <w:textAlignment w:val="baseline"/>
              <w:rPr>
                <w:rFonts w:hint="eastAsia"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+0.05</w:t>
            </w:r>
          </w:p>
        </w:tc>
      </w:tr>
      <w:tr w14:paraId="4E9AA6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323" w:type="dxa"/>
            <w:vAlign w:val="center"/>
          </w:tcPr>
          <w:p w14:paraId="6D0577AD">
            <w:pPr>
              <w:pStyle w:val="98"/>
              <w:spacing w:beforeLines="0" w:afterLines="0" w:line="240" w:lineRule="auto"/>
              <w:rPr>
                <w:rFonts w:hint="default" w:ascii="Times New Roman" w:hAnsi="Times New Roman" w:eastAsia="宋体" w:cs="Times New Roman"/>
                <w:snapToGrid w:val="0"/>
                <w:color w:val="auto"/>
                <w:kern w:val="21"/>
                <w:sz w:val="24"/>
                <w:szCs w:val="24"/>
              </w:rPr>
            </w:pPr>
            <w:r>
              <w:rPr>
                <w:rFonts w:hint="default" w:ascii="Times New Roman" w:hAnsi="Times New Roman" w:eastAsia="宋体" w:cs="Times New Roman"/>
                <w:snapToGrid w:val="0"/>
                <w:color w:val="auto"/>
                <w:kern w:val="21"/>
                <w:sz w:val="24"/>
                <w:szCs w:val="24"/>
              </w:rPr>
              <w:t>生活垃圾</w:t>
            </w:r>
          </w:p>
        </w:tc>
        <w:tc>
          <w:tcPr>
            <w:tcW w:w="1483" w:type="dxa"/>
            <w:vAlign w:val="center"/>
          </w:tcPr>
          <w:p w14:paraId="387E0D0E">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生活垃圾</w:t>
            </w:r>
          </w:p>
        </w:tc>
        <w:tc>
          <w:tcPr>
            <w:tcW w:w="1563" w:type="dxa"/>
            <w:vAlign w:val="center"/>
          </w:tcPr>
          <w:p w14:paraId="3AACA485">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400" w:type="dxa"/>
            <w:vAlign w:val="center"/>
          </w:tcPr>
          <w:p w14:paraId="0944DE52">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w:t>
            </w:r>
          </w:p>
        </w:tc>
        <w:tc>
          <w:tcPr>
            <w:tcW w:w="1401" w:type="dxa"/>
            <w:vAlign w:val="center"/>
          </w:tcPr>
          <w:p w14:paraId="14E49730">
            <w:pPr>
              <w:adjustRightInd w:val="0"/>
              <w:snapToGrid w:val="0"/>
              <w:jc w:val="center"/>
              <w:textAlignment w:val="baseline"/>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960" w:type="dxa"/>
            <w:shd w:val="clear" w:color="auto" w:fill="auto"/>
            <w:vAlign w:val="center"/>
          </w:tcPr>
          <w:p w14:paraId="5AC46806">
            <w:pPr>
              <w:pStyle w:val="219"/>
              <w:spacing w:line="320" w:lineRule="exact"/>
              <w:ind w:left="-105" w:leftChars="-50" w:right="-105" w:rightChars="-50"/>
              <w:jc w:val="center"/>
              <w:rPr>
                <w:rFonts w:hint="default" w:ascii="Times New Roman" w:hAnsi="Times New Roman" w:eastAsia="宋体" w:cs="Times New Roman"/>
                <w:caps w:val="0"/>
                <w:color w:val="auto"/>
                <w:kern w:val="2"/>
                <w:sz w:val="24"/>
                <w:szCs w:val="24"/>
                <w:lang w:val="en-US" w:eastAsia="zh-CN" w:bidi="ar-SA"/>
              </w:rPr>
            </w:pPr>
            <w:r>
              <w:rPr>
                <w:rFonts w:hint="eastAsia" w:cs="Times New Roman"/>
                <w:caps w:val="0"/>
                <w:color w:val="auto"/>
                <w:kern w:val="2"/>
                <w:sz w:val="24"/>
                <w:szCs w:val="24"/>
                <w:lang w:val="en-US" w:eastAsia="zh-CN" w:bidi="ar-SA"/>
              </w:rPr>
              <w:t>16</w:t>
            </w:r>
          </w:p>
        </w:tc>
        <w:tc>
          <w:tcPr>
            <w:tcW w:w="1401" w:type="dxa"/>
            <w:vAlign w:val="center"/>
          </w:tcPr>
          <w:p w14:paraId="11BCD286">
            <w:pPr>
              <w:jc w:val="center"/>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i w:val="0"/>
                <w:iCs w:val="0"/>
                <w:color w:val="auto"/>
                <w:kern w:val="0"/>
                <w:sz w:val="24"/>
                <w:szCs w:val="24"/>
                <w:u w:val="none"/>
                <w:lang w:val="en-US" w:eastAsia="zh-CN" w:bidi="ar"/>
              </w:rPr>
              <w:t>0</w:t>
            </w:r>
          </w:p>
        </w:tc>
        <w:tc>
          <w:tcPr>
            <w:tcW w:w="1648" w:type="dxa"/>
            <w:shd w:val="clear" w:color="auto" w:fill="auto"/>
            <w:vAlign w:val="center"/>
          </w:tcPr>
          <w:p w14:paraId="25C76629">
            <w:pPr>
              <w:pStyle w:val="219"/>
              <w:spacing w:line="320" w:lineRule="exact"/>
              <w:ind w:left="-105" w:leftChars="-50" w:right="-105" w:rightChars="-50"/>
              <w:jc w:val="center"/>
              <w:rPr>
                <w:rFonts w:hint="default" w:ascii="Times New Roman" w:hAnsi="Times New Roman" w:eastAsia="宋体" w:cs="Times New Roman"/>
                <w:caps w:val="0"/>
                <w:color w:val="auto"/>
                <w:kern w:val="2"/>
                <w:sz w:val="24"/>
                <w:szCs w:val="24"/>
                <w:lang w:val="en-US" w:eastAsia="zh-CN" w:bidi="ar-SA"/>
              </w:rPr>
            </w:pPr>
            <w:r>
              <w:rPr>
                <w:rFonts w:hint="eastAsia" w:cs="Times New Roman"/>
                <w:caps w:val="0"/>
                <w:color w:val="auto"/>
                <w:kern w:val="2"/>
                <w:sz w:val="24"/>
                <w:szCs w:val="24"/>
                <w:lang w:val="en-US" w:eastAsia="zh-CN" w:bidi="ar-SA"/>
              </w:rPr>
              <w:t>16</w:t>
            </w:r>
          </w:p>
        </w:tc>
        <w:tc>
          <w:tcPr>
            <w:tcW w:w="1442" w:type="dxa"/>
            <w:shd w:val="clear" w:color="auto" w:fill="auto"/>
            <w:vAlign w:val="center"/>
          </w:tcPr>
          <w:p w14:paraId="4E343680">
            <w:pPr>
              <w:pStyle w:val="219"/>
              <w:spacing w:line="320" w:lineRule="exact"/>
              <w:ind w:left="-105" w:leftChars="-50" w:right="-105" w:rightChars="-50"/>
              <w:jc w:val="center"/>
              <w:rPr>
                <w:rFonts w:hint="default" w:ascii="Times New Roman" w:hAnsi="Times New Roman" w:eastAsia="宋体" w:cs="Times New Roman"/>
                <w:caps w:val="0"/>
                <w:color w:val="auto"/>
                <w:kern w:val="2"/>
                <w:sz w:val="24"/>
                <w:szCs w:val="24"/>
                <w:lang w:val="en-US" w:eastAsia="zh-CN" w:bidi="ar-SA"/>
              </w:rPr>
            </w:pPr>
            <w:r>
              <w:rPr>
                <w:rFonts w:hint="eastAsia" w:cs="Times New Roman"/>
                <w:caps w:val="0"/>
                <w:color w:val="auto"/>
                <w:kern w:val="2"/>
                <w:sz w:val="24"/>
                <w:szCs w:val="24"/>
                <w:lang w:val="en-US" w:eastAsia="zh-CN" w:bidi="ar-SA"/>
              </w:rPr>
              <w:t>+16</w:t>
            </w:r>
          </w:p>
        </w:tc>
      </w:tr>
    </w:tbl>
    <w:p w14:paraId="62491204">
      <w:pPr>
        <w:spacing w:line="360" w:lineRule="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注：</w:t>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 6 \* GB3 \* MERGEFORMAT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⑥</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 1 \* GB3 \* MERGEFORMAT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①</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 3 \* GB3 \* MERGEFORMAT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③</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 4 \* GB3 \* MERGEFORMAT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④</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 5 \* GB3 \* MERGEFORMAT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⑤</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 7 \* GB3 \* MERGEFORMAT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⑦</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 6 \* GB3 \* MERGEFORMAT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⑥</w:t>
      </w:r>
      <w:r>
        <w:rPr>
          <w:rFonts w:hint="default" w:ascii="Times New Roman" w:hAnsi="Times New Roman" w:cs="Times New Roman"/>
          <w:color w:val="auto"/>
          <w:sz w:val="24"/>
          <w:szCs w:val="24"/>
        </w:rPr>
        <w:fldChar w:fldCharType="end"/>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rPr>
        <w:fldChar w:fldCharType="begin"/>
      </w:r>
      <w:r>
        <w:rPr>
          <w:rFonts w:hint="default" w:ascii="Times New Roman" w:hAnsi="Times New Roman" w:cs="Times New Roman"/>
          <w:color w:val="auto"/>
          <w:sz w:val="24"/>
          <w:szCs w:val="24"/>
        </w:rPr>
        <w:instrText xml:space="preserve"> = 1 \* GB3 \* MERGEFORMAT </w:instrText>
      </w:r>
      <w:r>
        <w:rPr>
          <w:rFonts w:hint="default" w:ascii="Times New Roman" w:hAnsi="Times New Roman" w:cs="Times New Roman"/>
          <w:color w:val="auto"/>
          <w:sz w:val="24"/>
          <w:szCs w:val="24"/>
        </w:rPr>
        <w:fldChar w:fldCharType="separate"/>
      </w:r>
      <w:r>
        <w:rPr>
          <w:rFonts w:hint="default" w:ascii="Times New Roman" w:hAnsi="Times New Roman" w:cs="Times New Roman"/>
          <w:color w:val="auto"/>
          <w:sz w:val="24"/>
          <w:szCs w:val="24"/>
        </w:rPr>
        <w:t>①</w:t>
      </w:r>
      <w:r>
        <w:rPr>
          <w:rFonts w:hint="default" w:ascii="Times New Roman" w:hAnsi="Times New Roman" w:cs="Times New Roman"/>
          <w:color w:val="auto"/>
          <w:sz w:val="24"/>
          <w:szCs w:val="24"/>
        </w:rPr>
        <w:fldChar w:fldCharType="end"/>
      </w:r>
    </w:p>
    <w:p w14:paraId="036EAC80">
      <w:pPr>
        <w:rPr>
          <w:rFonts w:hint="default" w:ascii="Times New Roman" w:hAnsi="Times New Roman" w:cs="Times New Roman"/>
          <w:color w:val="auto"/>
          <w:sz w:val="24"/>
          <w:szCs w:val="24"/>
        </w:rPr>
      </w:pPr>
      <w:r>
        <w:rPr>
          <w:rFonts w:hint="default" w:ascii="Times New Roman" w:hAnsi="Times New Roman" w:cs="Times New Roman"/>
          <w:color w:val="auto"/>
          <w:sz w:val="24"/>
          <w:szCs w:val="24"/>
        </w:rPr>
        <w:br w:type="page"/>
      </w:r>
    </w:p>
    <w:p w14:paraId="6456D43C">
      <w:pPr>
        <w:pStyle w:val="78"/>
        <w:keepNext w:val="0"/>
        <w:keepLines w:val="0"/>
        <w:pageBreakBefore w:val="0"/>
        <w:widowControl w:val="0"/>
        <w:kinsoku/>
        <w:wordWrap/>
        <w:overflowPunct/>
        <w:topLinePunct w:val="0"/>
        <w:autoSpaceDE w:val="0"/>
        <w:autoSpaceDN w:val="0"/>
        <w:bidi w:val="0"/>
        <w:adjustRightInd w:val="0"/>
        <w:snapToGrid/>
        <w:spacing w:line="20" w:lineRule="exact"/>
        <w:ind w:left="0" w:leftChars="0" w:firstLine="0" w:firstLineChars="0"/>
        <w:textAlignment w:val="auto"/>
        <w:rPr>
          <w:rFonts w:hint="default" w:ascii="Times New Roman" w:hAnsi="Times New Roman" w:eastAsia="宋体" w:cs="Times New Roman"/>
          <w:color w:val="auto"/>
          <w:lang w:eastAsia="zh-CN"/>
        </w:rPr>
        <w:sectPr>
          <w:footerReference r:id="rId5" w:type="default"/>
          <w:pgSz w:w="16838" w:h="11906" w:orient="landscape"/>
          <w:pgMar w:top="1531" w:right="1701" w:bottom="1531" w:left="1701" w:header="851" w:footer="851" w:gutter="0"/>
          <w:pgBorders>
            <w:top w:val="none" w:sz="0" w:space="0"/>
            <w:left w:val="none" w:sz="0" w:space="0"/>
            <w:bottom w:val="none" w:sz="0" w:space="0"/>
            <w:right w:val="none" w:sz="0" w:space="0"/>
          </w:pgBorders>
          <w:pgNumType w:fmt="decimal"/>
          <w:cols w:space="720" w:num="1"/>
          <w:docGrid w:linePitch="312" w:charSpace="0"/>
        </w:sectPr>
      </w:pPr>
    </w:p>
    <w:p w14:paraId="6C70CBD8">
      <w:pPr>
        <w:rPr>
          <w:rFonts w:hint="default" w:ascii="Times New Roman" w:hAnsi="Times New Roman" w:cs="Times New Roman"/>
          <w:color w:val="auto"/>
        </w:rPr>
      </w:pPr>
    </w:p>
    <w:tbl>
      <w:tblPr>
        <w:tblStyle w:val="63"/>
        <w:tblW w:w="9285"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285"/>
      </w:tblGrid>
      <w:tr w14:paraId="1461B88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447" w:hRule="atLeast"/>
        </w:trPr>
        <w:tc>
          <w:tcPr>
            <w:tcW w:w="9285" w:type="dxa"/>
          </w:tcPr>
          <w:p w14:paraId="27677D32">
            <w:pPr>
              <w:rPr>
                <w:rFonts w:hint="default" w:ascii="Times New Roman" w:hAnsi="Times New Roman" w:cs="Times New Roman"/>
                <w:color w:val="auto"/>
                <w:sz w:val="28"/>
              </w:rPr>
            </w:pPr>
            <w:r>
              <w:rPr>
                <w:rFonts w:hint="default" w:ascii="Times New Roman" w:hAnsi="Times New Roman" w:cs="Times New Roman"/>
                <w:color w:val="auto"/>
                <w:sz w:val="28"/>
              </w:rPr>
              <w:t>预审意见：</w:t>
            </w:r>
          </w:p>
          <w:p w14:paraId="47AD9137">
            <w:pPr>
              <w:rPr>
                <w:rFonts w:hint="default" w:ascii="Times New Roman" w:hAnsi="Times New Roman" w:cs="Times New Roman"/>
                <w:color w:val="auto"/>
                <w:sz w:val="28"/>
              </w:rPr>
            </w:pPr>
          </w:p>
          <w:p w14:paraId="402E3CC2">
            <w:pPr>
              <w:rPr>
                <w:rFonts w:hint="default" w:ascii="Times New Roman" w:hAnsi="Times New Roman" w:cs="Times New Roman"/>
                <w:color w:val="auto"/>
                <w:sz w:val="28"/>
              </w:rPr>
            </w:pPr>
          </w:p>
          <w:p w14:paraId="0619E418">
            <w:pPr>
              <w:rPr>
                <w:rFonts w:hint="default" w:ascii="Times New Roman" w:hAnsi="Times New Roman" w:cs="Times New Roman"/>
                <w:color w:val="auto"/>
                <w:sz w:val="28"/>
              </w:rPr>
            </w:pPr>
          </w:p>
          <w:p w14:paraId="7F4AF74B">
            <w:pPr>
              <w:rPr>
                <w:rFonts w:hint="default" w:ascii="Times New Roman" w:hAnsi="Times New Roman" w:cs="Times New Roman"/>
                <w:color w:val="auto"/>
                <w:sz w:val="28"/>
              </w:rPr>
            </w:pPr>
          </w:p>
          <w:p w14:paraId="35983D82">
            <w:pPr>
              <w:rPr>
                <w:rFonts w:hint="default" w:ascii="Times New Roman" w:hAnsi="Times New Roman" w:cs="Times New Roman"/>
                <w:color w:val="auto"/>
                <w:sz w:val="28"/>
              </w:rPr>
            </w:pPr>
          </w:p>
          <w:p w14:paraId="5F126D18">
            <w:pPr>
              <w:rPr>
                <w:rFonts w:hint="default" w:ascii="Times New Roman" w:hAnsi="Times New Roman" w:cs="Times New Roman"/>
                <w:color w:val="auto"/>
                <w:sz w:val="28"/>
              </w:rPr>
            </w:pPr>
          </w:p>
          <w:p w14:paraId="12B7223C">
            <w:pPr>
              <w:rPr>
                <w:rFonts w:hint="default" w:ascii="Times New Roman" w:hAnsi="Times New Roman" w:cs="Times New Roman"/>
                <w:color w:val="auto"/>
                <w:sz w:val="28"/>
              </w:rPr>
            </w:pPr>
          </w:p>
          <w:p w14:paraId="29C1FD4E">
            <w:pPr>
              <w:rPr>
                <w:rFonts w:hint="default" w:ascii="Times New Roman" w:hAnsi="Times New Roman" w:cs="Times New Roman"/>
                <w:color w:val="auto"/>
                <w:sz w:val="28"/>
              </w:rPr>
            </w:pPr>
          </w:p>
          <w:p w14:paraId="24F6E4B9">
            <w:pPr>
              <w:rPr>
                <w:rFonts w:hint="default" w:ascii="Times New Roman" w:hAnsi="Times New Roman" w:cs="Times New Roman"/>
                <w:color w:val="auto"/>
                <w:sz w:val="28"/>
              </w:rPr>
            </w:pPr>
          </w:p>
          <w:p w14:paraId="60305393">
            <w:pPr>
              <w:rPr>
                <w:rFonts w:hint="default" w:ascii="Times New Roman" w:hAnsi="Times New Roman" w:cs="Times New Roman"/>
                <w:color w:val="auto"/>
                <w:sz w:val="28"/>
              </w:rPr>
            </w:pPr>
          </w:p>
          <w:p w14:paraId="53F4D127">
            <w:pPr>
              <w:rPr>
                <w:rFonts w:hint="default" w:ascii="Times New Roman" w:hAnsi="Times New Roman" w:cs="Times New Roman"/>
                <w:color w:val="auto"/>
                <w:sz w:val="28"/>
              </w:rPr>
            </w:pPr>
          </w:p>
          <w:p w14:paraId="4618C661">
            <w:pPr>
              <w:rPr>
                <w:rFonts w:hint="default" w:ascii="Times New Roman" w:hAnsi="Times New Roman" w:cs="Times New Roman"/>
                <w:color w:val="auto"/>
                <w:sz w:val="28"/>
              </w:rPr>
            </w:pPr>
          </w:p>
          <w:p w14:paraId="4E561B4F">
            <w:pPr>
              <w:rPr>
                <w:rFonts w:hint="default" w:ascii="Times New Roman" w:hAnsi="Times New Roman" w:cs="Times New Roman"/>
                <w:color w:val="auto"/>
                <w:sz w:val="28"/>
              </w:rPr>
            </w:pPr>
          </w:p>
          <w:p w14:paraId="35F40750">
            <w:pPr>
              <w:rPr>
                <w:rFonts w:hint="default" w:ascii="Times New Roman" w:hAnsi="Times New Roman" w:cs="Times New Roman"/>
                <w:color w:val="auto"/>
                <w:sz w:val="28"/>
              </w:rPr>
            </w:pPr>
            <w:r>
              <w:rPr>
                <w:rFonts w:hint="default" w:ascii="Times New Roman" w:hAnsi="Times New Roman" w:cs="Times New Roman"/>
                <w:color w:val="auto"/>
                <w:sz w:val="28"/>
              </w:rPr>
              <w:t xml:space="preserve">                                                 公章</w:t>
            </w:r>
          </w:p>
          <w:p w14:paraId="20F2A85F">
            <w:pPr>
              <w:rPr>
                <w:rFonts w:hint="default" w:ascii="Times New Roman" w:hAnsi="Times New Roman" w:cs="Times New Roman"/>
                <w:color w:val="auto"/>
                <w:sz w:val="28"/>
              </w:rPr>
            </w:pPr>
            <w:r>
              <w:rPr>
                <w:rFonts w:hint="default" w:ascii="Times New Roman" w:hAnsi="Times New Roman" w:cs="Times New Roman"/>
                <w:color w:val="auto"/>
                <w:sz w:val="28"/>
              </w:rPr>
              <w:t>经办人：                                    年   月   日</w:t>
            </w:r>
          </w:p>
        </w:tc>
      </w:tr>
      <w:tr w14:paraId="34B413C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380" w:hRule="atLeast"/>
        </w:trPr>
        <w:tc>
          <w:tcPr>
            <w:tcW w:w="9285" w:type="dxa"/>
          </w:tcPr>
          <w:p w14:paraId="3680FFE0">
            <w:pPr>
              <w:rPr>
                <w:rFonts w:hint="default" w:ascii="Times New Roman" w:hAnsi="Times New Roman" w:cs="Times New Roman"/>
                <w:color w:val="auto"/>
                <w:sz w:val="28"/>
              </w:rPr>
            </w:pPr>
            <w:r>
              <w:rPr>
                <w:rFonts w:hint="default" w:ascii="Times New Roman" w:hAnsi="Times New Roman" w:cs="Times New Roman"/>
                <w:color w:val="auto"/>
                <w:sz w:val="28"/>
              </w:rPr>
              <w:t>下一级环境保护行政主管部门审查意见：</w:t>
            </w:r>
          </w:p>
          <w:p w14:paraId="76019966">
            <w:pPr>
              <w:rPr>
                <w:rFonts w:hint="default" w:ascii="Times New Roman" w:hAnsi="Times New Roman" w:cs="Times New Roman"/>
                <w:color w:val="auto"/>
                <w:sz w:val="28"/>
              </w:rPr>
            </w:pPr>
          </w:p>
          <w:p w14:paraId="7716C463">
            <w:pPr>
              <w:rPr>
                <w:rFonts w:hint="default" w:ascii="Times New Roman" w:hAnsi="Times New Roman" w:cs="Times New Roman"/>
                <w:color w:val="auto"/>
                <w:sz w:val="28"/>
              </w:rPr>
            </w:pPr>
          </w:p>
          <w:p w14:paraId="6CBF7F99">
            <w:pPr>
              <w:rPr>
                <w:rFonts w:hint="default" w:ascii="Times New Roman" w:hAnsi="Times New Roman" w:cs="Times New Roman"/>
                <w:color w:val="auto"/>
                <w:sz w:val="28"/>
              </w:rPr>
            </w:pPr>
          </w:p>
          <w:p w14:paraId="6DE690B6">
            <w:pPr>
              <w:rPr>
                <w:rFonts w:hint="default" w:ascii="Times New Roman" w:hAnsi="Times New Roman" w:cs="Times New Roman"/>
                <w:color w:val="auto"/>
                <w:sz w:val="28"/>
              </w:rPr>
            </w:pPr>
          </w:p>
          <w:p w14:paraId="37FFD757">
            <w:pPr>
              <w:rPr>
                <w:rFonts w:hint="default" w:ascii="Times New Roman" w:hAnsi="Times New Roman" w:cs="Times New Roman"/>
                <w:color w:val="auto"/>
                <w:sz w:val="28"/>
              </w:rPr>
            </w:pPr>
          </w:p>
          <w:p w14:paraId="14670CDE">
            <w:pPr>
              <w:rPr>
                <w:rFonts w:hint="default" w:ascii="Times New Roman" w:hAnsi="Times New Roman" w:cs="Times New Roman"/>
                <w:color w:val="auto"/>
                <w:sz w:val="28"/>
              </w:rPr>
            </w:pPr>
          </w:p>
          <w:p w14:paraId="6934231F">
            <w:pPr>
              <w:rPr>
                <w:rFonts w:hint="default" w:ascii="Times New Roman" w:hAnsi="Times New Roman" w:cs="Times New Roman"/>
                <w:color w:val="auto"/>
                <w:sz w:val="28"/>
              </w:rPr>
            </w:pPr>
          </w:p>
          <w:p w14:paraId="37A6F19E">
            <w:pPr>
              <w:rPr>
                <w:rFonts w:hint="default" w:ascii="Times New Roman" w:hAnsi="Times New Roman" w:cs="Times New Roman"/>
                <w:color w:val="auto"/>
                <w:sz w:val="28"/>
              </w:rPr>
            </w:pPr>
          </w:p>
          <w:p w14:paraId="3A895993">
            <w:pPr>
              <w:rPr>
                <w:rFonts w:hint="default" w:ascii="Times New Roman" w:hAnsi="Times New Roman" w:cs="Times New Roman"/>
                <w:color w:val="auto"/>
                <w:sz w:val="28"/>
              </w:rPr>
            </w:pPr>
          </w:p>
          <w:p w14:paraId="6855EA18">
            <w:pPr>
              <w:rPr>
                <w:rFonts w:hint="default" w:ascii="Times New Roman" w:hAnsi="Times New Roman" w:cs="Times New Roman"/>
                <w:color w:val="auto"/>
                <w:sz w:val="28"/>
              </w:rPr>
            </w:pPr>
          </w:p>
          <w:p w14:paraId="540F5FEE">
            <w:pPr>
              <w:rPr>
                <w:rFonts w:hint="default" w:ascii="Times New Roman" w:hAnsi="Times New Roman" w:cs="Times New Roman"/>
                <w:color w:val="auto"/>
                <w:sz w:val="28"/>
              </w:rPr>
            </w:pPr>
          </w:p>
          <w:p w14:paraId="035F757C">
            <w:pPr>
              <w:rPr>
                <w:rFonts w:hint="default" w:ascii="Times New Roman" w:hAnsi="Times New Roman" w:cs="Times New Roman"/>
                <w:color w:val="auto"/>
                <w:sz w:val="28"/>
              </w:rPr>
            </w:pPr>
          </w:p>
          <w:p w14:paraId="162B3416">
            <w:pPr>
              <w:rPr>
                <w:rFonts w:hint="default" w:ascii="Times New Roman" w:hAnsi="Times New Roman" w:cs="Times New Roman"/>
                <w:color w:val="auto"/>
                <w:sz w:val="28"/>
              </w:rPr>
            </w:pPr>
          </w:p>
          <w:p w14:paraId="207B3C31">
            <w:pPr>
              <w:rPr>
                <w:rFonts w:hint="default" w:ascii="Times New Roman" w:hAnsi="Times New Roman" w:cs="Times New Roman"/>
                <w:color w:val="auto"/>
                <w:sz w:val="28"/>
              </w:rPr>
            </w:pPr>
          </w:p>
          <w:p w14:paraId="10B2BB38">
            <w:pPr>
              <w:rPr>
                <w:rFonts w:hint="default" w:ascii="Times New Roman" w:hAnsi="Times New Roman" w:cs="Times New Roman"/>
                <w:color w:val="auto"/>
                <w:sz w:val="28"/>
              </w:rPr>
            </w:pPr>
          </w:p>
          <w:p w14:paraId="5EFFEEF6">
            <w:pPr>
              <w:rPr>
                <w:rFonts w:hint="default" w:ascii="Times New Roman" w:hAnsi="Times New Roman" w:cs="Times New Roman"/>
                <w:color w:val="auto"/>
                <w:sz w:val="28"/>
              </w:rPr>
            </w:pPr>
          </w:p>
          <w:p w14:paraId="51FB549B">
            <w:pPr>
              <w:rPr>
                <w:rFonts w:hint="default" w:ascii="Times New Roman" w:hAnsi="Times New Roman" w:cs="Times New Roman"/>
                <w:color w:val="auto"/>
                <w:sz w:val="28"/>
              </w:rPr>
            </w:pPr>
          </w:p>
          <w:p w14:paraId="5FD2F390">
            <w:pPr>
              <w:rPr>
                <w:rFonts w:hint="default" w:ascii="Times New Roman" w:hAnsi="Times New Roman" w:cs="Times New Roman"/>
                <w:color w:val="auto"/>
                <w:sz w:val="28"/>
              </w:rPr>
            </w:pPr>
          </w:p>
          <w:p w14:paraId="4442B4F7">
            <w:pPr>
              <w:rPr>
                <w:rFonts w:hint="default" w:ascii="Times New Roman" w:hAnsi="Times New Roman" w:cs="Times New Roman"/>
                <w:color w:val="auto"/>
                <w:sz w:val="28"/>
              </w:rPr>
            </w:pPr>
            <w:r>
              <w:rPr>
                <w:rFonts w:hint="default" w:ascii="Times New Roman" w:hAnsi="Times New Roman" w:cs="Times New Roman"/>
                <w:color w:val="auto"/>
                <w:sz w:val="28"/>
              </w:rPr>
              <w:t xml:space="preserve">                                                 公章</w:t>
            </w:r>
          </w:p>
          <w:p w14:paraId="21119628">
            <w:pPr>
              <w:rPr>
                <w:rFonts w:hint="default" w:ascii="Times New Roman" w:hAnsi="Times New Roman" w:cs="Times New Roman"/>
                <w:color w:val="auto"/>
                <w:sz w:val="28"/>
              </w:rPr>
            </w:pPr>
            <w:r>
              <w:rPr>
                <w:rFonts w:hint="default" w:ascii="Times New Roman" w:hAnsi="Times New Roman" w:cs="Times New Roman"/>
                <w:color w:val="auto"/>
                <w:sz w:val="28"/>
              </w:rPr>
              <w:t>经办人：                                    年   月   日</w:t>
            </w:r>
          </w:p>
        </w:tc>
      </w:tr>
      <w:tr w14:paraId="536FE37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530" w:hRule="atLeast"/>
        </w:trPr>
        <w:tc>
          <w:tcPr>
            <w:tcW w:w="9285" w:type="dxa"/>
          </w:tcPr>
          <w:p w14:paraId="5DA094E0">
            <w:pPr>
              <w:rPr>
                <w:rFonts w:hint="default" w:ascii="Times New Roman" w:hAnsi="Times New Roman" w:cs="Times New Roman"/>
                <w:color w:val="auto"/>
                <w:sz w:val="28"/>
              </w:rPr>
            </w:pPr>
            <w:r>
              <w:rPr>
                <w:rFonts w:hint="default" w:ascii="Times New Roman" w:hAnsi="Times New Roman" w:cs="Times New Roman"/>
                <w:color w:val="auto"/>
                <w:sz w:val="28"/>
              </w:rPr>
              <w:t>审批意见：</w:t>
            </w:r>
          </w:p>
          <w:p w14:paraId="1BA2E950">
            <w:pPr>
              <w:rPr>
                <w:rFonts w:hint="default" w:ascii="Times New Roman" w:hAnsi="Times New Roman" w:cs="Times New Roman"/>
                <w:color w:val="auto"/>
                <w:sz w:val="28"/>
              </w:rPr>
            </w:pPr>
          </w:p>
          <w:p w14:paraId="7B517E9C">
            <w:pPr>
              <w:rPr>
                <w:rFonts w:hint="default" w:ascii="Times New Roman" w:hAnsi="Times New Roman" w:cs="Times New Roman"/>
                <w:color w:val="auto"/>
                <w:sz w:val="28"/>
              </w:rPr>
            </w:pPr>
          </w:p>
          <w:p w14:paraId="34710F16">
            <w:pPr>
              <w:rPr>
                <w:rFonts w:hint="default" w:ascii="Times New Roman" w:hAnsi="Times New Roman" w:cs="Times New Roman"/>
                <w:color w:val="auto"/>
                <w:sz w:val="28"/>
              </w:rPr>
            </w:pPr>
          </w:p>
          <w:p w14:paraId="5B163788">
            <w:pPr>
              <w:rPr>
                <w:rFonts w:hint="default" w:ascii="Times New Roman" w:hAnsi="Times New Roman" w:cs="Times New Roman"/>
                <w:color w:val="auto"/>
                <w:sz w:val="28"/>
              </w:rPr>
            </w:pPr>
          </w:p>
          <w:p w14:paraId="0EA35647">
            <w:pPr>
              <w:rPr>
                <w:rFonts w:hint="default" w:ascii="Times New Roman" w:hAnsi="Times New Roman" w:cs="Times New Roman"/>
                <w:color w:val="auto"/>
                <w:sz w:val="28"/>
              </w:rPr>
            </w:pPr>
          </w:p>
          <w:p w14:paraId="2164170F">
            <w:pPr>
              <w:rPr>
                <w:rFonts w:hint="default" w:ascii="Times New Roman" w:hAnsi="Times New Roman" w:cs="Times New Roman"/>
                <w:color w:val="auto"/>
                <w:sz w:val="28"/>
              </w:rPr>
            </w:pPr>
          </w:p>
          <w:p w14:paraId="4A275A07">
            <w:pPr>
              <w:rPr>
                <w:rFonts w:hint="default" w:ascii="Times New Roman" w:hAnsi="Times New Roman" w:cs="Times New Roman"/>
                <w:color w:val="auto"/>
                <w:sz w:val="28"/>
              </w:rPr>
            </w:pPr>
          </w:p>
          <w:p w14:paraId="5D599740">
            <w:pPr>
              <w:rPr>
                <w:rFonts w:hint="default" w:ascii="Times New Roman" w:hAnsi="Times New Roman" w:cs="Times New Roman"/>
                <w:color w:val="auto"/>
                <w:sz w:val="28"/>
              </w:rPr>
            </w:pPr>
          </w:p>
          <w:p w14:paraId="548635F5">
            <w:pPr>
              <w:rPr>
                <w:rFonts w:hint="default" w:ascii="Times New Roman" w:hAnsi="Times New Roman" w:cs="Times New Roman"/>
                <w:color w:val="auto"/>
                <w:sz w:val="28"/>
              </w:rPr>
            </w:pPr>
          </w:p>
          <w:p w14:paraId="630EAA7C">
            <w:pPr>
              <w:rPr>
                <w:rFonts w:hint="default" w:ascii="Times New Roman" w:hAnsi="Times New Roman" w:cs="Times New Roman"/>
                <w:color w:val="auto"/>
                <w:sz w:val="28"/>
              </w:rPr>
            </w:pPr>
          </w:p>
          <w:p w14:paraId="104BBB2D">
            <w:pPr>
              <w:rPr>
                <w:rFonts w:hint="default" w:ascii="Times New Roman" w:hAnsi="Times New Roman" w:cs="Times New Roman"/>
                <w:color w:val="auto"/>
                <w:sz w:val="28"/>
              </w:rPr>
            </w:pPr>
          </w:p>
          <w:p w14:paraId="7A7B4274">
            <w:pPr>
              <w:rPr>
                <w:rFonts w:hint="default" w:ascii="Times New Roman" w:hAnsi="Times New Roman" w:cs="Times New Roman"/>
                <w:color w:val="auto"/>
                <w:sz w:val="28"/>
              </w:rPr>
            </w:pPr>
          </w:p>
          <w:p w14:paraId="78DAB1DF">
            <w:pPr>
              <w:rPr>
                <w:rFonts w:hint="default" w:ascii="Times New Roman" w:hAnsi="Times New Roman" w:cs="Times New Roman"/>
                <w:color w:val="auto"/>
                <w:sz w:val="28"/>
              </w:rPr>
            </w:pPr>
          </w:p>
          <w:p w14:paraId="4DDF2C6A">
            <w:pPr>
              <w:rPr>
                <w:rFonts w:hint="default" w:ascii="Times New Roman" w:hAnsi="Times New Roman" w:cs="Times New Roman"/>
                <w:color w:val="auto"/>
                <w:sz w:val="28"/>
              </w:rPr>
            </w:pPr>
          </w:p>
          <w:p w14:paraId="53EAD647">
            <w:pPr>
              <w:rPr>
                <w:rFonts w:hint="default" w:ascii="Times New Roman" w:hAnsi="Times New Roman" w:cs="Times New Roman"/>
                <w:color w:val="auto"/>
                <w:sz w:val="28"/>
              </w:rPr>
            </w:pPr>
          </w:p>
          <w:p w14:paraId="618CFAAE">
            <w:pPr>
              <w:rPr>
                <w:rFonts w:hint="default" w:ascii="Times New Roman" w:hAnsi="Times New Roman" w:cs="Times New Roman"/>
                <w:color w:val="auto"/>
                <w:sz w:val="28"/>
              </w:rPr>
            </w:pPr>
          </w:p>
          <w:p w14:paraId="639AF07B">
            <w:pPr>
              <w:rPr>
                <w:rFonts w:hint="default" w:ascii="Times New Roman" w:hAnsi="Times New Roman" w:cs="Times New Roman"/>
                <w:color w:val="auto"/>
                <w:sz w:val="28"/>
              </w:rPr>
            </w:pPr>
          </w:p>
          <w:p w14:paraId="3298B3CC">
            <w:pPr>
              <w:rPr>
                <w:rFonts w:hint="default" w:ascii="Times New Roman" w:hAnsi="Times New Roman" w:cs="Times New Roman"/>
                <w:color w:val="auto"/>
                <w:sz w:val="28"/>
              </w:rPr>
            </w:pPr>
          </w:p>
          <w:p w14:paraId="1E7E8E7A">
            <w:pPr>
              <w:rPr>
                <w:rFonts w:hint="default" w:ascii="Times New Roman" w:hAnsi="Times New Roman" w:cs="Times New Roman"/>
                <w:color w:val="auto"/>
                <w:sz w:val="28"/>
              </w:rPr>
            </w:pPr>
          </w:p>
          <w:p w14:paraId="1CDD2E63">
            <w:pPr>
              <w:rPr>
                <w:rFonts w:hint="default" w:ascii="Times New Roman" w:hAnsi="Times New Roman" w:cs="Times New Roman"/>
                <w:color w:val="auto"/>
                <w:sz w:val="28"/>
              </w:rPr>
            </w:pPr>
          </w:p>
          <w:p w14:paraId="6C2020ED">
            <w:pPr>
              <w:rPr>
                <w:rFonts w:hint="default" w:ascii="Times New Roman" w:hAnsi="Times New Roman" w:cs="Times New Roman"/>
                <w:color w:val="auto"/>
                <w:sz w:val="28"/>
              </w:rPr>
            </w:pPr>
          </w:p>
          <w:p w14:paraId="52F280AF">
            <w:pPr>
              <w:rPr>
                <w:rFonts w:hint="default" w:ascii="Times New Roman" w:hAnsi="Times New Roman" w:cs="Times New Roman"/>
                <w:color w:val="auto"/>
                <w:sz w:val="28"/>
              </w:rPr>
            </w:pPr>
          </w:p>
          <w:p w14:paraId="0AF0C629">
            <w:pPr>
              <w:rPr>
                <w:rFonts w:hint="default" w:ascii="Times New Roman" w:hAnsi="Times New Roman" w:cs="Times New Roman"/>
                <w:color w:val="auto"/>
                <w:sz w:val="28"/>
              </w:rPr>
            </w:pPr>
          </w:p>
          <w:p w14:paraId="4CE64B0E">
            <w:pPr>
              <w:rPr>
                <w:rFonts w:hint="default" w:ascii="Times New Roman" w:hAnsi="Times New Roman" w:cs="Times New Roman"/>
                <w:color w:val="auto"/>
                <w:sz w:val="28"/>
              </w:rPr>
            </w:pPr>
          </w:p>
          <w:p w14:paraId="16D68553">
            <w:pPr>
              <w:rPr>
                <w:rFonts w:hint="default" w:ascii="Times New Roman" w:hAnsi="Times New Roman" w:cs="Times New Roman"/>
                <w:color w:val="auto"/>
                <w:sz w:val="28"/>
              </w:rPr>
            </w:pPr>
          </w:p>
          <w:p w14:paraId="4B761777">
            <w:pPr>
              <w:rPr>
                <w:rFonts w:hint="default" w:ascii="Times New Roman" w:hAnsi="Times New Roman" w:cs="Times New Roman"/>
                <w:color w:val="auto"/>
                <w:sz w:val="28"/>
              </w:rPr>
            </w:pPr>
          </w:p>
          <w:p w14:paraId="6FBE32ED">
            <w:pPr>
              <w:rPr>
                <w:rFonts w:hint="default" w:ascii="Times New Roman" w:hAnsi="Times New Roman" w:cs="Times New Roman"/>
                <w:color w:val="auto"/>
                <w:sz w:val="28"/>
              </w:rPr>
            </w:pPr>
          </w:p>
          <w:p w14:paraId="799BF460">
            <w:pPr>
              <w:rPr>
                <w:rFonts w:hint="default" w:ascii="Times New Roman" w:hAnsi="Times New Roman" w:cs="Times New Roman"/>
                <w:color w:val="auto"/>
                <w:sz w:val="28"/>
              </w:rPr>
            </w:pPr>
          </w:p>
          <w:p w14:paraId="523BEE9E">
            <w:pPr>
              <w:rPr>
                <w:rFonts w:hint="default" w:ascii="Times New Roman" w:hAnsi="Times New Roman" w:cs="Times New Roman"/>
                <w:color w:val="auto"/>
                <w:sz w:val="28"/>
              </w:rPr>
            </w:pPr>
          </w:p>
          <w:p w14:paraId="161671F7">
            <w:pPr>
              <w:rPr>
                <w:rFonts w:hint="default" w:ascii="Times New Roman" w:hAnsi="Times New Roman" w:cs="Times New Roman"/>
                <w:color w:val="auto"/>
                <w:sz w:val="28"/>
              </w:rPr>
            </w:pPr>
          </w:p>
          <w:p w14:paraId="7F108B89">
            <w:pPr>
              <w:rPr>
                <w:rFonts w:hint="default" w:ascii="Times New Roman" w:hAnsi="Times New Roman" w:cs="Times New Roman"/>
                <w:color w:val="auto"/>
                <w:sz w:val="28"/>
              </w:rPr>
            </w:pPr>
          </w:p>
          <w:p w14:paraId="7C78F178">
            <w:pPr>
              <w:rPr>
                <w:rFonts w:hint="default" w:ascii="Times New Roman" w:hAnsi="Times New Roman" w:cs="Times New Roman"/>
                <w:color w:val="auto"/>
                <w:sz w:val="28"/>
              </w:rPr>
            </w:pPr>
          </w:p>
          <w:p w14:paraId="1E0D4DE0">
            <w:pPr>
              <w:rPr>
                <w:rFonts w:hint="default" w:ascii="Times New Roman" w:hAnsi="Times New Roman" w:cs="Times New Roman"/>
                <w:color w:val="auto"/>
                <w:sz w:val="28"/>
              </w:rPr>
            </w:pPr>
          </w:p>
          <w:p w14:paraId="546E16F5">
            <w:pPr>
              <w:rPr>
                <w:rFonts w:hint="default" w:ascii="Times New Roman" w:hAnsi="Times New Roman" w:cs="Times New Roman"/>
                <w:color w:val="auto"/>
                <w:sz w:val="28"/>
              </w:rPr>
            </w:pPr>
          </w:p>
          <w:p w14:paraId="2EFAA42C">
            <w:pPr>
              <w:rPr>
                <w:rFonts w:hint="default" w:ascii="Times New Roman" w:hAnsi="Times New Roman" w:cs="Times New Roman"/>
                <w:color w:val="auto"/>
                <w:sz w:val="28"/>
              </w:rPr>
            </w:pPr>
          </w:p>
          <w:p w14:paraId="5326F2B6">
            <w:pPr>
              <w:rPr>
                <w:rFonts w:hint="default" w:ascii="Times New Roman" w:hAnsi="Times New Roman" w:cs="Times New Roman"/>
                <w:color w:val="auto"/>
                <w:sz w:val="28"/>
              </w:rPr>
            </w:pPr>
          </w:p>
          <w:p w14:paraId="7D0A6B60">
            <w:pPr>
              <w:rPr>
                <w:rFonts w:hint="default" w:ascii="Times New Roman" w:hAnsi="Times New Roman" w:cs="Times New Roman"/>
                <w:color w:val="auto"/>
                <w:sz w:val="28"/>
              </w:rPr>
            </w:pPr>
            <w:r>
              <w:rPr>
                <w:rFonts w:hint="default" w:ascii="Times New Roman" w:hAnsi="Times New Roman" w:cs="Times New Roman"/>
                <w:color w:val="auto"/>
                <w:sz w:val="28"/>
              </w:rPr>
              <w:t xml:space="preserve">                                                 公章</w:t>
            </w:r>
          </w:p>
          <w:p w14:paraId="477EF3CE">
            <w:pPr>
              <w:rPr>
                <w:rFonts w:hint="default" w:ascii="Times New Roman" w:hAnsi="Times New Roman" w:cs="Times New Roman"/>
                <w:color w:val="auto"/>
                <w:sz w:val="28"/>
              </w:rPr>
            </w:pPr>
            <w:r>
              <w:rPr>
                <w:rFonts w:hint="default" w:ascii="Times New Roman" w:hAnsi="Times New Roman" w:cs="Times New Roman"/>
                <w:color w:val="auto"/>
                <w:sz w:val="28"/>
              </w:rPr>
              <w:t>经办人：                                    年   月   日</w:t>
            </w:r>
          </w:p>
        </w:tc>
      </w:tr>
    </w:tbl>
    <w:p w14:paraId="7D2FB91E">
      <w:pPr>
        <w:widowControl/>
        <w:spacing w:line="360" w:lineRule="auto"/>
        <w:rPr>
          <w:rFonts w:hint="eastAsia" w:ascii="Times New Roman" w:hAnsi="Times New Roman" w:eastAsia="宋体" w:cs="Times New Roman"/>
          <w:b/>
          <w:color w:val="auto"/>
          <w:kern w:val="0"/>
          <w:sz w:val="24"/>
          <w:lang w:eastAsia="zh-CN"/>
        </w:rPr>
      </w:pPr>
      <w:r>
        <w:rPr>
          <w:rFonts w:hint="default" w:ascii="Times New Roman" w:hAnsi="Times New Roman" w:cs="Times New Roman"/>
          <w:b/>
          <w:color w:val="auto"/>
          <w:kern w:val="0"/>
          <w:sz w:val="24"/>
        </w:rPr>
        <w:t>附件</w:t>
      </w:r>
      <w:r>
        <w:rPr>
          <w:rFonts w:hint="eastAsia" w:cs="Times New Roman"/>
          <w:b/>
          <w:color w:val="auto"/>
          <w:kern w:val="0"/>
          <w:sz w:val="24"/>
          <w:lang w:eastAsia="zh-CN"/>
        </w:rPr>
        <w:t>：</w:t>
      </w:r>
    </w:p>
    <w:p w14:paraId="799D147D">
      <w:pPr>
        <w:widowControl/>
        <w:spacing w:line="360" w:lineRule="auto"/>
        <w:ind w:firstLine="480" w:firstLineChars="200"/>
        <w:rPr>
          <w:rFonts w:hint="default" w:ascii="Times New Roman" w:hAnsi="Times New Roman" w:cs="Times New Roman"/>
          <w:b/>
          <w:color w:val="auto"/>
          <w:kern w:val="0"/>
          <w:sz w:val="24"/>
        </w:rPr>
      </w:pPr>
      <w:r>
        <w:rPr>
          <w:rFonts w:hint="default" w:ascii="Times New Roman" w:hAnsi="Times New Roman" w:cs="Times New Roman"/>
          <w:color w:val="auto"/>
          <w:sz w:val="24"/>
        </w:rPr>
        <w:t>附件1   委托书</w:t>
      </w:r>
    </w:p>
    <w:p w14:paraId="0768DD80">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附件2   声明</w:t>
      </w:r>
    </w:p>
    <w:p w14:paraId="4EBE4C70">
      <w:pPr>
        <w:spacing w:line="360" w:lineRule="auto"/>
        <w:ind w:firstLine="480" w:firstLineChars="200"/>
        <w:rPr>
          <w:rFonts w:hint="default" w:ascii="Times New Roman" w:hAnsi="Times New Roman" w:eastAsia="宋体" w:cs="Times New Roman"/>
          <w:color w:val="auto"/>
          <w:sz w:val="24"/>
          <w:lang w:eastAsia="zh-CN"/>
        </w:rPr>
      </w:pPr>
      <w:r>
        <w:rPr>
          <w:rFonts w:hint="default" w:ascii="Times New Roman" w:hAnsi="Times New Roman" w:cs="Times New Roman"/>
          <w:color w:val="auto"/>
          <w:sz w:val="24"/>
        </w:rPr>
        <w:t xml:space="preserve">附件3   </w:t>
      </w:r>
      <w:r>
        <w:rPr>
          <w:rFonts w:hint="default" w:ascii="Times New Roman" w:hAnsi="Times New Roman" w:eastAsia="宋体" w:cs="Times New Roman"/>
          <w:color w:val="auto"/>
          <w:sz w:val="24"/>
          <w:lang w:eastAsia="zh-CN"/>
        </w:rPr>
        <w:t>危险废物处置承诺函</w:t>
      </w:r>
    </w:p>
    <w:p w14:paraId="3F12A16D">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附件4</w:t>
      </w:r>
      <w:r>
        <w:rPr>
          <w:rFonts w:hint="eastAsia" w:cs="Times New Roman"/>
          <w:color w:val="auto"/>
          <w:sz w:val="24"/>
          <w:lang w:val="en-US" w:eastAsia="zh-CN"/>
        </w:rPr>
        <w:t xml:space="preserve">   </w:t>
      </w:r>
      <w:r>
        <w:rPr>
          <w:rFonts w:hint="default" w:ascii="Times New Roman" w:hAnsi="Times New Roman" w:cs="Times New Roman"/>
          <w:color w:val="auto"/>
          <w:sz w:val="24"/>
        </w:rPr>
        <w:t>立项文件</w:t>
      </w:r>
    </w:p>
    <w:p w14:paraId="36B46340">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附件5   营业执照</w:t>
      </w:r>
    </w:p>
    <w:p w14:paraId="66C85E60">
      <w:pPr>
        <w:spacing w:line="360" w:lineRule="auto"/>
        <w:ind w:firstLine="480" w:firstLineChars="200"/>
        <w:rPr>
          <w:rFonts w:hint="eastAsia" w:ascii="Times New Roman" w:hAnsi="Times New Roman" w:eastAsia="宋体" w:cs="Times New Roman"/>
          <w:color w:val="auto"/>
          <w:sz w:val="24"/>
          <w:lang w:val="en-US" w:eastAsia="zh-CN"/>
        </w:rPr>
      </w:pPr>
      <w:r>
        <w:rPr>
          <w:rFonts w:hint="default" w:ascii="Times New Roman" w:hAnsi="Times New Roman" w:cs="Times New Roman"/>
          <w:color w:val="auto"/>
          <w:sz w:val="24"/>
        </w:rPr>
        <w:t>附件6   法人身份证</w:t>
      </w:r>
    </w:p>
    <w:p w14:paraId="3C991DD5">
      <w:pPr>
        <w:spacing w:line="360" w:lineRule="auto"/>
        <w:ind w:firstLine="480" w:firstLineChars="200"/>
        <w:rPr>
          <w:rFonts w:hint="default" w:ascii="Times New Roman" w:hAnsi="Times New Roman" w:cs="Times New Roman"/>
          <w:color w:val="auto"/>
          <w:sz w:val="24"/>
          <w:lang w:eastAsia="zh-CN"/>
        </w:rPr>
      </w:pPr>
      <w:r>
        <w:rPr>
          <w:rFonts w:hint="default" w:ascii="Times New Roman" w:hAnsi="Times New Roman" w:cs="Times New Roman"/>
          <w:color w:val="auto"/>
          <w:sz w:val="24"/>
        </w:rPr>
        <w:t xml:space="preserve">附件7   </w:t>
      </w:r>
      <w:r>
        <w:rPr>
          <w:rFonts w:hint="eastAsia" w:cs="Times New Roman"/>
          <w:color w:val="auto"/>
          <w:sz w:val="24"/>
          <w:lang w:val="en-US" w:eastAsia="zh-CN"/>
        </w:rPr>
        <w:t>厂房</w:t>
      </w:r>
      <w:r>
        <w:rPr>
          <w:rFonts w:hint="default" w:ascii="Times New Roman" w:hAnsi="Times New Roman" w:cs="Times New Roman"/>
          <w:color w:val="auto"/>
          <w:sz w:val="24"/>
          <w:lang w:eastAsia="zh-CN"/>
        </w:rPr>
        <w:t>产</w:t>
      </w:r>
      <w:r>
        <w:rPr>
          <w:rFonts w:hint="eastAsia" w:cs="Times New Roman"/>
          <w:color w:val="auto"/>
          <w:sz w:val="24"/>
          <w:lang w:val="en-US" w:eastAsia="zh-CN"/>
        </w:rPr>
        <w:t>权</w:t>
      </w:r>
      <w:r>
        <w:rPr>
          <w:rFonts w:hint="default" w:ascii="Times New Roman" w:hAnsi="Times New Roman" w:cs="Times New Roman"/>
          <w:color w:val="auto"/>
          <w:sz w:val="24"/>
          <w:lang w:eastAsia="zh-CN"/>
        </w:rPr>
        <w:t>证</w:t>
      </w:r>
    </w:p>
    <w:p w14:paraId="29153E64">
      <w:pPr>
        <w:spacing w:line="360" w:lineRule="auto"/>
        <w:ind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eastAsia="zh-CN"/>
        </w:rPr>
        <w:t>附件</w:t>
      </w:r>
      <w:r>
        <w:rPr>
          <w:rFonts w:hint="default" w:ascii="Times New Roman" w:hAnsi="Times New Roman" w:cs="Times New Roman"/>
          <w:color w:val="auto"/>
          <w:sz w:val="24"/>
          <w:lang w:val="en-US" w:eastAsia="zh-CN"/>
        </w:rPr>
        <w:t xml:space="preserve">8  </w:t>
      </w:r>
      <w:r>
        <w:rPr>
          <w:rFonts w:hint="eastAsia" w:cs="Times New Roman"/>
          <w:color w:val="auto"/>
          <w:sz w:val="24"/>
          <w:lang w:val="en-US" w:eastAsia="zh-CN"/>
        </w:rPr>
        <w:t xml:space="preserve"> </w:t>
      </w:r>
      <w:r>
        <w:rPr>
          <w:rFonts w:hint="default" w:ascii="Times New Roman" w:hAnsi="Times New Roman" w:cs="Times New Roman"/>
          <w:color w:val="auto"/>
          <w:sz w:val="24"/>
        </w:rPr>
        <w:t>厂房租赁协议</w:t>
      </w:r>
    </w:p>
    <w:p w14:paraId="28417571">
      <w:pPr>
        <w:spacing w:line="360" w:lineRule="auto"/>
        <w:ind w:firstLine="480" w:firstLineChars="200"/>
        <w:rPr>
          <w:rFonts w:hint="default" w:cs="Times New Roman"/>
          <w:color w:val="auto"/>
          <w:sz w:val="24"/>
          <w:lang w:val="en-US" w:eastAsia="zh-CN"/>
        </w:rPr>
      </w:pPr>
      <w:r>
        <w:rPr>
          <w:rFonts w:hint="default" w:ascii="Times New Roman" w:hAnsi="Times New Roman" w:eastAsia="宋体" w:cs="Times New Roman"/>
          <w:color w:val="auto"/>
          <w:sz w:val="24"/>
          <w:lang w:val="en-US" w:eastAsia="zh-CN"/>
        </w:rPr>
        <w:t xml:space="preserve">附件9   </w:t>
      </w:r>
      <w:r>
        <w:rPr>
          <w:rFonts w:hint="eastAsia" w:cs="Times New Roman"/>
          <w:color w:val="auto"/>
          <w:sz w:val="24"/>
          <w:lang w:val="en-US" w:eastAsia="zh-CN"/>
        </w:rPr>
        <w:t>准入申请</w:t>
      </w:r>
    </w:p>
    <w:p w14:paraId="64540A84">
      <w:pPr>
        <w:spacing w:line="360" w:lineRule="auto"/>
        <w:ind w:firstLine="480"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 xml:space="preserve">附件10 </w:t>
      </w:r>
      <w:r>
        <w:rPr>
          <w:rFonts w:hint="eastAsia" w:cs="Times New Roman"/>
          <w:color w:val="auto"/>
          <w:sz w:val="24"/>
          <w:lang w:val="en-US" w:eastAsia="zh-CN"/>
        </w:rPr>
        <w:t xml:space="preserve"> 水性淬火液MSDS</w:t>
      </w:r>
    </w:p>
    <w:p w14:paraId="0A809ACC">
      <w:pPr>
        <w:spacing w:line="360" w:lineRule="auto"/>
        <w:ind w:firstLine="480" w:firstLineChars="200"/>
        <w:rPr>
          <w:rFonts w:hint="default" w:cs="Times New Roman"/>
          <w:color w:val="auto"/>
          <w:sz w:val="24"/>
          <w:lang w:val="en-US" w:eastAsia="zh-CN"/>
        </w:rPr>
      </w:pPr>
      <w:r>
        <w:rPr>
          <w:rFonts w:hint="default" w:ascii="Times New Roman" w:hAnsi="Times New Roman" w:eastAsia="宋体" w:cs="Times New Roman"/>
          <w:color w:val="auto"/>
          <w:sz w:val="24"/>
          <w:lang w:val="en-US" w:eastAsia="zh-CN"/>
        </w:rPr>
        <w:t xml:space="preserve">附件11  </w:t>
      </w:r>
      <w:r>
        <w:rPr>
          <w:rFonts w:hint="eastAsia" w:ascii="Times New Roman" w:hAnsi="Times New Roman" w:eastAsia="宋体" w:cs="Times New Roman"/>
          <w:color w:val="auto"/>
          <w:sz w:val="24"/>
          <w:lang w:val="en-US" w:eastAsia="zh-CN"/>
        </w:rPr>
        <w:t>水性</w:t>
      </w:r>
      <w:r>
        <w:rPr>
          <w:rFonts w:hint="eastAsia" w:cs="Times New Roman"/>
          <w:color w:val="auto"/>
          <w:sz w:val="24"/>
          <w:lang w:val="en-US" w:eastAsia="zh-CN"/>
        </w:rPr>
        <w:t>脱模剂MSDS</w:t>
      </w:r>
    </w:p>
    <w:p w14:paraId="18A5D470">
      <w:pPr>
        <w:spacing w:line="360" w:lineRule="auto"/>
        <w:ind w:firstLine="480" w:firstLineChars="200"/>
        <w:rPr>
          <w:rFonts w:hint="default"/>
          <w:color w:val="auto"/>
          <w:lang w:val="en-US"/>
        </w:rPr>
      </w:pPr>
      <w:r>
        <w:rPr>
          <w:rFonts w:hint="default" w:ascii="Times New Roman" w:hAnsi="Times New Roman" w:eastAsia="宋体" w:cs="Times New Roman"/>
          <w:color w:val="auto"/>
          <w:sz w:val="24"/>
          <w:lang w:val="en-US" w:eastAsia="zh-CN"/>
        </w:rPr>
        <w:t>附</w:t>
      </w:r>
      <w:r>
        <w:rPr>
          <w:rFonts w:hint="default" w:ascii="Times New Roman" w:hAnsi="Times New Roman" w:cs="Times New Roman"/>
          <w:color w:val="auto"/>
          <w:sz w:val="24"/>
        </w:rPr>
        <w:t>件</w:t>
      </w:r>
      <w:r>
        <w:rPr>
          <w:rFonts w:hint="default" w:ascii="Times New Roman" w:hAnsi="Times New Roman" w:cs="Times New Roman"/>
          <w:color w:val="auto"/>
          <w:sz w:val="24"/>
          <w:lang w:val="en-US" w:eastAsia="zh-CN"/>
        </w:rPr>
        <w:t xml:space="preserve">12  </w:t>
      </w:r>
      <w:r>
        <w:rPr>
          <w:rFonts w:hint="eastAsia" w:ascii="Times New Roman" w:hAnsi="Times New Roman" w:cs="Times New Roman"/>
          <w:color w:val="auto"/>
          <w:sz w:val="24"/>
          <w:lang w:val="en-US" w:eastAsia="zh-CN"/>
        </w:rPr>
        <w:t>水性</w:t>
      </w:r>
      <w:r>
        <w:rPr>
          <w:rFonts w:hint="eastAsia" w:cs="Times New Roman"/>
          <w:color w:val="auto"/>
          <w:sz w:val="24"/>
          <w:lang w:val="en-US" w:eastAsia="zh-CN"/>
        </w:rPr>
        <w:t>磨削液MSDS</w:t>
      </w:r>
    </w:p>
    <w:p w14:paraId="2231A843">
      <w:pPr>
        <w:spacing w:line="360" w:lineRule="auto"/>
        <w:ind w:firstLine="480" w:firstLineChars="200"/>
        <w:rPr>
          <w:rFonts w:hint="default"/>
          <w:color w:val="auto"/>
        </w:rPr>
      </w:pPr>
      <w:r>
        <w:rPr>
          <w:rFonts w:hint="default" w:ascii="Times New Roman" w:hAnsi="Times New Roman" w:eastAsia="宋体" w:cs="Times New Roman"/>
          <w:color w:val="auto"/>
          <w:sz w:val="24"/>
          <w:lang w:val="en-US" w:eastAsia="zh-CN"/>
        </w:rPr>
        <w:t>附</w:t>
      </w:r>
      <w:r>
        <w:rPr>
          <w:rFonts w:hint="default" w:ascii="Times New Roman" w:hAnsi="Times New Roman" w:cs="Times New Roman"/>
          <w:color w:val="auto"/>
          <w:sz w:val="24"/>
        </w:rPr>
        <w:t>件</w:t>
      </w:r>
      <w:r>
        <w:rPr>
          <w:rFonts w:hint="default" w:ascii="Times New Roman" w:hAnsi="Times New Roman" w:cs="Times New Roman"/>
          <w:color w:val="auto"/>
          <w:sz w:val="24"/>
          <w:lang w:val="en-US" w:eastAsia="zh-CN"/>
        </w:rPr>
        <w:t>1</w:t>
      </w:r>
      <w:r>
        <w:rPr>
          <w:rFonts w:hint="eastAsia" w:cs="Times New Roman"/>
          <w:color w:val="auto"/>
          <w:sz w:val="24"/>
          <w:lang w:val="en-US" w:eastAsia="zh-CN"/>
        </w:rPr>
        <w:t>3</w:t>
      </w:r>
      <w:r>
        <w:rPr>
          <w:rFonts w:hint="default" w:ascii="Times New Roman" w:hAnsi="Times New Roman" w:cs="Times New Roman"/>
          <w:color w:val="auto"/>
          <w:sz w:val="24"/>
          <w:lang w:val="en-US" w:eastAsia="zh-CN"/>
        </w:rPr>
        <w:t xml:space="preserve">  </w:t>
      </w:r>
      <w:r>
        <w:rPr>
          <w:rFonts w:hint="eastAsia" w:cs="Times New Roman"/>
          <w:color w:val="auto"/>
          <w:sz w:val="24"/>
          <w:lang w:val="en-US" w:eastAsia="zh-CN"/>
        </w:rPr>
        <w:t>全本公示</w:t>
      </w:r>
    </w:p>
    <w:p w14:paraId="268A0FBF">
      <w:pPr>
        <w:widowControl/>
        <w:spacing w:line="360" w:lineRule="auto"/>
        <w:jc w:val="left"/>
        <w:rPr>
          <w:rFonts w:hint="default" w:ascii="Times New Roman" w:hAnsi="Times New Roman" w:cs="Times New Roman"/>
          <w:b/>
          <w:color w:val="auto"/>
          <w:kern w:val="0"/>
          <w:sz w:val="24"/>
        </w:rPr>
      </w:pPr>
    </w:p>
    <w:p w14:paraId="4762C3E5">
      <w:pPr>
        <w:widowControl/>
        <w:spacing w:line="360" w:lineRule="auto"/>
        <w:jc w:val="left"/>
        <w:rPr>
          <w:rFonts w:hint="default" w:ascii="Times New Roman" w:hAnsi="Times New Roman" w:cs="Times New Roman"/>
          <w:b/>
          <w:color w:val="auto"/>
          <w:kern w:val="0"/>
          <w:sz w:val="24"/>
        </w:rPr>
      </w:pPr>
    </w:p>
    <w:p w14:paraId="61596958">
      <w:pPr>
        <w:widowControl/>
        <w:spacing w:line="360" w:lineRule="auto"/>
        <w:jc w:val="left"/>
        <w:rPr>
          <w:rFonts w:hint="eastAsia" w:ascii="Times New Roman" w:hAnsi="Times New Roman" w:eastAsia="宋体" w:cs="Times New Roman"/>
          <w:b/>
          <w:color w:val="auto"/>
          <w:kern w:val="0"/>
          <w:sz w:val="24"/>
          <w:lang w:eastAsia="zh-CN"/>
        </w:rPr>
      </w:pPr>
      <w:r>
        <w:rPr>
          <w:rFonts w:hint="default" w:ascii="Times New Roman" w:hAnsi="Times New Roman" w:cs="Times New Roman"/>
          <w:b/>
          <w:color w:val="auto"/>
          <w:kern w:val="0"/>
          <w:sz w:val="24"/>
        </w:rPr>
        <w:t>附图</w:t>
      </w:r>
      <w:r>
        <w:rPr>
          <w:rFonts w:hint="eastAsia" w:cs="Times New Roman"/>
          <w:b/>
          <w:color w:val="auto"/>
          <w:kern w:val="0"/>
          <w:sz w:val="24"/>
          <w:lang w:eastAsia="zh-CN"/>
        </w:rPr>
        <w:t>：</w:t>
      </w:r>
    </w:p>
    <w:p w14:paraId="3770D456">
      <w:pPr>
        <w:widowControl/>
        <w:adjustRightInd w:val="0"/>
        <w:snapToGrid w:val="0"/>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cs="Times New Roman"/>
          <w:color w:val="auto"/>
          <w:sz w:val="24"/>
        </w:rPr>
        <w:t xml:space="preserve">附图1 </w:t>
      </w:r>
      <w:r>
        <w:rPr>
          <w:rFonts w:hint="default" w:ascii="Times New Roman" w:hAnsi="Times New Roman" w:eastAsia="宋体" w:cs="Times New Roman"/>
          <w:color w:val="auto"/>
          <w:sz w:val="24"/>
        </w:rPr>
        <w:t xml:space="preserve">  项目地理位置图</w:t>
      </w:r>
    </w:p>
    <w:p w14:paraId="0E22A202">
      <w:pPr>
        <w:widowControl/>
        <w:adjustRightInd w:val="0"/>
        <w:snapToGrid w:val="0"/>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附图2   项目周</w:t>
      </w:r>
      <w:r>
        <w:rPr>
          <w:rFonts w:hint="default" w:ascii="Times New Roman" w:hAnsi="Times New Roman" w:eastAsia="宋体" w:cs="Times New Roman"/>
          <w:color w:val="auto"/>
          <w:sz w:val="24"/>
          <w:lang w:val="en-US" w:eastAsia="zh-CN"/>
        </w:rPr>
        <w:t>边</w:t>
      </w:r>
      <w:r>
        <w:rPr>
          <w:rFonts w:hint="default" w:ascii="Times New Roman" w:hAnsi="Times New Roman" w:eastAsia="宋体" w:cs="Times New Roman"/>
          <w:color w:val="auto"/>
          <w:sz w:val="24"/>
        </w:rPr>
        <w:t>500米概况图</w:t>
      </w:r>
    </w:p>
    <w:p w14:paraId="12307D81">
      <w:pPr>
        <w:widowControl/>
        <w:adjustRightInd w:val="0"/>
        <w:snapToGrid w:val="0"/>
        <w:spacing w:line="360" w:lineRule="auto"/>
        <w:ind w:firstLine="480" w:firstLineChars="200"/>
        <w:jc w:val="left"/>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附图3   项目生产车间平面布置图</w:t>
      </w:r>
      <w:r>
        <w:rPr>
          <w:rFonts w:hint="eastAsia" w:cs="Times New Roman"/>
          <w:color w:val="auto"/>
          <w:sz w:val="24"/>
          <w:lang w:val="en-US" w:eastAsia="zh-CN"/>
        </w:rPr>
        <w:t>及废气管线图</w:t>
      </w:r>
    </w:p>
    <w:p w14:paraId="7EF5003D">
      <w:pPr>
        <w:widowControl/>
        <w:adjustRightInd w:val="0"/>
        <w:snapToGrid w:val="0"/>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附图4   项目生产车间</w:t>
      </w:r>
      <w:r>
        <w:rPr>
          <w:rFonts w:hint="default" w:ascii="Times New Roman" w:hAnsi="Times New Roman" w:eastAsia="宋体" w:cs="Times New Roman"/>
          <w:color w:val="auto"/>
          <w:sz w:val="24"/>
          <w:lang w:val="en-US" w:eastAsia="zh-CN"/>
        </w:rPr>
        <w:t>分区防渗</w:t>
      </w:r>
      <w:r>
        <w:rPr>
          <w:rFonts w:hint="default" w:ascii="Times New Roman" w:hAnsi="Times New Roman" w:eastAsia="宋体" w:cs="Times New Roman"/>
          <w:color w:val="auto"/>
          <w:sz w:val="24"/>
        </w:rPr>
        <w:t>图</w:t>
      </w:r>
    </w:p>
    <w:p w14:paraId="411C0449">
      <w:pPr>
        <w:widowControl/>
        <w:adjustRightInd w:val="0"/>
        <w:snapToGrid w:val="0"/>
        <w:spacing w:line="360" w:lineRule="auto"/>
        <w:ind w:firstLine="480" w:firstLineChars="200"/>
        <w:jc w:val="left"/>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 xml:space="preserve">附图5   </w:t>
      </w:r>
      <w:r>
        <w:rPr>
          <w:rFonts w:hint="default" w:ascii="Times New Roman" w:hAnsi="Times New Roman" w:eastAsia="宋体" w:cs="Times New Roman"/>
          <w:color w:val="auto"/>
          <w:sz w:val="24"/>
          <w:lang w:val="en-US" w:eastAsia="zh-CN"/>
        </w:rPr>
        <w:t>项目雨污管网图</w:t>
      </w:r>
    </w:p>
    <w:p w14:paraId="523D5488">
      <w:pPr>
        <w:widowControl/>
        <w:adjustRightInd w:val="0"/>
        <w:snapToGrid w:val="0"/>
        <w:spacing w:line="360" w:lineRule="auto"/>
        <w:ind w:firstLine="480" w:firstLineChars="200"/>
        <w:jc w:val="left"/>
        <w:rPr>
          <w:rFonts w:hint="eastAsia"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 xml:space="preserve">附图6   </w:t>
      </w:r>
      <w:r>
        <w:rPr>
          <w:rFonts w:hint="eastAsia" w:ascii="Times New Roman" w:hAnsi="Times New Roman" w:eastAsia="宋体" w:cs="Times New Roman"/>
          <w:color w:val="auto"/>
          <w:sz w:val="24"/>
          <w:lang w:val="en-US" w:eastAsia="zh-CN"/>
        </w:rPr>
        <w:t>芜湖市生态保护红线位置关系图（本项目不在红线范围内）</w:t>
      </w:r>
    </w:p>
    <w:p w14:paraId="70693751">
      <w:pPr>
        <w:widowControl/>
        <w:adjustRightInd w:val="0"/>
        <w:snapToGrid w:val="0"/>
        <w:spacing w:line="360" w:lineRule="auto"/>
        <w:ind w:firstLine="480" w:firstLineChars="200"/>
        <w:jc w:val="left"/>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附图</w:t>
      </w:r>
      <w:r>
        <w:rPr>
          <w:rFonts w:hint="eastAsia" w:ascii="Times New Roman" w:hAnsi="Times New Roman" w:eastAsia="宋体" w:cs="Times New Roman"/>
          <w:color w:val="auto"/>
          <w:sz w:val="24"/>
          <w:lang w:val="en-US" w:eastAsia="zh-CN"/>
        </w:rPr>
        <w:t>7</w:t>
      </w:r>
      <w:r>
        <w:rPr>
          <w:rFonts w:hint="default" w:ascii="Times New Roman" w:hAnsi="Times New Roman" w:eastAsia="宋体" w:cs="Times New Roman"/>
          <w:color w:val="auto"/>
          <w:sz w:val="24"/>
          <w:lang w:val="en-US" w:eastAsia="zh-CN"/>
        </w:rPr>
        <w:t xml:space="preserve">  新芜开发区扩区与三区三线位置关系图</w:t>
      </w:r>
    </w:p>
    <w:p w14:paraId="2F025F98">
      <w:pPr>
        <w:widowControl/>
        <w:adjustRightInd w:val="0"/>
        <w:snapToGrid w:val="0"/>
        <w:spacing w:line="360" w:lineRule="auto"/>
        <w:ind w:firstLine="480" w:firstLineChars="200"/>
        <w:jc w:val="left"/>
        <w:rPr>
          <w:rFonts w:hint="eastAsia" w:cs="Times New Roman"/>
          <w:color w:val="auto"/>
          <w:sz w:val="24"/>
          <w:lang w:eastAsia="zh-CN"/>
        </w:rPr>
      </w:pPr>
      <w:r>
        <w:rPr>
          <w:rFonts w:hint="eastAsia" w:cs="Times New Roman"/>
          <w:color w:val="auto"/>
          <w:sz w:val="24"/>
          <w:lang w:eastAsia="zh-CN"/>
        </w:rPr>
        <w:t xml:space="preserve">附图8  </w:t>
      </w:r>
      <w:r>
        <w:rPr>
          <w:rFonts w:hint="eastAsia" w:cs="Times New Roman"/>
          <w:color w:val="auto"/>
          <w:sz w:val="24"/>
          <w:lang w:val="en-US" w:eastAsia="zh-CN"/>
        </w:rPr>
        <w:t xml:space="preserve"> </w:t>
      </w:r>
      <w:r>
        <w:rPr>
          <w:rFonts w:hint="eastAsia" w:cs="Times New Roman"/>
          <w:color w:val="auto"/>
          <w:sz w:val="24"/>
          <w:lang w:eastAsia="zh-CN"/>
        </w:rPr>
        <w:t>安徽新芜经济开发区扩区总体规划图</w:t>
      </w:r>
    </w:p>
    <w:p w14:paraId="1BE2043D">
      <w:pPr>
        <w:widowControl/>
        <w:adjustRightInd w:val="0"/>
        <w:snapToGrid w:val="0"/>
        <w:spacing w:line="360" w:lineRule="auto"/>
        <w:ind w:firstLine="480" w:firstLineChars="200"/>
        <w:jc w:val="left"/>
        <w:rPr>
          <w:rFonts w:hint="eastAsia" w:cs="Times New Roman"/>
          <w:color w:val="auto"/>
          <w:sz w:val="24"/>
          <w:lang w:eastAsia="zh-CN"/>
        </w:rPr>
      </w:pPr>
      <w:r>
        <w:rPr>
          <w:rFonts w:hint="eastAsia" w:cs="Times New Roman"/>
          <w:color w:val="auto"/>
          <w:sz w:val="24"/>
          <w:lang w:eastAsia="zh-CN"/>
        </w:rPr>
        <w:t xml:space="preserve">附图9  </w:t>
      </w:r>
      <w:r>
        <w:rPr>
          <w:rFonts w:hint="eastAsia" w:cs="Times New Roman"/>
          <w:color w:val="auto"/>
          <w:sz w:val="24"/>
          <w:lang w:val="en-US" w:eastAsia="zh-CN"/>
        </w:rPr>
        <w:t xml:space="preserve"> </w:t>
      </w:r>
      <w:r>
        <w:rPr>
          <w:rFonts w:hint="eastAsia" w:cs="Times New Roman"/>
          <w:color w:val="auto"/>
          <w:sz w:val="24"/>
          <w:lang w:eastAsia="zh-CN"/>
        </w:rPr>
        <w:t>芜湖市湾沚区国土空间分区规划-中心城区土地使用规划图</w:t>
      </w:r>
    </w:p>
    <w:p w14:paraId="67A1FA8E">
      <w:pPr>
        <w:widowControl/>
        <w:adjustRightInd w:val="0"/>
        <w:snapToGrid w:val="0"/>
        <w:spacing w:line="360" w:lineRule="auto"/>
        <w:ind w:firstLine="480" w:firstLineChars="200"/>
        <w:jc w:val="left"/>
        <w:rPr>
          <w:rFonts w:hint="eastAsia" w:cs="Times New Roman"/>
          <w:color w:val="auto"/>
          <w:sz w:val="24"/>
          <w:lang w:val="en-US" w:eastAsia="zh-CN"/>
        </w:rPr>
      </w:pPr>
      <w:r>
        <w:rPr>
          <w:rFonts w:hint="eastAsia" w:ascii="Times New Roman" w:cs="Times New Roman"/>
          <w:color w:val="auto"/>
          <w:sz w:val="24"/>
          <w:lang w:val="en-US" w:eastAsia="zh-CN"/>
        </w:rPr>
        <w:t>附图</w:t>
      </w:r>
      <w:r>
        <w:rPr>
          <w:rFonts w:hint="eastAsia" w:cs="Times New Roman"/>
          <w:color w:val="auto"/>
          <w:sz w:val="24"/>
          <w:lang w:val="en-US" w:eastAsia="zh-CN"/>
        </w:rPr>
        <w:t>10  项目水环境分区管控图</w:t>
      </w:r>
    </w:p>
    <w:p w14:paraId="730C3704">
      <w:pPr>
        <w:widowControl/>
        <w:adjustRightInd w:val="0"/>
        <w:snapToGrid w:val="0"/>
        <w:spacing w:line="360" w:lineRule="auto"/>
        <w:ind w:firstLine="480" w:firstLineChars="200"/>
        <w:jc w:val="left"/>
        <w:rPr>
          <w:rFonts w:hint="eastAsia" w:cs="Times New Roman"/>
          <w:color w:val="auto"/>
          <w:sz w:val="24"/>
          <w:lang w:val="en-US" w:eastAsia="zh-CN"/>
        </w:rPr>
      </w:pPr>
      <w:r>
        <w:rPr>
          <w:rFonts w:hint="eastAsia" w:ascii="Times New Roman" w:cs="Times New Roman"/>
          <w:color w:val="auto"/>
          <w:sz w:val="24"/>
          <w:lang w:val="en-US" w:eastAsia="zh-CN"/>
        </w:rPr>
        <w:t>附图</w:t>
      </w:r>
      <w:r>
        <w:rPr>
          <w:rFonts w:hint="eastAsia" w:cs="Times New Roman"/>
          <w:color w:val="auto"/>
          <w:sz w:val="24"/>
          <w:lang w:val="en-US" w:eastAsia="zh-CN"/>
        </w:rPr>
        <w:t>11  项目大气环境分区管控图</w:t>
      </w:r>
    </w:p>
    <w:p w14:paraId="73A1F44C">
      <w:pPr>
        <w:widowControl/>
        <w:adjustRightInd w:val="0"/>
        <w:snapToGrid w:val="0"/>
        <w:spacing w:line="360" w:lineRule="auto"/>
        <w:ind w:firstLine="480" w:firstLineChars="200"/>
        <w:jc w:val="left"/>
        <w:rPr>
          <w:rFonts w:hint="eastAsia" w:cs="Times New Roman"/>
          <w:color w:val="auto"/>
          <w:sz w:val="24"/>
          <w:lang w:val="en-US" w:eastAsia="zh-CN"/>
        </w:rPr>
      </w:pPr>
      <w:r>
        <w:rPr>
          <w:rFonts w:hint="eastAsia" w:ascii="Times New Roman" w:cs="Times New Roman"/>
          <w:color w:val="auto"/>
          <w:sz w:val="24"/>
          <w:lang w:val="en-US" w:eastAsia="zh-CN"/>
        </w:rPr>
        <w:t>附图</w:t>
      </w:r>
      <w:r>
        <w:rPr>
          <w:rFonts w:hint="eastAsia" w:cs="Times New Roman"/>
          <w:color w:val="auto"/>
          <w:sz w:val="24"/>
          <w:lang w:val="en-US" w:eastAsia="zh-CN"/>
        </w:rPr>
        <w:t>12  项目土壤环境风险分区管控图</w:t>
      </w:r>
    </w:p>
    <w:p w14:paraId="4F316F63">
      <w:pPr>
        <w:widowControl/>
        <w:adjustRightInd w:val="0"/>
        <w:snapToGrid w:val="0"/>
        <w:spacing w:line="360" w:lineRule="auto"/>
        <w:ind w:firstLine="480" w:firstLineChars="200"/>
        <w:jc w:val="left"/>
        <w:rPr>
          <w:rFonts w:hint="default" w:cs="Times New Roman"/>
          <w:color w:val="auto"/>
          <w:sz w:val="24"/>
          <w:lang w:val="en-US" w:eastAsia="zh-CN"/>
        </w:rPr>
      </w:pPr>
      <w:r>
        <w:rPr>
          <w:rFonts w:hint="eastAsia" w:ascii="Times New Roman" w:cs="Times New Roman"/>
          <w:color w:val="auto"/>
          <w:sz w:val="24"/>
          <w:lang w:val="en-US" w:eastAsia="zh-CN"/>
        </w:rPr>
        <w:t>附图</w:t>
      </w:r>
      <w:r>
        <w:rPr>
          <w:rFonts w:hint="eastAsia" w:cs="Times New Roman"/>
          <w:color w:val="auto"/>
          <w:sz w:val="24"/>
          <w:lang w:val="en-US" w:eastAsia="zh-CN"/>
        </w:rPr>
        <w:t>13  项目土地资源分区管控图</w:t>
      </w:r>
    </w:p>
    <w:p w14:paraId="0812A6C5">
      <w:pPr>
        <w:widowControl/>
        <w:adjustRightInd w:val="0"/>
        <w:snapToGrid w:val="0"/>
        <w:spacing w:line="360" w:lineRule="auto"/>
        <w:ind w:firstLine="480" w:firstLineChars="200"/>
        <w:jc w:val="left"/>
        <w:rPr>
          <w:rFonts w:hint="eastAsia" w:cs="Times New Roman"/>
          <w:color w:val="auto"/>
          <w:sz w:val="24"/>
          <w:lang w:val="en-US" w:eastAsia="zh-CN"/>
        </w:rPr>
      </w:pPr>
      <w:r>
        <w:rPr>
          <w:rFonts w:hint="eastAsia" w:cs="Times New Roman"/>
          <w:color w:val="auto"/>
          <w:sz w:val="24"/>
          <w:lang w:val="en-US" w:eastAsia="zh-CN"/>
        </w:rPr>
        <w:t>附图14  项目生态环境管控单元图</w:t>
      </w:r>
    </w:p>
    <w:p w14:paraId="4C414BD7">
      <w:pPr>
        <w:widowControl/>
        <w:adjustRightInd w:val="0"/>
        <w:snapToGrid w:val="0"/>
        <w:spacing w:line="360" w:lineRule="auto"/>
        <w:ind w:firstLine="480" w:firstLineChars="200"/>
        <w:jc w:val="left"/>
        <w:rPr>
          <w:rFonts w:hint="eastAsia" w:cs="Times New Roman"/>
          <w:color w:val="auto"/>
          <w:sz w:val="24"/>
          <w:lang w:val="en-US" w:eastAsia="zh-CN"/>
        </w:rPr>
      </w:pPr>
      <w:r>
        <w:rPr>
          <w:rFonts w:hint="eastAsia" w:cs="Times New Roman"/>
          <w:color w:val="auto"/>
          <w:sz w:val="24"/>
          <w:lang w:val="en-US" w:eastAsia="zh-CN"/>
        </w:rPr>
        <w:t>附图15  湾沚区城区声环境功能图</w:t>
      </w:r>
    </w:p>
    <w:p w14:paraId="4681F615">
      <w:pPr>
        <w:widowControl/>
        <w:adjustRightInd w:val="0"/>
        <w:snapToGrid w:val="0"/>
        <w:spacing w:line="360" w:lineRule="auto"/>
        <w:ind w:firstLine="480" w:firstLineChars="200"/>
        <w:jc w:val="left"/>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附图16  湾沚污水处理厂规划收水范围示意图</w:t>
      </w:r>
    </w:p>
    <w:sectPr>
      <w:footerReference r:id="rId6" w:type="default"/>
      <w:pgSz w:w="11905" w:h="16838"/>
      <w:pgMar w:top="1701" w:right="1531" w:bottom="2126" w:left="1531" w:header="851" w:footer="850" w:gutter="0"/>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swiss"/>
    <w:pitch w:val="default"/>
    <w:sig w:usb0="F7FFAEFF" w:usb1="F9DFFFFF" w:usb2="0000007F" w:usb3="00000000" w:csb0="203F01FF" w:csb1="DFFF0000"/>
  </w:font>
  <w:font w:name="Cambria">
    <w:panose1 w:val="02040503050406030204"/>
    <w:charset w:val="00"/>
    <w:family w:val="roman"/>
    <w:pitch w:val="default"/>
    <w:sig w:usb0="E00006FF" w:usb1="420024FF" w:usb2="02000000" w:usb3="00000000" w:csb0="2000019F" w:csb1="00000000"/>
  </w:font>
  <w:font w:name="Arial Black">
    <w:panose1 w:val="020B0A04020102020204"/>
    <w:charset w:val="00"/>
    <w:family w:val="swiss"/>
    <w:pitch w:val="default"/>
    <w:sig w:usb0="A00002AF" w:usb1="400078FB" w:usb2="00000000" w:usb3="00000000" w:csb0="6000009F" w:csb1="DFD70000"/>
  </w:font>
  <w:font w:name="方正魏碑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Batang">
    <w:altName w:val="Malgun Gothic"/>
    <w:panose1 w:val="02030600000101010101"/>
    <w:charset w:val="81"/>
    <w:family w:val="roma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Tahoma">
    <w:panose1 w:val="020B0604030504040204"/>
    <w:charset w:val="00"/>
    <w:family w:val="swiss"/>
    <w:pitch w:val="default"/>
    <w:sig w:usb0="E1002EFF" w:usb1="C000605B" w:usb2="00000029" w:usb3="00000000" w:csb0="200101FF" w:csb1="20280000"/>
  </w:font>
  <w:font w:name="TimesNewRoman">
    <w:altName w:val="Times New Roman"/>
    <w:panose1 w:val="00000000000000000000"/>
    <w:charset w:val="00"/>
    <w:family w:val="roman"/>
    <w:pitch w:val="default"/>
    <w:sig w:usb0="00000000" w:usb1="00000000" w:usb2="00000000" w:usb3="00000000" w:csb0="00000001" w:csb1="00000000"/>
  </w:font>
  <w:font w:name="ˎ̥">
    <w:altName w:val="Times New Roman"/>
    <w:panose1 w:val="00000000000000000000"/>
    <w:charset w:val="00"/>
    <w:family w:val="roman"/>
    <w:pitch w:val="default"/>
    <w:sig w:usb0="00000000" w:usb1="00000000" w:usb2="00000000" w:usb3="00000000" w:csb0="00000000" w:csb1="00000000"/>
  </w:font>
  <w:font w:name="Verdana">
    <w:panose1 w:val="020B0604030504040204"/>
    <w:charset w:val="00"/>
    <w:family w:val="swiss"/>
    <w:pitch w:val="default"/>
    <w:sig w:usb0="A00006FF" w:usb1="4000205B" w:usb2="00000010" w:usb3="00000000" w:csb0="2000019F" w:csb1="00000000"/>
  </w:font>
  <w:font w:name="Lucida Console">
    <w:panose1 w:val="020B0609040504020204"/>
    <w:charset w:val="00"/>
    <w:family w:val="modern"/>
    <w:pitch w:val="default"/>
    <w:sig w:usb0="8000028F" w:usb1="00001800" w:usb2="00000000" w:usb3="00000000" w:csb0="0000001F" w:csb1="D7D70000"/>
  </w:font>
  <w:font w:name="华文中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汉鼎简书宋">
    <w:altName w:val="宋体"/>
    <w:panose1 w:val="00000000000000000000"/>
    <w:charset w:val="86"/>
    <w:family w:val="modern"/>
    <w:pitch w:val="default"/>
    <w:sig w:usb0="00000000" w:usb1="00000000" w:usb2="00000010" w:usb3="00000000" w:csb0="00040000" w:csb1="00000000"/>
  </w:font>
  <w:font w:name="仿宋体">
    <w:altName w:val="仿宋"/>
    <w:panose1 w:val="00000000000000000000"/>
    <w:charset w:val="86"/>
    <w:family w:val="auto"/>
    <w:pitch w:val="default"/>
    <w:sig w:usb0="00000000" w:usb1="00000000" w:usb2="00000010" w:usb3="00000000" w:csb0="00040000" w:csb1="00000000"/>
  </w:font>
  <w:font w:name="Georgia">
    <w:panose1 w:val="02040502050405020303"/>
    <w:charset w:val="00"/>
    <w:family w:val="roman"/>
    <w:pitch w:val="default"/>
    <w:sig w:usb0="00000287" w:usb1="00000000" w:usb2="00000000" w:usb3="00000000" w:csb0="2000009F" w:csb1="00000000"/>
  </w:font>
  <w:font w:name="PMingLiU">
    <w:altName w:val="PMingLiU-ExtB"/>
    <w:panose1 w:val="02020500000000000000"/>
    <w:charset w:val="88"/>
    <w:family w:val="roman"/>
    <w:pitch w:val="default"/>
    <w:sig w:usb0="00000000" w:usb1="00000000" w:usb2="00000016" w:usb3="00000000" w:csb0="00100001" w:csb1="00000000"/>
  </w:font>
  <w:font w:name="TimesNewRomanPSMT">
    <w:altName w:val="Times New Roman"/>
    <w:panose1 w:val="00000000000000000000"/>
    <w:charset w:val="80"/>
    <w:family w:val="auto"/>
    <w:pitch w:val="default"/>
    <w:sig w:usb0="00000000" w:usb1="00000000" w:usb2="00000010" w:usb3="00000000" w:csb0="00060001" w:csb1="00000000"/>
  </w:font>
  <w:font w:name="font-weight : 400">
    <w:altName w:val="微软雅黑"/>
    <w:panose1 w:val="00000000000000000000"/>
    <w:charset w:val="00"/>
    <w:family w:val="auto"/>
    <w:pitch w:val="default"/>
    <w:sig w:usb0="00000000" w:usb1="00000000" w:usb2="00000000" w:usb3="00000000" w:csb0="00040001" w:csb1="00000000"/>
  </w:font>
  <w:font w:name="FZShuSong-Z01">
    <w:altName w:val="宋体"/>
    <w:panose1 w:val="00000000000000000000"/>
    <w:charset w:val="86"/>
    <w:family w:val="roman"/>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Times">
    <w:altName w:val="Times New Roman"/>
    <w:panose1 w:val="02020603050405020304"/>
    <w:charset w:val="00"/>
    <w:family w:val="roman"/>
    <w:pitch w:val="default"/>
    <w:sig w:usb0="00000000" w:usb1="00000000" w:usb2="00000009" w:usb3="00000000" w:csb0="000001FF"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3000509000000000000"/>
    <w:charset w:val="86"/>
    <w:family w:val="script"/>
    <w:pitch w:val="default"/>
    <w:sig w:usb0="00000000" w:usb1="00000000" w:usb2="00000010" w:usb3="00000000" w:csb0="00040000"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287201">
    <w:pPr>
      <w:pStyle w:val="42"/>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5C3512">
    <w:pPr>
      <w:pStyle w:val="42"/>
      <w:jc w:val="center"/>
    </w:pPr>
    <w:r>
      <w:fldChar w:fldCharType="begin"/>
    </w:r>
    <w:r>
      <w:instrText xml:space="preserve">PAGE   \* MERGEFORMAT</w:instrText>
    </w:r>
    <w:r>
      <w:fldChar w:fldCharType="separate"/>
    </w:r>
    <w:r>
      <w:rPr>
        <w:lang w:val="zh-CN"/>
      </w:rPr>
      <w:t>59</w:t>
    </w:r>
    <w:r>
      <w:fldChar w:fldCharType="end"/>
    </w:r>
  </w:p>
  <w:p w14:paraId="697345EF">
    <w:pPr>
      <w:pStyle w:val="42"/>
      <w:ind w:right="360"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5E493C">
    <w:pPr>
      <w:pStyle w:val="42"/>
      <w:ind w:right="360" w:firstLine="360"/>
      <w:jc w:val="center"/>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6F5B240">
                          <w:pPr>
                            <w:pStyle w:val="42"/>
                            <w:rPr>
                              <w:rStyle w:val="72"/>
                              <w:rFonts w:ascii="宋体" w:hAnsi="宋体"/>
                              <w:sz w:val="28"/>
                              <w:szCs w:val="28"/>
                            </w:rPr>
                          </w:pPr>
                          <w:r>
                            <w:rPr>
                              <w:rStyle w:val="72"/>
                              <w:rFonts w:hint="eastAsia" w:ascii="宋体" w:hAnsi="宋体"/>
                              <w:sz w:val="28"/>
                              <w:szCs w:val="28"/>
                            </w:rPr>
                            <w:t>—</w:t>
                          </w:r>
                          <w:r>
                            <w:rPr>
                              <w:rStyle w:val="72"/>
                              <w:rFonts w:hint="eastAsia" w:ascii="宋体" w:hAnsi="宋体"/>
                              <w:sz w:val="20"/>
                            </w:rPr>
                            <w:t xml:space="preserve">  </w:t>
                          </w:r>
                          <w:r>
                            <w:rPr>
                              <w:rFonts w:ascii="宋体" w:hAnsi="宋体"/>
                              <w:sz w:val="26"/>
                              <w:szCs w:val="26"/>
                            </w:rPr>
                            <w:fldChar w:fldCharType="begin"/>
                          </w:r>
                          <w:r>
                            <w:rPr>
                              <w:rStyle w:val="72"/>
                              <w:rFonts w:ascii="宋体" w:hAnsi="宋体"/>
                              <w:sz w:val="26"/>
                              <w:szCs w:val="26"/>
                            </w:rPr>
                            <w:instrText xml:space="preserve">PAGE  </w:instrText>
                          </w:r>
                          <w:r>
                            <w:rPr>
                              <w:rFonts w:ascii="宋体" w:hAnsi="宋体"/>
                              <w:sz w:val="26"/>
                              <w:szCs w:val="26"/>
                            </w:rPr>
                            <w:fldChar w:fldCharType="separate"/>
                          </w:r>
                          <w:r>
                            <w:rPr>
                              <w:rStyle w:val="72"/>
                              <w:rFonts w:ascii="宋体" w:hAnsi="宋体"/>
                              <w:sz w:val="26"/>
                              <w:szCs w:val="26"/>
                            </w:rPr>
                            <w:t>46</w:t>
                          </w:r>
                          <w:r>
                            <w:rPr>
                              <w:rFonts w:ascii="宋体" w:hAnsi="宋体"/>
                              <w:sz w:val="26"/>
                              <w:szCs w:val="26"/>
                            </w:rPr>
                            <w:fldChar w:fldCharType="end"/>
                          </w:r>
                          <w:r>
                            <w:rPr>
                              <w:rStyle w:val="72"/>
                              <w:rFonts w:hint="eastAsia" w:ascii="宋体" w:hAnsi="宋体"/>
                              <w:sz w:val="20"/>
                            </w:rPr>
                            <w:t xml:space="preserve">  </w:t>
                          </w:r>
                          <w:r>
                            <w:rPr>
                              <w:rStyle w:val="72"/>
                              <w:rFonts w:hint="eastAsia" w:ascii="宋体" w:hAnsi="宋体"/>
                              <w:sz w:val="28"/>
                              <w:szCs w:val="28"/>
                            </w:rPr>
                            <w:t>—</w:t>
                          </w:r>
                        </w:p>
                      </w:txbxContent>
                    </wps:txbx>
                    <wps:bodyPr wrap="none" lIns="0" tIns="0" rIns="0" bIns="0" upright="0">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p03GnLAQAAnAMAAA4AAAAAAAAAAQAgAAAAHgEAAGRycy9lMm9E&#10;b2MueG1sUEsFBgAAAAAGAAYAWQEAAFsFAAAAAA==&#10;">
              <v:fill on="f" focussize="0,0"/>
              <v:stroke on="f"/>
              <v:imagedata o:title=""/>
              <o:lock v:ext="edit" aspectratio="f"/>
              <v:textbox inset="0mm,0mm,0mm,0mm" style="mso-fit-shape-to-text:t;">
                <w:txbxContent>
                  <w:p w14:paraId="46F5B240">
                    <w:pPr>
                      <w:pStyle w:val="42"/>
                      <w:rPr>
                        <w:rStyle w:val="72"/>
                        <w:rFonts w:ascii="宋体" w:hAnsi="宋体"/>
                        <w:sz w:val="28"/>
                        <w:szCs w:val="28"/>
                      </w:rPr>
                    </w:pPr>
                    <w:r>
                      <w:rPr>
                        <w:rStyle w:val="72"/>
                        <w:rFonts w:hint="eastAsia" w:ascii="宋体" w:hAnsi="宋体"/>
                        <w:sz w:val="28"/>
                        <w:szCs w:val="28"/>
                      </w:rPr>
                      <w:t>—</w:t>
                    </w:r>
                    <w:r>
                      <w:rPr>
                        <w:rStyle w:val="72"/>
                        <w:rFonts w:hint="eastAsia" w:ascii="宋体" w:hAnsi="宋体"/>
                        <w:sz w:val="20"/>
                      </w:rPr>
                      <w:t xml:space="preserve">  </w:t>
                    </w:r>
                    <w:r>
                      <w:rPr>
                        <w:rFonts w:ascii="宋体" w:hAnsi="宋体"/>
                        <w:sz w:val="26"/>
                        <w:szCs w:val="26"/>
                      </w:rPr>
                      <w:fldChar w:fldCharType="begin"/>
                    </w:r>
                    <w:r>
                      <w:rPr>
                        <w:rStyle w:val="72"/>
                        <w:rFonts w:ascii="宋体" w:hAnsi="宋体"/>
                        <w:sz w:val="26"/>
                        <w:szCs w:val="26"/>
                      </w:rPr>
                      <w:instrText xml:space="preserve">PAGE  </w:instrText>
                    </w:r>
                    <w:r>
                      <w:rPr>
                        <w:rFonts w:ascii="宋体" w:hAnsi="宋体"/>
                        <w:sz w:val="26"/>
                        <w:szCs w:val="26"/>
                      </w:rPr>
                      <w:fldChar w:fldCharType="separate"/>
                    </w:r>
                    <w:r>
                      <w:rPr>
                        <w:rStyle w:val="72"/>
                        <w:rFonts w:ascii="宋体" w:hAnsi="宋体"/>
                        <w:sz w:val="26"/>
                        <w:szCs w:val="26"/>
                      </w:rPr>
                      <w:t>46</w:t>
                    </w:r>
                    <w:r>
                      <w:rPr>
                        <w:rFonts w:ascii="宋体" w:hAnsi="宋体"/>
                        <w:sz w:val="26"/>
                        <w:szCs w:val="26"/>
                      </w:rPr>
                      <w:fldChar w:fldCharType="end"/>
                    </w:r>
                    <w:r>
                      <w:rPr>
                        <w:rStyle w:val="72"/>
                        <w:rFonts w:hint="eastAsia" w:ascii="宋体" w:hAnsi="宋体"/>
                        <w:sz w:val="20"/>
                      </w:rPr>
                      <w:t xml:space="preserve">  </w:t>
                    </w:r>
                    <w:r>
                      <w:rPr>
                        <w:rStyle w:val="72"/>
                        <w:rFonts w:hint="eastAsia" w:ascii="宋体" w:hAnsi="宋体"/>
                        <w:sz w:val="28"/>
                        <w:szCs w:val="28"/>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505189">
    <w:pPr>
      <w:pStyle w:val="42"/>
      <w:jc w:val="center"/>
    </w:pPr>
    <w:r>
      <w:fldChar w:fldCharType="begin"/>
    </w:r>
    <w:r>
      <w:instrText xml:space="preserve">PAGE   \* MERGEFORMAT</w:instrText>
    </w:r>
    <w:r>
      <w:fldChar w:fldCharType="separate"/>
    </w:r>
    <w:r>
      <w:rPr>
        <w:lang w:val="zh-CN"/>
      </w:rPr>
      <w:t>64</w:t>
    </w:r>
    <w:r>
      <w:fldChar w:fldCharType="end"/>
    </w:r>
  </w:p>
  <w:p w14:paraId="6F760BCC">
    <w:pPr>
      <w:pStyle w:val="42"/>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5C2274"/>
    <w:multiLevelType w:val="singleLevel"/>
    <w:tmpl w:val="BA5C2274"/>
    <w:lvl w:ilvl="0" w:tentative="0">
      <w:start w:val="1"/>
      <w:numFmt w:val="decimal"/>
      <w:suff w:val="nothing"/>
      <w:lvlText w:val="（%1）"/>
      <w:lvlJc w:val="left"/>
    </w:lvl>
  </w:abstractNum>
  <w:abstractNum w:abstractNumId="1">
    <w:nsid w:val="0F3C26F4"/>
    <w:multiLevelType w:val="multilevel"/>
    <w:tmpl w:val="0F3C26F4"/>
    <w:lvl w:ilvl="0" w:tentative="0">
      <w:start w:val="1"/>
      <w:numFmt w:val="chineseCountingThousand"/>
      <w:suff w:val="nothing"/>
      <w:lvlText w:val="%1、"/>
      <w:lvlJc w:val="left"/>
      <w:pPr>
        <w:ind w:left="0" w:firstLine="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6786471"/>
    <w:multiLevelType w:val="singleLevel"/>
    <w:tmpl w:val="16786471"/>
    <w:lvl w:ilvl="0" w:tentative="0">
      <w:start w:val="1"/>
      <w:numFmt w:val="decimal"/>
      <w:suff w:val="nothing"/>
      <w:lvlText w:val="（%1）"/>
      <w:lvlJc w:val="left"/>
      <w:rPr>
        <w:rFonts w:hint="default" w:ascii="Times New Roman" w:hAnsi="Times New Roman" w:cs="Times New Roman"/>
        <w:sz w:val="24"/>
        <w:szCs w:val="24"/>
      </w:rPr>
    </w:lvl>
  </w:abstractNum>
  <w:abstractNum w:abstractNumId="3">
    <w:nsid w:val="169A4481"/>
    <w:multiLevelType w:val="multilevel"/>
    <w:tmpl w:val="169A4481"/>
    <w:lvl w:ilvl="0" w:tentative="0">
      <w:start w:val="1"/>
      <w:numFmt w:val="decimal"/>
      <w:pStyle w:val="1050"/>
      <w:lvlText w:val="%1"/>
      <w:lvlJc w:val="left"/>
      <w:pPr>
        <w:tabs>
          <w:tab w:val="left" w:pos="425"/>
        </w:tabs>
        <w:ind w:left="425" w:hanging="425"/>
      </w:pPr>
    </w:lvl>
    <w:lvl w:ilvl="1" w:tentative="0">
      <w:start w:val="1"/>
      <w:numFmt w:val="decimal"/>
      <w:lvlText w:val="%1.%2"/>
      <w:lvlJc w:val="left"/>
      <w:pPr>
        <w:tabs>
          <w:tab w:val="left" w:pos="1145"/>
        </w:tabs>
        <w:ind w:left="992" w:hanging="567"/>
      </w:pPr>
    </w:lvl>
    <w:lvl w:ilvl="2" w:tentative="0">
      <w:start w:val="1"/>
      <w:numFmt w:val="decimal"/>
      <w:lvlText w:val="%1.%2.%3"/>
      <w:lvlJc w:val="left"/>
      <w:pPr>
        <w:tabs>
          <w:tab w:val="left" w:pos="1931"/>
        </w:tabs>
        <w:ind w:left="1418" w:hanging="567"/>
      </w:pPr>
    </w:lvl>
    <w:lvl w:ilvl="3" w:tentative="0">
      <w:start w:val="1"/>
      <w:numFmt w:val="decimal"/>
      <w:lvlText w:val="%1.%2.%3.%4"/>
      <w:lvlJc w:val="left"/>
      <w:pPr>
        <w:tabs>
          <w:tab w:val="left" w:pos="2716"/>
        </w:tabs>
        <w:ind w:left="1984" w:hanging="708"/>
      </w:pPr>
    </w:lvl>
    <w:lvl w:ilvl="4" w:tentative="0">
      <w:start w:val="1"/>
      <w:numFmt w:val="decimal"/>
      <w:lvlText w:val="%1.%2.%3.%4.%5"/>
      <w:lvlJc w:val="left"/>
      <w:pPr>
        <w:tabs>
          <w:tab w:val="left" w:pos="3501"/>
        </w:tabs>
        <w:ind w:left="2551" w:hanging="850"/>
      </w:pPr>
    </w:lvl>
    <w:lvl w:ilvl="5" w:tentative="0">
      <w:start w:val="1"/>
      <w:numFmt w:val="decimal"/>
      <w:lvlText w:val="%1.%2.%3.%4.%5.%6"/>
      <w:lvlJc w:val="left"/>
      <w:pPr>
        <w:tabs>
          <w:tab w:val="left" w:pos="4286"/>
        </w:tabs>
        <w:ind w:left="3260" w:hanging="1134"/>
      </w:pPr>
    </w:lvl>
    <w:lvl w:ilvl="6" w:tentative="0">
      <w:start w:val="1"/>
      <w:numFmt w:val="decimal"/>
      <w:lvlText w:val="%1.%2.%3.%4.%5.%6.%7"/>
      <w:lvlJc w:val="left"/>
      <w:pPr>
        <w:tabs>
          <w:tab w:val="left" w:pos="5071"/>
        </w:tabs>
        <w:ind w:left="3827" w:hanging="1276"/>
      </w:pPr>
    </w:lvl>
    <w:lvl w:ilvl="7" w:tentative="0">
      <w:start w:val="1"/>
      <w:numFmt w:val="decimal"/>
      <w:lvlText w:val="%1.%2.%3.%4.%5.%6.%7.%8"/>
      <w:lvlJc w:val="left"/>
      <w:pPr>
        <w:tabs>
          <w:tab w:val="left" w:pos="5856"/>
        </w:tabs>
        <w:ind w:left="4394" w:hanging="1418"/>
      </w:pPr>
    </w:lvl>
    <w:lvl w:ilvl="8" w:tentative="0">
      <w:start w:val="1"/>
      <w:numFmt w:val="decimal"/>
      <w:lvlText w:val="%1.%2.%3.%4.%5.%6.%7.%8.%9"/>
      <w:lvlJc w:val="left"/>
      <w:pPr>
        <w:tabs>
          <w:tab w:val="left" w:pos="6642"/>
        </w:tabs>
        <w:ind w:left="5102" w:hanging="1700"/>
      </w:pPr>
    </w:lvl>
  </w:abstractNum>
  <w:abstractNum w:abstractNumId="4">
    <w:nsid w:val="212A900A"/>
    <w:multiLevelType w:val="multilevel"/>
    <w:tmpl w:val="212A900A"/>
    <w:lvl w:ilvl="0" w:tentative="0">
      <w:start w:val="1"/>
      <w:numFmt w:val="chineseCounting"/>
      <w:suff w:val="nothing"/>
      <w:lvlText w:val="%1、"/>
      <w:lvlJc w:val="left"/>
      <w:pPr>
        <w:tabs>
          <w:tab w:val="left" w:pos="0"/>
        </w:tabs>
        <w:ind w:left="425" w:hanging="425"/>
      </w:pPr>
      <w:rPr>
        <w:rFonts w:hint="eastAsia" w:ascii="黑体" w:hAnsi="黑体" w:eastAsia="黑体" w:cs="黑体"/>
        <w:b/>
        <w:bCs/>
        <w:sz w:val="30"/>
        <w:szCs w:val="30"/>
      </w:rPr>
    </w:lvl>
    <w:lvl w:ilvl="1" w:tentative="0">
      <w:start w:val="1"/>
      <w:numFmt w:val="decimal"/>
      <w:isLgl/>
      <w:lvlText w:val="%2、"/>
      <w:lvlJc w:val="left"/>
      <w:pPr>
        <w:tabs>
          <w:tab w:val="left" w:pos="420"/>
        </w:tabs>
        <w:ind w:left="425" w:hanging="425"/>
      </w:pPr>
      <w:rPr>
        <w:rFonts w:hint="eastAsia" w:ascii="宋体" w:hAnsi="宋体" w:eastAsia="宋体" w:cs="宋体"/>
        <w:b/>
        <w:bCs/>
        <w:sz w:val="24"/>
        <w:szCs w:val="24"/>
      </w:rPr>
    </w:lvl>
    <w:lvl w:ilvl="2" w:tentative="0">
      <w:start w:val="1"/>
      <w:numFmt w:val="decimal"/>
      <w:isLgl/>
      <w:lvlText w:val="%2.%3."/>
      <w:lvlJc w:val="left"/>
      <w:pPr>
        <w:tabs>
          <w:tab w:val="left" w:pos="420"/>
        </w:tabs>
        <w:ind w:left="0" w:firstLine="0"/>
      </w:pPr>
      <w:rPr>
        <w:rFonts w:hint="eastAsia" w:ascii="宋体" w:hAnsi="宋体" w:eastAsia="宋体" w:cs="宋体"/>
        <w:sz w:val="24"/>
        <w:szCs w:val="24"/>
      </w:rPr>
    </w:lvl>
    <w:lvl w:ilvl="3" w:tentative="0">
      <w:start w:val="1"/>
      <w:numFmt w:val="decimal"/>
      <w:lvlRestart w:val="1"/>
      <w:pStyle w:val="1100"/>
      <w:isLgl/>
      <w:lvlText w:val="表%1-%4"/>
      <w:lvlJc w:val="left"/>
      <w:pPr>
        <w:tabs>
          <w:tab w:val="left" w:pos="283"/>
        </w:tabs>
        <w:ind w:left="283" w:hanging="283"/>
      </w:pPr>
      <w:rPr>
        <w:rFonts w:hint="default" w:ascii="Times New Roman" w:hAnsi="Times New Roman" w:eastAsia="宋体" w:cs="Times New Roman"/>
        <w:b/>
        <w:bCs/>
        <w:sz w:val="24"/>
        <w:szCs w:val="24"/>
      </w:rPr>
    </w:lvl>
    <w:lvl w:ilvl="4" w:tentative="0">
      <w:start w:val="1"/>
      <w:numFmt w:val="decimal"/>
      <w:lvlRestart w:val="1"/>
      <w:isLgl/>
      <w:lvlText w:val="图%1-%5"/>
      <w:lvlJc w:val="left"/>
      <w:pPr>
        <w:tabs>
          <w:tab w:val="left" w:pos="283"/>
        </w:tabs>
        <w:ind w:left="283" w:hanging="283"/>
      </w:pPr>
      <w:rPr>
        <w:rFonts w:hint="default" w:ascii="宋体" w:hAnsi="宋体" w:eastAsia="宋体" w:cs="宋体"/>
        <w:b/>
        <w:bCs/>
        <w:color w:val="auto"/>
        <w:sz w:val="21"/>
        <w:szCs w:val="21"/>
      </w:rPr>
    </w:lvl>
    <w:lvl w:ilvl="5" w:tentative="0">
      <w:start w:val="1"/>
      <w:numFmt w:val="decimal"/>
      <w:lvlRestart w:val="2"/>
      <w:suff w:val="nothing"/>
      <w:lvlText w:val="（%6）"/>
      <w:lvlJc w:val="left"/>
      <w:pPr>
        <w:ind w:left="1134" w:hanging="1134"/>
      </w:pPr>
      <w:rPr>
        <w:rFonts w:hint="eastAsia" w:ascii="宋体" w:hAnsi="宋体" w:eastAsia="宋体" w:cs="宋体"/>
        <w:b/>
        <w:bCs/>
        <w:sz w:val="24"/>
        <w:szCs w:val="24"/>
      </w:rPr>
    </w:lvl>
    <w:lvl w:ilvl="6" w:tentative="0">
      <w:start w:val="1"/>
      <w:numFmt w:val="decimal"/>
      <w:isLgl/>
      <w:lvlText w:val="%1.%2.%3.%4.%5.%6.%7."/>
      <w:lvlJc w:val="left"/>
      <w:pPr>
        <w:ind w:left="1275" w:hanging="1275"/>
      </w:pPr>
      <w:rPr>
        <w:rFonts w:hint="eastAsia"/>
      </w:rPr>
    </w:lvl>
    <w:lvl w:ilvl="7" w:tentative="0">
      <w:start w:val="1"/>
      <w:numFmt w:val="decimal"/>
      <w:isLgl/>
      <w:lvlText w:val="%1.%2.%3.%4.%5.%6.%7.%8."/>
      <w:lvlJc w:val="left"/>
      <w:pPr>
        <w:ind w:left="1418" w:hanging="1418"/>
      </w:pPr>
      <w:rPr>
        <w:rFonts w:hint="eastAsia"/>
      </w:rPr>
    </w:lvl>
    <w:lvl w:ilvl="8" w:tentative="0">
      <w:start w:val="1"/>
      <w:numFmt w:val="decimal"/>
      <w:isLgl/>
      <w:lvlText w:val="%1.%2.%3.%4.%5.%6.%7.%8.%9."/>
      <w:lvlJc w:val="left"/>
      <w:pPr>
        <w:ind w:left="1558" w:hanging="1558"/>
      </w:pPr>
      <w:rPr>
        <w:rFonts w:hint="eastAsia"/>
      </w:rPr>
    </w:lvl>
  </w:abstractNum>
  <w:abstractNum w:abstractNumId="5">
    <w:nsid w:val="30A61993"/>
    <w:multiLevelType w:val="multilevel"/>
    <w:tmpl w:val="30A61993"/>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rPr>
        <w:rFonts w:hint="eastAsia"/>
      </w:rPr>
    </w:lvl>
    <w:lvl w:ilvl="2" w:tentative="0">
      <w:start w:val="1"/>
      <w:numFmt w:val="lowerRoman"/>
      <w:pStyle w:val="619"/>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6">
    <w:nsid w:val="4476EB29"/>
    <w:multiLevelType w:val="singleLevel"/>
    <w:tmpl w:val="4476EB29"/>
    <w:lvl w:ilvl="0" w:tentative="0">
      <w:start w:val="6"/>
      <w:numFmt w:val="decimal"/>
      <w:suff w:val="nothing"/>
      <w:lvlText w:val="%1、"/>
      <w:lvlJc w:val="left"/>
    </w:lvl>
  </w:abstractNum>
  <w:abstractNum w:abstractNumId="7">
    <w:nsid w:val="6476CF05"/>
    <w:multiLevelType w:val="singleLevel"/>
    <w:tmpl w:val="6476CF05"/>
    <w:lvl w:ilvl="0" w:tentative="0">
      <w:start w:val="2"/>
      <w:numFmt w:val="decimal"/>
      <w:suff w:val="nothing"/>
      <w:lvlText w:val="（%1）"/>
      <w:lvlJc w:val="left"/>
    </w:lvl>
  </w:abstractNum>
  <w:num w:numId="1">
    <w:abstractNumId w:val="5"/>
  </w:num>
  <w:num w:numId="2">
    <w:abstractNumId w:val="3"/>
  </w:num>
  <w:num w:numId="3">
    <w:abstractNumId w:val="4"/>
  </w:num>
  <w:num w:numId="4">
    <w:abstractNumId w:val="7"/>
  </w:num>
  <w:num w:numId="5">
    <w:abstractNumId w:val="6"/>
  </w:num>
  <w:num w:numId="6">
    <w:abstractNumId w:val="0"/>
  </w:num>
  <w:num w:numId="7">
    <w:abstractNumId w:val="2"/>
  </w:num>
  <w:num w:numId="8">
    <w:abstractNumId w:val="1"/>
    <w:lvlOverride w:ilvl="0">
      <w:startOverride w:val="1"/>
    </w:lvlOverride>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5OGEwZWNiZTA5ZmQyZWYxMDAyNjkzMDRhOTU1YmQifQ=="/>
  </w:docVars>
  <w:rsids>
    <w:rsidRoot w:val="00172A27"/>
    <w:rsid w:val="0000000F"/>
    <w:rsid w:val="000028B1"/>
    <w:rsid w:val="00002DF9"/>
    <w:rsid w:val="00002E21"/>
    <w:rsid w:val="000039D4"/>
    <w:rsid w:val="00003F50"/>
    <w:rsid w:val="000060B3"/>
    <w:rsid w:val="00006347"/>
    <w:rsid w:val="00007F8A"/>
    <w:rsid w:val="00010C3C"/>
    <w:rsid w:val="0001178C"/>
    <w:rsid w:val="00015761"/>
    <w:rsid w:val="0001626D"/>
    <w:rsid w:val="00017C2C"/>
    <w:rsid w:val="00020799"/>
    <w:rsid w:val="00022F56"/>
    <w:rsid w:val="00023D19"/>
    <w:rsid w:val="00024289"/>
    <w:rsid w:val="00031663"/>
    <w:rsid w:val="00031DB6"/>
    <w:rsid w:val="00031FEA"/>
    <w:rsid w:val="00035AA5"/>
    <w:rsid w:val="00035F6E"/>
    <w:rsid w:val="00036A67"/>
    <w:rsid w:val="0003702C"/>
    <w:rsid w:val="00037E7B"/>
    <w:rsid w:val="000406E1"/>
    <w:rsid w:val="00040964"/>
    <w:rsid w:val="00040B36"/>
    <w:rsid w:val="000414F4"/>
    <w:rsid w:val="00042CFF"/>
    <w:rsid w:val="0004364B"/>
    <w:rsid w:val="000466C7"/>
    <w:rsid w:val="00046CA0"/>
    <w:rsid w:val="0004711F"/>
    <w:rsid w:val="0005155D"/>
    <w:rsid w:val="00051BBE"/>
    <w:rsid w:val="000523EB"/>
    <w:rsid w:val="00054F43"/>
    <w:rsid w:val="000552F5"/>
    <w:rsid w:val="00057494"/>
    <w:rsid w:val="000602ED"/>
    <w:rsid w:val="00061B1F"/>
    <w:rsid w:val="00062324"/>
    <w:rsid w:val="000627CE"/>
    <w:rsid w:val="00062DD5"/>
    <w:rsid w:val="00063935"/>
    <w:rsid w:val="00065146"/>
    <w:rsid w:val="00065D2F"/>
    <w:rsid w:val="000677C9"/>
    <w:rsid w:val="0007275F"/>
    <w:rsid w:val="00072B22"/>
    <w:rsid w:val="000733C4"/>
    <w:rsid w:val="00074783"/>
    <w:rsid w:val="00074A0A"/>
    <w:rsid w:val="00074BCD"/>
    <w:rsid w:val="0007641C"/>
    <w:rsid w:val="00077807"/>
    <w:rsid w:val="00077B5B"/>
    <w:rsid w:val="00077E4B"/>
    <w:rsid w:val="0008070B"/>
    <w:rsid w:val="00080E7D"/>
    <w:rsid w:val="000810AC"/>
    <w:rsid w:val="00081A02"/>
    <w:rsid w:val="00081B4D"/>
    <w:rsid w:val="00082231"/>
    <w:rsid w:val="000825F5"/>
    <w:rsid w:val="00082D95"/>
    <w:rsid w:val="00087B7D"/>
    <w:rsid w:val="00091B43"/>
    <w:rsid w:val="00092673"/>
    <w:rsid w:val="00092D38"/>
    <w:rsid w:val="00093404"/>
    <w:rsid w:val="00093723"/>
    <w:rsid w:val="0009377B"/>
    <w:rsid w:val="00093927"/>
    <w:rsid w:val="00094270"/>
    <w:rsid w:val="000A0CDC"/>
    <w:rsid w:val="000A20C9"/>
    <w:rsid w:val="000A24C3"/>
    <w:rsid w:val="000A439F"/>
    <w:rsid w:val="000A4B43"/>
    <w:rsid w:val="000A5A89"/>
    <w:rsid w:val="000A6FD2"/>
    <w:rsid w:val="000B058F"/>
    <w:rsid w:val="000B07DB"/>
    <w:rsid w:val="000B115B"/>
    <w:rsid w:val="000B1470"/>
    <w:rsid w:val="000B2217"/>
    <w:rsid w:val="000B42D3"/>
    <w:rsid w:val="000B4467"/>
    <w:rsid w:val="000B4DB9"/>
    <w:rsid w:val="000B7156"/>
    <w:rsid w:val="000B744F"/>
    <w:rsid w:val="000C09AC"/>
    <w:rsid w:val="000C0BAF"/>
    <w:rsid w:val="000C2E61"/>
    <w:rsid w:val="000C425E"/>
    <w:rsid w:val="000C4ECE"/>
    <w:rsid w:val="000C6145"/>
    <w:rsid w:val="000C767F"/>
    <w:rsid w:val="000D11EA"/>
    <w:rsid w:val="000D14BD"/>
    <w:rsid w:val="000D1D76"/>
    <w:rsid w:val="000D4138"/>
    <w:rsid w:val="000D4585"/>
    <w:rsid w:val="000D52F4"/>
    <w:rsid w:val="000D5A44"/>
    <w:rsid w:val="000D605C"/>
    <w:rsid w:val="000E1A4A"/>
    <w:rsid w:val="000E3236"/>
    <w:rsid w:val="000E3ED2"/>
    <w:rsid w:val="000E42C7"/>
    <w:rsid w:val="000E43AE"/>
    <w:rsid w:val="000E7755"/>
    <w:rsid w:val="000F0002"/>
    <w:rsid w:val="000F04F6"/>
    <w:rsid w:val="000F0B2A"/>
    <w:rsid w:val="000F333D"/>
    <w:rsid w:val="000F7296"/>
    <w:rsid w:val="0010004E"/>
    <w:rsid w:val="00102518"/>
    <w:rsid w:val="00102B3B"/>
    <w:rsid w:val="00103ED0"/>
    <w:rsid w:val="0010405C"/>
    <w:rsid w:val="00104F48"/>
    <w:rsid w:val="00105578"/>
    <w:rsid w:val="00105652"/>
    <w:rsid w:val="00105CB7"/>
    <w:rsid w:val="001076DF"/>
    <w:rsid w:val="00107D45"/>
    <w:rsid w:val="00111245"/>
    <w:rsid w:val="00111EFA"/>
    <w:rsid w:val="00126DBD"/>
    <w:rsid w:val="00127539"/>
    <w:rsid w:val="00127C38"/>
    <w:rsid w:val="00127D0F"/>
    <w:rsid w:val="00131D66"/>
    <w:rsid w:val="00131F42"/>
    <w:rsid w:val="00134BAE"/>
    <w:rsid w:val="00135412"/>
    <w:rsid w:val="001357F1"/>
    <w:rsid w:val="00137104"/>
    <w:rsid w:val="001374DE"/>
    <w:rsid w:val="00137683"/>
    <w:rsid w:val="00140FA8"/>
    <w:rsid w:val="00141754"/>
    <w:rsid w:val="00142BFF"/>
    <w:rsid w:val="00142FEB"/>
    <w:rsid w:val="00143A2D"/>
    <w:rsid w:val="00143DA7"/>
    <w:rsid w:val="00144272"/>
    <w:rsid w:val="00145A41"/>
    <w:rsid w:val="0014644E"/>
    <w:rsid w:val="00147340"/>
    <w:rsid w:val="00147428"/>
    <w:rsid w:val="00147498"/>
    <w:rsid w:val="00147708"/>
    <w:rsid w:val="00151675"/>
    <w:rsid w:val="00151686"/>
    <w:rsid w:val="00152513"/>
    <w:rsid w:val="0015310D"/>
    <w:rsid w:val="00154F78"/>
    <w:rsid w:val="001551DD"/>
    <w:rsid w:val="0015625E"/>
    <w:rsid w:val="0015725B"/>
    <w:rsid w:val="00157435"/>
    <w:rsid w:val="00157C98"/>
    <w:rsid w:val="00160651"/>
    <w:rsid w:val="00161C6B"/>
    <w:rsid w:val="00163355"/>
    <w:rsid w:val="001654BB"/>
    <w:rsid w:val="001678BE"/>
    <w:rsid w:val="00170B5A"/>
    <w:rsid w:val="00172901"/>
    <w:rsid w:val="00172A27"/>
    <w:rsid w:val="00172ADC"/>
    <w:rsid w:val="001746F6"/>
    <w:rsid w:val="0017482B"/>
    <w:rsid w:val="00174964"/>
    <w:rsid w:val="0017504D"/>
    <w:rsid w:val="0017666A"/>
    <w:rsid w:val="0017671A"/>
    <w:rsid w:val="00177422"/>
    <w:rsid w:val="00181C34"/>
    <w:rsid w:val="00181F55"/>
    <w:rsid w:val="00182A31"/>
    <w:rsid w:val="00182E26"/>
    <w:rsid w:val="001841BE"/>
    <w:rsid w:val="0018443C"/>
    <w:rsid w:val="00184590"/>
    <w:rsid w:val="00185874"/>
    <w:rsid w:val="00185993"/>
    <w:rsid w:val="0018662C"/>
    <w:rsid w:val="0018678F"/>
    <w:rsid w:val="00186BF0"/>
    <w:rsid w:val="001870D1"/>
    <w:rsid w:val="0018781E"/>
    <w:rsid w:val="00191CC6"/>
    <w:rsid w:val="0019262D"/>
    <w:rsid w:val="00192D6F"/>
    <w:rsid w:val="001931D4"/>
    <w:rsid w:val="00193325"/>
    <w:rsid w:val="001A0EB4"/>
    <w:rsid w:val="001A130A"/>
    <w:rsid w:val="001A1B35"/>
    <w:rsid w:val="001A1C28"/>
    <w:rsid w:val="001A1C7B"/>
    <w:rsid w:val="001A385D"/>
    <w:rsid w:val="001A48A2"/>
    <w:rsid w:val="001A63F0"/>
    <w:rsid w:val="001A6E80"/>
    <w:rsid w:val="001A6F61"/>
    <w:rsid w:val="001A7E86"/>
    <w:rsid w:val="001B00B1"/>
    <w:rsid w:val="001B13F8"/>
    <w:rsid w:val="001B4E47"/>
    <w:rsid w:val="001B72B8"/>
    <w:rsid w:val="001B79F4"/>
    <w:rsid w:val="001C69B3"/>
    <w:rsid w:val="001C7C54"/>
    <w:rsid w:val="001D13DB"/>
    <w:rsid w:val="001D18E7"/>
    <w:rsid w:val="001D3D48"/>
    <w:rsid w:val="001D5595"/>
    <w:rsid w:val="001D73AA"/>
    <w:rsid w:val="001D755D"/>
    <w:rsid w:val="001D7874"/>
    <w:rsid w:val="001D7CCA"/>
    <w:rsid w:val="001D7F22"/>
    <w:rsid w:val="001E01FC"/>
    <w:rsid w:val="001E1C54"/>
    <w:rsid w:val="001E292F"/>
    <w:rsid w:val="001E45A9"/>
    <w:rsid w:val="001E5592"/>
    <w:rsid w:val="001F00E7"/>
    <w:rsid w:val="001F0659"/>
    <w:rsid w:val="001F083F"/>
    <w:rsid w:val="001F0F17"/>
    <w:rsid w:val="001F2B5E"/>
    <w:rsid w:val="001F3347"/>
    <w:rsid w:val="001F69E4"/>
    <w:rsid w:val="001F7445"/>
    <w:rsid w:val="00201364"/>
    <w:rsid w:val="0020239E"/>
    <w:rsid w:val="00203ADA"/>
    <w:rsid w:val="00210C8B"/>
    <w:rsid w:val="00210FD8"/>
    <w:rsid w:val="002125B4"/>
    <w:rsid w:val="002155B8"/>
    <w:rsid w:val="00217B5C"/>
    <w:rsid w:val="002208F4"/>
    <w:rsid w:val="002242DE"/>
    <w:rsid w:val="00224839"/>
    <w:rsid w:val="002249B2"/>
    <w:rsid w:val="00226444"/>
    <w:rsid w:val="00226574"/>
    <w:rsid w:val="002278EC"/>
    <w:rsid w:val="00227CDB"/>
    <w:rsid w:val="00231AF1"/>
    <w:rsid w:val="0023280E"/>
    <w:rsid w:val="00233015"/>
    <w:rsid w:val="00237531"/>
    <w:rsid w:val="002377D1"/>
    <w:rsid w:val="002427F9"/>
    <w:rsid w:val="00242895"/>
    <w:rsid w:val="00242FD3"/>
    <w:rsid w:val="00246996"/>
    <w:rsid w:val="0025013A"/>
    <w:rsid w:val="00250155"/>
    <w:rsid w:val="002506BC"/>
    <w:rsid w:val="00252858"/>
    <w:rsid w:val="00254345"/>
    <w:rsid w:val="002572AD"/>
    <w:rsid w:val="0026001E"/>
    <w:rsid w:val="002611F9"/>
    <w:rsid w:val="00261C81"/>
    <w:rsid w:val="002621E7"/>
    <w:rsid w:val="002629EC"/>
    <w:rsid w:val="00264207"/>
    <w:rsid w:val="00264557"/>
    <w:rsid w:val="002647D3"/>
    <w:rsid w:val="002661CB"/>
    <w:rsid w:val="002663F1"/>
    <w:rsid w:val="00270323"/>
    <w:rsid w:val="0027058D"/>
    <w:rsid w:val="0027071E"/>
    <w:rsid w:val="00270B4A"/>
    <w:rsid w:val="00275B45"/>
    <w:rsid w:val="0027717D"/>
    <w:rsid w:val="00277395"/>
    <w:rsid w:val="00277CBD"/>
    <w:rsid w:val="00277D29"/>
    <w:rsid w:val="00280161"/>
    <w:rsid w:val="002805AB"/>
    <w:rsid w:val="00283156"/>
    <w:rsid w:val="00284204"/>
    <w:rsid w:val="0028495B"/>
    <w:rsid w:val="00285A97"/>
    <w:rsid w:val="00285BE2"/>
    <w:rsid w:val="00286298"/>
    <w:rsid w:val="002862FA"/>
    <w:rsid w:val="0028779C"/>
    <w:rsid w:val="002903C3"/>
    <w:rsid w:val="00291773"/>
    <w:rsid w:val="002924F8"/>
    <w:rsid w:val="002932E0"/>
    <w:rsid w:val="0029570A"/>
    <w:rsid w:val="00296513"/>
    <w:rsid w:val="00297AFC"/>
    <w:rsid w:val="002A168C"/>
    <w:rsid w:val="002A210F"/>
    <w:rsid w:val="002A2E03"/>
    <w:rsid w:val="002A3DC7"/>
    <w:rsid w:val="002A4D82"/>
    <w:rsid w:val="002B0242"/>
    <w:rsid w:val="002B1C08"/>
    <w:rsid w:val="002B1E24"/>
    <w:rsid w:val="002B2BF5"/>
    <w:rsid w:val="002B376A"/>
    <w:rsid w:val="002B3CDE"/>
    <w:rsid w:val="002B49E2"/>
    <w:rsid w:val="002B569D"/>
    <w:rsid w:val="002B675E"/>
    <w:rsid w:val="002B7B00"/>
    <w:rsid w:val="002B7C44"/>
    <w:rsid w:val="002C2B17"/>
    <w:rsid w:val="002C31F9"/>
    <w:rsid w:val="002C3A65"/>
    <w:rsid w:val="002C4C30"/>
    <w:rsid w:val="002C4EDE"/>
    <w:rsid w:val="002C5C3C"/>
    <w:rsid w:val="002C5D18"/>
    <w:rsid w:val="002D087B"/>
    <w:rsid w:val="002D307E"/>
    <w:rsid w:val="002D3148"/>
    <w:rsid w:val="002D3503"/>
    <w:rsid w:val="002D3DD0"/>
    <w:rsid w:val="002D47CE"/>
    <w:rsid w:val="002D4C52"/>
    <w:rsid w:val="002D701A"/>
    <w:rsid w:val="002D75CC"/>
    <w:rsid w:val="002D79C4"/>
    <w:rsid w:val="002D7DD3"/>
    <w:rsid w:val="002E1357"/>
    <w:rsid w:val="002E1F3A"/>
    <w:rsid w:val="002E2740"/>
    <w:rsid w:val="002E27C0"/>
    <w:rsid w:val="002E298A"/>
    <w:rsid w:val="002E3450"/>
    <w:rsid w:val="002E4276"/>
    <w:rsid w:val="002E7501"/>
    <w:rsid w:val="002E7BC2"/>
    <w:rsid w:val="002E7CB8"/>
    <w:rsid w:val="002F03DF"/>
    <w:rsid w:val="002F0E2D"/>
    <w:rsid w:val="002F22A6"/>
    <w:rsid w:val="002F2570"/>
    <w:rsid w:val="002F3D7A"/>
    <w:rsid w:val="002F42F1"/>
    <w:rsid w:val="002F458A"/>
    <w:rsid w:val="002F61BA"/>
    <w:rsid w:val="00301631"/>
    <w:rsid w:val="0030170C"/>
    <w:rsid w:val="00301978"/>
    <w:rsid w:val="003026BF"/>
    <w:rsid w:val="0030332C"/>
    <w:rsid w:val="00303968"/>
    <w:rsid w:val="003051C2"/>
    <w:rsid w:val="00305E50"/>
    <w:rsid w:val="00307C33"/>
    <w:rsid w:val="00311229"/>
    <w:rsid w:val="00312296"/>
    <w:rsid w:val="0031281E"/>
    <w:rsid w:val="00313CE5"/>
    <w:rsid w:val="00313CED"/>
    <w:rsid w:val="00314F0E"/>
    <w:rsid w:val="00315992"/>
    <w:rsid w:val="00316CF2"/>
    <w:rsid w:val="003170AE"/>
    <w:rsid w:val="00321D8E"/>
    <w:rsid w:val="00322BC4"/>
    <w:rsid w:val="00323E5E"/>
    <w:rsid w:val="00324411"/>
    <w:rsid w:val="00324D8C"/>
    <w:rsid w:val="00325928"/>
    <w:rsid w:val="003274FB"/>
    <w:rsid w:val="00327931"/>
    <w:rsid w:val="003320D5"/>
    <w:rsid w:val="00332863"/>
    <w:rsid w:val="00335DD0"/>
    <w:rsid w:val="0033684D"/>
    <w:rsid w:val="00337740"/>
    <w:rsid w:val="00337B42"/>
    <w:rsid w:val="00341547"/>
    <w:rsid w:val="003415BF"/>
    <w:rsid w:val="00341B42"/>
    <w:rsid w:val="00342C96"/>
    <w:rsid w:val="00343211"/>
    <w:rsid w:val="0034348F"/>
    <w:rsid w:val="00343A7E"/>
    <w:rsid w:val="00344DC3"/>
    <w:rsid w:val="003459A1"/>
    <w:rsid w:val="003504E5"/>
    <w:rsid w:val="00350F61"/>
    <w:rsid w:val="00355FF6"/>
    <w:rsid w:val="00356141"/>
    <w:rsid w:val="00356653"/>
    <w:rsid w:val="0035680A"/>
    <w:rsid w:val="0035728D"/>
    <w:rsid w:val="0035743F"/>
    <w:rsid w:val="00357BE2"/>
    <w:rsid w:val="003608CB"/>
    <w:rsid w:val="00360DE8"/>
    <w:rsid w:val="0036170C"/>
    <w:rsid w:val="0036572B"/>
    <w:rsid w:val="00366E0F"/>
    <w:rsid w:val="00367AEE"/>
    <w:rsid w:val="00372D05"/>
    <w:rsid w:val="00373A8D"/>
    <w:rsid w:val="00374861"/>
    <w:rsid w:val="00375D90"/>
    <w:rsid w:val="00381A72"/>
    <w:rsid w:val="003837BB"/>
    <w:rsid w:val="00384676"/>
    <w:rsid w:val="00384F83"/>
    <w:rsid w:val="00386D16"/>
    <w:rsid w:val="0039038F"/>
    <w:rsid w:val="00390857"/>
    <w:rsid w:val="003919A0"/>
    <w:rsid w:val="003926A9"/>
    <w:rsid w:val="003A17ED"/>
    <w:rsid w:val="003A1E6D"/>
    <w:rsid w:val="003A46D8"/>
    <w:rsid w:val="003A4BF3"/>
    <w:rsid w:val="003A6152"/>
    <w:rsid w:val="003A6242"/>
    <w:rsid w:val="003A6E2B"/>
    <w:rsid w:val="003A6F41"/>
    <w:rsid w:val="003A7D1C"/>
    <w:rsid w:val="003A7D62"/>
    <w:rsid w:val="003B0707"/>
    <w:rsid w:val="003B2FDB"/>
    <w:rsid w:val="003B3337"/>
    <w:rsid w:val="003B3AB0"/>
    <w:rsid w:val="003B420D"/>
    <w:rsid w:val="003B58EF"/>
    <w:rsid w:val="003B68D9"/>
    <w:rsid w:val="003C0CB6"/>
    <w:rsid w:val="003C3094"/>
    <w:rsid w:val="003C313B"/>
    <w:rsid w:val="003C3D7E"/>
    <w:rsid w:val="003C52E0"/>
    <w:rsid w:val="003C5582"/>
    <w:rsid w:val="003C6C16"/>
    <w:rsid w:val="003D03A0"/>
    <w:rsid w:val="003D0ED7"/>
    <w:rsid w:val="003D243E"/>
    <w:rsid w:val="003D2FEA"/>
    <w:rsid w:val="003D5036"/>
    <w:rsid w:val="003D5045"/>
    <w:rsid w:val="003D794D"/>
    <w:rsid w:val="003E0047"/>
    <w:rsid w:val="003E06AE"/>
    <w:rsid w:val="003E1113"/>
    <w:rsid w:val="003E1BD3"/>
    <w:rsid w:val="003E3058"/>
    <w:rsid w:val="003E336E"/>
    <w:rsid w:val="003E43B4"/>
    <w:rsid w:val="003E76A9"/>
    <w:rsid w:val="003F0809"/>
    <w:rsid w:val="003F16BA"/>
    <w:rsid w:val="003F448C"/>
    <w:rsid w:val="003F4660"/>
    <w:rsid w:val="003F4ADF"/>
    <w:rsid w:val="003F62F5"/>
    <w:rsid w:val="003F6A8C"/>
    <w:rsid w:val="003F755C"/>
    <w:rsid w:val="003F7A81"/>
    <w:rsid w:val="00400287"/>
    <w:rsid w:val="004010E2"/>
    <w:rsid w:val="00401548"/>
    <w:rsid w:val="00402664"/>
    <w:rsid w:val="00403266"/>
    <w:rsid w:val="00405B9C"/>
    <w:rsid w:val="0040693A"/>
    <w:rsid w:val="00406C26"/>
    <w:rsid w:val="00406F01"/>
    <w:rsid w:val="0041025B"/>
    <w:rsid w:val="004120D5"/>
    <w:rsid w:val="00413F00"/>
    <w:rsid w:val="0041492B"/>
    <w:rsid w:val="004149BC"/>
    <w:rsid w:val="00416D50"/>
    <w:rsid w:val="00416FD5"/>
    <w:rsid w:val="00417772"/>
    <w:rsid w:val="004205B5"/>
    <w:rsid w:val="00420E6A"/>
    <w:rsid w:val="00422003"/>
    <w:rsid w:val="00422C04"/>
    <w:rsid w:val="00423C35"/>
    <w:rsid w:val="00424306"/>
    <w:rsid w:val="00425953"/>
    <w:rsid w:val="00425A9E"/>
    <w:rsid w:val="00426D6B"/>
    <w:rsid w:val="00427FEA"/>
    <w:rsid w:val="00431E6C"/>
    <w:rsid w:val="004338C3"/>
    <w:rsid w:val="00433CE7"/>
    <w:rsid w:val="0043654B"/>
    <w:rsid w:val="00436AB6"/>
    <w:rsid w:val="00440736"/>
    <w:rsid w:val="00441793"/>
    <w:rsid w:val="004418D3"/>
    <w:rsid w:val="00443AA4"/>
    <w:rsid w:val="00443CAB"/>
    <w:rsid w:val="00444ACD"/>
    <w:rsid w:val="0044531F"/>
    <w:rsid w:val="00445544"/>
    <w:rsid w:val="004467B3"/>
    <w:rsid w:val="00446AF9"/>
    <w:rsid w:val="00446CC9"/>
    <w:rsid w:val="0045046A"/>
    <w:rsid w:val="00452738"/>
    <w:rsid w:val="004531C9"/>
    <w:rsid w:val="00454AB9"/>
    <w:rsid w:val="00456091"/>
    <w:rsid w:val="00456DAB"/>
    <w:rsid w:val="00457DF8"/>
    <w:rsid w:val="0046111F"/>
    <w:rsid w:val="00462519"/>
    <w:rsid w:val="00463114"/>
    <w:rsid w:val="00464200"/>
    <w:rsid w:val="00466321"/>
    <w:rsid w:val="00466F06"/>
    <w:rsid w:val="00470D86"/>
    <w:rsid w:val="00472A5A"/>
    <w:rsid w:val="0047344B"/>
    <w:rsid w:val="00474107"/>
    <w:rsid w:val="00475AD3"/>
    <w:rsid w:val="00482640"/>
    <w:rsid w:val="00482E8B"/>
    <w:rsid w:val="00484197"/>
    <w:rsid w:val="00484B9B"/>
    <w:rsid w:val="004855F6"/>
    <w:rsid w:val="0048661E"/>
    <w:rsid w:val="00486FAA"/>
    <w:rsid w:val="00490B57"/>
    <w:rsid w:val="004914BD"/>
    <w:rsid w:val="00491594"/>
    <w:rsid w:val="00491E89"/>
    <w:rsid w:val="00492657"/>
    <w:rsid w:val="00493A06"/>
    <w:rsid w:val="00494670"/>
    <w:rsid w:val="004A0E4E"/>
    <w:rsid w:val="004A0F43"/>
    <w:rsid w:val="004A10B2"/>
    <w:rsid w:val="004A2A10"/>
    <w:rsid w:val="004A3823"/>
    <w:rsid w:val="004A38F8"/>
    <w:rsid w:val="004A4808"/>
    <w:rsid w:val="004A4988"/>
    <w:rsid w:val="004A4B55"/>
    <w:rsid w:val="004A66C2"/>
    <w:rsid w:val="004A7D47"/>
    <w:rsid w:val="004B0C8B"/>
    <w:rsid w:val="004B173E"/>
    <w:rsid w:val="004B4BFD"/>
    <w:rsid w:val="004B5416"/>
    <w:rsid w:val="004C057F"/>
    <w:rsid w:val="004C3284"/>
    <w:rsid w:val="004C3C7B"/>
    <w:rsid w:val="004C3FEA"/>
    <w:rsid w:val="004C58F0"/>
    <w:rsid w:val="004C61E9"/>
    <w:rsid w:val="004C62E8"/>
    <w:rsid w:val="004D00D9"/>
    <w:rsid w:val="004D0B54"/>
    <w:rsid w:val="004D2AD8"/>
    <w:rsid w:val="004D2D7C"/>
    <w:rsid w:val="004D3A35"/>
    <w:rsid w:val="004D629E"/>
    <w:rsid w:val="004D674E"/>
    <w:rsid w:val="004D6BBB"/>
    <w:rsid w:val="004E0020"/>
    <w:rsid w:val="004E251C"/>
    <w:rsid w:val="004E50AA"/>
    <w:rsid w:val="004E5280"/>
    <w:rsid w:val="004E6946"/>
    <w:rsid w:val="004F1AD8"/>
    <w:rsid w:val="004F1E5F"/>
    <w:rsid w:val="004F3964"/>
    <w:rsid w:val="004F4099"/>
    <w:rsid w:val="004F4B7A"/>
    <w:rsid w:val="004F68E3"/>
    <w:rsid w:val="004F6BFE"/>
    <w:rsid w:val="005039CB"/>
    <w:rsid w:val="0050558F"/>
    <w:rsid w:val="00506286"/>
    <w:rsid w:val="00507D57"/>
    <w:rsid w:val="00507FBE"/>
    <w:rsid w:val="00510813"/>
    <w:rsid w:val="00511990"/>
    <w:rsid w:val="00511DE0"/>
    <w:rsid w:val="00512E31"/>
    <w:rsid w:val="00514870"/>
    <w:rsid w:val="00514B9B"/>
    <w:rsid w:val="00514F16"/>
    <w:rsid w:val="00515534"/>
    <w:rsid w:val="00517F02"/>
    <w:rsid w:val="005210A5"/>
    <w:rsid w:val="00524303"/>
    <w:rsid w:val="005258A2"/>
    <w:rsid w:val="0052691A"/>
    <w:rsid w:val="00530B7A"/>
    <w:rsid w:val="005321D7"/>
    <w:rsid w:val="005325D8"/>
    <w:rsid w:val="0053396B"/>
    <w:rsid w:val="00533CC7"/>
    <w:rsid w:val="00536F53"/>
    <w:rsid w:val="005401AE"/>
    <w:rsid w:val="00542E07"/>
    <w:rsid w:val="00543ACB"/>
    <w:rsid w:val="00543BE1"/>
    <w:rsid w:val="00544701"/>
    <w:rsid w:val="00544901"/>
    <w:rsid w:val="00545424"/>
    <w:rsid w:val="005502FF"/>
    <w:rsid w:val="0055220E"/>
    <w:rsid w:val="005539A0"/>
    <w:rsid w:val="00553DE0"/>
    <w:rsid w:val="00554A7B"/>
    <w:rsid w:val="0055572C"/>
    <w:rsid w:val="005576ED"/>
    <w:rsid w:val="00560688"/>
    <w:rsid w:val="0056106A"/>
    <w:rsid w:val="005620E2"/>
    <w:rsid w:val="00563274"/>
    <w:rsid w:val="00563FA0"/>
    <w:rsid w:val="005640B9"/>
    <w:rsid w:val="00566203"/>
    <w:rsid w:val="00567219"/>
    <w:rsid w:val="00571CD7"/>
    <w:rsid w:val="005720AE"/>
    <w:rsid w:val="00572795"/>
    <w:rsid w:val="005728A6"/>
    <w:rsid w:val="00572E53"/>
    <w:rsid w:val="00573148"/>
    <w:rsid w:val="0057453E"/>
    <w:rsid w:val="00574E66"/>
    <w:rsid w:val="0057574E"/>
    <w:rsid w:val="005827AA"/>
    <w:rsid w:val="005848AB"/>
    <w:rsid w:val="00584A39"/>
    <w:rsid w:val="00585E38"/>
    <w:rsid w:val="005901CF"/>
    <w:rsid w:val="00590CFC"/>
    <w:rsid w:val="0059153C"/>
    <w:rsid w:val="00593912"/>
    <w:rsid w:val="00593CE4"/>
    <w:rsid w:val="00594D77"/>
    <w:rsid w:val="00594EB0"/>
    <w:rsid w:val="0059526B"/>
    <w:rsid w:val="005959B3"/>
    <w:rsid w:val="00596319"/>
    <w:rsid w:val="005969E4"/>
    <w:rsid w:val="005A06B7"/>
    <w:rsid w:val="005A0E0E"/>
    <w:rsid w:val="005A1759"/>
    <w:rsid w:val="005A4F86"/>
    <w:rsid w:val="005A68A7"/>
    <w:rsid w:val="005B1EF1"/>
    <w:rsid w:val="005B2C9E"/>
    <w:rsid w:val="005B4025"/>
    <w:rsid w:val="005B429A"/>
    <w:rsid w:val="005B5255"/>
    <w:rsid w:val="005C116C"/>
    <w:rsid w:val="005C1D8A"/>
    <w:rsid w:val="005C291D"/>
    <w:rsid w:val="005C2A9D"/>
    <w:rsid w:val="005C2C61"/>
    <w:rsid w:val="005C2DB2"/>
    <w:rsid w:val="005C37BC"/>
    <w:rsid w:val="005C5FDE"/>
    <w:rsid w:val="005C6EFF"/>
    <w:rsid w:val="005C7400"/>
    <w:rsid w:val="005D1E44"/>
    <w:rsid w:val="005D2B01"/>
    <w:rsid w:val="005D36AB"/>
    <w:rsid w:val="005D3C76"/>
    <w:rsid w:val="005D5312"/>
    <w:rsid w:val="005D6D81"/>
    <w:rsid w:val="005D6EF3"/>
    <w:rsid w:val="005E0690"/>
    <w:rsid w:val="005E123E"/>
    <w:rsid w:val="005E24F9"/>
    <w:rsid w:val="005E2669"/>
    <w:rsid w:val="005E47A4"/>
    <w:rsid w:val="005E6DD7"/>
    <w:rsid w:val="005F149E"/>
    <w:rsid w:val="005F1EE1"/>
    <w:rsid w:val="005F29FF"/>
    <w:rsid w:val="005F2A16"/>
    <w:rsid w:val="005F43F6"/>
    <w:rsid w:val="005F547D"/>
    <w:rsid w:val="005F5588"/>
    <w:rsid w:val="005F5C8D"/>
    <w:rsid w:val="005F5DA1"/>
    <w:rsid w:val="00600819"/>
    <w:rsid w:val="006027B6"/>
    <w:rsid w:val="00602F99"/>
    <w:rsid w:val="0060415B"/>
    <w:rsid w:val="0060499C"/>
    <w:rsid w:val="006049AD"/>
    <w:rsid w:val="006068D6"/>
    <w:rsid w:val="00610B89"/>
    <w:rsid w:val="0061132E"/>
    <w:rsid w:val="00612B74"/>
    <w:rsid w:val="0061375A"/>
    <w:rsid w:val="006138E5"/>
    <w:rsid w:val="00613BAD"/>
    <w:rsid w:val="006140F3"/>
    <w:rsid w:val="006148FB"/>
    <w:rsid w:val="00615EA1"/>
    <w:rsid w:val="006170F0"/>
    <w:rsid w:val="00617BC8"/>
    <w:rsid w:val="00617CC3"/>
    <w:rsid w:val="00622522"/>
    <w:rsid w:val="00622AD6"/>
    <w:rsid w:val="00624CFB"/>
    <w:rsid w:val="00624E67"/>
    <w:rsid w:val="00630388"/>
    <w:rsid w:val="00630539"/>
    <w:rsid w:val="006308F0"/>
    <w:rsid w:val="006312BA"/>
    <w:rsid w:val="006377A6"/>
    <w:rsid w:val="00637A3D"/>
    <w:rsid w:val="00637C6A"/>
    <w:rsid w:val="006411EF"/>
    <w:rsid w:val="006421E2"/>
    <w:rsid w:val="00643113"/>
    <w:rsid w:val="0064349C"/>
    <w:rsid w:val="006439BF"/>
    <w:rsid w:val="0064754E"/>
    <w:rsid w:val="00647AED"/>
    <w:rsid w:val="00651FAD"/>
    <w:rsid w:val="00652B2C"/>
    <w:rsid w:val="0065306A"/>
    <w:rsid w:val="0065390A"/>
    <w:rsid w:val="00653A7C"/>
    <w:rsid w:val="0065531A"/>
    <w:rsid w:val="00656F8F"/>
    <w:rsid w:val="00660FFC"/>
    <w:rsid w:val="0066146C"/>
    <w:rsid w:val="00663CEB"/>
    <w:rsid w:val="00664C86"/>
    <w:rsid w:val="0066519A"/>
    <w:rsid w:val="00665537"/>
    <w:rsid w:val="00667D97"/>
    <w:rsid w:val="00670351"/>
    <w:rsid w:val="006712E1"/>
    <w:rsid w:val="00671349"/>
    <w:rsid w:val="0067146D"/>
    <w:rsid w:val="00671686"/>
    <w:rsid w:val="006748B8"/>
    <w:rsid w:val="006775C3"/>
    <w:rsid w:val="0068198E"/>
    <w:rsid w:val="00685BFF"/>
    <w:rsid w:val="006865AF"/>
    <w:rsid w:val="00691AE1"/>
    <w:rsid w:val="00692111"/>
    <w:rsid w:val="0069290A"/>
    <w:rsid w:val="00693180"/>
    <w:rsid w:val="0069459A"/>
    <w:rsid w:val="00695807"/>
    <w:rsid w:val="0069775A"/>
    <w:rsid w:val="00697813"/>
    <w:rsid w:val="006A08CD"/>
    <w:rsid w:val="006A0ED2"/>
    <w:rsid w:val="006A0F06"/>
    <w:rsid w:val="006A26A2"/>
    <w:rsid w:val="006A3EE8"/>
    <w:rsid w:val="006A592A"/>
    <w:rsid w:val="006A5947"/>
    <w:rsid w:val="006A6C09"/>
    <w:rsid w:val="006A72BF"/>
    <w:rsid w:val="006A7437"/>
    <w:rsid w:val="006B03F2"/>
    <w:rsid w:val="006B07C7"/>
    <w:rsid w:val="006B0A8A"/>
    <w:rsid w:val="006B326B"/>
    <w:rsid w:val="006B37DC"/>
    <w:rsid w:val="006B4021"/>
    <w:rsid w:val="006B4CF1"/>
    <w:rsid w:val="006B4F68"/>
    <w:rsid w:val="006B5797"/>
    <w:rsid w:val="006B5E79"/>
    <w:rsid w:val="006C02D2"/>
    <w:rsid w:val="006C0592"/>
    <w:rsid w:val="006C190A"/>
    <w:rsid w:val="006C272E"/>
    <w:rsid w:val="006C2EF0"/>
    <w:rsid w:val="006C5479"/>
    <w:rsid w:val="006C77A1"/>
    <w:rsid w:val="006D0CE9"/>
    <w:rsid w:val="006D13B5"/>
    <w:rsid w:val="006D1539"/>
    <w:rsid w:val="006D1A74"/>
    <w:rsid w:val="006D3933"/>
    <w:rsid w:val="006D493F"/>
    <w:rsid w:val="006D4A54"/>
    <w:rsid w:val="006E12FF"/>
    <w:rsid w:val="006E22F7"/>
    <w:rsid w:val="006E2484"/>
    <w:rsid w:val="006E29D0"/>
    <w:rsid w:val="006E306D"/>
    <w:rsid w:val="006E350F"/>
    <w:rsid w:val="006E3667"/>
    <w:rsid w:val="006E3F90"/>
    <w:rsid w:val="006E4172"/>
    <w:rsid w:val="006E607E"/>
    <w:rsid w:val="006E723C"/>
    <w:rsid w:val="006F1603"/>
    <w:rsid w:val="006F1AB2"/>
    <w:rsid w:val="006F1C76"/>
    <w:rsid w:val="006F297E"/>
    <w:rsid w:val="006F2E22"/>
    <w:rsid w:val="006F3F54"/>
    <w:rsid w:val="006F58E4"/>
    <w:rsid w:val="006F61D3"/>
    <w:rsid w:val="006F6D8B"/>
    <w:rsid w:val="00700D8E"/>
    <w:rsid w:val="00701EDD"/>
    <w:rsid w:val="0070280D"/>
    <w:rsid w:val="00704047"/>
    <w:rsid w:val="007058A4"/>
    <w:rsid w:val="00706970"/>
    <w:rsid w:val="00706C5D"/>
    <w:rsid w:val="007111CD"/>
    <w:rsid w:val="0071450A"/>
    <w:rsid w:val="00722DEB"/>
    <w:rsid w:val="00725B4B"/>
    <w:rsid w:val="00727B5E"/>
    <w:rsid w:val="007304E0"/>
    <w:rsid w:val="007309B4"/>
    <w:rsid w:val="00732301"/>
    <w:rsid w:val="00732922"/>
    <w:rsid w:val="0073357E"/>
    <w:rsid w:val="00733BEB"/>
    <w:rsid w:val="00735177"/>
    <w:rsid w:val="00740A32"/>
    <w:rsid w:val="0074103F"/>
    <w:rsid w:val="007417A9"/>
    <w:rsid w:val="00743F00"/>
    <w:rsid w:val="0075162E"/>
    <w:rsid w:val="00751BDD"/>
    <w:rsid w:val="00752379"/>
    <w:rsid w:val="00754034"/>
    <w:rsid w:val="0075418D"/>
    <w:rsid w:val="00756056"/>
    <w:rsid w:val="00756556"/>
    <w:rsid w:val="0076054A"/>
    <w:rsid w:val="00760CBC"/>
    <w:rsid w:val="007617A1"/>
    <w:rsid w:val="007618C4"/>
    <w:rsid w:val="007618D8"/>
    <w:rsid w:val="0076239B"/>
    <w:rsid w:val="00762DE0"/>
    <w:rsid w:val="00764ABA"/>
    <w:rsid w:val="00765B29"/>
    <w:rsid w:val="007667B4"/>
    <w:rsid w:val="00767424"/>
    <w:rsid w:val="00767980"/>
    <w:rsid w:val="00767BB4"/>
    <w:rsid w:val="00770161"/>
    <w:rsid w:val="00770B19"/>
    <w:rsid w:val="0077463F"/>
    <w:rsid w:val="007764F5"/>
    <w:rsid w:val="00777B8F"/>
    <w:rsid w:val="00777BCC"/>
    <w:rsid w:val="007801DA"/>
    <w:rsid w:val="007819CB"/>
    <w:rsid w:val="007828A7"/>
    <w:rsid w:val="007836EA"/>
    <w:rsid w:val="00784CDA"/>
    <w:rsid w:val="00787DFA"/>
    <w:rsid w:val="007906C4"/>
    <w:rsid w:val="007915D8"/>
    <w:rsid w:val="0079176C"/>
    <w:rsid w:val="00793B1B"/>
    <w:rsid w:val="007940EA"/>
    <w:rsid w:val="007958E0"/>
    <w:rsid w:val="007967E8"/>
    <w:rsid w:val="00796A16"/>
    <w:rsid w:val="007A099E"/>
    <w:rsid w:val="007A2170"/>
    <w:rsid w:val="007A22BF"/>
    <w:rsid w:val="007A3323"/>
    <w:rsid w:val="007A3406"/>
    <w:rsid w:val="007A5CA1"/>
    <w:rsid w:val="007A6021"/>
    <w:rsid w:val="007A6929"/>
    <w:rsid w:val="007A7DE9"/>
    <w:rsid w:val="007B299A"/>
    <w:rsid w:val="007B3145"/>
    <w:rsid w:val="007B31C1"/>
    <w:rsid w:val="007B3603"/>
    <w:rsid w:val="007B4072"/>
    <w:rsid w:val="007B4C68"/>
    <w:rsid w:val="007B5EE2"/>
    <w:rsid w:val="007B6451"/>
    <w:rsid w:val="007B72B8"/>
    <w:rsid w:val="007B7A58"/>
    <w:rsid w:val="007C1170"/>
    <w:rsid w:val="007C1F54"/>
    <w:rsid w:val="007C1FF9"/>
    <w:rsid w:val="007C21B5"/>
    <w:rsid w:val="007C4FD5"/>
    <w:rsid w:val="007C649C"/>
    <w:rsid w:val="007D11BC"/>
    <w:rsid w:val="007D1A87"/>
    <w:rsid w:val="007D2D2A"/>
    <w:rsid w:val="007D3FE0"/>
    <w:rsid w:val="007D4D88"/>
    <w:rsid w:val="007E3AC2"/>
    <w:rsid w:val="007E4BD2"/>
    <w:rsid w:val="007E5429"/>
    <w:rsid w:val="007F02BB"/>
    <w:rsid w:val="007F1B76"/>
    <w:rsid w:val="007F2F66"/>
    <w:rsid w:val="007F42A9"/>
    <w:rsid w:val="007F5352"/>
    <w:rsid w:val="007F6C6F"/>
    <w:rsid w:val="00801393"/>
    <w:rsid w:val="008024DF"/>
    <w:rsid w:val="00802F88"/>
    <w:rsid w:val="00804072"/>
    <w:rsid w:val="0080743E"/>
    <w:rsid w:val="008124E8"/>
    <w:rsid w:val="0081293E"/>
    <w:rsid w:val="00814294"/>
    <w:rsid w:val="00814E0E"/>
    <w:rsid w:val="0081517D"/>
    <w:rsid w:val="00815465"/>
    <w:rsid w:val="00815D42"/>
    <w:rsid w:val="00815F0F"/>
    <w:rsid w:val="00816446"/>
    <w:rsid w:val="00816E0F"/>
    <w:rsid w:val="00817E9A"/>
    <w:rsid w:val="00820C88"/>
    <w:rsid w:val="00821223"/>
    <w:rsid w:val="0082244F"/>
    <w:rsid w:val="00824346"/>
    <w:rsid w:val="008278ED"/>
    <w:rsid w:val="008306BD"/>
    <w:rsid w:val="00830A00"/>
    <w:rsid w:val="00831A80"/>
    <w:rsid w:val="00833743"/>
    <w:rsid w:val="008340A4"/>
    <w:rsid w:val="008340D9"/>
    <w:rsid w:val="00834B07"/>
    <w:rsid w:val="008351A4"/>
    <w:rsid w:val="00841AAF"/>
    <w:rsid w:val="00841BD1"/>
    <w:rsid w:val="0084220A"/>
    <w:rsid w:val="00845F7E"/>
    <w:rsid w:val="00847DE1"/>
    <w:rsid w:val="00853014"/>
    <w:rsid w:val="00854897"/>
    <w:rsid w:val="0085546C"/>
    <w:rsid w:val="00855CB9"/>
    <w:rsid w:val="00855D02"/>
    <w:rsid w:val="00857307"/>
    <w:rsid w:val="00862F21"/>
    <w:rsid w:val="008664BC"/>
    <w:rsid w:val="008705FF"/>
    <w:rsid w:val="0087135F"/>
    <w:rsid w:val="00872D94"/>
    <w:rsid w:val="00875223"/>
    <w:rsid w:val="00877AEF"/>
    <w:rsid w:val="00880364"/>
    <w:rsid w:val="00884081"/>
    <w:rsid w:val="00884AE1"/>
    <w:rsid w:val="00885A6C"/>
    <w:rsid w:val="00885D54"/>
    <w:rsid w:val="00891592"/>
    <w:rsid w:val="00891E9E"/>
    <w:rsid w:val="008936BE"/>
    <w:rsid w:val="0089375F"/>
    <w:rsid w:val="0089501D"/>
    <w:rsid w:val="00896C94"/>
    <w:rsid w:val="008A071F"/>
    <w:rsid w:val="008A2927"/>
    <w:rsid w:val="008A2E0E"/>
    <w:rsid w:val="008A2F68"/>
    <w:rsid w:val="008B09B7"/>
    <w:rsid w:val="008B3BF7"/>
    <w:rsid w:val="008B4FA6"/>
    <w:rsid w:val="008B50A7"/>
    <w:rsid w:val="008B5282"/>
    <w:rsid w:val="008B6F67"/>
    <w:rsid w:val="008B7AD7"/>
    <w:rsid w:val="008B7C17"/>
    <w:rsid w:val="008C0A49"/>
    <w:rsid w:val="008C2D01"/>
    <w:rsid w:val="008C40E6"/>
    <w:rsid w:val="008C5824"/>
    <w:rsid w:val="008C5E6D"/>
    <w:rsid w:val="008C65E9"/>
    <w:rsid w:val="008D0F7A"/>
    <w:rsid w:val="008D1A84"/>
    <w:rsid w:val="008D2DAA"/>
    <w:rsid w:val="008D3A29"/>
    <w:rsid w:val="008D442F"/>
    <w:rsid w:val="008D4D5A"/>
    <w:rsid w:val="008D62FF"/>
    <w:rsid w:val="008D68E4"/>
    <w:rsid w:val="008D72F9"/>
    <w:rsid w:val="008D762F"/>
    <w:rsid w:val="008D765F"/>
    <w:rsid w:val="008E0506"/>
    <w:rsid w:val="008E0CFF"/>
    <w:rsid w:val="008E141F"/>
    <w:rsid w:val="008E32DE"/>
    <w:rsid w:val="008E5D6B"/>
    <w:rsid w:val="008E6E02"/>
    <w:rsid w:val="008E76F0"/>
    <w:rsid w:val="008E7FBA"/>
    <w:rsid w:val="008F0171"/>
    <w:rsid w:val="008F095A"/>
    <w:rsid w:val="008F1064"/>
    <w:rsid w:val="008F15FE"/>
    <w:rsid w:val="008F1875"/>
    <w:rsid w:val="008F1ABD"/>
    <w:rsid w:val="008F27FB"/>
    <w:rsid w:val="008F2D29"/>
    <w:rsid w:val="008F4B62"/>
    <w:rsid w:val="008F5187"/>
    <w:rsid w:val="008F60D8"/>
    <w:rsid w:val="008F6959"/>
    <w:rsid w:val="00900803"/>
    <w:rsid w:val="00900EF3"/>
    <w:rsid w:val="00902727"/>
    <w:rsid w:val="0090310D"/>
    <w:rsid w:val="0090312B"/>
    <w:rsid w:val="00906C08"/>
    <w:rsid w:val="00910661"/>
    <w:rsid w:val="009126EA"/>
    <w:rsid w:val="00912B9D"/>
    <w:rsid w:val="00913D01"/>
    <w:rsid w:val="00915FD0"/>
    <w:rsid w:val="00917010"/>
    <w:rsid w:val="0091736D"/>
    <w:rsid w:val="0091778C"/>
    <w:rsid w:val="009209E9"/>
    <w:rsid w:val="00920D52"/>
    <w:rsid w:val="00922572"/>
    <w:rsid w:val="009241DA"/>
    <w:rsid w:val="0092710D"/>
    <w:rsid w:val="0093037A"/>
    <w:rsid w:val="00931216"/>
    <w:rsid w:val="00932FA6"/>
    <w:rsid w:val="00933082"/>
    <w:rsid w:val="009334EA"/>
    <w:rsid w:val="0093376D"/>
    <w:rsid w:val="00934920"/>
    <w:rsid w:val="00936276"/>
    <w:rsid w:val="00937682"/>
    <w:rsid w:val="0094039A"/>
    <w:rsid w:val="00940906"/>
    <w:rsid w:val="0094154D"/>
    <w:rsid w:val="00942BCB"/>
    <w:rsid w:val="00943369"/>
    <w:rsid w:val="009462E9"/>
    <w:rsid w:val="00947B1B"/>
    <w:rsid w:val="00950E03"/>
    <w:rsid w:val="0095155F"/>
    <w:rsid w:val="009517BA"/>
    <w:rsid w:val="00952D1D"/>
    <w:rsid w:val="00954429"/>
    <w:rsid w:val="00955D56"/>
    <w:rsid w:val="009563CE"/>
    <w:rsid w:val="00956712"/>
    <w:rsid w:val="0095714B"/>
    <w:rsid w:val="00957DB6"/>
    <w:rsid w:val="009606D3"/>
    <w:rsid w:val="009679BF"/>
    <w:rsid w:val="00970A4F"/>
    <w:rsid w:val="009712E8"/>
    <w:rsid w:val="00971A8B"/>
    <w:rsid w:val="00974388"/>
    <w:rsid w:val="00975675"/>
    <w:rsid w:val="00976328"/>
    <w:rsid w:val="0097680D"/>
    <w:rsid w:val="00977C97"/>
    <w:rsid w:val="0098024C"/>
    <w:rsid w:val="00980AEB"/>
    <w:rsid w:val="00982438"/>
    <w:rsid w:val="0098404C"/>
    <w:rsid w:val="009842E3"/>
    <w:rsid w:val="00984712"/>
    <w:rsid w:val="00985283"/>
    <w:rsid w:val="00985FFB"/>
    <w:rsid w:val="009902EF"/>
    <w:rsid w:val="009919E1"/>
    <w:rsid w:val="00993CD7"/>
    <w:rsid w:val="00994F88"/>
    <w:rsid w:val="00995992"/>
    <w:rsid w:val="009974C1"/>
    <w:rsid w:val="009A03E5"/>
    <w:rsid w:val="009A0E91"/>
    <w:rsid w:val="009A0F39"/>
    <w:rsid w:val="009A0F3B"/>
    <w:rsid w:val="009A15F9"/>
    <w:rsid w:val="009A19FD"/>
    <w:rsid w:val="009A1BB4"/>
    <w:rsid w:val="009A256A"/>
    <w:rsid w:val="009A2628"/>
    <w:rsid w:val="009A3200"/>
    <w:rsid w:val="009A585B"/>
    <w:rsid w:val="009A6789"/>
    <w:rsid w:val="009A7FB1"/>
    <w:rsid w:val="009B053A"/>
    <w:rsid w:val="009B0897"/>
    <w:rsid w:val="009B0EBD"/>
    <w:rsid w:val="009B16E0"/>
    <w:rsid w:val="009B18C3"/>
    <w:rsid w:val="009B473E"/>
    <w:rsid w:val="009B64C4"/>
    <w:rsid w:val="009B6E77"/>
    <w:rsid w:val="009B7862"/>
    <w:rsid w:val="009B7BD9"/>
    <w:rsid w:val="009C5BC3"/>
    <w:rsid w:val="009C7DD5"/>
    <w:rsid w:val="009D0766"/>
    <w:rsid w:val="009D09CB"/>
    <w:rsid w:val="009D0EA3"/>
    <w:rsid w:val="009D1D03"/>
    <w:rsid w:val="009D25CF"/>
    <w:rsid w:val="009D3B9E"/>
    <w:rsid w:val="009D5176"/>
    <w:rsid w:val="009D6A5A"/>
    <w:rsid w:val="009E001B"/>
    <w:rsid w:val="009E1283"/>
    <w:rsid w:val="009E227D"/>
    <w:rsid w:val="009E37DF"/>
    <w:rsid w:val="009E4715"/>
    <w:rsid w:val="009E5019"/>
    <w:rsid w:val="009E5050"/>
    <w:rsid w:val="009E5819"/>
    <w:rsid w:val="009E5AAE"/>
    <w:rsid w:val="009E7118"/>
    <w:rsid w:val="009F172D"/>
    <w:rsid w:val="009F1E7A"/>
    <w:rsid w:val="009F21DF"/>
    <w:rsid w:val="009F2391"/>
    <w:rsid w:val="009F2C7E"/>
    <w:rsid w:val="009F3F1D"/>
    <w:rsid w:val="00A00379"/>
    <w:rsid w:val="00A00F2D"/>
    <w:rsid w:val="00A0144A"/>
    <w:rsid w:val="00A038B0"/>
    <w:rsid w:val="00A04247"/>
    <w:rsid w:val="00A04F1B"/>
    <w:rsid w:val="00A0501B"/>
    <w:rsid w:val="00A054CE"/>
    <w:rsid w:val="00A05848"/>
    <w:rsid w:val="00A06B50"/>
    <w:rsid w:val="00A10958"/>
    <w:rsid w:val="00A10993"/>
    <w:rsid w:val="00A12A20"/>
    <w:rsid w:val="00A14947"/>
    <w:rsid w:val="00A14F4C"/>
    <w:rsid w:val="00A16615"/>
    <w:rsid w:val="00A200D0"/>
    <w:rsid w:val="00A205DC"/>
    <w:rsid w:val="00A2324E"/>
    <w:rsid w:val="00A2346E"/>
    <w:rsid w:val="00A23FD2"/>
    <w:rsid w:val="00A24FDD"/>
    <w:rsid w:val="00A25963"/>
    <w:rsid w:val="00A25CE0"/>
    <w:rsid w:val="00A31FE1"/>
    <w:rsid w:val="00A32171"/>
    <w:rsid w:val="00A328C4"/>
    <w:rsid w:val="00A32A83"/>
    <w:rsid w:val="00A32D61"/>
    <w:rsid w:val="00A32E38"/>
    <w:rsid w:val="00A368DB"/>
    <w:rsid w:val="00A36903"/>
    <w:rsid w:val="00A3759B"/>
    <w:rsid w:val="00A375B8"/>
    <w:rsid w:val="00A411C3"/>
    <w:rsid w:val="00A423AA"/>
    <w:rsid w:val="00A43B43"/>
    <w:rsid w:val="00A51A1D"/>
    <w:rsid w:val="00A525E0"/>
    <w:rsid w:val="00A52A7B"/>
    <w:rsid w:val="00A536D6"/>
    <w:rsid w:val="00A53EC6"/>
    <w:rsid w:val="00A55C0F"/>
    <w:rsid w:val="00A55C4C"/>
    <w:rsid w:val="00A5743F"/>
    <w:rsid w:val="00A575D9"/>
    <w:rsid w:val="00A57CA5"/>
    <w:rsid w:val="00A60CA4"/>
    <w:rsid w:val="00A63003"/>
    <w:rsid w:val="00A658AF"/>
    <w:rsid w:val="00A65FA9"/>
    <w:rsid w:val="00A67124"/>
    <w:rsid w:val="00A71F5C"/>
    <w:rsid w:val="00A73C6D"/>
    <w:rsid w:val="00A74446"/>
    <w:rsid w:val="00A74833"/>
    <w:rsid w:val="00A755DF"/>
    <w:rsid w:val="00A757ED"/>
    <w:rsid w:val="00A75EE1"/>
    <w:rsid w:val="00A80593"/>
    <w:rsid w:val="00A81603"/>
    <w:rsid w:val="00A81E74"/>
    <w:rsid w:val="00A82CE0"/>
    <w:rsid w:val="00A832E6"/>
    <w:rsid w:val="00A835DD"/>
    <w:rsid w:val="00A85B73"/>
    <w:rsid w:val="00A86A5A"/>
    <w:rsid w:val="00A8713F"/>
    <w:rsid w:val="00A90BA1"/>
    <w:rsid w:val="00A91A2C"/>
    <w:rsid w:val="00A92A71"/>
    <w:rsid w:val="00A93D9F"/>
    <w:rsid w:val="00A95215"/>
    <w:rsid w:val="00A97A9A"/>
    <w:rsid w:val="00AA0671"/>
    <w:rsid w:val="00AA2149"/>
    <w:rsid w:val="00AA2531"/>
    <w:rsid w:val="00AA26AE"/>
    <w:rsid w:val="00AA311A"/>
    <w:rsid w:val="00AA35BF"/>
    <w:rsid w:val="00AB091C"/>
    <w:rsid w:val="00AB15A3"/>
    <w:rsid w:val="00AB1E09"/>
    <w:rsid w:val="00AB5330"/>
    <w:rsid w:val="00AB596B"/>
    <w:rsid w:val="00AB7747"/>
    <w:rsid w:val="00AB795F"/>
    <w:rsid w:val="00AB7CCB"/>
    <w:rsid w:val="00AC0A2A"/>
    <w:rsid w:val="00AC14CE"/>
    <w:rsid w:val="00AC1834"/>
    <w:rsid w:val="00AC1C23"/>
    <w:rsid w:val="00AC2A56"/>
    <w:rsid w:val="00AC34DF"/>
    <w:rsid w:val="00AC3674"/>
    <w:rsid w:val="00AD01F0"/>
    <w:rsid w:val="00AD055E"/>
    <w:rsid w:val="00AD0641"/>
    <w:rsid w:val="00AD1507"/>
    <w:rsid w:val="00AD1F9C"/>
    <w:rsid w:val="00AD2F57"/>
    <w:rsid w:val="00AD31D0"/>
    <w:rsid w:val="00AD47A7"/>
    <w:rsid w:val="00AD7712"/>
    <w:rsid w:val="00AE0C9D"/>
    <w:rsid w:val="00AE188E"/>
    <w:rsid w:val="00AE2758"/>
    <w:rsid w:val="00AE4B44"/>
    <w:rsid w:val="00AE4C71"/>
    <w:rsid w:val="00AF0CBF"/>
    <w:rsid w:val="00AF253D"/>
    <w:rsid w:val="00AF257F"/>
    <w:rsid w:val="00AF33CF"/>
    <w:rsid w:val="00AF3C32"/>
    <w:rsid w:val="00AF3F2B"/>
    <w:rsid w:val="00AF4D50"/>
    <w:rsid w:val="00AF5332"/>
    <w:rsid w:val="00AF5D40"/>
    <w:rsid w:val="00AF6179"/>
    <w:rsid w:val="00AF65F4"/>
    <w:rsid w:val="00B00C95"/>
    <w:rsid w:val="00B01DB9"/>
    <w:rsid w:val="00B04216"/>
    <w:rsid w:val="00B046B9"/>
    <w:rsid w:val="00B047FA"/>
    <w:rsid w:val="00B04B89"/>
    <w:rsid w:val="00B06A4C"/>
    <w:rsid w:val="00B06FF7"/>
    <w:rsid w:val="00B0710C"/>
    <w:rsid w:val="00B1177F"/>
    <w:rsid w:val="00B1295A"/>
    <w:rsid w:val="00B1334A"/>
    <w:rsid w:val="00B162C5"/>
    <w:rsid w:val="00B20A45"/>
    <w:rsid w:val="00B22C5C"/>
    <w:rsid w:val="00B24F30"/>
    <w:rsid w:val="00B255D4"/>
    <w:rsid w:val="00B25E4E"/>
    <w:rsid w:val="00B27315"/>
    <w:rsid w:val="00B27685"/>
    <w:rsid w:val="00B31ABF"/>
    <w:rsid w:val="00B31ED6"/>
    <w:rsid w:val="00B33BE3"/>
    <w:rsid w:val="00B351DB"/>
    <w:rsid w:val="00B4074C"/>
    <w:rsid w:val="00B40EAD"/>
    <w:rsid w:val="00B42148"/>
    <w:rsid w:val="00B428F8"/>
    <w:rsid w:val="00B43788"/>
    <w:rsid w:val="00B43AD0"/>
    <w:rsid w:val="00B44D42"/>
    <w:rsid w:val="00B45C86"/>
    <w:rsid w:val="00B46B76"/>
    <w:rsid w:val="00B46EB4"/>
    <w:rsid w:val="00B52763"/>
    <w:rsid w:val="00B531CC"/>
    <w:rsid w:val="00B53B5D"/>
    <w:rsid w:val="00B54A95"/>
    <w:rsid w:val="00B55C9C"/>
    <w:rsid w:val="00B57756"/>
    <w:rsid w:val="00B6055E"/>
    <w:rsid w:val="00B62C41"/>
    <w:rsid w:val="00B6317D"/>
    <w:rsid w:val="00B66932"/>
    <w:rsid w:val="00B66FE6"/>
    <w:rsid w:val="00B718FD"/>
    <w:rsid w:val="00B72CC9"/>
    <w:rsid w:val="00B7723F"/>
    <w:rsid w:val="00B80534"/>
    <w:rsid w:val="00B8148E"/>
    <w:rsid w:val="00B81ABF"/>
    <w:rsid w:val="00B81FE9"/>
    <w:rsid w:val="00B8433C"/>
    <w:rsid w:val="00B86D0D"/>
    <w:rsid w:val="00B8706E"/>
    <w:rsid w:val="00B87491"/>
    <w:rsid w:val="00B87915"/>
    <w:rsid w:val="00B90D02"/>
    <w:rsid w:val="00B91FE7"/>
    <w:rsid w:val="00B949AC"/>
    <w:rsid w:val="00B9558E"/>
    <w:rsid w:val="00B97A4F"/>
    <w:rsid w:val="00B97E1A"/>
    <w:rsid w:val="00BA003C"/>
    <w:rsid w:val="00BA00FD"/>
    <w:rsid w:val="00BA0290"/>
    <w:rsid w:val="00BA29E9"/>
    <w:rsid w:val="00BA2C3C"/>
    <w:rsid w:val="00BA5571"/>
    <w:rsid w:val="00BA7142"/>
    <w:rsid w:val="00BA7CA7"/>
    <w:rsid w:val="00BB10DE"/>
    <w:rsid w:val="00BB237C"/>
    <w:rsid w:val="00BB29BB"/>
    <w:rsid w:val="00BB3CD1"/>
    <w:rsid w:val="00BB41A3"/>
    <w:rsid w:val="00BB71B0"/>
    <w:rsid w:val="00BB7AF4"/>
    <w:rsid w:val="00BC32DC"/>
    <w:rsid w:val="00BC35B6"/>
    <w:rsid w:val="00BC4444"/>
    <w:rsid w:val="00BC4976"/>
    <w:rsid w:val="00BC5087"/>
    <w:rsid w:val="00BC56AF"/>
    <w:rsid w:val="00BC66CA"/>
    <w:rsid w:val="00BC6C76"/>
    <w:rsid w:val="00BC6F38"/>
    <w:rsid w:val="00BC7066"/>
    <w:rsid w:val="00BD0F03"/>
    <w:rsid w:val="00BD1B51"/>
    <w:rsid w:val="00BD2209"/>
    <w:rsid w:val="00BD31FD"/>
    <w:rsid w:val="00BD3A7D"/>
    <w:rsid w:val="00BD4596"/>
    <w:rsid w:val="00BD4BE9"/>
    <w:rsid w:val="00BD4E46"/>
    <w:rsid w:val="00BD5D47"/>
    <w:rsid w:val="00BE1405"/>
    <w:rsid w:val="00BE2600"/>
    <w:rsid w:val="00BE2F46"/>
    <w:rsid w:val="00BE312D"/>
    <w:rsid w:val="00BE4D6E"/>
    <w:rsid w:val="00BE5453"/>
    <w:rsid w:val="00BE7C4D"/>
    <w:rsid w:val="00BF0E76"/>
    <w:rsid w:val="00BF1C20"/>
    <w:rsid w:val="00BF1E5A"/>
    <w:rsid w:val="00BF2F8B"/>
    <w:rsid w:val="00BF7434"/>
    <w:rsid w:val="00C00272"/>
    <w:rsid w:val="00C006FC"/>
    <w:rsid w:val="00C00CDD"/>
    <w:rsid w:val="00C010D5"/>
    <w:rsid w:val="00C03C95"/>
    <w:rsid w:val="00C05A63"/>
    <w:rsid w:val="00C10578"/>
    <w:rsid w:val="00C11B95"/>
    <w:rsid w:val="00C135BC"/>
    <w:rsid w:val="00C15C95"/>
    <w:rsid w:val="00C20383"/>
    <w:rsid w:val="00C225DB"/>
    <w:rsid w:val="00C22945"/>
    <w:rsid w:val="00C234EF"/>
    <w:rsid w:val="00C2596A"/>
    <w:rsid w:val="00C26628"/>
    <w:rsid w:val="00C26B15"/>
    <w:rsid w:val="00C27537"/>
    <w:rsid w:val="00C31263"/>
    <w:rsid w:val="00C328FE"/>
    <w:rsid w:val="00C33507"/>
    <w:rsid w:val="00C33934"/>
    <w:rsid w:val="00C35BCD"/>
    <w:rsid w:val="00C40076"/>
    <w:rsid w:val="00C42A88"/>
    <w:rsid w:val="00C42D0B"/>
    <w:rsid w:val="00C4409D"/>
    <w:rsid w:val="00C44177"/>
    <w:rsid w:val="00C44E72"/>
    <w:rsid w:val="00C45125"/>
    <w:rsid w:val="00C452A6"/>
    <w:rsid w:val="00C45A06"/>
    <w:rsid w:val="00C45EEB"/>
    <w:rsid w:val="00C47E5B"/>
    <w:rsid w:val="00C524E5"/>
    <w:rsid w:val="00C5298D"/>
    <w:rsid w:val="00C54682"/>
    <w:rsid w:val="00C54980"/>
    <w:rsid w:val="00C555FF"/>
    <w:rsid w:val="00C612BE"/>
    <w:rsid w:val="00C61E4B"/>
    <w:rsid w:val="00C63CAD"/>
    <w:rsid w:val="00C64BFF"/>
    <w:rsid w:val="00C662A7"/>
    <w:rsid w:val="00C66DF2"/>
    <w:rsid w:val="00C704E9"/>
    <w:rsid w:val="00C70845"/>
    <w:rsid w:val="00C71DD0"/>
    <w:rsid w:val="00C73015"/>
    <w:rsid w:val="00C735BC"/>
    <w:rsid w:val="00C73BB5"/>
    <w:rsid w:val="00C763C9"/>
    <w:rsid w:val="00C76A0E"/>
    <w:rsid w:val="00C80057"/>
    <w:rsid w:val="00C80F4B"/>
    <w:rsid w:val="00C81BF3"/>
    <w:rsid w:val="00C82232"/>
    <w:rsid w:val="00C82913"/>
    <w:rsid w:val="00C86583"/>
    <w:rsid w:val="00C87A8C"/>
    <w:rsid w:val="00C90F5B"/>
    <w:rsid w:val="00C91731"/>
    <w:rsid w:val="00C918E1"/>
    <w:rsid w:val="00C92376"/>
    <w:rsid w:val="00C9470F"/>
    <w:rsid w:val="00C94C50"/>
    <w:rsid w:val="00C961A0"/>
    <w:rsid w:val="00C962A4"/>
    <w:rsid w:val="00C96E2C"/>
    <w:rsid w:val="00C972B1"/>
    <w:rsid w:val="00C974B9"/>
    <w:rsid w:val="00C97656"/>
    <w:rsid w:val="00C977EF"/>
    <w:rsid w:val="00CA06DB"/>
    <w:rsid w:val="00CA2CCE"/>
    <w:rsid w:val="00CA3FAC"/>
    <w:rsid w:val="00CA43FD"/>
    <w:rsid w:val="00CA4CCD"/>
    <w:rsid w:val="00CA58E2"/>
    <w:rsid w:val="00CA7EF8"/>
    <w:rsid w:val="00CB0E07"/>
    <w:rsid w:val="00CB13BF"/>
    <w:rsid w:val="00CB1EB4"/>
    <w:rsid w:val="00CB2C13"/>
    <w:rsid w:val="00CB3D97"/>
    <w:rsid w:val="00CB5ABC"/>
    <w:rsid w:val="00CB5C3F"/>
    <w:rsid w:val="00CB77BE"/>
    <w:rsid w:val="00CC0DA4"/>
    <w:rsid w:val="00CC19F8"/>
    <w:rsid w:val="00CC1CAE"/>
    <w:rsid w:val="00CC1FB4"/>
    <w:rsid w:val="00CC2237"/>
    <w:rsid w:val="00CC28AC"/>
    <w:rsid w:val="00CC489B"/>
    <w:rsid w:val="00CC6AB8"/>
    <w:rsid w:val="00CC794B"/>
    <w:rsid w:val="00CC7F1D"/>
    <w:rsid w:val="00CD1930"/>
    <w:rsid w:val="00CD2BCD"/>
    <w:rsid w:val="00CD34BE"/>
    <w:rsid w:val="00CD37F0"/>
    <w:rsid w:val="00CD3A4C"/>
    <w:rsid w:val="00CD4614"/>
    <w:rsid w:val="00CD5202"/>
    <w:rsid w:val="00CD578B"/>
    <w:rsid w:val="00CD64BA"/>
    <w:rsid w:val="00CD7064"/>
    <w:rsid w:val="00CE10E9"/>
    <w:rsid w:val="00CE2910"/>
    <w:rsid w:val="00CE2A40"/>
    <w:rsid w:val="00CE339E"/>
    <w:rsid w:val="00CE3E77"/>
    <w:rsid w:val="00CE5393"/>
    <w:rsid w:val="00CE690D"/>
    <w:rsid w:val="00CE73E8"/>
    <w:rsid w:val="00CF36BE"/>
    <w:rsid w:val="00CF3AEF"/>
    <w:rsid w:val="00CF4C64"/>
    <w:rsid w:val="00CF6000"/>
    <w:rsid w:val="00CF7E8D"/>
    <w:rsid w:val="00D003F3"/>
    <w:rsid w:val="00D0364F"/>
    <w:rsid w:val="00D05862"/>
    <w:rsid w:val="00D05A25"/>
    <w:rsid w:val="00D0638A"/>
    <w:rsid w:val="00D06834"/>
    <w:rsid w:val="00D06A15"/>
    <w:rsid w:val="00D10107"/>
    <w:rsid w:val="00D10791"/>
    <w:rsid w:val="00D13849"/>
    <w:rsid w:val="00D163CC"/>
    <w:rsid w:val="00D17A5C"/>
    <w:rsid w:val="00D22323"/>
    <w:rsid w:val="00D24A24"/>
    <w:rsid w:val="00D260FC"/>
    <w:rsid w:val="00D2629E"/>
    <w:rsid w:val="00D27BB5"/>
    <w:rsid w:val="00D308ED"/>
    <w:rsid w:val="00D31403"/>
    <w:rsid w:val="00D31DEA"/>
    <w:rsid w:val="00D31F39"/>
    <w:rsid w:val="00D3254E"/>
    <w:rsid w:val="00D32710"/>
    <w:rsid w:val="00D330A1"/>
    <w:rsid w:val="00D333D6"/>
    <w:rsid w:val="00D3396D"/>
    <w:rsid w:val="00D36D86"/>
    <w:rsid w:val="00D41771"/>
    <w:rsid w:val="00D42881"/>
    <w:rsid w:val="00D428AA"/>
    <w:rsid w:val="00D42B7A"/>
    <w:rsid w:val="00D4564E"/>
    <w:rsid w:val="00D47A44"/>
    <w:rsid w:val="00D50A34"/>
    <w:rsid w:val="00D53EFA"/>
    <w:rsid w:val="00D55E9E"/>
    <w:rsid w:val="00D57155"/>
    <w:rsid w:val="00D62465"/>
    <w:rsid w:val="00D63421"/>
    <w:rsid w:val="00D66953"/>
    <w:rsid w:val="00D707FE"/>
    <w:rsid w:val="00D71A23"/>
    <w:rsid w:val="00D726B3"/>
    <w:rsid w:val="00D7313F"/>
    <w:rsid w:val="00D73AFE"/>
    <w:rsid w:val="00D74E3E"/>
    <w:rsid w:val="00D76F29"/>
    <w:rsid w:val="00D7740C"/>
    <w:rsid w:val="00D804BD"/>
    <w:rsid w:val="00D80DD7"/>
    <w:rsid w:val="00D825A6"/>
    <w:rsid w:val="00D84220"/>
    <w:rsid w:val="00D84A05"/>
    <w:rsid w:val="00D84BA0"/>
    <w:rsid w:val="00D84D36"/>
    <w:rsid w:val="00D86CC1"/>
    <w:rsid w:val="00D86FA2"/>
    <w:rsid w:val="00D91423"/>
    <w:rsid w:val="00D91C72"/>
    <w:rsid w:val="00D92957"/>
    <w:rsid w:val="00D94A34"/>
    <w:rsid w:val="00D94A7C"/>
    <w:rsid w:val="00D95896"/>
    <w:rsid w:val="00D97A91"/>
    <w:rsid w:val="00DA060A"/>
    <w:rsid w:val="00DA3338"/>
    <w:rsid w:val="00DA4648"/>
    <w:rsid w:val="00DA67FF"/>
    <w:rsid w:val="00DA7593"/>
    <w:rsid w:val="00DB14CA"/>
    <w:rsid w:val="00DB2730"/>
    <w:rsid w:val="00DB2983"/>
    <w:rsid w:val="00DB2D44"/>
    <w:rsid w:val="00DB3840"/>
    <w:rsid w:val="00DC1257"/>
    <w:rsid w:val="00DC2268"/>
    <w:rsid w:val="00DC3DC0"/>
    <w:rsid w:val="00DC5B2B"/>
    <w:rsid w:val="00DD023A"/>
    <w:rsid w:val="00DD02A7"/>
    <w:rsid w:val="00DD1574"/>
    <w:rsid w:val="00DD1733"/>
    <w:rsid w:val="00DD26CA"/>
    <w:rsid w:val="00DD318D"/>
    <w:rsid w:val="00DD6A1E"/>
    <w:rsid w:val="00DE010E"/>
    <w:rsid w:val="00DE0FB1"/>
    <w:rsid w:val="00DE415E"/>
    <w:rsid w:val="00DE53DC"/>
    <w:rsid w:val="00DE6B12"/>
    <w:rsid w:val="00DF2E12"/>
    <w:rsid w:val="00DF3061"/>
    <w:rsid w:val="00DF514A"/>
    <w:rsid w:val="00DF6690"/>
    <w:rsid w:val="00DF6804"/>
    <w:rsid w:val="00DF6F3F"/>
    <w:rsid w:val="00E00175"/>
    <w:rsid w:val="00E00835"/>
    <w:rsid w:val="00E02675"/>
    <w:rsid w:val="00E0358D"/>
    <w:rsid w:val="00E04323"/>
    <w:rsid w:val="00E070A2"/>
    <w:rsid w:val="00E11F3C"/>
    <w:rsid w:val="00E123C4"/>
    <w:rsid w:val="00E12E57"/>
    <w:rsid w:val="00E15058"/>
    <w:rsid w:val="00E16875"/>
    <w:rsid w:val="00E20157"/>
    <w:rsid w:val="00E22683"/>
    <w:rsid w:val="00E22BEC"/>
    <w:rsid w:val="00E2445A"/>
    <w:rsid w:val="00E24A0E"/>
    <w:rsid w:val="00E2656A"/>
    <w:rsid w:val="00E333FB"/>
    <w:rsid w:val="00E3504D"/>
    <w:rsid w:val="00E3598B"/>
    <w:rsid w:val="00E379E7"/>
    <w:rsid w:val="00E412D0"/>
    <w:rsid w:val="00E438CB"/>
    <w:rsid w:val="00E43CD5"/>
    <w:rsid w:val="00E44610"/>
    <w:rsid w:val="00E47CA6"/>
    <w:rsid w:val="00E54D24"/>
    <w:rsid w:val="00E56322"/>
    <w:rsid w:val="00E5701E"/>
    <w:rsid w:val="00E5794C"/>
    <w:rsid w:val="00E60982"/>
    <w:rsid w:val="00E60CDF"/>
    <w:rsid w:val="00E61F04"/>
    <w:rsid w:val="00E6284A"/>
    <w:rsid w:val="00E62C62"/>
    <w:rsid w:val="00E63F3F"/>
    <w:rsid w:val="00E64637"/>
    <w:rsid w:val="00E64D19"/>
    <w:rsid w:val="00E654C1"/>
    <w:rsid w:val="00E65D97"/>
    <w:rsid w:val="00E66EA9"/>
    <w:rsid w:val="00E67028"/>
    <w:rsid w:val="00E6739C"/>
    <w:rsid w:val="00E67468"/>
    <w:rsid w:val="00E67603"/>
    <w:rsid w:val="00E70276"/>
    <w:rsid w:val="00E72A5A"/>
    <w:rsid w:val="00E73354"/>
    <w:rsid w:val="00E80325"/>
    <w:rsid w:val="00E809E0"/>
    <w:rsid w:val="00E80BBD"/>
    <w:rsid w:val="00E815EA"/>
    <w:rsid w:val="00E81EC4"/>
    <w:rsid w:val="00E839B7"/>
    <w:rsid w:val="00E84BDA"/>
    <w:rsid w:val="00E85B92"/>
    <w:rsid w:val="00E867DC"/>
    <w:rsid w:val="00E905DD"/>
    <w:rsid w:val="00E90DD1"/>
    <w:rsid w:val="00E91724"/>
    <w:rsid w:val="00E9242D"/>
    <w:rsid w:val="00E92996"/>
    <w:rsid w:val="00E95667"/>
    <w:rsid w:val="00E97AE3"/>
    <w:rsid w:val="00EA0DDC"/>
    <w:rsid w:val="00EA1C45"/>
    <w:rsid w:val="00EA2E01"/>
    <w:rsid w:val="00EA325E"/>
    <w:rsid w:val="00EB5255"/>
    <w:rsid w:val="00EB5968"/>
    <w:rsid w:val="00EB5C47"/>
    <w:rsid w:val="00EB6ABC"/>
    <w:rsid w:val="00EB7F84"/>
    <w:rsid w:val="00EC607A"/>
    <w:rsid w:val="00EC6632"/>
    <w:rsid w:val="00EC6D74"/>
    <w:rsid w:val="00EC6DE4"/>
    <w:rsid w:val="00EC7765"/>
    <w:rsid w:val="00EC7A21"/>
    <w:rsid w:val="00ED0639"/>
    <w:rsid w:val="00ED2DCA"/>
    <w:rsid w:val="00ED333B"/>
    <w:rsid w:val="00ED4366"/>
    <w:rsid w:val="00ED60B0"/>
    <w:rsid w:val="00ED7373"/>
    <w:rsid w:val="00ED7B82"/>
    <w:rsid w:val="00EE037A"/>
    <w:rsid w:val="00EE0630"/>
    <w:rsid w:val="00EE0CC2"/>
    <w:rsid w:val="00EE44E2"/>
    <w:rsid w:val="00EE4E6B"/>
    <w:rsid w:val="00EE7A00"/>
    <w:rsid w:val="00EF19FD"/>
    <w:rsid w:val="00EF2255"/>
    <w:rsid w:val="00EF24B6"/>
    <w:rsid w:val="00EF4755"/>
    <w:rsid w:val="00EF4874"/>
    <w:rsid w:val="00EF4BC8"/>
    <w:rsid w:val="00EF6695"/>
    <w:rsid w:val="00EF7135"/>
    <w:rsid w:val="00F015BE"/>
    <w:rsid w:val="00F01BEA"/>
    <w:rsid w:val="00F01D9E"/>
    <w:rsid w:val="00F02707"/>
    <w:rsid w:val="00F027DB"/>
    <w:rsid w:val="00F03485"/>
    <w:rsid w:val="00F10081"/>
    <w:rsid w:val="00F13FCF"/>
    <w:rsid w:val="00F142B2"/>
    <w:rsid w:val="00F142BC"/>
    <w:rsid w:val="00F14A7A"/>
    <w:rsid w:val="00F16DA3"/>
    <w:rsid w:val="00F171E4"/>
    <w:rsid w:val="00F175D6"/>
    <w:rsid w:val="00F20E3D"/>
    <w:rsid w:val="00F20E45"/>
    <w:rsid w:val="00F21232"/>
    <w:rsid w:val="00F2280C"/>
    <w:rsid w:val="00F22985"/>
    <w:rsid w:val="00F23063"/>
    <w:rsid w:val="00F2341F"/>
    <w:rsid w:val="00F23A2F"/>
    <w:rsid w:val="00F257F9"/>
    <w:rsid w:val="00F275FC"/>
    <w:rsid w:val="00F27C6D"/>
    <w:rsid w:val="00F30153"/>
    <w:rsid w:val="00F304AF"/>
    <w:rsid w:val="00F31923"/>
    <w:rsid w:val="00F32D4A"/>
    <w:rsid w:val="00F3383E"/>
    <w:rsid w:val="00F37A80"/>
    <w:rsid w:val="00F37AB9"/>
    <w:rsid w:val="00F4053A"/>
    <w:rsid w:val="00F41036"/>
    <w:rsid w:val="00F42E39"/>
    <w:rsid w:val="00F447CA"/>
    <w:rsid w:val="00F46312"/>
    <w:rsid w:val="00F465A7"/>
    <w:rsid w:val="00F502DB"/>
    <w:rsid w:val="00F50B7C"/>
    <w:rsid w:val="00F50CDF"/>
    <w:rsid w:val="00F52758"/>
    <w:rsid w:val="00F550E6"/>
    <w:rsid w:val="00F552AC"/>
    <w:rsid w:val="00F56274"/>
    <w:rsid w:val="00F57164"/>
    <w:rsid w:val="00F605BC"/>
    <w:rsid w:val="00F620E2"/>
    <w:rsid w:val="00F64E68"/>
    <w:rsid w:val="00F67414"/>
    <w:rsid w:val="00F72303"/>
    <w:rsid w:val="00F74345"/>
    <w:rsid w:val="00F751D2"/>
    <w:rsid w:val="00F76BAA"/>
    <w:rsid w:val="00F80A0A"/>
    <w:rsid w:val="00F82B19"/>
    <w:rsid w:val="00F83192"/>
    <w:rsid w:val="00F8538B"/>
    <w:rsid w:val="00F905B1"/>
    <w:rsid w:val="00F9212D"/>
    <w:rsid w:val="00F95735"/>
    <w:rsid w:val="00F96017"/>
    <w:rsid w:val="00F965DA"/>
    <w:rsid w:val="00F975DD"/>
    <w:rsid w:val="00F97D45"/>
    <w:rsid w:val="00FA00DD"/>
    <w:rsid w:val="00FA1281"/>
    <w:rsid w:val="00FA2651"/>
    <w:rsid w:val="00FA406A"/>
    <w:rsid w:val="00FA5B4C"/>
    <w:rsid w:val="00FA691B"/>
    <w:rsid w:val="00FA6931"/>
    <w:rsid w:val="00FB033D"/>
    <w:rsid w:val="00FB039D"/>
    <w:rsid w:val="00FB07C3"/>
    <w:rsid w:val="00FB0CFA"/>
    <w:rsid w:val="00FB292F"/>
    <w:rsid w:val="00FB2E02"/>
    <w:rsid w:val="00FB4301"/>
    <w:rsid w:val="00FB503A"/>
    <w:rsid w:val="00FB516C"/>
    <w:rsid w:val="00FB7DE3"/>
    <w:rsid w:val="00FB7F22"/>
    <w:rsid w:val="00FC018E"/>
    <w:rsid w:val="00FC028C"/>
    <w:rsid w:val="00FC26FE"/>
    <w:rsid w:val="00FC5204"/>
    <w:rsid w:val="00FC76AF"/>
    <w:rsid w:val="00FD0236"/>
    <w:rsid w:val="00FD18F4"/>
    <w:rsid w:val="00FD2517"/>
    <w:rsid w:val="00FD54DB"/>
    <w:rsid w:val="00FD5F93"/>
    <w:rsid w:val="00FD619F"/>
    <w:rsid w:val="00FE0E46"/>
    <w:rsid w:val="00FE2054"/>
    <w:rsid w:val="00FE392C"/>
    <w:rsid w:val="00FE462C"/>
    <w:rsid w:val="00FE67E0"/>
    <w:rsid w:val="00FF15B5"/>
    <w:rsid w:val="00FF2542"/>
    <w:rsid w:val="00FF45BF"/>
    <w:rsid w:val="00FF50C6"/>
    <w:rsid w:val="01015BD5"/>
    <w:rsid w:val="0107397E"/>
    <w:rsid w:val="0116312F"/>
    <w:rsid w:val="01233A9E"/>
    <w:rsid w:val="012651AE"/>
    <w:rsid w:val="01290F7E"/>
    <w:rsid w:val="012A2737"/>
    <w:rsid w:val="013C52F2"/>
    <w:rsid w:val="014063FE"/>
    <w:rsid w:val="014337F8"/>
    <w:rsid w:val="01447C0F"/>
    <w:rsid w:val="014B3268"/>
    <w:rsid w:val="01545A05"/>
    <w:rsid w:val="0159301C"/>
    <w:rsid w:val="015B4FE6"/>
    <w:rsid w:val="015D1E09"/>
    <w:rsid w:val="01633E9B"/>
    <w:rsid w:val="01695955"/>
    <w:rsid w:val="016C45A1"/>
    <w:rsid w:val="016E2E23"/>
    <w:rsid w:val="017165B7"/>
    <w:rsid w:val="017240DE"/>
    <w:rsid w:val="01734557"/>
    <w:rsid w:val="017C4C15"/>
    <w:rsid w:val="017C5C6B"/>
    <w:rsid w:val="018467E3"/>
    <w:rsid w:val="018C1643"/>
    <w:rsid w:val="018E7169"/>
    <w:rsid w:val="019329D2"/>
    <w:rsid w:val="01964270"/>
    <w:rsid w:val="01987FE8"/>
    <w:rsid w:val="01993D60"/>
    <w:rsid w:val="01995CB9"/>
    <w:rsid w:val="01A324E9"/>
    <w:rsid w:val="01A854A9"/>
    <w:rsid w:val="01A85D51"/>
    <w:rsid w:val="01AD002F"/>
    <w:rsid w:val="01CA3F1A"/>
    <w:rsid w:val="01CB1F85"/>
    <w:rsid w:val="01CB3BC4"/>
    <w:rsid w:val="01CD5C22"/>
    <w:rsid w:val="01CF1530"/>
    <w:rsid w:val="01D34B7C"/>
    <w:rsid w:val="01D84888"/>
    <w:rsid w:val="01DB3D9A"/>
    <w:rsid w:val="01DE2300"/>
    <w:rsid w:val="01E054EB"/>
    <w:rsid w:val="01E46229"/>
    <w:rsid w:val="01E70628"/>
    <w:rsid w:val="01F301BF"/>
    <w:rsid w:val="01FD7E4B"/>
    <w:rsid w:val="01FF3B76"/>
    <w:rsid w:val="020B2AFE"/>
    <w:rsid w:val="021138F7"/>
    <w:rsid w:val="02124A34"/>
    <w:rsid w:val="02184C85"/>
    <w:rsid w:val="02191C02"/>
    <w:rsid w:val="021E6B5B"/>
    <w:rsid w:val="021F6013"/>
    <w:rsid w:val="0224187C"/>
    <w:rsid w:val="0227311A"/>
    <w:rsid w:val="022A0087"/>
    <w:rsid w:val="02325BBF"/>
    <w:rsid w:val="02331ABF"/>
    <w:rsid w:val="02394167"/>
    <w:rsid w:val="023A109F"/>
    <w:rsid w:val="023B43D6"/>
    <w:rsid w:val="02413EA7"/>
    <w:rsid w:val="024C492F"/>
    <w:rsid w:val="024F4C8A"/>
    <w:rsid w:val="02530B82"/>
    <w:rsid w:val="02587614"/>
    <w:rsid w:val="02590C8E"/>
    <w:rsid w:val="025A6E7A"/>
    <w:rsid w:val="025B2545"/>
    <w:rsid w:val="025B6724"/>
    <w:rsid w:val="025C7268"/>
    <w:rsid w:val="02620834"/>
    <w:rsid w:val="026223A4"/>
    <w:rsid w:val="02636F1A"/>
    <w:rsid w:val="02641C78"/>
    <w:rsid w:val="02697903"/>
    <w:rsid w:val="02781F86"/>
    <w:rsid w:val="02867E41"/>
    <w:rsid w:val="02891116"/>
    <w:rsid w:val="028D7421"/>
    <w:rsid w:val="02932BF4"/>
    <w:rsid w:val="029415CA"/>
    <w:rsid w:val="029675E7"/>
    <w:rsid w:val="029C58B6"/>
    <w:rsid w:val="029F2F49"/>
    <w:rsid w:val="02A66735"/>
    <w:rsid w:val="02A74F84"/>
    <w:rsid w:val="02AE669B"/>
    <w:rsid w:val="02C1531D"/>
    <w:rsid w:val="02C60B85"/>
    <w:rsid w:val="02C95F7F"/>
    <w:rsid w:val="02CB3C2C"/>
    <w:rsid w:val="02CD5A6F"/>
    <w:rsid w:val="02CF7133"/>
    <w:rsid w:val="02D0730E"/>
    <w:rsid w:val="02D246EA"/>
    <w:rsid w:val="02D45050"/>
    <w:rsid w:val="02E21879"/>
    <w:rsid w:val="02F456F2"/>
    <w:rsid w:val="02F96569"/>
    <w:rsid w:val="03065D3F"/>
    <w:rsid w:val="031418F0"/>
    <w:rsid w:val="031A4A2D"/>
    <w:rsid w:val="031C07A5"/>
    <w:rsid w:val="031E451D"/>
    <w:rsid w:val="03200295"/>
    <w:rsid w:val="03260C76"/>
    <w:rsid w:val="032D05EE"/>
    <w:rsid w:val="03304250"/>
    <w:rsid w:val="03315E11"/>
    <w:rsid w:val="033337C7"/>
    <w:rsid w:val="03372BDE"/>
    <w:rsid w:val="033A16AA"/>
    <w:rsid w:val="033F6241"/>
    <w:rsid w:val="0341645D"/>
    <w:rsid w:val="03440FA3"/>
    <w:rsid w:val="03457CFC"/>
    <w:rsid w:val="034F0B7A"/>
    <w:rsid w:val="034F2928"/>
    <w:rsid w:val="03563CB7"/>
    <w:rsid w:val="03575298"/>
    <w:rsid w:val="03591474"/>
    <w:rsid w:val="035C6585"/>
    <w:rsid w:val="03620B17"/>
    <w:rsid w:val="036620C2"/>
    <w:rsid w:val="0368294C"/>
    <w:rsid w:val="03701ADE"/>
    <w:rsid w:val="03704807"/>
    <w:rsid w:val="037151E1"/>
    <w:rsid w:val="0374413D"/>
    <w:rsid w:val="03745911"/>
    <w:rsid w:val="03771E7F"/>
    <w:rsid w:val="0380381C"/>
    <w:rsid w:val="038C592B"/>
    <w:rsid w:val="038D16A3"/>
    <w:rsid w:val="038D61B7"/>
    <w:rsid w:val="03920A67"/>
    <w:rsid w:val="03922815"/>
    <w:rsid w:val="03A013D6"/>
    <w:rsid w:val="03A83855"/>
    <w:rsid w:val="03AA5DB1"/>
    <w:rsid w:val="03BE6198"/>
    <w:rsid w:val="03C12859"/>
    <w:rsid w:val="03C64B59"/>
    <w:rsid w:val="03C70711"/>
    <w:rsid w:val="03CF5817"/>
    <w:rsid w:val="03D42E2E"/>
    <w:rsid w:val="03DA48E8"/>
    <w:rsid w:val="03E6453B"/>
    <w:rsid w:val="03EA7B21"/>
    <w:rsid w:val="03EB5A70"/>
    <w:rsid w:val="03F1458F"/>
    <w:rsid w:val="03FE6F0B"/>
    <w:rsid w:val="04067974"/>
    <w:rsid w:val="040A66A5"/>
    <w:rsid w:val="040C60A0"/>
    <w:rsid w:val="04123780"/>
    <w:rsid w:val="04137DFA"/>
    <w:rsid w:val="04186B9D"/>
    <w:rsid w:val="041B280B"/>
    <w:rsid w:val="04223B99"/>
    <w:rsid w:val="042442ED"/>
    <w:rsid w:val="04277401"/>
    <w:rsid w:val="04294F27"/>
    <w:rsid w:val="043164D2"/>
    <w:rsid w:val="043A35D9"/>
    <w:rsid w:val="043D6C25"/>
    <w:rsid w:val="043F7299"/>
    <w:rsid w:val="04425FE9"/>
    <w:rsid w:val="04497F84"/>
    <w:rsid w:val="044C0CB4"/>
    <w:rsid w:val="045B6010"/>
    <w:rsid w:val="045D2E23"/>
    <w:rsid w:val="046441B2"/>
    <w:rsid w:val="04651CD8"/>
    <w:rsid w:val="046E6DDE"/>
    <w:rsid w:val="04730898"/>
    <w:rsid w:val="047C599F"/>
    <w:rsid w:val="047D0461"/>
    <w:rsid w:val="047D1717"/>
    <w:rsid w:val="04812937"/>
    <w:rsid w:val="048473D7"/>
    <w:rsid w:val="04877EA0"/>
    <w:rsid w:val="048E122E"/>
    <w:rsid w:val="04A44EF6"/>
    <w:rsid w:val="04AB3B8E"/>
    <w:rsid w:val="04B53EE0"/>
    <w:rsid w:val="04BC244D"/>
    <w:rsid w:val="04C3537C"/>
    <w:rsid w:val="04C609C8"/>
    <w:rsid w:val="04D0175D"/>
    <w:rsid w:val="04D1563D"/>
    <w:rsid w:val="04D17A43"/>
    <w:rsid w:val="04D74983"/>
    <w:rsid w:val="04DC0528"/>
    <w:rsid w:val="04DC7F02"/>
    <w:rsid w:val="04E24E94"/>
    <w:rsid w:val="04ED064B"/>
    <w:rsid w:val="04F027A3"/>
    <w:rsid w:val="04F54577"/>
    <w:rsid w:val="04F76DD4"/>
    <w:rsid w:val="04FA68C4"/>
    <w:rsid w:val="04FF6CAE"/>
    <w:rsid w:val="050070BD"/>
    <w:rsid w:val="05026153"/>
    <w:rsid w:val="05080FE1"/>
    <w:rsid w:val="050F296C"/>
    <w:rsid w:val="051216E7"/>
    <w:rsid w:val="051C5E31"/>
    <w:rsid w:val="05257DE5"/>
    <w:rsid w:val="052A0F7E"/>
    <w:rsid w:val="05322502"/>
    <w:rsid w:val="053409C8"/>
    <w:rsid w:val="05364797"/>
    <w:rsid w:val="053A13B6"/>
    <w:rsid w:val="053D71DA"/>
    <w:rsid w:val="05431831"/>
    <w:rsid w:val="054639C9"/>
    <w:rsid w:val="05485881"/>
    <w:rsid w:val="05502988"/>
    <w:rsid w:val="057B3BEB"/>
    <w:rsid w:val="057C6008"/>
    <w:rsid w:val="057E5747"/>
    <w:rsid w:val="0580326D"/>
    <w:rsid w:val="058638C0"/>
    <w:rsid w:val="05886E41"/>
    <w:rsid w:val="058B5BAB"/>
    <w:rsid w:val="058D7738"/>
    <w:rsid w:val="058F34B0"/>
    <w:rsid w:val="059C797B"/>
    <w:rsid w:val="059F10EB"/>
    <w:rsid w:val="059F4F4E"/>
    <w:rsid w:val="05AD7DDA"/>
    <w:rsid w:val="05B13426"/>
    <w:rsid w:val="05B1771C"/>
    <w:rsid w:val="05B40AFC"/>
    <w:rsid w:val="05B41169"/>
    <w:rsid w:val="05B80C59"/>
    <w:rsid w:val="05BE3D95"/>
    <w:rsid w:val="05C0567F"/>
    <w:rsid w:val="05C80770"/>
    <w:rsid w:val="05CA273A"/>
    <w:rsid w:val="05D435B9"/>
    <w:rsid w:val="05D922E0"/>
    <w:rsid w:val="05EA4B8A"/>
    <w:rsid w:val="05ED6429"/>
    <w:rsid w:val="05F33538"/>
    <w:rsid w:val="05F81055"/>
    <w:rsid w:val="05F83EAE"/>
    <w:rsid w:val="05F872A7"/>
    <w:rsid w:val="05FD4F07"/>
    <w:rsid w:val="05FE23E4"/>
    <w:rsid w:val="06007F0A"/>
    <w:rsid w:val="06020126"/>
    <w:rsid w:val="060379FA"/>
    <w:rsid w:val="060828DF"/>
    <w:rsid w:val="060C68AF"/>
    <w:rsid w:val="060F639F"/>
    <w:rsid w:val="0618237D"/>
    <w:rsid w:val="061B28F8"/>
    <w:rsid w:val="06212969"/>
    <w:rsid w:val="062C47C4"/>
    <w:rsid w:val="062F2D11"/>
    <w:rsid w:val="062F6A41"/>
    <w:rsid w:val="063A1D55"/>
    <w:rsid w:val="063E7D85"/>
    <w:rsid w:val="064102D2"/>
    <w:rsid w:val="06456265"/>
    <w:rsid w:val="064918B1"/>
    <w:rsid w:val="064952B8"/>
    <w:rsid w:val="064A040C"/>
    <w:rsid w:val="064C7AAF"/>
    <w:rsid w:val="065C1039"/>
    <w:rsid w:val="0664493D"/>
    <w:rsid w:val="06652463"/>
    <w:rsid w:val="06695AAF"/>
    <w:rsid w:val="066E1462"/>
    <w:rsid w:val="06746CFB"/>
    <w:rsid w:val="067508F8"/>
    <w:rsid w:val="067F3525"/>
    <w:rsid w:val="06811479"/>
    <w:rsid w:val="06846D8D"/>
    <w:rsid w:val="06914018"/>
    <w:rsid w:val="069C1ED5"/>
    <w:rsid w:val="06A56F13"/>
    <w:rsid w:val="06B50CF4"/>
    <w:rsid w:val="06BA5F1C"/>
    <w:rsid w:val="06BC02D5"/>
    <w:rsid w:val="06BC034A"/>
    <w:rsid w:val="06BD5DFB"/>
    <w:rsid w:val="06C15099"/>
    <w:rsid w:val="06C46DED"/>
    <w:rsid w:val="06C74ECC"/>
    <w:rsid w:val="06CC72A5"/>
    <w:rsid w:val="06D227E7"/>
    <w:rsid w:val="06D30F0E"/>
    <w:rsid w:val="06D575E9"/>
    <w:rsid w:val="06DD2CBC"/>
    <w:rsid w:val="06DE592F"/>
    <w:rsid w:val="06E65352"/>
    <w:rsid w:val="06EE2458"/>
    <w:rsid w:val="06F02E85"/>
    <w:rsid w:val="06F7130D"/>
    <w:rsid w:val="06F7755F"/>
    <w:rsid w:val="06FA1051"/>
    <w:rsid w:val="06FD4180"/>
    <w:rsid w:val="07091852"/>
    <w:rsid w:val="070C4535"/>
    <w:rsid w:val="070E2AFA"/>
    <w:rsid w:val="07126147"/>
    <w:rsid w:val="07150CF9"/>
    <w:rsid w:val="07204C61"/>
    <w:rsid w:val="07256D45"/>
    <w:rsid w:val="07261BF2"/>
    <w:rsid w:val="07293586"/>
    <w:rsid w:val="07295285"/>
    <w:rsid w:val="072A7934"/>
    <w:rsid w:val="072C5DAF"/>
    <w:rsid w:val="072D4EC7"/>
    <w:rsid w:val="073079D3"/>
    <w:rsid w:val="07313BE5"/>
    <w:rsid w:val="073E3AF2"/>
    <w:rsid w:val="074107DA"/>
    <w:rsid w:val="07493C2F"/>
    <w:rsid w:val="074C5D4B"/>
    <w:rsid w:val="075B5D40"/>
    <w:rsid w:val="075E138C"/>
    <w:rsid w:val="07636392"/>
    <w:rsid w:val="07651EBB"/>
    <w:rsid w:val="076B5857"/>
    <w:rsid w:val="07756327"/>
    <w:rsid w:val="07770C56"/>
    <w:rsid w:val="077E558A"/>
    <w:rsid w:val="078057A6"/>
    <w:rsid w:val="078F7797"/>
    <w:rsid w:val="07911761"/>
    <w:rsid w:val="079527E5"/>
    <w:rsid w:val="079F3753"/>
    <w:rsid w:val="07A2707C"/>
    <w:rsid w:val="07A62D33"/>
    <w:rsid w:val="07A76C22"/>
    <w:rsid w:val="07AA035F"/>
    <w:rsid w:val="07AA261A"/>
    <w:rsid w:val="07B3215B"/>
    <w:rsid w:val="07B82F91"/>
    <w:rsid w:val="07BC4304"/>
    <w:rsid w:val="07BF4D0D"/>
    <w:rsid w:val="07C02047"/>
    <w:rsid w:val="07C10DEF"/>
    <w:rsid w:val="07C37441"/>
    <w:rsid w:val="07C80EFB"/>
    <w:rsid w:val="07CF4038"/>
    <w:rsid w:val="07D17DB0"/>
    <w:rsid w:val="07D47348"/>
    <w:rsid w:val="07DA3B6F"/>
    <w:rsid w:val="07E13D6B"/>
    <w:rsid w:val="07E4199C"/>
    <w:rsid w:val="07E8637B"/>
    <w:rsid w:val="07E86EA8"/>
    <w:rsid w:val="07EE2AB2"/>
    <w:rsid w:val="07F341CA"/>
    <w:rsid w:val="07F372F2"/>
    <w:rsid w:val="07F43A9E"/>
    <w:rsid w:val="07F615C4"/>
    <w:rsid w:val="07F95559"/>
    <w:rsid w:val="07FA1CB0"/>
    <w:rsid w:val="07FD032B"/>
    <w:rsid w:val="07FE3CDA"/>
    <w:rsid w:val="0812168C"/>
    <w:rsid w:val="08193505"/>
    <w:rsid w:val="0822685D"/>
    <w:rsid w:val="082425D6"/>
    <w:rsid w:val="08255E71"/>
    <w:rsid w:val="0828164C"/>
    <w:rsid w:val="08287048"/>
    <w:rsid w:val="08365E65"/>
    <w:rsid w:val="083B7A01"/>
    <w:rsid w:val="0845254C"/>
    <w:rsid w:val="0846077A"/>
    <w:rsid w:val="0846172A"/>
    <w:rsid w:val="08515945"/>
    <w:rsid w:val="08516701"/>
    <w:rsid w:val="0858227F"/>
    <w:rsid w:val="085D015A"/>
    <w:rsid w:val="08670714"/>
    <w:rsid w:val="087A0447"/>
    <w:rsid w:val="087A20CD"/>
    <w:rsid w:val="08803584"/>
    <w:rsid w:val="08814A9C"/>
    <w:rsid w:val="08843074"/>
    <w:rsid w:val="08850B9A"/>
    <w:rsid w:val="088968DD"/>
    <w:rsid w:val="0889729F"/>
    <w:rsid w:val="0899121D"/>
    <w:rsid w:val="089A2898"/>
    <w:rsid w:val="089B1EC4"/>
    <w:rsid w:val="089C281E"/>
    <w:rsid w:val="08A47272"/>
    <w:rsid w:val="08C56734"/>
    <w:rsid w:val="08C77405"/>
    <w:rsid w:val="08CB3B02"/>
    <w:rsid w:val="08D30AAF"/>
    <w:rsid w:val="08D35DAA"/>
    <w:rsid w:val="08D61539"/>
    <w:rsid w:val="08D649A5"/>
    <w:rsid w:val="08DF214C"/>
    <w:rsid w:val="08E6788B"/>
    <w:rsid w:val="08EB30F3"/>
    <w:rsid w:val="08EB6C4F"/>
    <w:rsid w:val="08EE6740"/>
    <w:rsid w:val="08F024B8"/>
    <w:rsid w:val="08F71A98"/>
    <w:rsid w:val="09000221"/>
    <w:rsid w:val="09160A8C"/>
    <w:rsid w:val="091710CC"/>
    <w:rsid w:val="091A12E3"/>
    <w:rsid w:val="091A5787"/>
    <w:rsid w:val="091C3D00"/>
    <w:rsid w:val="091F0FEF"/>
    <w:rsid w:val="092217DD"/>
    <w:rsid w:val="09285D9F"/>
    <w:rsid w:val="092E1232"/>
    <w:rsid w:val="092F51DC"/>
    <w:rsid w:val="092F6E8B"/>
    <w:rsid w:val="093A7294"/>
    <w:rsid w:val="093D5387"/>
    <w:rsid w:val="0940352C"/>
    <w:rsid w:val="09410A35"/>
    <w:rsid w:val="094A2B7A"/>
    <w:rsid w:val="094D1ED6"/>
    <w:rsid w:val="094D790A"/>
    <w:rsid w:val="09575941"/>
    <w:rsid w:val="0969572D"/>
    <w:rsid w:val="097A7AFA"/>
    <w:rsid w:val="097C1F9D"/>
    <w:rsid w:val="097C34E6"/>
    <w:rsid w:val="097F1A8E"/>
    <w:rsid w:val="098350DA"/>
    <w:rsid w:val="09861165"/>
    <w:rsid w:val="098826F0"/>
    <w:rsid w:val="098A7CA9"/>
    <w:rsid w:val="099C3725"/>
    <w:rsid w:val="099E1F14"/>
    <w:rsid w:val="099F68F2"/>
    <w:rsid w:val="099F7A3A"/>
    <w:rsid w:val="09A0379E"/>
    <w:rsid w:val="09B3168A"/>
    <w:rsid w:val="09BB733E"/>
    <w:rsid w:val="09BF72C0"/>
    <w:rsid w:val="09CA1445"/>
    <w:rsid w:val="09CD45A7"/>
    <w:rsid w:val="09D45935"/>
    <w:rsid w:val="09D773D1"/>
    <w:rsid w:val="09D93396"/>
    <w:rsid w:val="09D973F0"/>
    <w:rsid w:val="09DE563C"/>
    <w:rsid w:val="09E55D95"/>
    <w:rsid w:val="09ED2E9B"/>
    <w:rsid w:val="09EF6C13"/>
    <w:rsid w:val="09FC5112"/>
    <w:rsid w:val="0A0501E5"/>
    <w:rsid w:val="0A050783"/>
    <w:rsid w:val="0A067AB9"/>
    <w:rsid w:val="0A081A83"/>
    <w:rsid w:val="0A0A75A9"/>
    <w:rsid w:val="0A0B34DF"/>
    <w:rsid w:val="0A0B50CF"/>
    <w:rsid w:val="0A152499"/>
    <w:rsid w:val="0A171CC6"/>
    <w:rsid w:val="0A190123"/>
    <w:rsid w:val="0A1977EC"/>
    <w:rsid w:val="0A216B85"/>
    <w:rsid w:val="0A23066B"/>
    <w:rsid w:val="0A263993"/>
    <w:rsid w:val="0A2946A3"/>
    <w:rsid w:val="0A2D3AC2"/>
    <w:rsid w:val="0A2F1BEE"/>
    <w:rsid w:val="0A3208AE"/>
    <w:rsid w:val="0A334D52"/>
    <w:rsid w:val="0A374116"/>
    <w:rsid w:val="0A3A08FE"/>
    <w:rsid w:val="0A481E7F"/>
    <w:rsid w:val="0A4F320E"/>
    <w:rsid w:val="0A5C79E2"/>
    <w:rsid w:val="0A764C3F"/>
    <w:rsid w:val="0A79028B"/>
    <w:rsid w:val="0A821835"/>
    <w:rsid w:val="0A886C3F"/>
    <w:rsid w:val="0A894972"/>
    <w:rsid w:val="0A8B158C"/>
    <w:rsid w:val="0A9652E1"/>
    <w:rsid w:val="0A99092D"/>
    <w:rsid w:val="0AA30A0F"/>
    <w:rsid w:val="0AA6225D"/>
    <w:rsid w:val="0AA755DF"/>
    <w:rsid w:val="0AAF1EFF"/>
    <w:rsid w:val="0AB01364"/>
    <w:rsid w:val="0AB45767"/>
    <w:rsid w:val="0AB87005"/>
    <w:rsid w:val="0ABD0ABF"/>
    <w:rsid w:val="0AC15516"/>
    <w:rsid w:val="0AC31881"/>
    <w:rsid w:val="0AC534D0"/>
    <w:rsid w:val="0ACE6829"/>
    <w:rsid w:val="0AD02968"/>
    <w:rsid w:val="0AD6157D"/>
    <w:rsid w:val="0AD656DD"/>
    <w:rsid w:val="0AD71885"/>
    <w:rsid w:val="0AD81455"/>
    <w:rsid w:val="0ADC6C9F"/>
    <w:rsid w:val="0AE170A9"/>
    <w:rsid w:val="0AE4604C"/>
    <w:rsid w:val="0AEB7E66"/>
    <w:rsid w:val="0AEC7E43"/>
    <w:rsid w:val="0AF3628F"/>
    <w:rsid w:val="0AF57E87"/>
    <w:rsid w:val="0AF81814"/>
    <w:rsid w:val="0AF87852"/>
    <w:rsid w:val="0B00275A"/>
    <w:rsid w:val="0B09418A"/>
    <w:rsid w:val="0B0F304E"/>
    <w:rsid w:val="0B120D44"/>
    <w:rsid w:val="0B161F7E"/>
    <w:rsid w:val="0B226246"/>
    <w:rsid w:val="0B2823DD"/>
    <w:rsid w:val="0B2E5519"/>
    <w:rsid w:val="0B330D82"/>
    <w:rsid w:val="0B386398"/>
    <w:rsid w:val="0B4153D8"/>
    <w:rsid w:val="0B4309EE"/>
    <w:rsid w:val="0B4C50D3"/>
    <w:rsid w:val="0B4E5BBB"/>
    <w:rsid w:val="0B512FB6"/>
    <w:rsid w:val="0B550CF8"/>
    <w:rsid w:val="0B5F1B77"/>
    <w:rsid w:val="0B5F56D3"/>
    <w:rsid w:val="0B640F3B"/>
    <w:rsid w:val="0B646908"/>
    <w:rsid w:val="0B6B051B"/>
    <w:rsid w:val="0B6E1DBA"/>
    <w:rsid w:val="0B70168E"/>
    <w:rsid w:val="0B707622"/>
    <w:rsid w:val="0B7218AA"/>
    <w:rsid w:val="0B786794"/>
    <w:rsid w:val="0B787903"/>
    <w:rsid w:val="0B865483"/>
    <w:rsid w:val="0B867103"/>
    <w:rsid w:val="0B892750"/>
    <w:rsid w:val="0B9C3BE2"/>
    <w:rsid w:val="0B9E444D"/>
    <w:rsid w:val="0B9F1F73"/>
    <w:rsid w:val="0BAB6B6A"/>
    <w:rsid w:val="0BBD181D"/>
    <w:rsid w:val="0BBF6171"/>
    <w:rsid w:val="0BC11CE0"/>
    <w:rsid w:val="0BC32105"/>
    <w:rsid w:val="0BC814CA"/>
    <w:rsid w:val="0BCF2858"/>
    <w:rsid w:val="0BCF63E3"/>
    <w:rsid w:val="0BD0037E"/>
    <w:rsid w:val="0BD124D0"/>
    <w:rsid w:val="0BD27BF6"/>
    <w:rsid w:val="0BD51943"/>
    <w:rsid w:val="0BDE7699"/>
    <w:rsid w:val="0BE65DF4"/>
    <w:rsid w:val="0BE8061C"/>
    <w:rsid w:val="0BEB51B8"/>
    <w:rsid w:val="0BED409D"/>
    <w:rsid w:val="0BF70001"/>
    <w:rsid w:val="0BFA364D"/>
    <w:rsid w:val="0C000C64"/>
    <w:rsid w:val="0C016D1A"/>
    <w:rsid w:val="0C0424D8"/>
    <w:rsid w:val="0C0D3381"/>
    <w:rsid w:val="0C175FAD"/>
    <w:rsid w:val="0C1849DB"/>
    <w:rsid w:val="0C216E2C"/>
    <w:rsid w:val="0C2348CD"/>
    <w:rsid w:val="0C2846EE"/>
    <w:rsid w:val="0C2A7277"/>
    <w:rsid w:val="0C302577"/>
    <w:rsid w:val="0C364685"/>
    <w:rsid w:val="0C3A10CD"/>
    <w:rsid w:val="0C3B3C7D"/>
    <w:rsid w:val="0C3C2B64"/>
    <w:rsid w:val="0C3C3B7A"/>
    <w:rsid w:val="0C3F59D2"/>
    <w:rsid w:val="0C403756"/>
    <w:rsid w:val="0C4072B2"/>
    <w:rsid w:val="0C4D7C21"/>
    <w:rsid w:val="0C4F2B60"/>
    <w:rsid w:val="0C582743"/>
    <w:rsid w:val="0C59253E"/>
    <w:rsid w:val="0C5965C6"/>
    <w:rsid w:val="0C5B233E"/>
    <w:rsid w:val="0C6311F3"/>
    <w:rsid w:val="0C6844A6"/>
    <w:rsid w:val="0C6D120E"/>
    <w:rsid w:val="0C725932"/>
    <w:rsid w:val="0C747A2B"/>
    <w:rsid w:val="0C7A3C79"/>
    <w:rsid w:val="0C96438B"/>
    <w:rsid w:val="0C970E9C"/>
    <w:rsid w:val="0C9B098C"/>
    <w:rsid w:val="0CA00E02"/>
    <w:rsid w:val="0CAB2EAE"/>
    <w:rsid w:val="0CB70869"/>
    <w:rsid w:val="0CBC0CE6"/>
    <w:rsid w:val="0CBE28CD"/>
    <w:rsid w:val="0CBF5B3A"/>
    <w:rsid w:val="0CD10852"/>
    <w:rsid w:val="0CDF1302"/>
    <w:rsid w:val="0CEA0CA3"/>
    <w:rsid w:val="0CEA36C2"/>
    <w:rsid w:val="0CF36847"/>
    <w:rsid w:val="0CFF34DF"/>
    <w:rsid w:val="0D076022"/>
    <w:rsid w:val="0D0D7436"/>
    <w:rsid w:val="0D0E115E"/>
    <w:rsid w:val="0D1151AD"/>
    <w:rsid w:val="0D1507C0"/>
    <w:rsid w:val="0D183CA8"/>
    <w:rsid w:val="0D1A3FA7"/>
    <w:rsid w:val="0D2070E4"/>
    <w:rsid w:val="0D224C0A"/>
    <w:rsid w:val="0D29243C"/>
    <w:rsid w:val="0D2F19EF"/>
    <w:rsid w:val="0D3246D8"/>
    <w:rsid w:val="0D3A63F7"/>
    <w:rsid w:val="0D3F756A"/>
    <w:rsid w:val="0D4508F8"/>
    <w:rsid w:val="0D465A5E"/>
    <w:rsid w:val="0D470B14"/>
    <w:rsid w:val="0D4B4161"/>
    <w:rsid w:val="0D573220"/>
    <w:rsid w:val="0D574214"/>
    <w:rsid w:val="0D5E3A73"/>
    <w:rsid w:val="0D60632E"/>
    <w:rsid w:val="0D613984"/>
    <w:rsid w:val="0D621C7D"/>
    <w:rsid w:val="0D662D48"/>
    <w:rsid w:val="0D6E42F3"/>
    <w:rsid w:val="0D7E7A25"/>
    <w:rsid w:val="0D847289"/>
    <w:rsid w:val="0D9378B6"/>
    <w:rsid w:val="0D984ECC"/>
    <w:rsid w:val="0D9E6357"/>
    <w:rsid w:val="0DA66D6E"/>
    <w:rsid w:val="0DA970D9"/>
    <w:rsid w:val="0DB22432"/>
    <w:rsid w:val="0DBF68FD"/>
    <w:rsid w:val="0DC65EDD"/>
    <w:rsid w:val="0DC777E8"/>
    <w:rsid w:val="0DCB2944"/>
    <w:rsid w:val="0DCB704F"/>
    <w:rsid w:val="0DD1795C"/>
    <w:rsid w:val="0DD51C7C"/>
    <w:rsid w:val="0DD7604E"/>
    <w:rsid w:val="0DD979BE"/>
    <w:rsid w:val="0DEE56BA"/>
    <w:rsid w:val="0DF02F5A"/>
    <w:rsid w:val="0DF1296D"/>
    <w:rsid w:val="0DF22B5B"/>
    <w:rsid w:val="0E021793"/>
    <w:rsid w:val="0E023038"/>
    <w:rsid w:val="0E0B11FA"/>
    <w:rsid w:val="0E0C299C"/>
    <w:rsid w:val="0E0E518E"/>
    <w:rsid w:val="0E107158"/>
    <w:rsid w:val="0E121122"/>
    <w:rsid w:val="0E1C5AFD"/>
    <w:rsid w:val="0E211C32"/>
    <w:rsid w:val="0E215BA2"/>
    <w:rsid w:val="0E242BC9"/>
    <w:rsid w:val="0E257BBB"/>
    <w:rsid w:val="0E2B5D40"/>
    <w:rsid w:val="0E2E4CD2"/>
    <w:rsid w:val="0E2F3A82"/>
    <w:rsid w:val="0E345698"/>
    <w:rsid w:val="0E3C619F"/>
    <w:rsid w:val="0E452056"/>
    <w:rsid w:val="0E46753C"/>
    <w:rsid w:val="0E47740F"/>
    <w:rsid w:val="0E4D215A"/>
    <w:rsid w:val="0E5434E9"/>
    <w:rsid w:val="0E550C71"/>
    <w:rsid w:val="0E590CBE"/>
    <w:rsid w:val="0E5A5481"/>
    <w:rsid w:val="0E5C05EF"/>
    <w:rsid w:val="0E6059EA"/>
    <w:rsid w:val="0E6179B4"/>
    <w:rsid w:val="0E6822D1"/>
    <w:rsid w:val="0E685970"/>
    <w:rsid w:val="0E6B25E0"/>
    <w:rsid w:val="0E6D7644"/>
    <w:rsid w:val="0E6E2ABC"/>
    <w:rsid w:val="0E73034D"/>
    <w:rsid w:val="0E7D0B15"/>
    <w:rsid w:val="0E7D6FD6"/>
    <w:rsid w:val="0E83792A"/>
    <w:rsid w:val="0E8A5DD6"/>
    <w:rsid w:val="0E906C07"/>
    <w:rsid w:val="0E917646"/>
    <w:rsid w:val="0E9B1118"/>
    <w:rsid w:val="0E9C0543"/>
    <w:rsid w:val="0E9D1BC1"/>
    <w:rsid w:val="0EA63619"/>
    <w:rsid w:val="0EAA135B"/>
    <w:rsid w:val="0EB03F8E"/>
    <w:rsid w:val="0EB60381"/>
    <w:rsid w:val="0ECF0BEC"/>
    <w:rsid w:val="0ED5209C"/>
    <w:rsid w:val="0ED84277"/>
    <w:rsid w:val="0ED9579C"/>
    <w:rsid w:val="0EE02A57"/>
    <w:rsid w:val="0EE16A6A"/>
    <w:rsid w:val="0EE26D46"/>
    <w:rsid w:val="0EEF3211"/>
    <w:rsid w:val="0EF425D6"/>
    <w:rsid w:val="0EF716D4"/>
    <w:rsid w:val="0EF777B7"/>
    <w:rsid w:val="0EF95E3E"/>
    <w:rsid w:val="0EFD148A"/>
    <w:rsid w:val="0F024CF3"/>
    <w:rsid w:val="0F03623C"/>
    <w:rsid w:val="0F13775A"/>
    <w:rsid w:val="0F16079E"/>
    <w:rsid w:val="0F264E85"/>
    <w:rsid w:val="0F284F39"/>
    <w:rsid w:val="0F2B2993"/>
    <w:rsid w:val="0F2D6E59"/>
    <w:rsid w:val="0F3375A2"/>
    <w:rsid w:val="0F3E4653"/>
    <w:rsid w:val="0F3F7763"/>
    <w:rsid w:val="0F4748CC"/>
    <w:rsid w:val="0F4C5F6E"/>
    <w:rsid w:val="0F4E2A38"/>
    <w:rsid w:val="0F5117D6"/>
    <w:rsid w:val="0F55305E"/>
    <w:rsid w:val="0F5F45FE"/>
    <w:rsid w:val="0F655282"/>
    <w:rsid w:val="0F65560C"/>
    <w:rsid w:val="0F661BEE"/>
    <w:rsid w:val="0F666F97"/>
    <w:rsid w:val="0F682C31"/>
    <w:rsid w:val="0F6E755A"/>
    <w:rsid w:val="0F6F7F34"/>
    <w:rsid w:val="0F706BF2"/>
    <w:rsid w:val="0F713C26"/>
    <w:rsid w:val="0F714820"/>
    <w:rsid w:val="0F88654C"/>
    <w:rsid w:val="0F8C6C19"/>
    <w:rsid w:val="0F933B9D"/>
    <w:rsid w:val="0F9A112B"/>
    <w:rsid w:val="0F9D3360"/>
    <w:rsid w:val="0F9E6308"/>
    <w:rsid w:val="0FA4094E"/>
    <w:rsid w:val="0FA638D0"/>
    <w:rsid w:val="0FA933C0"/>
    <w:rsid w:val="0FB2123A"/>
    <w:rsid w:val="0FB35FED"/>
    <w:rsid w:val="0FC056A2"/>
    <w:rsid w:val="0FC1070A"/>
    <w:rsid w:val="0FC56E2A"/>
    <w:rsid w:val="0FC95811"/>
    <w:rsid w:val="0FD0094D"/>
    <w:rsid w:val="0FD541B5"/>
    <w:rsid w:val="0FD91EF8"/>
    <w:rsid w:val="0FDA5C70"/>
    <w:rsid w:val="0FDD12BC"/>
    <w:rsid w:val="0FE268D2"/>
    <w:rsid w:val="0FE3488C"/>
    <w:rsid w:val="0FF22FB9"/>
    <w:rsid w:val="0FFA00C0"/>
    <w:rsid w:val="0FFA1E6E"/>
    <w:rsid w:val="0FFB0383"/>
    <w:rsid w:val="0FFF7484"/>
    <w:rsid w:val="100D394F"/>
    <w:rsid w:val="100E1475"/>
    <w:rsid w:val="100F13AA"/>
    <w:rsid w:val="10101691"/>
    <w:rsid w:val="10156CA8"/>
    <w:rsid w:val="101747CE"/>
    <w:rsid w:val="101C0036"/>
    <w:rsid w:val="101D0A47"/>
    <w:rsid w:val="102050E7"/>
    <w:rsid w:val="10270CA8"/>
    <w:rsid w:val="103435D2"/>
    <w:rsid w:val="103709CC"/>
    <w:rsid w:val="10390BE8"/>
    <w:rsid w:val="103A226A"/>
    <w:rsid w:val="103B0C9F"/>
    <w:rsid w:val="10423221"/>
    <w:rsid w:val="1046715A"/>
    <w:rsid w:val="104B091B"/>
    <w:rsid w:val="104F59F9"/>
    <w:rsid w:val="1052298B"/>
    <w:rsid w:val="10596B94"/>
    <w:rsid w:val="10632395"/>
    <w:rsid w:val="106821E9"/>
    <w:rsid w:val="106D2F64"/>
    <w:rsid w:val="107240FA"/>
    <w:rsid w:val="1074063E"/>
    <w:rsid w:val="107439CE"/>
    <w:rsid w:val="107D09A0"/>
    <w:rsid w:val="108654B0"/>
    <w:rsid w:val="10870456"/>
    <w:rsid w:val="10895B7D"/>
    <w:rsid w:val="108F3486"/>
    <w:rsid w:val="10991559"/>
    <w:rsid w:val="109E0A4B"/>
    <w:rsid w:val="10A65B52"/>
    <w:rsid w:val="10A818CA"/>
    <w:rsid w:val="10B15EC8"/>
    <w:rsid w:val="10B33A93"/>
    <w:rsid w:val="10B63710"/>
    <w:rsid w:val="10B8262A"/>
    <w:rsid w:val="10B92326"/>
    <w:rsid w:val="10C04E65"/>
    <w:rsid w:val="10CC55B8"/>
    <w:rsid w:val="10CD432E"/>
    <w:rsid w:val="10CD7582"/>
    <w:rsid w:val="10CF2DE7"/>
    <w:rsid w:val="10D03F34"/>
    <w:rsid w:val="10D306B7"/>
    <w:rsid w:val="10D74D03"/>
    <w:rsid w:val="10E548CC"/>
    <w:rsid w:val="10F10820"/>
    <w:rsid w:val="10F73956"/>
    <w:rsid w:val="110F3211"/>
    <w:rsid w:val="11124F95"/>
    <w:rsid w:val="111365EE"/>
    <w:rsid w:val="11186378"/>
    <w:rsid w:val="111923AE"/>
    <w:rsid w:val="11194576"/>
    <w:rsid w:val="111C2F7A"/>
    <w:rsid w:val="111E393A"/>
    <w:rsid w:val="112076B2"/>
    <w:rsid w:val="1122167C"/>
    <w:rsid w:val="112A22DF"/>
    <w:rsid w:val="112E1DCF"/>
    <w:rsid w:val="11301656"/>
    <w:rsid w:val="11335637"/>
    <w:rsid w:val="11380A10"/>
    <w:rsid w:val="114A472F"/>
    <w:rsid w:val="114E109E"/>
    <w:rsid w:val="114E421F"/>
    <w:rsid w:val="114E7EB4"/>
    <w:rsid w:val="11537A88"/>
    <w:rsid w:val="1157728C"/>
    <w:rsid w:val="115832F0"/>
    <w:rsid w:val="11651A18"/>
    <w:rsid w:val="11665CA1"/>
    <w:rsid w:val="116E5B1A"/>
    <w:rsid w:val="11716160"/>
    <w:rsid w:val="117F087D"/>
    <w:rsid w:val="11875983"/>
    <w:rsid w:val="11883AE7"/>
    <w:rsid w:val="118940DC"/>
    <w:rsid w:val="11967974"/>
    <w:rsid w:val="1197547F"/>
    <w:rsid w:val="11987B90"/>
    <w:rsid w:val="11AE2F10"/>
    <w:rsid w:val="11AF7CCD"/>
    <w:rsid w:val="11B74637"/>
    <w:rsid w:val="11BB73DB"/>
    <w:rsid w:val="11BC387F"/>
    <w:rsid w:val="11BF336F"/>
    <w:rsid w:val="11C90332"/>
    <w:rsid w:val="11C931F4"/>
    <w:rsid w:val="11CC783A"/>
    <w:rsid w:val="11CE5360"/>
    <w:rsid w:val="11DA5AB3"/>
    <w:rsid w:val="11E822EF"/>
    <w:rsid w:val="11EA2FBC"/>
    <w:rsid w:val="11EE7F81"/>
    <w:rsid w:val="11F272A1"/>
    <w:rsid w:val="11F36B75"/>
    <w:rsid w:val="11F66855"/>
    <w:rsid w:val="11FF551A"/>
    <w:rsid w:val="120174E4"/>
    <w:rsid w:val="120E39AF"/>
    <w:rsid w:val="120F3780"/>
    <w:rsid w:val="12137217"/>
    <w:rsid w:val="121A05A5"/>
    <w:rsid w:val="121F0576"/>
    <w:rsid w:val="122338FE"/>
    <w:rsid w:val="12260CF8"/>
    <w:rsid w:val="123F000C"/>
    <w:rsid w:val="123F625E"/>
    <w:rsid w:val="124267DE"/>
    <w:rsid w:val="124B311E"/>
    <w:rsid w:val="12541D09"/>
    <w:rsid w:val="125F18C3"/>
    <w:rsid w:val="126006AE"/>
    <w:rsid w:val="126420E9"/>
    <w:rsid w:val="12643883"/>
    <w:rsid w:val="12691A62"/>
    <w:rsid w:val="126D6927"/>
    <w:rsid w:val="12723F3D"/>
    <w:rsid w:val="12734937"/>
    <w:rsid w:val="1283614B"/>
    <w:rsid w:val="1288550F"/>
    <w:rsid w:val="12891287"/>
    <w:rsid w:val="129739A4"/>
    <w:rsid w:val="129F4006"/>
    <w:rsid w:val="12A40BD6"/>
    <w:rsid w:val="12A63189"/>
    <w:rsid w:val="12A90717"/>
    <w:rsid w:val="12AD766B"/>
    <w:rsid w:val="12B92752"/>
    <w:rsid w:val="12C16C73"/>
    <w:rsid w:val="12D20E80"/>
    <w:rsid w:val="12D469A6"/>
    <w:rsid w:val="12D70244"/>
    <w:rsid w:val="12DF7C17"/>
    <w:rsid w:val="12E00DC6"/>
    <w:rsid w:val="12E82452"/>
    <w:rsid w:val="12EA5817"/>
    <w:rsid w:val="12ED0DC6"/>
    <w:rsid w:val="12ED6BED"/>
    <w:rsid w:val="12ED7A68"/>
    <w:rsid w:val="12F04B1B"/>
    <w:rsid w:val="12F06155"/>
    <w:rsid w:val="12F17558"/>
    <w:rsid w:val="12F22B9B"/>
    <w:rsid w:val="12F232D0"/>
    <w:rsid w:val="12FA7EC5"/>
    <w:rsid w:val="130D010A"/>
    <w:rsid w:val="131E60FE"/>
    <w:rsid w:val="132C6DDC"/>
    <w:rsid w:val="13313DF9"/>
    <w:rsid w:val="133336AC"/>
    <w:rsid w:val="13350F22"/>
    <w:rsid w:val="13370A53"/>
    <w:rsid w:val="133D454B"/>
    <w:rsid w:val="133E6515"/>
    <w:rsid w:val="13400A1A"/>
    <w:rsid w:val="13405DEA"/>
    <w:rsid w:val="13453400"/>
    <w:rsid w:val="13475083"/>
    <w:rsid w:val="13482EF0"/>
    <w:rsid w:val="1349202E"/>
    <w:rsid w:val="134C478E"/>
    <w:rsid w:val="134E20A5"/>
    <w:rsid w:val="13531FC1"/>
    <w:rsid w:val="135B2888"/>
    <w:rsid w:val="135E2714"/>
    <w:rsid w:val="135F0966"/>
    <w:rsid w:val="13755DAD"/>
    <w:rsid w:val="13773E40"/>
    <w:rsid w:val="137F637B"/>
    <w:rsid w:val="138076CE"/>
    <w:rsid w:val="13826402"/>
    <w:rsid w:val="1383078C"/>
    <w:rsid w:val="13855EF2"/>
    <w:rsid w:val="13876D64"/>
    <w:rsid w:val="1393114E"/>
    <w:rsid w:val="13936861"/>
    <w:rsid w:val="13951726"/>
    <w:rsid w:val="139D445C"/>
    <w:rsid w:val="13A154CE"/>
    <w:rsid w:val="13A46379"/>
    <w:rsid w:val="13A9398F"/>
    <w:rsid w:val="13AA5959"/>
    <w:rsid w:val="13B011C1"/>
    <w:rsid w:val="13B3480E"/>
    <w:rsid w:val="13BB7B66"/>
    <w:rsid w:val="13BD743A"/>
    <w:rsid w:val="13C62A08"/>
    <w:rsid w:val="13DD188A"/>
    <w:rsid w:val="13E4235C"/>
    <w:rsid w:val="13E85C58"/>
    <w:rsid w:val="13F05194"/>
    <w:rsid w:val="13F6294C"/>
    <w:rsid w:val="14016F45"/>
    <w:rsid w:val="140F2582"/>
    <w:rsid w:val="14180B15"/>
    <w:rsid w:val="14184FB8"/>
    <w:rsid w:val="14276D88"/>
    <w:rsid w:val="142851FC"/>
    <w:rsid w:val="142D2812"/>
    <w:rsid w:val="142F4BC9"/>
    <w:rsid w:val="14310739"/>
    <w:rsid w:val="14353475"/>
    <w:rsid w:val="1436588A"/>
    <w:rsid w:val="14377166"/>
    <w:rsid w:val="1437755A"/>
    <w:rsid w:val="14383989"/>
    <w:rsid w:val="14391FAE"/>
    <w:rsid w:val="14396509"/>
    <w:rsid w:val="143F0797"/>
    <w:rsid w:val="143F60A1"/>
    <w:rsid w:val="14481B94"/>
    <w:rsid w:val="144C6CA3"/>
    <w:rsid w:val="14510658"/>
    <w:rsid w:val="1452128F"/>
    <w:rsid w:val="145A248F"/>
    <w:rsid w:val="145E6E6F"/>
    <w:rsid w:val="14627FE2"/>
    <w:rsid w:val="14636234"/>
    <w:rsid w:val="14645758"/>
    <w:rsid w:val="14667AD2"/>
    <w:rsid w:val="1467040E"/>
    <w:rsid w:val="1467278A"/>
    <w:rsid w:val="14681A9C"/>
    <w:rsid w:val="146A6D70"/>
    <w:rsid w:val="146B0C64"/>
    <w:rsid w:val="147771C0"/>
    <w:rsid w:val="14777F31"/>
    <w:rsid w:val="147815B3"/>
    <w:rsid w:val="147C10A3"/>
    <w:rsid w:val="147F6DE6"/>
    <w:rsid w:val="14857D56"/>
    <w:rsid w:val="14863420"/>
    <w:rsid w:val="14902DA1"/>
    <w:rsid w:val="14955FDC"/>
    <w:rsid w:val="14956D49"/>
    <w:rsid w:val="14A70815"/>
    <w:rsid w:val="14A800EA"/>
    <w:rsid w:val="14AE7DA5"/>
    <w:rsid w:val="14B06F9F"/>
    <w:rsid w:val="14B702F9"/>
    <w:rsid w:val="14BC5944"/>
    <w:rsid w:val="14C173FE"/>
    <w:rsid w:val="14C642F3"/>
    <w:rsid w:val="14C64A14"/>
    <w:rsid w:val="14C8044C"/>
    <w:rsid w:val="14CB3DD9"/>
    <w:rsid w:val="14CE4AB6"/>
    <w:rsid w:val="14D42C8D"/>
    <w:rsid w:val="14DD2C3C"/>
    <w:rsid w:val="14DE5FC6"/>
    <w:rsid w:val="14E2216E"/>
    <w:rsid w:val="14E56984"/>
    <w:rsid w:val="14E82BDD"/>
    <w:rsid w:val="14EA3069"/>
    <w:rsid w:val="14ED18CC"/>
    <w:rsid w:val="14ED1FA1"/>
    <w:rsid w:val="14F21366"/>
    <w:rsid w:val="14F22743"/>
    <w:rsid w:val="14FE7D0A"/>
    <w:rsid w:val="150A4B66"/>
    <w:rsid w:val="15145780"/>
    <w:rsid w:val="15192F63"/>
    <w:rsid w:val="151A3F56"/>
    <w:rsid w:val="151C4634"/>
    <w:rsid w:val="151C6413"/>
    <w:rsid w:val="151E215B"/>
    <w:rsid w:val="151F7529"/>
    <w:rsid w:val="152042EA"/>
    <w:rsid w:val="15227E9D"/>
    <w:rsid w:val="152359C3"/>
    <w:rsid w:val="15237771"/>
    <w:rsid w:val="15316332"/>
    <w:rsid w:val="15397A3F"/>
    <w:rsid w:val="1547402C"/>
    <w:rsid w:val="154A11A2"/>
    <w:rsid w:val="154C39ED"/>
    <w:rsid w:val="155248B0"/>
    <w:rsid w:val="15532D61"/>
    <w:rsid w:val="15543DCE"/>
    <w:rsid w:val="15575410"/>
    <w:rsid w:val="15595889"/>
    <w:rsid w:val="1560591A"/>
    <w:rsid w:val="156264EB"/>
    <w:rsid w:val="15631831"/>
    <w:rsid w:val="15645374"/>
    <w:rsid w:val="156A0D46"/>
    <w:rsid w:val="156C55BC"/>
    <w:rsid w:val="15743686"/>
    <w:rsid w:val="157601E9"/>
    <w:rsid w:val="15A00DC2"/>
    <w:rsid w:val="15A238E6"/>
    <w:rsid w:val="15AB60E4"/>
    <w:rsid w:val="15B14D7D"/>
    <w:rsid w:val="15BB3E4D"/>
    <w:rsid w:val="15C03212"/>
    <w:rsid w:val="15C6165F"/>
    <w:rsid w:val="15C66D1B"/>
    <w:rsid w:val="15C7386F"/>
    <w:rsid w:val="15C9656A"/>
    <w:rsid w:val="15CE73A1"/>
    <w:rsid w:val="15D612E1"/>
    <w:rsid w:val="15DA2525"/>
    <w:rsid w:val="15DD5B72"/>
    <w:rsid w:val="15E21718"/>
    <w:rsid w:val="15E30B21"/>
    <w:rsid w:val="15EB3D2E"/>
    <w:rsid w:val="15EC4007"/>
    <w:rsid w:val="15FB3F89"/>
    <w:rsid w:val="15FC4D26"/>
    <w:rsid w:val="15FC6940"/>
    <w:rsid w:val="15FD7FC2"/>
    <w:rsid w:val="1606331B"/>
    <w:rsid w:val="16087E1D"/>
    <w:rsid w:val="160C6457"/>
    <w:rsid w:val="160E6673"/>
    <w:rsid w:val="16104199"/>
    <w:rsid w:val="16111CBF"/>
    <w:rsid w:val="161C6179"/>
    <w:rsid w:val="161D0664"/>
    <w:rsid w:val="161E6DDB"/>
    <w:rsid w:val="161F262E"/>
    <w:rsid w:val="16254E05"/>
    <w:rsid w:val="162D49FB"/>
    <w:rsid w:val="16375ECF"/>
    <w:rsid w:val="163D1F3A"/>
    <w:rsid w:val="163D4989"/>
    <w:rsid w:val="163F05DA"/>
    <w:rsid w:val="163F4A7E"/>
    <w:rsid w:val="16484957"/>
    <w:rsid w:val="16497C5F"/>
    <w:rsid w:val="164C7169"/>
    <w:rsid w:val="164E2187"/>
    <w:rsid w:val="16500A3A"/>
    <w:rsid w:val="16557DFE"/>
    <w:rsid w:val="16581438"/>
    <w:rsid w:val="165C118C"/>
    <w:rsid w:val="165F6881"/>
    <w:rsid w:val="165F6ECF"/>
    <w:rsid w:val="16671DCC"/>
    <w:rsid w:val="166B499D"/>
    <w:rsid w:val="166D339A"/>
    <w:rsid w:val="166E0AB0"/>
    <w:rsid w:val="166F4EF2"/>
    <w:rsid w:val="16777D74"/>
    <w:rsid w:val="167A3837"/>
    <w:rsid w:val="167A7865"/>
    <w:rsid w:val="167D1103"/>
    <w:rsid w:val="167E6AA7"/>
    <w:rsid w:val="1682461F"/>
    <w:rsid w:val="1694795B"/>
    <w:rsid w:val="16957FF1"/>
    <w:rsid w:val="169A0651"/>
    <w:rsid w:val="16A11295"/>
    <w:rsid w:val="16A14DF1"/>
    <w:rsid w:val="16A36DBB"/>
    <w:rsid w:val="16A95EE3"/>
    <w:rsid w:val="16AE5760"/>
    <w:rsid w:val="16B22AD6"/>
    <w:rsid w:val="16B45024"/>
    <w:rsid w:val="16B7029C"/>
    <w:rsid w:val="16B9038D"/>
    <w:rsid w:val="16BF2BEC"/>
    <w:rsid w:val="16C136E5"/>
    <w:rsid w:val="16C3745D"/>
    <w:rsid w:val="16CB7645"/>
    <w:rsid w:val="16D74CB7"/>
    <w:rsid w:val="16E11692"/>
    <w:rsid w:val="16E605C5"/>
    <w:rsid w:val="16F72C63"/>
    <w:rsid w:val="16F83709"/>
    <w:rsid w:val="16FB721B"/>
    <w:rsid w:val="170D2487"/>
    <w:rsid w:val="17143815"/>
    <w:rsid w:val="17215FBD"/>
    <w:rsid w:val="172B0B5F"/>
    <w:rsid w:val="172B40D1"/>
    <w:rsid w:val="172B6DB1"/>
    <w:rsid w:val="172F3719"/>
    <w:rsid w:val="17333EC0"/>
    <w:rsid w:val="173B532B"/>
    <w:rsid w:val="173C3F12"/>
    <w:rsid w:val="173E45CA"/>
    <w:rsid w:val="173E6AE4"/>
    <w:rsid w:val="17467788"/>
    <w:rsid w:val="17484773"/>
    <w:rsid w:val="174D6D27"/>
    <w:rsid w:val="17516817"/>
    <w:rsid w:val="1752433D"/>
    <w:rsid w:val="175B7522"/>
    <w:rsid w:val="176522C3"/>
    <w:rsid w:val="176F1378"/>
    <w:rsid w:val="17701D14"/>
    <w:rsid w:val="1772678E"/>
    <w:rsid w:val="17726EEA"/>
    <w:rsid w:val="17735226"/>
    <w:rsid w:val="177625A5"/>
    <w:rsid w:val="1776627E"/>
    <w:rsid w:val="17795D6E"/>
    <w:rsid w:val="177A58E3"/>
    <w:rsid w:val="177D585E"/>
    <w:rsid w:val="177E6B21"/>
    <w:rsid w:val="17800EAB"/>
    <w:rsid w:val="178766DD"/>
    <w:rsid w:val="179717E4"/>
    <w:rsid w:val="17984446"/>
    <w:rsid w:val="179A1D15"/>
    <w:rsid w:val="179B4D9D"/>
    <w:rsid w:val="179C380B"/>
    <w:rsid w:val="17AA569F"/>
    <w:rsid w:val="17AA5F28"/>
    <w:rsid w:val="17AF1790"/>
    <w:rsid w:val="17B943BD"/>
    <w:rsid w:val="17C227BF"/>
    <w:rsid w:val="17C23271"/>
    <w:rsid w:val="17C36FE9"/>
    <w:rsid w:val="17C460A1"/>
    <w:rsid w:val="17CA0378"/>
    <w:rsid w:val="17CA65CA"/>
    <w:rsid w:val="17CB1111"/>
    <w:rsid w:val="17D14DE3"/>
    <w:rsid w:val="17D76781"/>
    <w:rsid w:val="17DA4A5F"/>
    <w:rsid w:val="17E3435B"/>
    <w:rsid w:val="17E57BB4"/>
    <w:rsid w:val="17E92EF4"/>
    <w:rsid w:val="17E953D3"/>
    <w:rsid w:val="17EC7A44"/>
    <w:rsid w:val="17EF1BC3"/>
    <w:rsid w:val="17F55D8B"/>
    <w:rsid w:val="17FD24FB"/>
    <w:rsid w:val="18025D64"/>
    <w:rsid w:val="18095358"/>
    <w:rsid w:val="180F236F"/>
    <w:rsid w:val="180F7034"/>
    <w:rsid w:val="181141F9"/>
    <w:rsid w:val="182061EA"/>
    <w:rsid w:val="183131DF"/>
    <w:rsid w:val="18351C95"/>
    <w:rsid w:val="18365A0D"/>
    <w:rsid w:val="183A3D66"/>
    <w:rsid w:val="183D3240"/>
    <w:rsid w:val="184243B2"/>
    <w:rsid w:val="18441ED8"/>
    <w:rsid w:val="184C0524"/>
    <w:rsid w:val="184C6FDF"/>
    <w:rsid w:val="184E393C"/>
    <w:rsid w:val="184E796B"/>
    <w:rsid w:val="18520457"/>
    <w:rsid w:val="18565113"/>
    <w:rsid w:val="185954DD"/>
    <w:rsid w:val="185E6093"/>
    <w:rsid w:val="18673088"/>
    <w:rsid w:val="18673E19"/>
    <w:rsid w:val="18694035"/>
    <w:rsid w:val="18702CCD"/>
    <w:rsid w:val="188A0C7B"/>
    <w:rsid w:val="188A4EBB"/>
    <w:rsid w:val="188A5D81"/>
    <w:rsid w:val="189F624C"/>
    <w:rsid w:val="18A46E1B"/>
    <w:rsid w:val="18A818D3"/>
    <w:rsid w:val="18B2778A"/>
    <w:rsid w:val="18B81F8A"/>
    <w:rsid w:val="18BA663E"/>
    <w:rsid w:val="18BF1EA7"/>
    <w:rsid w:val="18CE7EA4"/>
    <w:rsid w:val="18CF147F"/>
    <w:rsid w:val="18D21BDA"/>
    <w:rsid w:val="18D72D4C"/>
    <w:rsid w:val="18D86AC4"/>
    <w:rsid w:val="18DC65B5"/>
    <w:rsid w:val="18E63C50"/>
    <w:rsid w:val="18EA6ECB"/>
    <w:rsid w:val="18EF5494"/>
    <w:rsid w:val="18F733EE"/>
    <w:rsid w:val="18F7519C"/>
    <w:rsid w:val="18FA4C8D"/>
    <w:rsid w:val="18FC18E6"/>
    <w:rsid w:val="18FF04F5"/>
    <w:rsid w:val="19033B41"/>
    <w:rsid w:val="190A2450"/>
    <w:rsid w:val="190F19C4"/>
    <w:rsid w:val="19107621"/>
    <w:rsid w:val="191161D8"/>
    <w:rsid w:val="19137020"/>
    <w:rsid w:val="191E225C"/>
    <w:rsid w:val="191E4C54"/>
    <w:rsid w:val="1921046B"/>
    <w:rsid w:val="192835A8"/>
    <w:rsid w:val="192A2505"/>
    <w:rsid w:val="192D150C"/>
    <w:rsid w:val="19321C6B"/>
    <w:rsid w:val="19371A3D"/>
    <w:rsid w:val="19393A07"/>
    <w:rsid w:val="1941466A"/>
    <w:rsid w:val="194859F8"/>
    <w:rsid w:val="19502AFF"/>
    <w:rsid w:val="19516FA3"/>
    <w:rsid w:val="195425EF"/>
    <w:rsid w:val="195A3619"/>
    <w:rsid w:val="1962354A"/>
    <w:rsid w:val="19655568"/>
    <w:rsid w:val="19670574"/>
    <w:rsid w:val="196A3BC0"/>
    <w:rsid w:val="19706CFD"/>
    <w:rsid w:val="19980435"/>
    <w:rsid w:val="19A16764"/>
    <w:rsid w:val="19AD1CFF"/>
    <w:rsid w:val="19AE541A"/>
    <w:rsid w:val="19B93786"/>
    <w:rsid w:val="19BE5CBA"/>
    <w:rsid w:val="19C257AA"/>
    <w:rsid w:val="19CE2BB5"/>
    <w:rsid w:val="19D35C0A"/>
    <w:rsid w:val="19D40BB0"/>
    <w:rsid w:val="19D7052B"/>
    <w:rsid w:val="19DB061A"/>
    <w:rsid w:val="19DF45AE"/>
    <w:rsid w:val="19E00326"/>
    <w:rsid w:val="19E576EB"/>
    <w:rsid w:val="19EA6027"/>
    <w:rsid w:val="19EC2827"/>
    <w:rsid w:val="19EE47F1"/>
    <w:rsid w:val="19F53DD2"/>
    <w:rsid w:val="19F65454"/>
    <w:rsid w:val="19FA45E4"/>
    <w:rsid w:val="19FD52BC"/>
    <w:rsid w:val="19FF55CC"/>
    <w:rsid w:val="1A045D99"/>
    <w:rsid w:val="1A0A5FA5"/>
    <w:rsid w:val="1A110E9E"/>
    <w:rsid w:val="1A141D7E"/>
    <w:rsid w:val="1A1C66C0"/>
    <w:rsid w:val="1A1F4FD6"/>
    <w:rsid w:val="1A2A0437"/>
    <w:rsid w:val="1A330456"/>
    <w:rsid w:val="1A3A17E5"/>
    <w:rsid w:val="1A3A7A37"/>
    <w:rsid w:val="1A3E6129"/>
    <w:rsid w:val="1A42393B"/>
    <w:rsid w:val="1A440A74"/>
    <w:rsid w:val="1A442663"/>
    <w:rsid w:val="1A46462D"/>
    <w:rsid w:val="1A472B8C"/>
    <w:rsid w:val="1A4B1C44"/>
    <w:rsid w:val="1A510BA7"/>
    <w:rsid w:val="1A530AF8"/>
    <w:rsid w:val="1A560BFB"/>
    <w:rsid w:val="1A564EF1"/>
    <w:rsid w:val="1A5F124B"/>
    <w:rsid w:val="1A66082C"/>
    <w:rsid w:val="1A6C1BBA"/>
    <w:rsid w:val="1A712515"/>
    <w:rsid w:val="1A75281D"/>
    <w:rsid w:val="1A755A9D"/>
    <w:rsid w:val="1A7647E7"/>
    <w:rsid w:val="1A766595"/>
    <w:rsid w:val="1A7D3DC7"/>
    <w:rsid w:val="1A821699"/>
    <w:rsid w:val="1A83072F"/>
    <w:rsid w:val="1A8D15BC"/>
    <w:rsid w:val="1A8D7445"/>
    <w:rsid w:val="1A911621"/>
    <w:rsid w:val="1A916CFC"/>
    <w:rsid w:val="1A930EF5"/>
    <w:rsid w:val="1A947A9E"/>
    <w:rsid w:val="1A952EBF"/>
    <w:rsid w:val="1A967D69"/>
    <w:rsid w:val="1A9A17E2"/>
    <w:rsid w:val="1A9B5786"/>
    <w:rsid w:val="1AAD45DE"/>
    <w:rsid w:val="1AB01AA7"/>
    <w:rsid w:val="1AB71087"/>
    <w:rsid w:val="1ABA2925"/>
    <w:rsid w:val="1AC13CB4"/>
    <w:rsid w:val="1AC27242"/>
    <w:rsid w:val="1AC75042"/>
    <w:rsid w:val="1ACE0CAF"/>
    <w:rsid w:val="1AD75285"/>
    <w:rsid w:val="1AEE10B0"/>
    <w:rsid w:val="1AF01790"/>
    <w:rsid w:val="1AF2684C"/>
    <w:rsid w:val="1AF851FC"/>
    <w:rsid w:val="1AF916A0"/>
    <w:rsid w:val="1B046F80"/>
    <w:rsid w:val="1B067919"/>
    <w:rsid w:val="1B0913F9"/>
    <w:rsid w:val="1B174574"/>
    <w:rsid w:val="1B193AF0"/>
    <w:rsid w:val="1B1D07A3"/>
    <w:rsid w:val="1B281F85"/>
    <w:rsid w:val="1B2D30F7"/>
    <w:rsid w:val="1B3267B5"/>
    <w:rsid w:val="1B38347D"/>
    <w:rsid w:val="1B3C77DE"/>
    <w:rsid w:val="1B3E4FFC"/>
    <w:rsid w:val="1B40161D"/>
    <w:rsid w:val="1B407591"/>
    <w:rsid w:val="1B441859"/>
    <w:rsid w:val="1B486183"/>
    <w:rsid w:val="1B4B5C73"/>
    <w:rsid w:val="1B4F57C2"/>
    <w:rsid w:val="1B541017"/>
    <w:rsid w:val="1B6606B1"/>
    <w:rsid w:val="1B697EA8"/>
    <w:rsid w:val="1B6B6826"/>
    <w:rsid w:val="1B6E1897"/>
    <w:rsid w:val="1B6F1962"/>
    <w:rsid w:val="1B721452"/>
    <w:rsid w:val="1B737891"/>
    <w:rsid w:val="1B75684C"/>
    <w:rsid w:val="1B7725C5"/>
    <w:rsid w:val="1B7A366D"/>
    <w:rsid w:val="1B7F5F2C"/>
    <w:rsid w:val="1B916494"/>
    <w:rsid w:val="1B966EEF"/>
    <w:rsid w:val="1B96757D"/>
    <w:rsid w:val="1B981705"/>
    <w:rsid w:val="1B99253B"/>
    <w:rsid w:val="1B9A62B3"/>
    <w:rsid w:val="1BA07D6D"/>
    <w:rsid w:val="1BAA12D2"/>
    <w:rsid w:val="1BAA393F"/>
    <w:rsid w:val="1BB11F7A"/>
    <w:rsid w:val="1BBB6FC8"/>
    <w:rsid w:val="1BC3580A"/>
    <w:rsid w:val="1BC51582"/>
    <w:rsid w:val="1BC53330"/>
    <w:rsid w:val="1BCD1019"/>
    <w:rsid w:val="1BCD79AD"/>
    <w:rsid w:val="1BD25D75"/>
    <w:rsid w:val="1BD9502D"/>
    <w:rsid w:val="1BE47B60"/>
    <w:rsid w:val="1BE861A8"/>
    <w:rsid w:val="1BEC7F04"/>
    <w:rsid w:val="1BF34341"/>
    <w:rsid w:val="1C057BD0"/>
    <w:rsid w:val="1C0C6C2A"/>
    <w:rsid w:val="1C0E117B"/>
    <w:rsid w:val="1C1109FD"/>
    <w:rsid w:val="1C1E6EE4"/>
    <w:rsid w:val="1C250273"/>
    <w:rsid w:val="1C25647F"/>
    <w:rsid w:val="1C284952"/>
    <w:rsid w:val="1C3404B6"/>
    <w:rsid w:val="1C394FAC"/>
    <w:rsid w:val="1C395803"/>
    <w:rsid w:val="1C3D736A"/>
    <w:rsid w:val="1C4A5F2B"/>
    <w:rsid w:val="1C4D2F65"/>
    <w:rsid w:val="1C5D17E5"/>
    <w:rsid w:val="1C5E7925"/>
    <w:rsid w:val="1C672639"/>
    <w:rsid w:val="1C6D382B"/>
    <w:rsid w:val="1C6E7E6B"/>
    <w:rsid w:val="1C7F3E27"/>
    <w:rsid w:val="1C817B9F"/>
    <w:rsid w:val="1C856594"/>
    <w:rsid w:val="1C856F63"/>
    <w:rsid w:val="1C874A89"/>
    <w:rsid w:val="1C8925AF"/>
    <w:rsid w:val="1C8A6D4D"/>
    <w:rsid w:val="1C8B457A"/>
    <w:rsid w:val="1C8E7BC6"/>
    <w:rsid w:val="1C907DE2"/>
    <w:rsid w:val="1C934827"/>
    <w:rsid w:val="1C9378D2"/>
    <w:rsid w:val="1CA53161"/>
    <w:rsid w:val="1CB6536F"/>
    <w:rsid w:val="1CBB7C46"/>
    <w:rsid w:val="1CCC4B92"/>
    <w:rsid w:val="1CD02E6C"/>
    <w:rsid w:val="1CD46E4D"/>
    <w:rsid w:val="1CF0651E"/>
    <w:rsid w:val="1CF754A3"/>
    <w:rsid w:val="1CFD070F"/>
    <w:rsid w:val="1D0B56BA"/>
    <w:rsid w:val="1D197650"/>
    <w:rsid w:val="1D1A58FD"/>
    <w:rsid w:val="1D28626C"/>
    <w:rsid w:val="1D2B7B0B"/>
    <w:rsid w:val="1D307303"/>
    <w:rsid w:val="1D353B32"/>
    <w:rsid w:val="1D3A00CA"/>
    <w:rsid w:val="1D3C56BC"/>
    <w:rsid w:val="1D4322FE"/>
    <w:rsid w:val="1D49699C"/>
    <w:rsid w:val="1D497F91"/>
    <w:rsid w:val="1D526E45"/>
    <w:rsid w:val="1D583653"/>
    <w:rsid w:val="1D5A3F4C"/>
    <w:rsid w:val="1D5F53BD"/>
    <w:rsid w:val="1D5F6196"/>
    <w:rsid w:val="1D611787"/>
    <w:rsid w:val="1D6132A5"/>
    <w:rsid w:val="1D622D44"/>
    <w:rsid w:val="1D6372A4"/>
    <w:rsid w:val="1D69418F"/>
    <w:rsid w:val="1D6C15CC"/>
    <w:rsid w:val="1D6C2F59"/>
    <w:rsid w:val="1D75105E"/>
    <w:rsid w:val="1D8C0948"/>
    <w:rsid w:val="1D8E56D5"/>
    <w:rsid w:val="1D943432"/>
    <w:rsid w:val="1DA04055"/>
    <w:rsid w:val="1DA13929"/>
    <w:rsid w:val="1DA17DCD"/>
    <w:rsid w:val="1DA31EB7"/>
    <w:rsid w:val="1DA358F3"/>
    <w:rsid w:val="1DA73C98"/>
    <w:rsid w:val="1DB2534A"/>
    <w:rsid w:val="1DB367E3"/>
    <w:rsid w:val="1DBB0038"/>
    <w:rsid w:val="1DBE097F"/>
    <w:rsid w:val="1DC00CAC"/>
    <w:rsid w:val="1DC15D79"/>
    <w:rsid w:val="1DC37D43"/>
    <w:rsid w:val="1DC85359"/>
    <w:rsid w:val="1DCB1624"/>
    <w:rsid w:val="1DCF66E8"/>
    <w:rsid w:val="1DD71A40"/>
    <w:rsid w:val="1DDC1198"/>
    <w:rsid w:val="1DE33F41"/>
    <w:rsid w:val="1DEC729A"/>
    <w:rsid w:val="1DED1FB5"/>
    <w:rsid w:val="1DED6036"/>
    <w:rsid w:val="1DF32E24"/>
    <w:rsid w:val="1DFA2C50"/>
    <w:rsid w:val="1DFB19B3"/>
    <w:rsid w:val="1E0433AB"/>
    <w:rsid w:val="1E063D04"/>
    <w:rsid w:val="1E0C0B57"/>
    <w:rsid w:val="1E162569"/>
    <w:rsid w:val="1E1715CA"/>
    <w:rsid w:val="1E196B9D"/>
    <w:rsid w:val="1E1B192D"/>
    <w:rsid w:val="1E1E54FA"/>
    <w:rsid w:val="1E22114A"/>
    <w:rsid w:val="1E2C3B3A"/>
    <w:rsid w:val="1E3A3506"/>
    <w:rsid w:val="1E3D7AF5"/>
    <w:rsid w:val="1E4946EC"/>
    <w:rsid w:val="1E4A2212"/>
    <w:rsid w:val="1E5B309D"/>
    <w:rsid w:val="1E5B5F75"/>
    <w:rsid w:val="1E6037E4"/>
    <w:rsid w:val="1E77039E"/>
    <w:rsid w:val="1E7A43DA"/>
    <w:rsid w:val="1E7D2EBF"/>
    <w:rsid w:val="1E7E3C6A"/>
    <w:rsid w:val="1E8252A5"/>
    <w:rsid w:val="1E827BFE"/>
    <w:rsid w:val="1E85149C"/>
    <w:rsid w:val="1E9049CE"/>
    <w:rsid w:val="1E933BB9"/>
    <w:rsid w:val="1E957931"/>
    <w:rsid w:val="1EA305EF"/>
    <w:rsid w:val="1EAA4A5F"/>
    <w:rsid w:val="1EB365AF"/>
    <w:rsid w:val="1EC6750A"/>
    <w:rsid w:val="1ED31F5C"/>
    <w:rsid w:val="1ED63AA6"/>
    <w:rsid w:val="1EDB2E6A"/>
    <w:rsid w:val="1EDE6ADB"/>
    <w:rsid w:val="1EE73F05"/>
    <w:rsid w:val="1EEA5271"/>
    <w:rsid w:val="1EEB57A3"/>
    <w:rsid w:val="1EEC12B8"/>
    <w:rsid w:val="1EF83A1C"/>
    <w:rsid w:val="1EFD1033"/>
    <w:rsid w:val="1F026649"/>
    <w:rsid w:val="1F040613"/>
    <w:rsid w:val="1F0979D8"/>
    <w:rsid w:val="1F0B19A2"/>
    <w:rsid w:val="1F0D396C"/>
    <w:rsid w:val="1F10520A"/>
    <w:rsid w:val="1F15637C"/>
    <w:rsid w:val="1F157848"/>
    <w:rsid w:val="1F176598"/>
    <w:rsid w:val="1F182311"/>
    <w:rsid w:val="1F185E6D"/>
    <w:rsid w:val="1F1A3993"/>
    <w:rsid w:val="1F1B770B"/>
    <w:rsid w:val="1F1D2883"/>
    <w:rsid w:val="1F240CB5"/>
    <w:rsid w:val="1F315962"/>
    <w:rsid w:val="1F372797"/>
    <w:rsid w:val="1F3C1B5B"/>
    <w:rsid w:val="1F3F5AEF"/>
    <w:rsid w:val="1F3F7DC3"/>
    <w:rsid w:val="1F460C2C"/>
    <w:rsid w:val="1F550E6F"/>
    <w:rsid w:val="1F5570C1"/>
    <w:rsid w:val="1F58785F"/>
    <w:rsid w:val="1F5C052B"/>
    <w:rsid w:val="1F5F1CED"/>
    <w:rsid w:val="1F63358C"/>
    <w:rsid w:val="1F6E05BE"/>
    <w:rsid w:val="1F6F5AB9"/>
    <w:rsid w:val="1F703EFB"/>
    <w:rsid w:val="1F7251A9"/>
    <w:rsid w:val="1F85568B"/>
    <w:rsid w:val="1F884DA0"/>
    <w:rsid w:val="1F893E2E"/>
    <w:rsid w:val="1F9115EE"/>
    <w:rsid w:val="1F933745"/>
    <w:rsid w:val="1F953D64"/>
    <w:rsid w:val="1F961A97"/>
    <w:rsid w:val="1F9A4BCF"/>
    <w:rsid w:val="1FA13064"/>
    <w:rsid w:val="1FA45952"/>
    <w:rsid w:val="1FA871F0"/>
    <w:rsid w:val="1FA9398A"/>
    <w:rsid w:val="1FAC5358"/>
    <w:rsid w:val="1FB042F7"/>
    <w:rsid w:val="1FBE0451"/>
    <w:rsid w:val="1FBE138D"/>
    <w:rsid w:val="1FC226A9"/>
    <w:rsid w:val="1FC40C14"/>
    <w:rsid w:val="1FC54B9D"/>
    <w:rsid w:val="1FC752E7"/>
    <w:rsid w:val="1FC90B14"/>
    <w:rsid w:val="1FCA53B9"/>
    <w:rsid w:val="1FCD300A"/>
    <w:rsid w:val="1FCD6C57"/>
    <w:rsid w:val="1FCE0713"/>
    <w:rsid w:val="1FD46237"/>
    <w:rsid w:val="1FD46D07"/>
    <w:rsid w:val="1FE7539E"/>
    <w:rsid w:val="1FEA4D80"/>
    <w:rsid w:val="1FF2065D"/>
    <w:rsid w:val="1FF22713"/>
    <w:rsid w:val="1FFC3D32"/>
    <w:rsid w:val="200050D1"/>
    <w:rsid w:val="20142AD8"/>
    <w:rsid w:val="20144886"/>
    <w:rsid w:val="201605FE"/>
    <w:rsid w:val="201A3ED6"/>
    <w:rsid w:val="201B5732"/>
    <w:rsid w:val="201C198C"/>
    <w:rsid w:val="201F53B1"/>
    <w:rsid w:val="20210D51"/>
    <w:rsid w:val="20326B91"/>
    <w:rsid w:val="20390790"/>
    <w:rsid w:val="203A7297"/>
    <w:rsid w:val="203C5B8B"/>
    <w:rsid w:val="203E7B55"/>
    <w:rsid w:val="20426A05"/>
    <w:rsid w:val="20482782"/>
    <w:rsid w:val="204A02A8"/>
    <w:rsid w:val="204B104A"/>
    <w:rsid w:val="20504233"/>
    <w:rsid w:val="205364DC"/>
    <w:rsid w:val="2053686A"/>
    <w:rsid w:val="20542ED4"/>
    <w:rsid w:val="205625B4"/>
    <w:rsid w:val="20581C34"/>
    <w:rsid w:val="205C7EF1"/>
    <w:rsid w:val="20601879"/>
    <w:rsid w:val="20631A24"/>
    <w:rsid w:val="2063580D"/>
    <w:rsid w:val="20671BE0"/>
    <w:rsid w:val="206C46C2"/>
    <w:rsid w:val="20766C71"/>
    <w:rsid w:val="208C6B12"/>
    <w:rsid w:val="20963CB8"/>
    <w:rsid w:val="20982BC2"/>
    <w:rsid w:val="20A81A1B"/>
    <w:rsid w:val="20B07FB6"/>
    <w:rsid w:val="20B13FE4"/>
    <w:rsid w:val="20B646FB"/>
    <w:rsid w:val="20B80137"/>
    <w:rsid w:val="20BF0C96"/>
    <w:rsid w:val="20C938C2"/>
    <w:rsid w:val="20C955D0"/>
    <w:rsid w:val="20CA3197"/>
    <w:rsid w:val="20D61B3B"/>
    <w:rsid w:val="20D858B3"/>
    <w:rsid w:val="20D919B5"/>
    <w:rsid w:val="20E34258"/>
    <w:rsid w:val="20F052F3"/>
    <w:rsid w:val="20F07698"/>
    <w:rsid w:val="20F93A28"/>
    <w:rsid w:val="210F504D"/>
    <w:rsid w:val="21282758"/>
    <w:rsid w:val="21304506"/>
    <w:rsid w:val="21336F8E"/>
    <w:rsid w:val="21380A48"/>
    <w:rsid w:val="213B74B1"/>
    <w:rsid w:val="214473ED"/>
    <w:rsid w:val="21486C4C"/>
    <w:rsid w:val="214C1D19"/>
    <w:rsid w:val="214C2AFA"/>
    <w:rsid w:val="21520C59"/>
    <w:rsid w:val="21556F04"/>
    <w:rsid w:val="215718DD"/>
    <w:rsid w:val="21577120"/>
    <w:rsid w:val="21585FB4"/>
    <w:rsid w:val="215A2310"/>
    <w:rsid w:val="215D5774"/>
    <w:rsid w:val="215F4227"/>
    <w:rsid w:val="2164183D"/>
    <w:rsid w:val="216B2BCB"/>
    <w:rsid w:val="21701F90"/>
    <w:rsid w:val="21743743"/>
    <w:rsid w:val="217671EE"/>
    <w:rsid w:val="217952E8"/>
    <w:rsid w:val="218423A9"/>
    <w:rsid w:val="21871088"/>
    <w:rsid w:val="21881CE4"/>
    <w:rsid w:val="218A2720"/>
    <w:rsid w:val="219D66B2"/>
    <w:rsid w:val="219E6AFD"/>
    <w:rsid w:val="21A72DAE"/>
    <w:rsid w:val="21A815C0"/>
    <w:rsid w:val="21B04A82"/>
    <w:rsid w:val="21B2014E"/>
    <w:rsid w:val="21B26CD5"/>
    <w:rsid w:val="21BF4E39"/>
    <w:rsid w:val="21C16826"/>
    <w:rsid w:val="21CB71C6"/>
    <w:rsid w:val="21CE7D40"/>
    <w:rsid w:val="21CF4AE6"/>
    <w:rsid w:val="21D32187"/>
    <w:rsid w:val="21D534AF"/>
    <w:rsid w:val="21D553E7"/>
    <w:rsid w:val="21D73DBD"/>
    <w:rsid w:val="21D97B35"/>
    <w:rsid w:val="21DC13D3"/>
    <w:rsid w:val="21DE318A"/>
    <w:rsid w:val="21DF0A26"/>
    <w:rsid w:val="21E31393"/>
    <w:rsid w:val="21EF5B80"/>
    <w:rsid w:val="21F5033B"/>
    <w:rsid w:val="21F5798D"/>
    <w:rsid w:val="21F665C5"/>
    <w:rsid w:val="21FB24E8"/>
    <w:rsid w:val="21FE134A"/>
    <w:rsid w:val="220124C7"/>
    <w:rsid w:val="22066450"/>
    <w:rsid w:val="22097CEF"/>
    <w:rsid w:val="22180B85"/>
    <w:rsid w:val="221E379A"/>
    <w:rsid w:val="221F603A"/>
    <w:rsid w:val="22205764"/>
    <w:rsid w:val="22230DB0"/>
    <w:rsid w:val="22244B28"/>
    <w:rsid w:val="2228720A"/>
    <w:rsid w:val="222C4C91"/>
    <w:rsid w:val="222D1C2F"/>
    <w:rsid w:val="22342FBD"/>
    <w:rsid w:val="223971D4"/>
    <w:rsid w:val="22432E10"/>
    <w:rsid w:val="224A604B"/>
    <w:rsid w:val="224B05E4"/>
    <w:rsid w:val="225571A2"/>
    <w:rsid w:val="22576990"/>
    <w:rsid w:val="22596EC8"/>
    <w:rsid w:val="225C0A0A"/>
    <w:rsid w:val="2265761B"/>
    <w:rsid w:val="22714212"/>
    <w:rsid w:val="227332DD"/>
    <w:rsid w:val="22872B5E"/>
    <w:rsid w:val="228C104B"/>
    <w:rsid w:val="228D0920"/>
    <w:rsid w:val="22946A32"/>
    <w:rsid w:val="22962A4F"/>
    <w:rsid w:val="22995A23"/>
    <w:rsid w:val="22A530BF"/>
    <w:rsid w:val="22AE6A5F"/>
    <w:rsid w:val="22C1491A"/>
    <w:rsid w:val="22C46A33"/>
    <w:rsid w:val="22D20A11"/>
    <w:rsid w:val="22D622C7"/>
    <w:rsid w:val="22D73832"/>
    <w:rsid w:val="22DA1920"/>
    <w:rsid w:val="22E64245"/>
    <w:rsid w:val="22F47480"/>
    <w:rsid w:val="22FF7A6F"/>
    <w:rsid w:val="23042372"/>
    <w:rsid w:val="23111551"/>
    <w:rsid w:val="231177A3"/>
    <w:rsid w:val="23123443"/>
    <w:rsid w:val="23130E25"/>
    <w:rsid w:val="231F5A1C"/>
    <w:rsid w:val="23290648"/>
    <w:rsid w:val="232E7F55"/>
    <w:rsid w:val="233D40F4"/>
    <w:rsid w:val="23496F3C"/>
    <w:rsid w:val="234B4A63"/>
    <w:rsid w:val="234C1912"/>
    <w:rsid w:val="234F1BDE"/>
    <w:rsid w:val="235328CA"/>
    <w:rsid w:val="235B7B07"/>
    <w:rsid w:val="236C37EA"/>
    <w:rsid w:val="236C6787"/>
    <w:rsid w:val="236E69A3"/>
    <w:rsid w:val="23713D9D"/>
    <w:rsid w:val="2376433B"/>
    <w:rsid w:val="237815D0"/>
    <w:rsid w:val="238B261A"/>
    <w:rsid w:val="238C6E29"/>
    <w:rsid w:val="239A32F4"/>
    <w:rsid w:val="23A14683"/>
    <w:rsid w:val="23A81EB5"/>
    <w:rsid w:val="23B239A9"/>
    <w:rsid w:val="23BA44DB"/>
    <w:rsid w:val="23C06F33"/>
    <w:rsid w:val="23C158FA"/>
    <w:rsid w:val="23C15C65"/>
    <w:rsid w:val="23C55DEA"/>
    <w:rsid w:val="23D36806"/>
    <w:rsid w:val="23D5432C"/>
    <w:rsid w:val="23DE1C48"/>
    <w:rsid w:val="23E32EED"/>
    <w:rsid w:val="23E34C9B"/>
    <w:rsid w:val="23E6478B"/>
    <w:rsid w:val="23F0560A"/>
    <w:rsid w:val="23FA60C2"/>
    <w:rsid w:val="23FE356B"/>
    <w:rsid w:val="240210CD"/>
    <w:rsid w:val="240D7F6A"/>
    <w:rsid w:val="24127D33"/>
    <w:rsid w:val="24156E1F"/>
    <w:rsid w:val="241B2DC7"/>
    <w:rsid w:val="242033DE"/>
    <w:rsid w:val="24213A15"/>
    <w:rsid w:val="2426102C"/>
    <w:rsid w:val="24276726"/>
    <w:rsid w:val="242D0DE1"/>
    <w:rsid w:val="24370EDB"/>
    <w:rsid w:val="24431BDE"/>
    <w:rsid w:val="24572958"/>
    <w:rsid w:val="246D6C5B"/>
    <w:rsid w:val="246F673A"/>
    <w:rsid w:val="2471512D"/>
    <w:rsid w:val="2480698E"/>
    <w:rsid w:val="24873494"/>
    <w:rsid w:val="248A3369"/>
    <w:rsid w:val="249146F7"/>
    <w:rsid w:val="24942646"/>
    <w:rsid w:val="2494750B"/>
    <w:rsid w:val="24950333"/>
    <w:rsid w:val="24967F5F"/>
    <w:rsid w:val="24977834"/>
    <w:rsid w:val="249E6E14"/>
    <w:rsid w:val="24A13962"/>
    <w:rsid w:val="24A25CAE"/>
    <w:rsid w:val="24AE25E4"/>
    <w:rsid w:val="24AF2DCF"/>
    <w:rsid w:val="24B03B99"/>
    <w:rsid w:val="24BE1264"/>
    <w:rsid w:val="24BF09F7"/>
    <w:rsid w:val="24C50845"/>
    <w:rsid w:val="24CA33CD"/>
    <w:rsid w:val="24CD76F9"/>
    <w:rsid w:val="24DA3EBB"/>
    <w:rsid w:val="24EB5DB8"/>
    <w:rsid w:val="24ED56A6"/>
    <w:rsid w:val="24F17A83"/>
    <w:rsid w:val="24F274DB"/>
    <w:rsid w:val="24FC3D7E"/>
    <w:rsid w:val="25035C1C"/>
    <w:rsid w:val="25184E18"/>
    <w:rsid w:val="251D242F"/>
    <w:rsid w:val="251D65D7"/>
    <w:rsid w:val="25227A45"/>
    <w:rsid w:val="252D53FE"/>
    <w:rsid w:val="25315EDA"/>
    <w:rsid w:val="25317C88"/>
    <w:rsid w:val="25323BFF"/>
    <w:rsid w:val="25327207"/>
    <w:rsid w:val="253451C8"/>
    <w:rsid w:val="253D03DB"/>
    <w:rsid w:val="25414EBD"/>
    <w:rsid w:val="254A671D"/>
    <w:rsid w:val="25502375"/>
    <w:rsid w:val="255F4B72"/>
    <w:rsid w:val="25624A61"/>
    <w:rsid w:val="2569263E"/>
    <w:rsid w:val="256E67E6"/>
    <w:rsid w:val="25783B09"/>
    <w:rsid w:val="257A2F0F"/>
    <w:rsid w:val="257E4A9D"/>
    <w:rsid w:val="257F6C45"/>
    <w:rsid w:val="25893D68"/>
    <w:rsid w:val="25895D8F"/>
    <w:rsid w:val="2593624D"/>
    <w:rsid w:val="25973F8F"/>
    <w:rsid w:val="259802DF"/>
    <w:rsid w:val="259B4A48"/>
    <w:rsid w:val="25A20B86"/>
    <w:rsid w:val="25AB1B73"/>
    <w:rsid w:val="25AC5561"/>
    <w:rsid w:val="25B368EF"/>
    <w:rsid w:val="25BA7462"/>
    <w:rsid w:val="25BF3437"/>
    <w:rsid w:val="25C038BB"/>
    <w:rsid w:val="25C46BF1"/>
    <w:rsid w:val="25C91FA1"/>
    <w:rsid w:val="25C9362C"/>
    <w:rsid w:val="25CD2005"/>
    <w:rsid w:val="25CD79B1"/>
    <w:rsid w:val="25D759BE"/>
    <w:rsid w:val="25DA0320"/>
    <w:rsid w:val="25E42F4C"/>
    <w:rsid w:val="25E60A73"/>
    <w:rsid w:val="25EC2D81"/>
    <w:rsid w:val="25F44098"/>
    <w:rsid w:val="25F62228"/>
    <w:rsid w:val="25FA70D0"/>
    <w:rsid w:val="26046186"/>
    <w:rsid w:val="26047794"/>
    <w:rsid w:val="260570C4"/>
    <w:rsid w:val="26094761"/>
    <w:rsid w:val="260F621B"/>
    <w:rsid w:val="26173CAC"/>
    <w:rsid w:val="261D1FBA"/>
    <w:rsid w:val="262139D6"/>
    <w:rsid w:val="262B2929"/>
    <w:rsid w:val="262D47B0"/>
    <w:rsid w:val="262F241A"/>
    <w:rsid w:val="26325A66"/>
    <w:rsid w:val="263747E9"/>
    <w:rsid w:val="263D1CBA"/>
    <w:rsid w:val="26402A59"/>
    <w:rsid w:val="26454DBB"/>
    <w:rsid w:val="264B2FCC"/>
    <w:rsid w:val="26563B15"/>
    <w:rsid w:val="265B227D"/>
    <w:rsid w:val="265B25F5"/>
    <w:rsid w:val="26606A77"/>
    <w:rsid w:val="26633E71"/>
    <w:rsid w:val="26726FAE"/>
    <w:rsid w:val="267442D0"/>
    <w:rsid w:val="26751DF6"/>
    <w:rsid w:val="267A0D0A"/>
    <w:rsid w:val="267A46DD"/>
    <w:rsid w:val="267E00A6"/>
    <w:rsid w:val="267E3AC7"/>
    <w:rsid w:val="267E514F"/>
    <w:rsid w:val="267F58F0"/>
    <w:rsid w:val="2685203A"/>
    <w:rsid w:val="268A3AF4"/>
    <w:rsid w:val="268D553E"/>
    <w:rsid w:val="268F2EB8"/>
    <w:rsid w:val="26923CD5"/>
    <w:rsid w:val="269E30FB"/>
    <w:rsid w:val="26A10E3D"/>
    <w:rsid w:val="26A12BEB"/>
    <w:rsid w:val="26A526DC"/>
    <w:rsid w:val="26A61FB0"/>
    <w:rsid w:val="26A73240"/>
    <w:rsid w:val="26AB1368"/>
    <w:rsid w:val="26AD372B"/>
    <w:rsid w:val="26BA245F"/>
    <w:rsid w:val="26BB3EAB"/>
    <w:rsid w:val="26CD39E1"/>
    <w:rsid w:val="26D13B43"/>
    <w:rsid w:val="26D27AD9"/>
    <w:rsid w:val="26D905CD"/>
    <w:rsid w:val="26DB038C"/>
    <w:rsid w:val="26DB60FD"/>
    <w:rsid w:val="26DD4B77"/>
    <w:rsid w:val="26EA27E4"/>
    <w:rsid w:val="26EF7DFB"/>
    <w:rsid w:val="26F251F5"/>
    <w:rsid w:val="26F90B27"/>
    <w:rsid w:val="26FD79FE"/>
    <w:rsid w:val="26FE003E"/>
    <w:rsid w:val="27053131"/>
    <w:rsid w:val="270A253F"/>
    <w:rsid w:val="270B6B49"/>
    <w:rsid w:val="27133AE9"/>
    <w:rsid w:val="271909D4"/>
    <w:rsid w:val="271E423C"/>
    <w:rsid w:val="272475B9"/>
    <w:rsid w:val="272A498F"/>
    <w:rsid w:val="272D6888"/>
    <w:rsid w:val="27391076"/>
    <w:rsid w:val="273C5BB7"/>
    <w:rsid w:val="27433CA3"/>
    <w:rsid w:val="27435A51"/>
    <w:rsid w:val="274910B4"/>
    <w:rsid w:val="27525F38"/>
    <w:rsid w:val="27586941"/>
    <w:rsid w:val="275B723E"/>
    <w:rsid w:val="275D2BBD"/>
    <w:rsid w:val="275D6B12"/>
    <w:rsid w:val="276E6F72"/>
    <w:rsid w:val="277057A2"/>
    <w:rsid w:val="27785187"/>
    <w:rsid w:val="277A5916"/>
    <w:rsid w:val="277B4D8C"/>
    <w:rsid w:val="277C48A6"/>
    <w:rsid w:val="277D5407"/>
    <w:rsid w:val="278B2EDA"/>
    <w:rsid w:val="278C389C"/>
    <w:rsid w:val="27914A0E"/>
    <w:rsid w:val="27960276"/>
    <w:rsid w:val="279F4B11"/>
    <w:rsid w:val="279F712B"/>
    <w:rsid w:val="27A42993"/>
    <w:rsid w:val="27A50DC4"/>
    <w:rsid w:val="27A521C1"/>
    <w:rsid w:val="27AA17F2"/>
    <w:rsid w:val="27AF5CBC"/>
    <w:rsid w:val="27B0724E"/>
    <w:rsid w:val="27C301F6"/>
    <w:rsid w:val="27C91CE6"/>
    <w:rsid w:val="27D112AE"/>
    <w:rsid w:val="27D30271"/>
    <w:rsid w:val="27F52125"/>
    <w:rsid w:val="27FA25B3"/>
    <w:rsid w:val="27FB393B"/>
    <w:rsid w:val="27FF6D1F"/>
    <w:rsid w:val="28034902"/>
    <w:rsid w:val="28050FB8"/>
    <w:rsid w:val="280766F8"/>
    <w:rsid w:val="281401B5"/>
    <w:rsid w:val="281A2C55"/>
    <w:rsid w:val="2825076A"/>
    <w:rsid w:val="282633A8"/>
    <w:rsid w:val="282D7051"/>
    <w:rsid w:val="28315B47"/>
    <w:rsid w:val="28333D17"/>
    <w:rsid w:val="28336292"/>
    <w:rsid w:val="2838215B"/>
    <w:rsid w:val="283D231C"/>
    <w:rsid w:val="283F6199"/>
    <w:rsid w:val="28410534"/>
    <w:rsid w:val="28461C9C"/>
    <w:rsid w:val="284F3DB5"/>
    <w:rsid w:val="285451F9"/>
    <w:rsid w:val="28582953"/>
    <w:rsid w:val="285B1E8D"/>
    <w:rsid w:val="28653CFA"/>
    <w:rsid w:val="2868600E"/>
    <w:rsid w:val="286D0FD7"/>
    <w:rsid w:val="28700714"/>
    <w:rsid w:val="287560DE"/>
    <w:rsid w:val="28773C04"/>
    <w:rsid w:val="28786926"/>
    <w:rsid w:val="287A36F4"/>
    <w:rsid w:val="288108C3"/>
    <w:rsid w:val="288E0F4E"/>
    <w:rsid w:val="28932B31"/>
    <w:rsid w:val="28940C5A"/>
    <w:rsid w:val="289A78F2"/>
    <w:rsid w:val="28A864B3"/>
    <w:rsid w:val="28A95D87"/>
    <w:rsid w:val="28B05A8E"/>
    <w:rsid w:val="28B30912"/>
    <w:rsid w:val="28B409B4"/>
    <w:rsid w:val="28B44E58"/>
    <w:rsid w:val="28B46E09"/>
    <w:rsid w:val="28BD244B"/>
    <w:rsid w:val="28BF78D8"/>
    <w:rsid w:val="28C037FD"/>
    <w:rsid w:val="28C63DA4"/>
    <w:rsid w:val="28CC2066"/>
    <w:rsid w:val="28CE0A17"/>
    <w:rsid w:val="28CE24A2"/>
    <w:rsid w:val="28D15A45"/>
    <w:rsid w:val="28D948BF"/>
    <w:rsid w:val="28DB0637"/>
    <w:rsid w:val="28DC5CDF"/>
    <w:rsid w:val="28F11C08"/>
    <w:rsid w:val="28F811E9"/>
    <w:rsid w:val="28F9286B"/>
    <w:rsid w:val="29067EAF"/>
    <w:rsid w:val="290A21B6"/>
    <w:rsid w:val="29107EB4"/>
    <w:rsid w:val="29115E06"/>
    <w:rsid w:val="2917419D"/>
    <w:rsid w:val="291853E7"/>
    <w:rsid w:val="291A520D"/>
    <w:rsid w:val="291B4F3B"/>
    <w:rsid w:val="29206EB8"/>
    <w:rsid w:val="29211FE0"/>
    <w:rsid w:val="2923754E"/>
    <w:rsid w:val="292875F4"/>
    <w:rsid w:val="292A336C"/>
    <w:rsid w:val="293164A9"/>
    <w:rsid w:val="29341AF5"/>
    <w:rsid w:val="29347D47"/>
    <w:rsid w:val="293C0AE1"/>
    <w:rsid w:val="293D6BFB"/>
    <w:rsid w:val="29404512"/>
    <w:rsid w:val="29407343"/>
    <w:rsid w:val="29453D02"/>
    <w:rsid w:val="294855A0"/>
    <w:rsid w:val="294C32E2"/>
    <w:rsid w:val="29502A3A"/>
    <w:rsid w:val="295403E9"/>
    <w:rsid w:val="29595666"/>
    <w:rsid w:val="295C2DFA"/>
    <w:rsid w:val="29671ECA"/>
    <w:rsid w:val="29714AF7"/>
    <w:rsid w:val="29763132"/>
    <w:rsid w:val="297665B1"/>
    <w:rsid w:val="29791BFE"/>
    <w:rsid w:val="297C6FDF"/>
    <w:rsid w:val="29842A7C"/>
    <w:rsid w:val="29874881"/>
    <w:rsid w:val="298C7B83"/>
    <w:rsid w:val="29946A38"/>
    <w:rsid w:val="299D779B"/>
    <w:rsid w:val="29A21154"/>
    <w:rsid w:val="29A529F3"/>
    <w:rsid w:val="29B011A4"/>
    <w:rsid w:val="29B175E9"/>
    <w:rsid w:val="29B6551D"/>
    <w:rsid w:val="29BF0E82"/>
    <w:rsid w:val="29C95A87"/>
    <w:rsid w:val="29C966E1"/>
    <w:rsid w:val="29CE019B"/>
    <w:rsid w:val="29D47298"/>
    <w:rsid w:val="29D86924"/>
    <w:rsid w:val="29E21551"/>
    <w:rsid w:val="29E325E0"/>
    <w:rsid w:val="29E4351B"/>
    <w:rsid w:val="29EA5434"/>
    <w:rsid w:val="29F046C1"/>
    <w:rsid w:val="29FB2613"/>
    <w:rsid w:val="29FE796B"/>
    <w:rsid w:val="29FF2103"/>
    <w:rsid w:val="2A025DDB"/>
    <w:rsid w:val="2A04066B"/>
    <w:rsid w:val="2A072C16"/>
    <w:rsid w:val="2A0E44DE"/>
    <w:rsid w:val="2A116C03"/>
    <w:rsid w:val="2A1262DA"/>
    <w:rsid w:val="2A16136E"/>
    <w:rsid w:val="2A16744D"/>
    <w:rsid w:val="2A1B4108"/>
    <w:rsid w:val="2A1F32A0"/>
    <w:rsid w:val="2A273408"/>
    <w:rsid w:val="2A2C6C70"/>
    <w:rsid w:val="2A3224D8"/>
    <w:rsid w:val="2A375D41"/>
    <w:rsid w:val="2A391AB9"/>
    <w:rsid w:val="2A3A7DAD"/>
    <w:rsid w:val="2A3B3C77"/>
    <w:rsid w:val="2A3C181C"/>
    <w:rsid w:val="2A452503"/>
    <w:rsid w:val="2A484699"/>
    <w:rsid w:val="2A4915D0"/>
    <w:rsid w:val="2A4C2BDF"/>
    <w:rsid w:val="2A514230"/>
    <w:rsid w:val="2A5171BF"/>
    <w:rsid w:val="2A563950"/>
    <w:rsid w:val="2A581813"/>
    <w:rsid w:val="2A6254EB"/>
    <w:rsid w:val="2A677CA8"/>
    <w:rsid w:val="2A6E33AA"/>
    <w:rsid w:val="2A7705F1"/>
    <w:rsid w:val="2A7A3E7F"/>
    <w:rsid w:val="2A7D144B"/>
    <w:rsid w:val="2A7E571E"/>
    <w:rsid w:val="2A810D6A"/>
    <w:rsid w:val="2A842608"/>
    <w:rsid w:val="2A88342D"/>
    <w:rsid w:val="2A890141"/>
    <w:rsid w:val="2A8A2314"/>
    <w:rsid w:val="2A8E16D9"/>
    <w:rsid w:val="2A922F77"/>
    <w:rsid w:val="2A947C6B"/>
    <w:rsid w:val="2A9F4AD2"/>
    <w:rsid w:val="2AA36F32"/>
    <w:rsid w:val="2AA44A58"/>
    <w:rsid w:val="2AA9206F"/>
    <w:rsid w:val="2AAA6513"/>
    <w:rsid w:val="2AAD67C6"/>
    <w:rsid w:val="2AAF1D7B"/>
    <w:rsid w:val="2AB03726"/>
    <w:rsid w:val="2AB421BA"/>
    <w:rsid w:val="2AB63109"/>
    <w:rsid w:val="2AB70C30"/>
    <w:rsid w:val="2AB729DE"/>
    <w:rsid w:val="2ABA24CE"/>
    <w:rsid w:val="2ABE3D6C"/>
    <w:rsid w:val="2AC670C5"/>
    <w:rsid w:val="2ACA2711"/>
    <w:rsid w:val="2ACC4BF6"/>
    <w:rsid w:val="2ACD206E"/>
    <w:rsid w:val="2ACD2201"/>
    <w:rsid w:val="2ACF4CC6"/>
    <w:rsid w:val="2AD46ED1"/>
    <w:rsid w:val="2AD52E64"/>
    <w:rsid w:val="2AD96DF8"/>
    <w:rsid w:val="2ADB491E"/>
    <w:rsid w:val="2ADE440E"/>
    <w:rsid w:val="2AE232B1"/>
    <w:rsid w:val="2AEF2B2B"/>
    <w:rsid w:val="2AF165E2"/>
    <w:rsid w:val="2AF53506"/>
    <w:rsid w:val="2B0025D7"/>
    <w:rsid w:val="2B054B6B"/>
    <w:rsid w:val="2B0556F4"/>
    <w:rsid w:val="2B065713"/>
    <w:rsid w:val="2B1656B9"/>
    <w:rsid w:val="2B2133FA"/>
    <w:rsid w:val="2B2C33CC"/>
    <w:rsid w:val="2B2D7144"/>
    <w:rsid w:val="2B394CFC"/>
    <w:rsid w:val="2B3D551E"/>
    <w:rsid w:val="2B4104F9"/>
    <w:rsid w:val="2B487ADA"/>
    <w:rsid w:val="2B514BE0"/>
    <w:rsid w:val="2B543A28"/>
    <w:rsid w:val="2B547350"/>
    <w:rsid w:val="2B5D628A"/>
    <w:rsid w:val="2B640498"/>
    <w:rsid w:val="2B691981"/>
    <w:rsid w:val="2B6C1A1A"/>
    <w:rsid w:val="2B711B8B"/>
    <w:rsid w:val="2B722C4A"/>
    <w:rsid w:val="2B7469BB"/>
    <w:rsid w:val="2B7834F5"/>
    <w:rsid w:val="2B793765"/>
    <w:rsid w:val="2B794137"/>
    <w:rsid w:val="2B7B16EA"/>
    <w:rsid w:val="2B7B1DC1"/>
    <w:rsid w:val="2B7C45EA"/>
    <w:rsid w:val="2B8054C5"/>
    <w:rsid w:val="2B8925CC"/>
    <w:rsid w:val="2B8E1990"/>
    <w:rsid w:val="2B8F395A"/>
    <w:rsid w:val="2B8F6DDD"/>
    <w:rsid w:val="2B980A61"/>
    <w:rsid w:val="2BA85656"/>
    <w:rsid w:val="2BA936A8"/>
    <w:rsid w:val="2BA967CA"/>
    <w:rsid w:val="2BAC62BA"/>
    <w:rsid w:val="2BB138D1"/>
    <w:rsid w:val="2BB1742D"/>
    <w:rsid w:val="2BB512FE"/>
    <w:rsid w:val="2BB94533"/>
    <w:rsid w:val="2BDC6D23"/>
    <w:rsid w:val="2BE62A1C"/>
    <w:rsid w:val="2BF35C97"/>
    <w:rsid w:val="2BFA0DD4"/>
    <w:rsid w:val="2BFB76BA"/>
    <w:rsid w:val="2C073EAD"/>
    <w:rsid w:val="2C0B1233"/>
    <w:rsid w:val="2C136339"/>
    <w:rsid w:val="2C155C0E"/>
    <w:rsid w:val="2C1664BB"/>
    <w:rsid w:val="2C315A5A"/>
    <w:rsid w:val="2C351E0C"/>
    <w:rsid w:val="2C377C61"/>
    <w:rsid w:val="2C3B3A3A"/>
    <w:rsid w:val="2C3D6F12"/>
    <w:rsid w:val="2C42277B"/>
    <w:rsid w:val="2C4464F3"/>
    <w:rsid w:val="2C4B1C25"/>
    <w:rsid w:val="2C4B4CCD"/>
    <w:rsid w:val="2C5030EA"/>
    <w:rsid w:val="2C517951"/>
    <w:rsid w:val="2C5C383D"/>
    <w:rsid w:val="2C5D75B5"/>
    <w:rsid w:val="2C640943"/>
    <w:rsid w:val="2C6941AB"/>
    <w:rsid w:val="2C7C5C8D"/>
    <w:rsid w:val="2C8139BA"/>
    <w:rsid w:val="2C8348CD"/>
    <w:rsid w:val="2C853793"/>
    <w:rsid w:val="2C866204"/>
    <w:rsid w:val="2C87787E"/>
    <w:rsid w:val="2C8851D5"/>
    <w:rsid w:val="2C8B5ED0"/>
    <w:rsid w:val="2C8E6106"/>
    <w:rsid w:val="2C8E776E"/>
    <w:rsid w:val="2C8F3709"/>
    <w:rsid w:val="2C920BF7"/>
    <w:rsid w:val="2C9254B0"/>
    <w:rsid w:val="2C93195A"/>
    <w:rsid w:val="2C9A6113"/>
    <w:rsid w:val="2C9C1E8B"/>
    <w:rsid w:val="2C9E20A7"/>
    <w:rsid w:val="2CA156F3"/>
    <w:rsid w:val="2CAB6572"/>
    <w:rsid w:val="2CAD5E46"/>
    <w:rsid w:val="2CB03B88"/>
    <w:rsid w:val="2CB52F4D"/>
    <w:rsid w:val="2CB5522F"/>
    <w:rsid w:val="2CB847EB"/>
    <w:rsid w:val="2CBA0563"/>
    <w:rsid w:val="2CBC42DB"/>
    <w:rsid w:val="2CC71223"/>
    <w:rsid w:val="2CD36E6A"/>
    <w:rsid w:val="2CDA29B3"/>
    <w:rsid w:val="2CE132A0"/>
    <w:rsid w:val="2CE55F57"/>
    <w:rsid w:val="2CED0939"/>
    <w:rsid w:val="2CED26E7"/>
    <w:rsid w:val="2CEE32A6"/>
    <w:rsid w:val="2CF015E0"/>
    <w:rsid w:val="2CF6241F"/>
    <w:rsid w:val="2CFE13CF"/>
    <w:rsid w:val="2CFF241A"/>
    <w:rsid w:val="2D002E18"/>
    <w:rsid w:val="2D0D4B37"/>
    <w:rsid w:val="2D0F5B53"/>
    <w:rsid w:val="2D1156FA"/>
    <w:rsid w:val="2D12214D"/>
    <w:rsid w:val="2D156530"/>
    <w:rsid w:val="2D22764F"/>
    <w:rsid w:val="2D240B15"/>
    <w:rsid w:val="2D241E80"/>
    <w:rsid w:val="2D282227"/>
    <w:rsid w:val="2D347926"/>
    <w:rsid w:val="2D3868F1"/>
    <w:rsid w:val="2D406CBA"/>
    <w:rsid w:val="2D452523"/>
    <w:rsid w:val="2D485B6F"/>
    <w:rsid w:val="2D4B7688"/>
    <w:rsid w:val="2D54696D"/>
    <w:rsid w:val="2D546C0A"/>
    <w:rsid w:val="2D5C786C"/>
    <w:rsid w:val="2D5F6C3C"/>
    <w:rsid w:val="2D603B9C"/>
    <w:rsid w:val="2D616FDD"/>
    <w:rsid w:val="2D624B2F"/>
    <w:rsid w:val="2D634CF0"/>
    <w:rsid w:val="2D684463"/>
    <w:rsid w:val="2D6A01DB"/>
    <w:rsid w:val="2D720E3E"/>
    <w:rsid w:val="2D731343"/>
    <w:rsid w:val="2D744556"/>
    <w:rsid w:val="2D7D7C61"/>
    <w:rsid w:val="2D855015"/>
    <w:rsid w:val="2D8D5C78"/>
    <w:rsid w:val="2D990AC0"/>
    <w:rsid w:val="2D9B5BC3"/>
    <w:rsid w:val="2D9E56F5"/>
    <w:rsid w:val="2DA90D03"/>
    <w:rsid w:val="2DAC25A2"/>
    <w:rsid w:val="2DAD00C8"/>
    <w:rsid w:val="2DB93CC5"/>
    <w:rsid w:val="2DBA31BB"/>
    <w:rsid w:val="2DC518B5"/>
    <w:rsid w:val="2DCA133D"/>
    <w:rsid w:val="2DCA6ECC"/>
    <w:rsid w:val="2DCE2518"/>
    <w:rsid w:val="2DD85145"/>
    <w:rsid w:val="2DDD275B"/>
    <w:rsid w:val="2DE0049D"/>
    <w:rsid w:val="2DFB0E33"/>
    <w:rsid w:val="2E025599"/>
    <w:rsid w:val="2E0423DE"/>
    <w:rsid w:val="2E0777D8"/>
    <w:rsid w:val="2E0903C4"/>
    <w:rsid w:val="2E112405"/>
    <w:rsid w:val="2E1805A9"/>
    <w:rsid w:val="2E197BD7"/>
    <w:rsid w:val="2E22014D"/>
    <w:rsid w:val="2E220AB6"/>
    <w:rsid w:val="2E254102"/>
    <w:rsid w:val="2E293BF2"/>
    <w:rsid w:val="2E2B2D7C"/>
    <w:rsid w:val="2E3031D3"/>
    <w:rsid w:val="2E33681F"/>
    <w:rsid w:val="2E355879"/>
    <w:rsid w:val="2E372A60"/>
    <w:rsid w:val="2E402CEA"/>
    <w:rsid w:val="2E4F2F2D"/>
    <w:rsid w:val="2E6115DE"/>
    <w:rsid w:val="2E663554"/>
    <w:rsid w:val="2E667F96"/>
    <w:rsid w:val="2E67471B"/>
    <w:rsid w:val="2E6E40B7"/>
    <w:rsid w:val="2E7035CF"/>
    <w:rsid w:val="2E79216D"/>
    <w:rsid w:val="2E8226AB"/>
    <w:rsid w:val="2E894691"/>
    <w:rsid w:val="2E8B49B7"/>
    <w:rsid w:val="2E8D23D3"/>
    <w:rsid w:val="2E90655A"/>
    <w:rsid w:val="2E930E53"/>
    <w:rsid w:val="2E9314D4"/>
    <w:rsid w:val="2E942B04"/>
    <w:rsid w:val="2E9574DA"/>
    <w:rsid w:val="2E9C21C7"/>
    <w:rsid w:val="2EA414CB"/>
    <w:rsid w:val="2EA464AE"/>
    <w:rsid w:val="2EA54AD6"/>
    <w:rsid w:val="2EA80A6E"/>
    <w:rsid w:val="2EA8720D"/>
    <w:rsid w:val="2EAC037F"/>
    <w:rsid w:val="2EB07E70"/>
    <w:rsid w:val="2EB26B81"/>
    <w:rsid w:val="2EB4209B"/>
    <w:rsid w:val="2EB63EF5"/>
    <w:rsid w:val="2EB72FAC"/>
    <w:rsid w:val="2EBA5CA0"/>
    <w:rsid w:val="2EC35DF5"/>
    <w:rsid w:val="2ECD6C74"/>
    <w:rsid w:val="2ECD7363"/>
    <w:rsid w:val="2ECF5B55"/>
    <w:rsid w:val="2ED16EC2"/>
    <w:rsid w:val="2ED533E9"/>
    <w:rsid w:val="2ED637C6"/>
    <w:rsid w:val="2ED753FC"/>
    <w:rsid w:val="2EDB60E8"/>
    <w:rsid w:val="2EE10E16"/>
    <w:rsid w:val="2EE23EB4"/>
    <w:rsid w:val="2EE717BE"/>
    <w:rsid w:val="2EEA3E42"/>
    <w:rsid w:val="2EEE218C"/>
    <w:rsid w:val="2EEF3EEB"/>
    <w:rsid w:val="2EF67512"/>
    <w:rsid w:val="2EF7362C"/>
    <w:rsid w:val="2EFB296D"/>
    <w:rsid w:val="2EFC1307"/>
    <w:rsid w:val="2EFE0BDB"/>
    <w:rsid w:val="2EFE4F46"/>
    <w:rsid w:val="2EFF2EDF"/>
    <w:rsid w:val="2F017F60"/>
    <w:rsid w:val="2F030DBB"/>
    <w:rsid w:val="2F0437FF"/>
    <w:rsid w:val="2F0A61E8"/>
    <w:rsid w:val="2F0D5C0B"/>
    <w:rsid w:val="2F0E56BC"/>
    <w:rsid w:val="2F0F6596"/>
    <w:rsid w:val="2F10090E"/>
    <w:rsid w:val="2F1523C9"/>
    <w:rsid w:val="2F155F25"/>
    <w:rsid w:val="2F1C67E3"/>
    <w:rsid w:val="2F1D6D82"/>
    <w:rsid w:val="2F1E1ACE"/>
    <w:rsid w:val="2F1F0B51"/>
    <w:rsid w:val="2F1F1FC4"/>
    <w:rsid w:val="2F2C7428"/>
    <w:rsid w:val="2F3A39D1"/>
    <w:rsid w:val="2F3C1703"/>
    <w:rsid w:val="2F490799"/>
    <w:rsid w:val="2F5B427F"/>
    <w:rsid w:val="2F6078A4"/>
    <w:rsid w:val="2F6A7C36"/>
    <w:rsid w:val="2F6F3887"/>
    <w:rsid w:val="2F704949"/>
    <w:rsid w:val="2F725125"/>
    <w:rsid w:val="2F7F5230"/>
    <w:rsid w:val="2F83752B"/>
    <w:rsid w:val="2F880DEC"/>
    <w:rsid w:val="2F8B5B35"/>
    <w:rsid w:val="2F8E2058"/>
    <w:rsid w:val="2F95496C"/>
    <w:rsid w:val="2F971D09"/>
    <w:rsid w:val="2F9B0B20"/>
    <w:rsid w:val="2F9B467C"/>
    <w:rsid w:val="2FA06644"/>
    <w:rsid w:val="2FA21EAE"/>
    <w:rsid w:val="2FAF0127"/>
    <w:rsid w:val="2FB8122D"/>
    <w:rsid w:val="2FC736C3"/>
    <w:rsid w:val="2FCC6F2B"/>
    <w:rsid w:val="2FD065E6"/>
    <w:rsid w:val="2FD23E16"/>
    <w:rsid w:val="2FD47B8E"/>
    <w:rsid w:val="2FD951A4"/>
    <w:rsid w:val="2FD96870"/>
    <w:rsid w:val="2FE06533"/>
    <w:rsid w:val="2FE63852"/>
    <w:rsid w:val="2FEE50F3"/>
    <w:rsid w:val="2FEE5C1B"/>
    <w:rsid w:val="2FF63FA8"/>
    <w:rsid w:val="2FF81704"/>
    <w:rsid w:val="2FFB336C"/>
    <w:rsid w:val="2FFC38FD"/>
    <w:rsid w:val="30004AEC"/>
    <w:rsid w:val="3002294D"/>
    <w:rsid w:val="300F3CF4"/>
    <w:rsid w:val="301472B6"/>
    <w:rsid w:val="301B57BD"/>
    <w:rsid w:val="30222169"/>
    <w:rsid w:val="30231051"/>
    <w:rsid w:val="302723B3"/>
    <w:rsid w:val="30281C88"/>
    <w:rsid w:val="302820F2"/>
    <w:rsid w:val="3029612C"/>
    <w:rsid w:val="302A5A00"/>
    <w:rsid w:val="302B41A7"/>
    <w:rsid w:val="30390D84"/>
    <w:rsid w:val="303A351C"/>
    <w:rsid w:val="303D059E"/>
    <w:rsid w:val="30405E56"/>
    <w:rsid w:val="30406FD1"/>
    <w:rsid w:val="3042268E"/>
    <w:rsid w:val="30442F65"/>
    <w:rsid w:val="30536D05"/>
    <w:rsid w:val="30580BC9"/>
    <w:rsid w:val="3058256D"/>
    <w:rsid w:val="305B02AF"/>
    <w:rsid w:val="305E56A9"/>
    <w:rsid w:val="306233EC"/>
    <w:rsid w:val="306E2BD8"/>
    <w:rsid w:val="306E7FE2"/>
    <w:rsid w:val="307902EB"/>
    <w:rsid w:val="307D6477"/>
    <w:rsid w:val="307E1E29"/>
    <w:rsid w:val="30806709"/>
    <w:rsid w:val="30956FFB"/>
    <w:rsid w:val="30963095"/>
    <w:rsid w:val="309A2B85"/>
    <w:rsid w:val="30A21A3A"/>
    <w:rsid w:val="30A734F4"/>
    <w:rsid w:val="30A94E95"/>
    <w:rsid w:val="30AC22B1"/>
    <w:rsid w:val="30AE664D"/>
    <w:rsid w:val="30B26121"/>
    <w:rsid w:val="30C45E54"/>
    <w:rsid w:val="30C9346B"/>
    <w:rsid w:val="30D43B6A"/>
    <w:rsid w:val="30E236AE"/>
    <w:rsid w:val="30E262DA"/>
    <w:rsid w:val="30E738F1"/>
    <w:rsid w:val="30EE1DEE"/>
    <w:rsid w:val="30F05651"/>
    <w:rsid w:val="3106646D"/>
    <w:rsid w:val="31111BFD"/>
    <w:rsid w:val="31124E12"/>
    <w:rsid w:val="31175F84"/>
    <w:rsid w:val="311C322F"/>
    <w:rsid w:val="311E2ED7"/>
    <w:rsid w:val="31291B85"/>
    <w:rsid w:val="3129617A"/>
    <w:rsid w:val="312B3FDA"/>
    <w:rsid w:val="313275BE"/>
    <w:rsid w:val="31393E3B"/>
    <w:rsid w:val="31474F6D"/>
    <w:rsid w:val="31477BE9"/>
    <w:rsid w:val="3148438F"/>
    <w:rsid w:val="314D7BF8"/>
    <w:rsid w:val="31501496"/>
    <w:rsid w:val="31506ACE"/>
    <w:rsid w:val="315619EE"/>
    <w:rsid w:val="31572824"/>
    <w:rsid w:val="315947EF"/>
    <w:rsid w:val="315A37BA"/>
    <w:rsid w:val="315C449C"/>
    <w:rsid w:val="316136A3"/>
    <w:rsid w:val="3163373C"/>
    <w:rsid w:val="31666F0B"/>
    <w:rsid w:val="316771C6"/>
    <w:rsid w:val="31684A32"/>
    <w:rsid w:val="316867E0"/>
    <w:rsid w:val="316E7EEC"/>
    <w:rsid w:val="317B4CFF"/>
    <w:rsid w:val="31807FCD"/>
    <w:rsid w:val="31887B58"/>
    <w:rsid w:val="318932DD"/>
    <w:rsid w:val="318A2BFA"/>
    <w:rsid w:val="318A49A8"/>
    <w:rsid w:val="31916A3A"/>
    <w:rsid w:val="31A619F8"/>
    <w:rsid w:val="31A77F56"/>
    <w:rsid w:val="31AD4DE9"/>
    <w:rsid w:val="31AF440F"/>
    <w:rsid w:val="31B15E56"/>
    <w:rsid w:val="31B53264"/>
    <w:rsid w:val="31B82709"/>
    <w:rsid w:val="31B859B9"/>
    <w:rsid w:val="31C3610C"/>
    <w:rsid w:val="31C94300"/>
    <w:rsid w:val="31CA62EC"/>
    <w:rsid w:val="31D05482"/>
    <w:rsid w:val="31D125D7"/>
    <w:rsid w:val="31D54EF7"/>
    <w:rsid w:val="31D92BDB"/>
    <w:rsid w:val="31DE2F46"/>
    <w:rsid w:val="31DF175B"/>
    <w:rsid w:val="31E3230A"/>
    <w:rsid w:val="31E83A23"/>
    <w:rsid w:val="31EA071A"/>
    <w:rsid w:val="31F00869"/>
    <w:rsid w:val="31F167D5"/>
    <w:rsid w:val="31F84007"/>
    <w:rsid w:val="31FD161E"/>
    <w:rsid w:val="32024E86"/>
    <w:rsid w:val="3203475A"/>
    <w:rsid w:val="320F1AB1"/>
    <w:rsid w:val="321702EA"/>
    <w:rsid w:val="32260BC4"/>
    <w:rsid w:val="32290665"/>
    <w:rsid w:val="322F1676"/>
    <w:rsid w:val="32352C43"/>
    <w:rsid w:val="32400B34"/>
    <w:rsid w:val="3240775C"/>
    <w:rsid w:val="32480371"/>
    <w:rsid w:val="324803BF"/>
    <w:rsid w:val="324A2760"/>
    <w:rsid w:val="324D4B92"/>
    <w:rsid w:val="3259098A"/>
    <w:rsid w:val="3260395B"/>
    <w:rsid w:val="32621481"/>
    <w:rsid w:val="32635447"/>
    <w:rsid w:val="32694DAB"/>
    <w:rsid w:val="32696CB3"/>
    <w:rsid w:val="326A47D9"/>
    <w:rsid w:val="326A4DED"/>
    <w:rsid w:val="326C2300"/>
    <w:rsid w:val="326E42CA"/>
    <w:rsid w:val="32700042"/>
    <w:rsid w:val="32723F14"/>
    <w:rsid w:val="32755658"/>
    <w:rsid w:val="32764F2C"/>
    <w:rsid w:val="327D23CD"/>
    <w:rsid w:val="32840B71"/>
    <w:rsid w:val="3287538B"/>
    <w:rsid w:val="328D7C9C"/>
    <w:rsid w:val="328E04C8"/>
    <w:rsid w:val="328F5FEE"/>
    <w:rsid w:val="32917FB8"/>
    <w:rsid w:val="32951856"/>
    <w:rsid w:val="32981347"/>
    <w:rsid w:val="32981BA7"/>
    <w:rsid w:val="329E6876"/>
    <w:rsid w:val="32A01FA9"/>
    <w:rsid w:val="32A45F3D"/>
    <w:rsid w:val="32A970B0"/>
    <w:rsid w:val="32AC5357"/>
    <w:rsid w:val="32AE2DA6"/>
    <w:rsid w:val="32B11C3C"/>
    <w:rsid w:val="32B12408"/>
    <w:rsid w:val="32B86A07"/>
    <w:rsid w:val="32B9730D"/>
    <w:rsid w:val="32C04CBB"/>
    <w:rsid w:val="32D700C1"/>
    <w:rsid w:val="32DC56D7"/>
    <w:rsid w:val="32DF0D23"/>
    <w:rsid w:val="32E14A9C"/>
    <w:rsid w:val="32E334E6"/>
    <w:rsid w:val="32EC51EE"/>
    <w:rsid w:val="32F00926"/>
    <w:rsid w:val="32F522F5"/>
    <w:rsid w:val="32F64F46"/>
    <w:rsid w:val="32F81DE5"/>
    <w:rsid w:val="32FD73FC"/>
    <w:rsid w:val="3306699B"/>
    <w:rsid w:val="33087F73"/>
    <w:rsid w:val="33112A84"/>
    <w:rsid w:val="33122EA7"/>
    <w:rsid w:val="33150BE9"/>
    <w:rsid w:val="331812CD"/>
    <w:rsid w:val="331A7FAD"/>
    <w:rsid w:val="331B03A0"/>
    <w:rsid w:val="33226E62"/>
    <w:rsid w:val="33285907"/>
    <w:rsid w:val="333015F2"/>
    <w:rsid w:val="33305A23"/>
    <w:rsid w:val="3341378C"/>
    <w:rsid w:val="33421B7C"/>
    <w:rsid w:val="33493E78"/>
    <w:rsid w:val="334B6320"/>
    <w:rsid w:val="334D2131"/>
    <w:rsid w:val="334D6CBE"/>
    <w:rsid w:val="3353014C"/>
    <w:rsid w:val="33574D5E"/>
    <w:rsid w:val="33641229"/>
    <w:rsid w:val="3364257A"/>
    <w:rsid w:val="33654D6A"/>
    <w:rsid w:val="33691B5B"/>
    <w:rsid w:val="336E3E55"/>
    <w:rsid w:val="336F02F9"/>
    <w:rsid w:val="337A1509"/>
    <w:rsid w:val="337D1DE2"/>
    <w:rsid w:val="3381002D"/>
    <w:rsid w:val="33837901"/>
    <w:rsid w:val="33893878"/>
    <w:rsid w:val="339353A2"/>
    <w:rsid w:val="33945FB2"/>
    <w:rsid w:val="33973471"/>
    <w:rsid w:val="33995376"/>
    <w:rsid w:val="339C09C3"/>
    <w:rsid w:val="33A53571"/>
    <w:rsid w:val="33A855B9"/>
    <w:rsid w:val="33AD497E"/>
    <w:rsid w:val="33AE06F6"/>
    <w:rsid w:val="33B024CC"/>
    <w:rsid w:val="33B930AD"/>
    <w:rsid w:val="33C817B8"/>
    <w:rsid w:val="33D20888"/>
    <w:rsid w:val="33D502B3"/>
    <w:rsid w:val="33D934D4"/>
    <w:rsid w:val="33E34843"/>
    <w:rsid w:val="33E5680D"/>
    <w:rsid w:val="33ED7092"/>
    <w:rsid w:val="33FB393B"/>
    <w:rsid w:val="33FE2F6A"/>
    <w:rsid w:val="34000F51"/>
    <w:rsid w:val="34076784"/>
    <w:rsid w:val="340A756F"/>
    <w:rsid w:val="340B0AC3"/>
    <w:rsid w:val="340E07E5"/>
    <w:rsid w:val="341741FA"/>
    <w:rsid w:val="341829E1"/>
    <w:rsid w:val="341C4A20"/>
    <w:rsid w:val="341D2ED3"/>
    <w:rsid w:val="341D3232"/>
    <w:rsid w:val="341E3ACD"/>
    <w:rsid w:val="341E7629"/>
    <w:rsid w:val="341F7DA1"/>
    <w:rsid w:val="342328FC"/>
    <w:rsid w:val="34235BF7"/>
    <w:rsid w:val="34272982"/>
    <w:rsid w:val="342C2CEA"/>
    <w:rsid w:val="34325F48"/>
    <w:rsid w:val="343926B5"/>
    <w:rsid w:val="34394463"/>
    <w:rsid w:val="344077DC"/>
    <w:rsid w:val="34473024"/>
    <w:rsid w:val="344B6745"/>
    <w:rsid w:val="344C4197"/>
    <w:rsid w:val="344D6161"/>
    <w:rsid w:val="34504415"/>
    <w:rsid w:val="345632C2"/>
    <w:rsid w:val="345D2848"/>
    <w:rsid w:val="345D45F6"/>
    <w:rsid w:val="345F0356"/>
    <w:rsid w:val="34605428"/>
    <w:rsid w:val="346375C0"/>
    <w:rsid w:val="346445CD"/>
    <w:rsid w:val="34692F9B"/>
    <w:rsid w:val="34693484"/>
    <w:rsid w:val="346B1CFE"/>
    <w:rsid w:val="346C2A8B"/>
    <w:rsid w:val="34732F0D"/>
    <w:rsid w:val="34777F6D"/>
    <w:rsid w:val="347A51A8"/>
    <w:rsid w:val="348118FC"/>
    <w:rsid w:val="348222AE"/>
    <w:rsid w:val="348D2FF1"/>
    <w:rsid w:val="348F0527"/>
    <w:rsid w:val="34933A4F"/>
    <w:rsid w:val="3494655F"/>
    <w:rsid w:val="34967B08"/>
    <w:rsid w:val="34A17CC8"/>
    <w:rsid w:val="34A728B5"/>
    <w:rsid w:val="34AC732B"/>
    <w:rsid w:val="34BD2629"/>
    <w:rsid w:val="34BD5094"/>
    <w:rsid w:val="34BF0415"/>
    <w:rsid w:val="34C32238"/>
    <w:rsid w:val="34C66F39"/>
    <w:rsid w:val="34D17DCC"/>
    <w:rsid w:val="34D36666"/>
    <w:rsid w:val="34DD5737"/>
    <w:rsid w:val="34E02B31"/>
    <w:rsid w:val="34F07218"/>
    <w:rsid w:val="34F8663F"/>
    <w:rsid w:val="34FC6F25"/>
    <w:rsid w:val="35050C1D"/>
    <w:rsid w:val="35064C8D"/>
    <w:rsid w:val="35074561"/>
    <w:rsid w:val="35150A2C"/>
    <w:rsid w:val="351522E2"/>
    <w:rsid w:val="35156D57"/>
    <w:rsid w:val="3518051D"/>
    <w:rsid w:val="35183767"/>
    <w:rsid w:val="351B20BF"/>
    <w:rsid w:val="3522139B"/>
    <w:rsid w:val="3522586C"/>
    <w:rsid w:val="352549E8"/>
    <w:rsid w:val="35260E8C"/>
    <w:rsid w:val="352C5D76"/>
    <w:rsid w:val="352E0830"/>
    <w:rsid w:val="3530432C"/>
    <w:rsid w:val="35354249"/>
    <w:rsid w:val="353E2233"/>
    <w:rsid w:val="3546508A"/>
    <w:rsid w:val="35472BB0"/>
    <w:rsid w:val="35494369"/>
    <w:rsid w:val="355359F9"/>
    <w:rsid w:val="35572FD6"/>
    <w:rsid w:val="35594AFA"/>
    <w:rsid w:val="35632F82"/>
    <w:rsid w:val="356419B4"/>
    <w:rsid w:val="3566572C"/>
    <w:rsid w:val="3568449D"/>
    <w:rsid w:val="356B2D42"/>
    <w:rsid w:val="357065AB"/>
    <w:rsid w:val="35777939"/>
    <w:rsid w:val="357B054F"/>
    <w:rsid w:val="357C0AAC"/>
    <w:rsid w:val="35885AF5"/>
    <w:rsid w:val="358C5FA8"/>
    <w:rsid w:val="3598548C"/>
    <w:rsid w:val="359F479A"/>
    <w:rsid w:val="35A149B6"/>
    <w:rsid w:val="35A3428A"/>
    <w:rsid w:val="35A63D7A"/>
    <w:rsid w:val="35A95619"/>
    <w:rsid w:val="35AA5754"/>
    <w:rsid w:val="35AB313F"/>
    <w:rsid w:val="35AD7633"/>
    <w:rsid w:val="35BB3F9F"/>
    <w:rsid w:val="35C15DF1"/>
    <w:rsid w:val="35C40D6C"/>
    <w:rsid w:val="35C64FF0"/>
    <w:rsid w:val="35C91817"/>
    <w:rsid w:val="35CA16AF"/>
    <w:rsid w:val="35D05A62"/>
    <w:rsid w:val="35D41A8D"/>
    <w:rsid w:val="35D42696"/>
    <w:rsid w:val="35DA1C76"/>
    <w:rsid w:val="35DA3A24"/>
    <w:rsid w:val="35DF3FE2"/>
    <w:rsid w:val="35E26A4F"/>
    <w:rsid w:val="35F40F8A"/>
    <w:rsid w:val="35F43E19"/>
    <w:rsid w:val="35F81149"/>
    <w:rsid w:val="35FE5964"/>
    <w:rsid w:val="36074A7F"/>
    <w:rsid w:val="36087BFF"/>
    <w:rsid w:val="36127662"/>
    <w:rsid w:val="36191495"/>
    <w:rsid w:val="361A2668"/>
    <w:rsid w:val="361B1DC7"/>
    <w:rsid w:val="362058DB"/>
    <w:rsid w:val="36315D3A"/>
    <w:rsid w:val="36392E40"/>
    <w:rsid w:val="36415851"/>
    <w:rsid w:val="364315C9"/>
    <w:rsid w:val="36445017"/>
    <w:rsid w:val="3647730B"/>
    <w:rsid w:val="364A01F9"/>
    <w:rsid w:val="364C4922"/>
    <w:rsid w:val="36571359"/>
    <w:rsid w:val="36617CA1"/>
    <w:rsid w:val="36633A19"/>
    <w:rsid w:val="36684DE4"/>
    <w:rsid w:val="366854D4"/>
    <w:rsid w:val="366D6646"/>
    <w:rsid w:val="3676374D"/>
    <w:rsid w:val="367B5207"/>
    <w:rsid w:val="367F5027"/>
    <w:rsid w:val="36821864"/>
    <w:rsid w:val="368526D6"/>
    <w:rsid w:val="36857F6B"/>
    <w:rsid w:val="36862834"/>
    <w:rsid w:val="36883480"/>
    <w:rsid w:val="36891E90"/>
    <w:rsid w:val="368D0A96"/>
    <w:rsid w:val="368F4369"/>
    <w:rsid w:val="36923549"/>
    <w:rsid w:val="36932551"/>
    <w:rsid w:val="36987B67"/>
    <w:rsid w:val="369E06DD"/>
    <w:rsid w:val="369E0EF6"/>
    <w:rsid w:val="369E2454"/>
    <w:rsid w:val="36A24189"/>
    <w:rsid w:val="36AA0802"/>
    <w:rsid w:val="36AA33F6"/>
    <w:rsid w:val="36AD2EE7"/>
    <w:rsid w:val="36B060E9"/>
    <w:rsid w:val="36B204FD"/>
    <w:rsid w:val="36B6623F"/>
    <w:rsid w:val="36B75FBF"/>
    <w:rsid w:val="36BC0835"/>
    <w:rsid w:val="36BD0C45"/>
    <w:rsid w:val="36BF0D56"/>
    <w:rsid w:val="36C00E6C"/>
    <w:rsid w:val="36D026DB"/>
    <w:rsid w:val="36D05553"/>
    <w:rsid w:val="36D6068F"/>
    <w:rsid w:val="36DC4253"/>
    <w:rsid w:val="36DD37CC"/>
    <w:rsid w:val="36E508D2"/>
    <w:rsid w:val="36EC53F1"/>
    <w:rsid w:val="36EE59D9"/>
    <w:rsid w:val="36F63451"/>
    <w:rsid w:val="370F5CB0"/>
    <w:rsid w:val="370F76FD"/>
    <w:rsid w:val="37123819"/>
    <w:rsid w:val="37181BAF"/>
    <w:rsid w:val="37182A56"/>
    <w:rsid w:val="372376B1"/>
    <w:rsid w:val="3727713D"/>
    <w:rsid w:val="372817A1"/>
    <w:rsid w:val="37375C91"/>
    <w:rsid w:val="373D3C15"/>
    <w:rsid w:val="37437A92"/>
    <w:rsid w:val="37476A3A"/>
    <w:rsid w:val="374D6BA3"/>
    <w:rsid w:val="374E46CA"/>
    <w:rsid w:val="3755284C"/>
    <w:rsid w:val="3755562B"/>
    <w:rsid w:val="37594A21"/>
    <w:rsid w:val="37615146"/>
    <w:rsid w:val="37620175"/>
    <w:rsid w:val="37692A49"/>
    <w:rsid w:val="376F28DA"/>
    <w:rsid w:val="37752793"/>
    <w:rsid w:val="377A101B"/>
    <w:rsid w:val="377F0D27"/>
    <w:rsid w:val="37840664"/>
    <w:rsid w:val="37841E99"/>
    <w:rsid w:val="37875BB4"/>
    <w:rsid w:val="378917F8"/>
    <w:rsid w:val="3793032E"/>
    <w:rsid w:val="379800C9"/>
    <w:rsid w:val="37983B97"/>
    <w:rsid w:val="379B44FD"/>
    <w:rsid w:val="37A147F9"/>
    <w:rsid w:val="37AD13F0"/>
    <w:rsid w:val="37AE6F16"/>
    <w:rsid w:val="37B06978"/>
    <w:rsid w:val="37B81B43"/>
    <w:rsid w:val="37BD15EC"/>
    <w:rsid w:val="37C3779D"/>
    <w:rsid w:val="37C67B72"/>
    <w:rsid w:val="37CE281A"/>
    <w:rsid w:val="37D050DF"/>
    <w:rsid w:val="37D546DA"/>
    <w:rsid w:val="37D54F1B"/>
    <w:rsid w:val="37D7646D"/>
    <w:rsid w:val="37DC3A83"/>
    <w:rsid w:val="37E00298"/>
    <w:rsid w:val="37E1553E"/>
    <w:rsid w:val="37E334DC"/>
    <w:rsid w:val="37EB2790"/>
    <w:rsid w:val="37ED5C91"/>
    <w:rsid w:val="37EE1E82"/>
    <w:rsid w:val="37EF573E"/>
    <w:rsid w:val="37F82BA8"/>
    <w:rsid w:val="38076059"/>
    <w:rsid w:val="380964E8"/>
    <w:rsid w:val="38275BB9"/>
    <w:rsid w:val="3828316D"/>
    <w:rsid w:val="382D142B"/>
    <w:rsid w:val="382E3A24"/>
    <w:rsid w:val="383314B7"/>
    <w:rsid w:val="38417B15"/>
    <w:rsid w:val="3844298F"/>
    <w:rsid w:val="385C4BC4"/>
    <w:rsid w:val="385C5D50"/>
    <w:rsid w:val="385D37E7"/>
    <w:rsid w:val="385F71F4"/>
    <w:rsid w:val="386121DB"/>
    <w:rsid w:val="38620668"/>
    <w:rsid w:val="38654456"/>
    <w:rsid w:val="386A72E1"/>
    <w:rsid w:val="386B727B"/>
    <w:rsid w:val="387B504A"/>
    <w:rsid w:val="387D042B"/>
    <w:rsid w:val="387D5D44"/>
    <w:rsid w:val="387F0D2C"/>
    <w:rsid w:val="388008B3"/>
    <w:rsid w:val="38846CB4"/>
    <w:rsid w:val="38877E93"/>
    <w:rsid w:val="388C0C94"/>
    <w:rsid w:val="388F69CD"/>
    <w:rsid w:val="3890274F"/>
    <w:rsid w:val="38983414"/>
    <w:rsid w:val="389A29C0"/>
    <w:rsid w:val="389C4947"/>
    <w:rsid w:val="389F5E73"/>
    <w:rsid w:val="38A071A7"/>
    <w:rsid w:val="38A30F62"/>
    <w:rsid w:val="38A93AAB"/>
    <w:rsid w:val="38B1469E"/>
    <w:rsid w:val="38B302F9"/>
    <w:rsid w:val="38BB18EB"/>
    <w:rsid w:val="38BD38B5"/>
    <w:rsid w:val="38BE5E78"/>
    <w:rsid w:val="38CC1D4A"/>
    <w:rsid w:val="38D020AF"/>
    <w:rsid w:val="38D030A4"/>
    <w:rsid w:val="38D60872"/>
    <w:rsid w:val="38D96215"/>
    <w:rsid w:val="38DC353B"/>
    <w:rsid w:val="38DD5D05"/>
    <w:rsid w:val="38DE55D9"/>
    <w:rsid w:val="38E27F47"/>
    <w:rsid w:val="38E33A25"/>
    <w:rsid w:val="38EC419A"/>
    <w:rsid w:val="38F12CD3"/>
    <w:rsid w:val="38F1355F"/>
    <w:rsid w:val="38F82B3F"/>
    <w:rsid w:val="38F94775"/>
    <w:rsid w:val="3902751A"/>
    <w:rsid w:val="390A63CE"/>
    <w:rsid w:val="390E2362"/>
    <w:rsid w:val="390F49E4"/>
    <w:rsid w:val="39101785"/>
    <w:rsid w:val="39137979"/>
    <w:rsid w:val="39160EB8"/>
    <w:rsid w:val="39184F8F"/>
    <w:rsid w:val="391E6E55"/>
    <w:rsid w:val="392505F0"/>
    <w:rsid w:val="392732D9"/>
    <w:rsid w:val="3929719C"/>
    <w:rsid w:val="392971ED"/>
    <w:rsid w:val="392A47D3"/>
    <w:rsid w:val="392E47B3"/>
    <w:rsid w:val="39325651"/>
    <w:rsid w:val="393A3157"/>
    <w:rsid w:val="393E1819"/>
    <w:rsid w:val="39430307"/>
    <w:rsid w:val="394B7F8C"/>
    <w:rsid w:val="394C729B"/>
    <w:rsid w:val="394E09B1"/>
    <w:rsid w:val="39540E7F"/>
    <w:rsid w:val="39561614"/>
    <w:rsid w:val="396A50BF"/>
    <w:rsid w:val="396B5912"/>
    <w:rsid w:val="39722811"/>
    <w:rsid w:val="397523E2"/>
    <w:rsid w:val="397D1296"/>
    <w:rsid w:val="397D4DF2"/>
    <w:rsid w:val="397F0B6A"/>
    <w:rsid w:val="39846181"/>
    <w:rsid w:val="39893797"/>
    <w:rsid w:val="39913610"/>
    <w:rsid w:val="3995038E"/>
    <w:rsid w:val="399654A2"/>
    <w:rsid w:val="399B3847"/>
    <w:rsid w:val="399E7A18"/>
    <w:rsid w:val="39A14A8C"/>
    <w:rsid w:val="39A95D8A"/>
    <w:rsid w:val="39AE76A2"/>
    <w:rsid w:val="39B96CFD"/>
    <w:rsid w:val="39BF540B"/>
    <w:rsid w:val="39C96289"/>
    <w:rsid w:val="39CA501E"/>
    <w:rsid w:val="39CB3DB0"/>
    <w:rsid w:val="39DF785B"/>
    <w:rsid w:val="39E1094C"/>
    <w:rsid w:val="39E15381"/>
    <w:rsid w:val="39E3559D"/>
    <w:rsid w:val="39EC4898"/>
    <w:rsid w:val="39F6247B"/>
    <w:rsid w:val="39FC3754"/>
    <w:rsid w:val="39FE23D7"/>
    <w:rsid w:val="3A0A0D7C"/>
    <w:rsid w:val="3A0A134B"/>
    <w:rsid w:val="3A0D4436"/>
    <w:rsid w:val="3A1C1022"/>
    <w:rsid w:val="3A1C2B2E"/>
    <w:rsid w:val="3A217E73"/>
    <w:rsid w:val="3A231E3E"/>
    <w:rsid w:val="3A25196D"/>
    <w:rsid w:val="3A2659D8"/>
    <w:rsid w:val="3A3311AB"/>
    <w:rsid w:val="3A385857"/>
    <w:rsid w:val="3A3C2EFF"/>
    <w:rsid w:val="3A4A561C"/>
    <w:rsid w:val="3A6158D6"/>
    <w:rsid w:val="3A692AF3"/>
    <w:rsid w:val="3A695377"/>
    <w:rsid w:val="3A7206CF"/>
    <w:rsid w:val="3A7E0E22"/>
    <w:rsid w:val="3A7E7074"/>
    <w:rsid w:val="3A7E7354"/>
    <w:rsid w:val="3A804602"/>
    <w:rsid w:val="3A810BB5"/>
    <w:rsid w:val="3A8542C3"/>
    <w:rsid w:val="3A872856"/>
    <w:rsid w:val="3A881CA1"/>
    <w:rsid w:val="3A944AE9"/>
    <w:rsid w:val="3A9656E4"/>
    <w:rsid w:val="3A992100"/>
    <w:rsid w:val="3A9C5C09"/>
    <w:rsid w:val="3A9E10EB"/>
    <w:rsid w:val="3AA54601"/>
    <w:rsid w:val="3AB111F7"/>
    <w:rsid w:val="3AB42A96"/>
    <w:rsid w:val="3AB658AA"/>
    <w:rsid w:val="3AB962FE"/>
    <w:rsid w:val="3ABE6CDA"/>
    <w:rsid w:val="3AC0768C"/>
    <w:rsid w:val="3AC133C7"/>
    <w:rsid w:val="3AC151B3"/>
    <w:rsid w:val="3AC23405"/>
    <w:rsid w:val="3AC54CA3"/>
    <w:rsid w:val="3ADD023E"/>
    <w:rsid w:val="3AE50EA1"/>
    <w:rsid w:val="3AEC222F"/>
    <w:rsid w:val="3AEC4FDE"/>
    <w:rsid w:val="3AF86E26"/>
    <w:rsid w:val="3AFC4F2B"/>
    <w:rsid w:val="3AFF6407"/>
    <w:rsid w:val="3B0C0B24"/>
    <w:rsid w:val="3B0E664A"/>
    <w:rsid w:val="3B153A67"/>
    <w:rsid w:val="3B176798"/>
    <w:rsid w:val="3B195C03"/>
    <w:rsid w:val="3B1B48C3"/>
    <w:rsid w:val="3B1D7C60"/>
    <w:rsid w:val="3B1F5D8D"/>
    <w:rsid w:val="3B2C4013"/>
    <w:rsid w:val="3B2E2848"/>
    <w:rsid w:val="3B2F65C0"/>
    <w:rsid w:val="3B301E22"/>
    <w:rsid w:val="3B312338"/>
    <w:rsid w:val="3B3763D1"/>
    <w:rsid w:val="3B42636E"/>
    <w:rsid w:val="3B437129"/>
    <w:rsid w:val="3B4C0F20"/>
    <w:rsid w:val="3B53405D"/>
    <w:rsid w:val="3B5B5607"/>
    <w:rsid w:val="3B5F6EA5"/>
    <w:rsid w:val="3B625A97"/>
    <w:rsid w:val="3B634772"/>
    <w:rsid w:val="3B6E7FA8"/>
    <w:rsid w:val="3B716BD9"/>
    <w:rsid w:val="3B7C158F"/>
    <w:rsid w:val="3B8B7C9A"/>
    <w:rsid w:val="3B9D25DA"/>
    <w:rsid w:val="3B9E68C8"/>
    <w:rsid w:val="3BAA3110"/>
    <w:rsid w:val="3BAC19BF"/>
    <w:rsid w:val="3BB371F1"/>
    <w:rsid w:val="3BB645EB"/>
    <w:rsid w:val="3BB70A8F"/>
    <w:rsid w:val="3BBA71BC"/>
    <w:rsid w:val="3BBC0194"/>
    <w:rsid w:val="3BBD4ED2"/>
    <w:rsid w:val="3BBE6FCD"/>
    <w:rsid w:val="3BBE70A5"/>
    <w:rsid w:val="3BC31A45"/>
    <w:rsid w:val="3BC74A4B"/>
    <w:rsid w:val="3BCB62E9"/>
    <w:rsid w:val="3BCE7B87"/>
    <w:rsid w:val="3BD67C19"/>
    <w:rsid w:val="3BDC22A4"/>
    <w:rsid w:val="3BDD426E"/>
    <w:rsid w:val="3BE01289"/>
    <w:rsid w:val="3BE41159"/>
    <w:rsid w:val="3BE41E09"/>
    <w:rsid w:val="3BEF3D86"/>
    <w:rsid w:val="3BF4738E"/>
    <w:rsid w:val="3BF530C9"/>
    <w:rsid w:val="3BF910A8"/>
    <w:rsid w:val="3C033CD5"/>
    <w:rsid w:val="3C033FA1"/>
    <w:rsid w:val="3C095FCC"/>
    <w:rsid w:val="3C0E2679"/>
    <w:rsid w:val="3C12216A"/>
    <w:rsid w:val="3C144385"/>
    <w:rsid w:val="3C195C12"/>
    <w:rsid w:val="3C1E1CA5"/>
    <w:rsid w:val="3C1F4887"/>
    <w:rsid w:val="3C2123AD"/>
    <w:rsid w:val="3C2F6E1E"/>
    <w:rsid w:val="3C314072"/>
    <w:rsid w:val="3C333E8E"/>
    <w:rsid w:val="3C340332"/>
    <w:rsid w:val="3C3519B4"/>
    <w:rsid w:val="3C362434"/>
    <w:rsid w:val="3C3976F6"/>
    <w:rsid w:val="3C3A6FCB"/>
    <w:rsid w:val="3C3E2F5F"/>
    <w:rsid w:val="3C415D6A"/>
    <w:rsid w:val="3C447867"/>
    <w:rsid w:val="3C463BC1"/>
    <w:rsid w:val="3C485B8B"/>
    <w:rsid w:val="3C4979C4"/>
    <w:rsid w:val="3C4F64BA"/>
    <w:rsid w:val="3C502C92"/>
    <w:rsid w:val="3C5A4785"/>
    <w:rsid w:val="3C5B3302"/>
    <w:rsid w:val="3C5B3DA4"/>
    <w:rsid w:val="3C5C33E5"/>
    <w:rsid w:val="3C5E0F0B"/>
    <w:rsid w:val="3C641407"/>
    <w:rsid w:val="3C664263"/>
    <w:rsid w:val="3C6A742F"/>
    <w:rsid w:val="3C6B7ACC"/>
    <w:rsid w:val="3C731D04"/>
    <w:rsid w:val="3C75071A"/>
    <w:rsid w:val="3C7D02E9"/>
    <w:rsid w:val="3C7D1519"/>
    <w:rsid w:val="3C7F27E9"/>
    <w:rsid w:val="3C830972"/>
    <w:rsid w:val="3C84058D"/>
    <w:rsid w:val="3C8666B4"/>
    <w:rsid w:val="3C8A739A"/>
    <w:rsid w:val="3C922A41"/>
    <w:rsid w:val="3C936A65"/>
    <w:rsid w:val="3CAC21A2"/>
    <w:rsid w:val="3CB03348"/>
    <w:rsid w:val="3CB324B6"/>
    <w:rsid w:val="3CB45B09"/>
    <w:rsid w:val="3CBD51CD"/>
    <w:rsid w:val="3CBE6046"/>
    <w:rsid w:val="3CCB40C7"/>
    <w:rsid w:val="3CCC056A"/>
    <w:rsid w:val="3CCE671A"/>
    <w:rsid w:val="3CCF281D"/>
    <w:rsid w:val="3CD13B56"/>
    <w:rsid w:val="3CD15B81"/>
    <w:rsid w:val="3CDA245A"/>
    <w:rsid w:val="3CDB255C"/>
    <w:rsid w:val="3CDC165C"/>
    <w:rsid w:val="3CDE029E"/>
    <w:rsid w:val="3CE8383B"/>
    <w:rsid w:val="3CEA1374"/>
    <w:rsid w:val="3CEA214B"/>
    <w:rsid w:val="3CEA6C43"/>
    <w:rsid w:val="3CEF4259"/>
    <w:rsid w:val="3CF7291B"/>
    <w:rsid w:val="3CF90C34"/>
    <w:rsid w:val="3CF950D8"/>
    <w:rsid w:val="3CFE449C"/>
    <w:rsid w:val="3D0532FC"/>
    <w:rsid w:val="3D0C6BBD"/>
    <w:rsid w:val="3D127F47"/>
    <w:rsid w:val="3D157871"/>
    <w:rsid w:val="3D1911E7"/>
    <w:rsid w:val="3D1D2B74"/>
    <w:rsid w:val="3D1E06B7"/>
    <w:rsid w:val="3D1E68EC"/>
    <w:rsid w:val="3D256A71"/>
    <w:rsid w:val="3D2959BD"/>
    <w:rsid w:val="3D346D9D"/>
    <w:rsid w:val="3D356511"/>
    <w:rsid w:val="3D361E88"/>
    <w:rsid w:val="3D430983"/>
    <w:rsid w:val="3D475E43"/>
    <w:rsid w:val="3D4E71D1"/>
    <w:rsid w:val="3D504CB9"/>
    <w:rsid w:val="3D6720EA"/>
    <w:rsid w:val="3D6C7658"/>
    <w:rsid w:val="3D725D1C"/>
    <w:rsid w:val="3D74475E"/>
    <w:rsid w:val="3D7529B0"/>
    <w:rsid w:val="3D791D75"/>
    <w:rsid w:val="3D7A7FC6"/>
    <w:rsid w:val="3D801355"/>
    <w:rsid w:val="3D876E0F"/>
    <w:rsid w:val="3D8A3B45"/>
    <w:rsid w:val="3D8C75A7"/>
    <w:rsid w:val="3D8E6FFD"/>
    <w:rsid w:val="3D9170BE"/>
    <w:rsid w:val="3D954E00"/>
    <w:rsid w:val="3D9B7F3D"/>
    <w:rsid w:val="3D9F17DB"/>
    <w:rsid w:val="3DA079AE"/>
    <w:rsid w:val="3DB92E37"/>
    <w:rsid w:val="3DC15BF5"/>
    <w:rsid w:val="3DC2319A"/>
    <w:rsid w:val="3DC23A42"/>
    <w:rsid w:val="3DC254CA"/>
    <w:rsid w:val="3DCB32E5"/>
    <w:rsid w:val="3DCC66DC"/>
    <w:rsid w:val="3DCE11FD"/>
    <w:rsid w:val="3DD34568"/>
    <w:rsid w:val="3DD53983"/>
    <w:rsid w:val="3DD75419"/>
    <w:rsid w:val="3DDE30D7"/>
    <w:rsid w:val="3DE9258D"/>
    <w:rsid w:val="3DEB0EC7"/>
    <w:rsid w:val="3DEB40F0"/>
    <w:rsid w:val="3DF15DAF"/>
    <w:rsid w:val="3DF633C5"/>
    <w:rsid w:val="3DFB46BD"/>
    <w:rsid w:val="3DFC75A4"/>
    <w:rsid w:val="3DFD6502"/>
    <w:rsid w:val="3E045AE2"/>
    <w:rsid w:val="3E0D0E3B"/>
    <w:rsid w:val="3E0E4BB3"/>
    <w:rsid w:val="3E1201FF"/>
    <w:rsid w:val="3E133F77"/>
    <w:rsid w:val="3E2B30F8"/>
    <w:rsid w:val="3E2B36E8"/>
    <w:rsid w:val="3E2D247C"/>
    <w:rsid w:val="3E3550BB"/>
    <w:rsid w:val="3E3918F8"/>
    <w:rsid w:val="3E474440"/>
    <w:rsid w:val="3E4A66BF"/>
    <w:rsid w:val="3E4F17EE"/>
    <w:rsid w:val="3E520DC7"/>
    <w:rsid w:val="3E5C7540"/>
    <w:rsid w:val="3E630A5B"/>
    <w:rsid w:val="3E667380"/>
    <w:rsid w:val="3E6B35D7"/>
    <w:rsid w:val="3E6F513F"/>
    <w:rsid w:val="3E726EF0"/>
    <w:rsid w:val="3E7A2248"/>
    <w:rsid w:val="3E7C38CA"/>
    <w:rsid w:val="3E8310FD"/>
    <w:rsid w:val="3E8D5AD7"/>
    <w:rsid w:val="3E9230EE"/>
    <w:rsid w:val="3E94028B"/>
    <w:rsid w:val="3E9B4698"/>
    <w:rsid w:val="3E9E1A93"/>
    <w:rsid w:val="3EA329AA"/>
    <w:rsid w:val="3EA352FB"/>
    <w:rsid w:val="3EAA7816"/>
    <w:rsid w:val="3EAD1CD6"/>
    <w:rsid w:val="3EB017C6"/>
    <w:rsid w:val="3EB968CD"/>
    <w:rsid w:val="3EBC60F9"/>
    <w:rsid w:val="3EBE3EE3"/>
    <w:rsid w:val="3EBF7C5B"/>
    <w:rsid w:val="3ED74FA5"/>
    <w:rsid w:val="3EDA0523"/>
    <w:rsid w:val="3EF20030"/>
    <w:rsid w:val="3EF23B8C"/>
    <w:rsid w:val="3EF67D02"/>
    <w:rsid w:val="3F0168A6"/>
    <w:rsid w:val="3F1104B7"/>
    <w:rsid w:val="3F146F9E"/>
    <w:rsid w:val="3F1610DA"/>
    <w:rsid w:val="3F281CA4"/>
    <w:rsid w:val="3F2852FB"/>
    <w:rsid w:val="3F3210B3"/>
    <w:rsid w:val="3F37738F"/>
    <w:rsid w:val="3F3917BB"/>
    <w:rsid w:val="3F395C5F"/>
    <w:rsid w:val="3F3C0908"/>
    <w:rsid w:val="3F3E3276"/>
    <w:rsid w:val="3F406FEE"/>
    <w:rsid w:val="3F497D47"/>
    <w:rsid w:val="3F4F7231"/>
    <w:rsid w:val="3F6050F1"/>
    <w:rsid w:val="3F634A8A"/>
    <w:rsid w:val="3F7248A4"/>
    <w:rsid w:val="3F734F9E"/>
    <w:rsid w:val="3F7722E4"/>
    <w:rsid w:val="3F781393"/>
    <w:rsid w:val="3F7B6278"/>
    <w:rsid w:val="3F8073EA"/>
    <w:rsid w:val="3F890995"/>
    <w:rsid w:val="3F914693"/>
    <w:rsid w:val="3F925818"/>
    <w:rsid w:val="3F9904AC"/>
    <w:rsid w:val="3F9F1088"/>
    <w:rsid w:val="3F9F267B"/>
    <w:rsid w:val="3FA550A3"/>
    <w:rsid w:val="3FA80959"/>
    <w:rsid w:val="3FA85502"/>
    <w:rsid w:val="3FB07F0A"/>
    <w:rsid w:val="3FB36E63"/>
    <w:rsid w:val="3FB93AD9"/>
    <w:rsid w:val="3FB95C69"/>
    <w:rsid w:val="3FBD419A"/>
    <w:rsid w:val="3FBE42E2"/>
    <w:rsid w:val="3FC714FE"/>
    <w:rsid w:val="3FD27F37"/>
    <w:rsid w:val="3FD414E4"/>
    <w:rsid w:val="3FE51248"/>
    <w:rsid w:val="3FE94F8F"/>
    <w:rsid w:val="3FED6C75"/>
    <w:rsid w:val="3FF05D87"/>
    <w:rsid w:val="3FFB2F15"/>
    <w:rsid w:val="40006D8C"/>
    <w:rsid w:val="40052980"/>
    <w:rsid w:val="40064D15"/>
    <w:rsid w:val="400F2841"/>
    <w:rsid w:val="400F335B"/>
    <w:rsid w:val="401069C0"/>
    <w:rsid w:val="401609CD"/>
    <w:rsid w:val="401D049B"/>
    <w:rsid w:val="40250618"/>
    <w:rsid w:val="40265590"/>
    <w:rsid w:val="40271D55"/>
    <w:rsid w:val="40273D0A"/>
    <w:rsid w:val="402D2B6C"/>
    <w:rsid w:val="40414F3F"/>
    <w:rsid w:val="40417637"/>
    <w:rsid w:val="40491ED2"/>
    <w:rsid w:val="404C3770"/>
    <w:rsid w:val="404C551E"/>
    <w:rsid w:val="404D25B1"/>
    <w:rsid w:val="40557A5E"/>
    <w:rsid w:val="4057639D"/>
    <w:rsid w:val="4062731F"/>
    <w:rsid w:val="40643F38"/>
    <w:rsid w:val="406C47B6"/>
    <w:rsid w:val="406D5BC1"/>
    <w:rsid w:val="406F28D0"/>
    <w:rsid w:val="40702D29"/>
    <w:rsid w:val="40736F4F"/>
    <w:rsid w:val="407679CC"/>
    <w:rsid w:val="407A6407"/>
    <w:rsid w:val="407D392A"/>
    <w:rsid w:val="408178BE"/>
    <w:rsid w:val="40835A4C"/>
    <w:rsid w:val="40896772"/>
    <w:rsid w:val="408B7F2A"/>
    <w:rsid w:val="4093139F"/>
    <w:rsid w:val="40963652"/>
    <w:rsid w:val="40970E8F"/>
    <w:rsid w:val="409E3FCC"/>
    <w:rsid w:val="409F5F96"/>
    <w:rsid w:val="40A35A86"/>
    <w:rsid w:val="40AD2461"/>
    <w:rsid w:val="40AF17F8"/>
    <w:rsid w:val="40B03703"/>
    <w:rsid w:val="40B51316"/>
    <w:rsid w:val="40B90E06"/>
    <w:rsid w:val="40B97A5A"/>
    <w:rsid w:val="40C246A0"/>
    <w:rsid w:val="40C652D1"/>
    <w:rsid w:val="40C81049"/>
    <w:rsid w:val="40CD2B03"/>
    <w:rsid w:val="40D2164B"/>
    <w:rsid w:val="40E337B9"/>
    <w:rsid w:val="40E77831"/>
    <w:rsid w:val="40EA3C11"/>
    <w:rsid w:val="40EC0E51"/>
    <w:rsid w:val="40F0234E"/>
    <w:rsid w:val="40F24A23"/>
    <w:rsid w:val="40F40601"/>
    <w:rsid w:val="40F40A87"/>
    <w:rsid w:val="40FA30E0"/>
    <w:rsid w:val="40FD12F1"/>
    <w:rsid w:val="410339D7"/>
    <w:rsid w:val="41036525"/>
    <w:rsid w:val="410B7187"/>
    <w:rsid w:val="410D4CAE"/>
    <w:rsid w:val="411E3201"/>
    <w:rsid w:val="41215476"/>
    <w:rsid w:val="41216F01"/>
    <w:rsid w:val="41246A98"/>
    <w:rsid w:val="4125649B"/>
    <w:rsid w:val="41322966"/>
    <w:rsid w:val="41326E0A"/>
    <w:rsid w:val="41367C1A"/>
    <w:rsid w:val="413D05C0"/>
    <w:rsid w:val="413D0DA3"/>
    <w:rsid w:val="413E130B"/>
    <w:rsid w:val="41405083"/>
    <w:rsid w:val="414404A7"/>
    <w:rsid w:val="41463605"/>
    <w:rsid w:val="414746FF"/>
    <w:rsid w:val="415648A7"/>
    <w:rsid w:val="41576B17"/>
    <w:rsid w:val="415B5669"/>
    <w:rsid w:val="415B6ACA"/>
    <w:rsid w:val="41670862"/>
    <w:rsid w:val="41682B86"/>
    <w:rsid w:val="416A65A4"/>
    <w:rsid w:val="416F3BBA"/>
    <w:rsid w:val="41735459"/>
    <w:rsid w:val="41743063"/>
    <w:rsid w:val="418408ED"/>
    <w:rsid w:val="418E2292"/>
    <w:rsid w:val="41914F2F"/>
    <w:rsid w:val="419F4D1A"/>
    <w:rsid w:val="41A2189A"/>
    <w:rsid w:val="41A43864"/>
    <w:rsid w:val="41A5482C"/>
    <w:rsid w:val="41A66434"/>
    <w:rsid w:val="41B16375"/>
    <w:rsid w:val="41C56CEC"/>
    <w:rsid w:val="41DE00DC"/>
    <w:rsid w:val="41E023C2"/>
    <w:rsid w:val="41E53E7C"/>
    <w:rsid w:val="41E55C2A"/>
    <w:rsid w:val="41EC0D67"/>
    <w:rsid w:val="41F25983"/>
    <w:rsid w:val="41F560D9"/>
    <w:rsid w:val="41F60AD4"/>
    <w:rsid w:val="41F857B7"/>
    <w:rsid w:val="4200449D"/>
    <w:rsid w:val="420267DC"/>
    <w:rsid w:val="4205007B"/>
    <w:rsid w:val="42084862"/>
    <w:rsid w:val="420C1C66"/>
    <w:rsid w:val="420F4A55"/>
    <w:rsid w:val="42100EF9"/>
    <w:rsid w:val="42187DCD"/>
    <w:rsid w:val="42195614"/>
    <w:rsid w:val="421A3B26"/>
    <w:rsid w:val="421F2EEA"/>
    <w:rsid w:val="422152AF"/>
    <w:rsid w:val="42260399"/>
    <w:rsid w:val="422624CB"/>
    <w:rsid w:val="42274495"/>
    <w:rsid w:val="422D38F3"/>
    <w:rsid w:val="42334002"/>
    <w:rsid w:val="4235270E"/>
    <w:rsid w:val="42360234"/>
    <w:rsid w:val="423A3BCC"/>
    <w:rsid w:val="423A7D24"/>
    <w:rsid w:val="42426BD9"/>
    <w:rsid w:val="42470693"/>
    <w:rsid w:val="424E57D2"/>
    <w:rsid w:val="42642FF3"/>
    <w:rsid w:val="426C1BF7"/>
    <w:rsid w:val="426C25C1"/>
    <w:rsid w:val="42742242"/>
    <w:rsid w:val="427577F8"/>
    <w:rsid w:val="427C0C6D"/>
    <w:rsid w:val="428471F1"/>
    <w:rsid w:val="42947229"/>
    <w:rsid w:val="429733C9"/>
    <w:rsid w:val="429C09DF"/>
    <w:rsid w:val="42A41642"/>
    <w:rsid w:val="42A50DBD"/>
    <w:rsid w:val="42A774A0"/>
    <w:rsid w:val="42A94EAA"/>
    <w:rsid w:val="42B25EFA"/>
    <w:rsid w:val="42B26C49"/>
    <w:rsid w:val="42B8554C"/>
    <w:rsid w:val="42B86E9B"/>
    <w:rsid w:val="42BA2C13"/>
    <w:rsid w:val="42C83582"/>
    <w:rsid w:val="42D26717"/>
    <w:rsid w:val="42D44852"/>
    <w:rsid w:val="42D50F9A"/>
    <w:rsid w:val="42D77C69"/>
    <w:rsid w:val="42E163F2"/>
    <w:rsid w:val="42E27706"/>
    <w:rsid w:val="42E776BB"/>
    <w:rsid w:val="42EE0B0F"/>
    <w:rsid w:val="42F02AD9"/>
    <w:rsid w:val="42F0492C"/>
    <w:rsid w:val="42FB7C6F"/>
    <w:rsid w:val="42FF2D1C"/>
    <w:rsid w:val="43014038"/>
    <w:rsid w:val="43034A17"/>
    <w:rsid w:val="43095949"/>
    <w:rsid w:val="430B346F"/>
    <w:rsid w:val="430D6B32"/>
    <w:rsid w:val="43121AC0"/>
    <w:rsid w:val="431C38CE"/>
    <w:rsid w:val="431E3879"/>
    <w:rsid w:val="43284021"/>
    <w:rsid w:val="432B58BF"/>
    <w:rsid w:val="432D5ADB"/>
    <w:rsid w:val="432D7889"/>
    <w:rsid w:val="432E715D"/>
    <w:rsid w:val="43302DBC"/>
    <w:rsid w:val="43317379"/>
    <w:rsid w:val="433A6FE6"/>
    <w:rsid w:val="433C5D1E"/>
    <w:rsid w:val="433E1A96"/>
    <w:rsid w:val="43421586"/>
    <w:rsid w:val="43461685"/>
    <w:rsid w:val="43480868"/>
    <w:rsid w:val="4348746D"/>
    <w:rsid w:val="4350713C"/>
    <w:rsid w:val="43514AF1"/>
    <w:rsid w:val="4352105E"/>
    <w:rsid w:val="43570B79"/>
    <w:rsid w:val="43572519"/>
    <w:rsid w:val="435B2648"/>
    <w:rsid w:val="435B61A4"/>
    <w:rsid w:val="435D5F9B"/>
    <w:rsid w:val="43600487"/>
    <w:rsid w:val="436406B7"/>
    <w:rsid w:val="436653E0"/>
    <w:rsid w:val="43686B13"/>
    <w:rsid w:val="436B3466"/>
    <w:rsid w:val="43740325"/>
    <w:rsid w:val="437454B8"/>
    <w:rsid w:val="4375337A"/>
    <w:rsid w:val="438576C5"/>
    <w:rsid w:val="43880F63"/>
    <w:rsid w:val="438A6A89"/>
    <w:rsid w:val="438F5E4E"/>
    <w:rsid w:val="439F77F0"/>
    <w:rsid w:val="43A0005B"/>
    <w:rsid w:val="43A630BA"/>
    <w:rsid w:val="43A86F10"/>
    <w:rsid w:val="43AA70B0"/>
    <w:rsid w:val="43AF5FC5"/>
    <w:rsid w:val="43B5701A"/>
    <w:rsid w:val="43B96210"/>
    <w:rsid w:val="43C058D0"/>
    <w:rsid w:val="43C4431A"/>
    <w:rsid w:val="43C53F65"/>
    <w:rsid w:val="43C655F0"/>
    <w:rsid w:val="43C7383A"/>
    <w:rsid w:val="43CA332A"/>
    <w:rsid w:val="43CB4BD1"/>
    <w:rsid w:val="43D014D4"/>
    <w:rsid w:val="43E22422"/>
    <w:rsid w:val="43E51F12"/>
    <w:rsid w:val="43E7452D"/>
    <w:rsid w:val="43EF5AA8"/>
    <w:rsid w:val="43F568DE"/>
    <w:rsid w:val="43FF1225"/>
    <w:rsid w:val="441133CA"/>
    <w:rsid w:val="441C6A36"/>
    <w:rsid w:val="441D78FE"/>
    <w:rsid w:val="4427077C"/>
    <w:rsid w:val="442B04A5"/>
    <w:rsid w:val="443174AF"/>
    <w:rsid w:val="44343E1B"/>
    <w:rsid w:val="44352E99"/>
    <w:rsid w:val="44383BDD"/>
    <w:rsid w:val="444035EC"/>
    <w:rsid w:val="444111FF"/>
    <w:rsid w:val="444529B0"/>
    <w:rsid w:val="445157F9"/>
    <w:rsid w:val="44533D13"/>
    <w:rsid w:val="445553B1"/>
    <w:rsid w:val="44580936"/>
    <w:rsid w:val="44647768"/>
    <w:rsid w:val="44670B79"/>
    <w:rsid w:val="446B4701"/>
    <w:rsid w:val="447119F7"/>
    <w:rsid w:val="447D31D0"/>
    <w:rsid w:val="447F42ED"/>
    <w:rsid w:val="44853C5B"/>
    <w:rsid w:val="448636F5"/>
    <w:rsid w:val="448654A3"/>
    <w:rsid w:val="448C05DF"/>
    <w:rsid w:val="44901991"/>
    <w:rsid w:val="44960633"/>
    <w:rsid w:val="44974D76"/>
    <w:rsid w:val="449A4A98"/>
    <w:rsid w:val="44A1408B"/>
    <w:rsid w:val="44A84615"/>
    <w:rsid w:val="44AC2A30"/>
    <w:rsid w:val="44AE7C22"/>
    <w:rsid w:val="44B042CE"/>
    <w:rsid w:val="44B55D88"/>
    <w:rsid w:val="44B85878"/>
    <w:rsid w:val="44B951CC"/>
    <w:rsid w:val="44BA6EFA"/>
    <w:rsid w:val="44C62596"/>
    <w:rsid w:val="44C77869"/>
    <w:rsid w:val="44C935E1"/>
    <w:rsid w:val="44C9538F"/>
    <w:rsid w:val="44CA205D"/>
    <w:rsid w:val="44CB1108"/>
    <w:rsid w:val="44CD14E0"/>
    <w:rsid w:val="44D34755"/>
    <w:rsid w:val="44D95ECC"/>
    <w:rsid w:val="44F05012"/>
    <w:rsid w:val="44F20B0B"/>
    <w:rsid w:val="44FA19ED"/>
    <w:rsid w:val="44FE772F"/>
    <w:rsid w:val="4508410A"/>
    <w:rsid w:val="45097E82"/>
    <w:rsid w:val="450D7972"/>
    <w:rsid w:val="45101210"/>
    <w:rsid w:val="451505D5"/>
    <w:rsid w:val="45156827"/>
    <w:rsid w:val="45181E73"/>
    <w:rsid w:val="45196317"/>
    <w:rsid w:val="451C1C45"/>
    <w:rsid w:val="451C2806"/>
    <w:rsid w:val="451C7579"/>
    <w:rsid w:val="451F1453"/>
    <w:rsid w:val="4521341D"/>
    <w:rsid w:val="45216F7A"/>
    <w:rsid w:val="452D3B70"/>
    <w:rsid w:val="452E5F4C"/>
    <w:rsid w:val="452F3D84"/>
    <w:rsid w:val="452F5B3A"/>
    <w:rsid w:val="453F3B0F"/>
    <w:rsid w:val="45417301"/>
    <w:rsid w:val="45476534"/>
    <w:rsid w:val="454F1D39"/>
    <w:rsid w:val="455247B9"/>
    <w:rsid w:val="4554734F"/>
    <w:rsid w:val="455A5E04"/>
    <w:rsid w:val="45603F46"/>
    <w:rsid w:val="45612018"/>
    <w:rsid w:val="45682DFA"/>
    <w:rsid w:val="45700EE7"/>
    <w:rsid w:val="457A0299"/>
    <w:rsid w:val="457E43CC"/>
    <w:rsid w:val="45876C36"/>
    <w:rsid w:val="458946E9"/>
    <w:rsid w:val="45905EAD"/>
    <w:rsid w:val="45912351"/>
    <w:rsid w:val="45944317"/>
    <w:rsid w:val="45962735"/>
    <w:rsid w:val="45977B3E"/>
    <w:rsid w:val="45A007E6"/>
    <w:rsid w:val="45A47C0E"/>
    <w:rsid w:val="45A55DFD"/>
    <w:rsid w:val="45A71B75"/>
    <w:rsid w:val="45A831F7"/>
    <w:rsid w:val="45B7168C"/>
    <w:rsid w:val="45B85B30"/>
    <w:rsid w:val="45B86BD4"/>
    <w:rsid w:val="45C344D5"/>
    <w:rsid w:val="45CA5962"/>
    <w:rsid w:val="45D109A0"/>
    <w:rsid w:val="45D40490"/>
    <w:rsid w:val="45D64208"/>
    <w:rsid w:val="45D93CF8"/>
    <w:rsid w:val="45D95AA6"/>
    <w:rsid w:val="45DF7907"/>
    <w:rsid w:val="45E2495B"/>
    <w:rsid w:val="45E5489B"/>
    <w:rsid w:val="45EC7588"/>
    <w:rsid w:val="45F07517"/>
    <w:rsid w:val="45F12DF0"/>
    <w:rsid w:val="45F30E6D"/>
    <w:rsid w:val="45F96148"/>
    <w:rsid w:val="45FE550D"/>
    <w:rsid w:val="460074D7"/>
    <w:rsid w:val="46026DAB"/>
    <w:rsid w:val="46032B23"/>
    <w:rsid w:val="460436F4"/>
    <w:rsid w:val="46055AAB"/>
    <w:rsid w:val="460F2BC3"/>
    <w:rsid w:val="46127861"/>
    <w:rsid w:val="461D1E37"/>
    <w:rsid w:val="46284338"/>
    <w:rsid w:val="462A3027"/>
    <w:rsid w:val="462C5BD6"/>
    <w:rsid w:val="46364CA7"/>
    <w:rsid w:val="463902F3"/>
    <w:rsid w:val="464451A6"/>
    <w:rsid w:val="464473C4"/>
    <w:rsid w:val="46490AD0"/>
    <w:rsid w:val="465313B5"/>
    <w:rsid w:val="46537607"/>
    <w:rsid w:val="46577FD6"/>
    <w:rsid w:val="46584C1D"/>
    <w:rsid w:val="465869CB"/>
    <w:rsid w:val="46625A9C"/>
    <w:rsid w:val="46647A66"/>
    <w:rsid w:val="4665733A"/>
    <w:rsid w:val="46662F90"/>
    <w:rsid w:val="466D0021"/>
    <w:rsid w:val="466E4440"/>
    <w:rsid w:val="466E5DEB"/>
    <w:rsid w:val="4670640B"/>
    <w:rsid w:val="46773257"/>
    <w:rsid w:val="467B538C"/>
    <w:rsid w:val="46827EEC"/>
    <w:rsid w:val="46840403"/>
    <w:rsid w:val="4685178A"/>
    <w:rsid w:val="468E063F"/>
    <w:rsid w:val="469043B7"/>
    <w:rsid w:val="46932F3D"/>
    <w:rsid w:val="46A14816"/>
    <w:rsid w:val="46A2058E"/>
    <w:rsid w:val="46A240EA"/>
    <w:rsid w:val="46A77952"/>
    <w:rsid w:val="46BA5D58"/>
    <w:rsid w:val="46BD0F24"/>
    <w:rsid w:val="46BD7E90"/>
    <w:rsid w:val="46C45F70"/>
    <w:rsid w:val="46C60C8F"/>
    <w:rsid w:val="46CE22A1"/>
    <w:rsid w:val="46CE4EDF"/>
    <w:rsid w:val="46D1677D"/>
    <w:rsid w:val="46D913EF"/>
    <w:rsid w:val="46D955A7"/>
    <w:rsid w:val="46E12E64"/>
    <w:rsid w:val="46E26BDC"/>
    <w:rsid w:val="46E722AB"/>
    <w:rsid w:val="46E72E33"/>
    <w:rsid w:val="46E75FA1"/>
    <w:rsid w:val="46ED7A5B"/>
    <w:rsid w:val="46F04E55"/>
    <w:rsid w:val="46F21269"/>
    <w:rsid w:val="46F26E20"/>
    <w:rsid w:val="46F801AE"/>
    <w:rsid w:val="46F96400"/>
    <w:rsid w:val="46FD57C4"/>
    <w:rsid w:val="47013FF5"/>
    <w:rsid w:val="470D6E20"/>
    <w:rsid w:val="470E352E"/>
    <w:rsid w:val="4712192D"/>
    <w:rsid w:val="47133957"/>
    <w:rsid w:val="47176997"/>
    <w:rsid w:val="471C20EE"/>
    <w:rsid w:val="4723522B"/>
    <w:rsid w:val="47242D51"/>
    <w:rsid w:val="472745EF"/>
    <w:rsid w:val="472962E9"/>
    <w:rsid w:val="472B2331"/>
    <w:rsid w:val="472B738B"/>
    <w:rsid w:val="472D42FC"/>
    <w:rsid w:val="47376F28"/>
    <w:rsid w:val="47390B3E"/>
    <w:rsid w:val="47394A4E"/>
    <w:rsid w:val="47486A40"/>
    <w:rsid w:val="474E0E96"/>
    <w:rsid w:val="47525B10"/>
    <w:rsid w:val="476561F7"/>
    <w:rsid w:val="476F66C2"/>
    <w:rsid w:val="477013F0"/>
    <w:rsid w:val="477A6E15"/>
    <w:rsid w:val="477E0A07"/>
    <w:rsid w:val="478163F5"/>
    <w:rsid w:val="478657BA"/>
    <w:rsid w:val="478C11CD"/>
    <w:rsid w:val="478D08F6"/>
    <w:rsid w:val="4792415F"/>
    <w:rsid w:val="47971775"/>
    <w:rsid w:val="47972677"/>
    <w:rsid w:val="479A5EEE"/>
    <w:rsid w:val="479E754B"/>
    <w:rsid w:val="47A07E0C"/>
    <w:rsid w:val="47A345BE"/>
    <w:rsid w:val="47A34922"/>
    <w:rsid w:val="47A53E92"/>
    <w:rsid w:val="47AD08A4"/>
    <w:rsid w:val="47AF4D11"/>
    <w:rsid w:val="47B16CDB"/>
    <w:rsid w:val="47B82B0C"/>
    <w:rsid w:val="47B8502A"/>
    <w:rsid w:val="47B9793D"/>
    <w:rsid w:val="47BA5463"/>
    <w:rsid w:val="47BD24E7"/>
    <w:rsid w:val="47C47D13"/>
    <w:rsid w:val="47CC58C3"/>
    <w:rsid w:val="47E50732"/>
    <w:rsid w:val="47E5723A"/>
    <w:rsid w:val="47EB01EC"/>
    <w:rsid w:val="47EC1AC1"/>
    <w:rsid w:val="47ED5839"/>
    <w:rsid w:val="47F44E19"/>
    <w:rsid w:val="47FB6163"/>
    <w:rsid w:val="47FD0BCB"/>
    <w:rsid w:val="47FF4C8B"/>
    <w:rsid w:val="48020068"/>
    <w:rsid w:val="480F57AF"/>
    <w:rsid w:val="481C158B"/>
    <w:rsid w:val="481C1A04"/>
    <w:rsid w:val="481C3131"/>
    <w:rsid w:val="481F0596"/>
    <w:rsid w:val="48254FD3"/>
    <w:rsid w:val="482D4E56"/>
    <w:rsid w:val="482F2FD6"/>
    <w:rsid w:val="482F5DC6"/>
    <w:rsid w:val="48311BC9"/>
    <w:rsid w:val="483416BA"/>
    <w:rsid w:val="483671E0"/>
    <w:rsid w:val="483E675A"/>
    <w:rsid w:val="484F23A5"/>
    <w:rsid w:val="48547666"/>
    <w:rsid w:val="48587156"/>
    <w:rsid w:val="48635917"/>
    <w:rsid w:val="48644F16"/>
    <w:rsid w:val="4870272E"/>
    <w:rsid w:val="48733F90"/>
    <w:rsid w:val="487D096B"/>
    <w:rsid w:val="488066AD"/>
    <w:rsid w:val="48824981"/>
    <w:rsid w:val="488E4926"/>
    <w:rsid w:val="48904A19"/>
    <w:rsid w:val="489B5295"/>
    <w:rsid w:val="489F24E0"/>
    <w:rsid w:val="489F2ACE"/>
    <w:rsid w:val="48B474B3"/>
    <w:rsid w:val="48B620CF"/>
    <w:rsid w:val="48B900E5"/>
    <w:rsid w:val="48BA4B58"/>
    <w:rsid w:val="48BD345D"/>
    <w:rsid w:val="48C104F1"/>
    <w:rsid w:val="48C66B22"/>
    <w:rsid w:val="48CB3E5F"/>
    <w:rsid w:val="48CC36A0"/>
    <w:rsid w:val="48D12A65"/>
    <w:rsid w:val="48D2004E"/>
    <w:rsid w:val="48D52BAA"/>
    <w:rsid w:val="48D83DF3"/>
    <w:rsid w:val="48D840E9"/>
    <w:rsid w:val="48DA400F"/>
    <w:rsid w:val="48DD3AFF"/>
    <w:rsid w:val="48DD765B"/>
    <w:rsid w:val="48E16144"/>
    <w:rsid w:val="48E77CA1"/>
    <w:rsid w:val="48EC3D42"/>
    <w:rsid w:val="48F43BDF"/>
    <w:rsid w:val="48FA7DB5"/>
    <w:rsid w:val="49025972"/>
    <w:rsid w:val="49080B7C"/>
    <w:rsid w:val="49090D81"/>
    <w:rsid w:val="49227764"/>
    <w:rsid w:val="4924528A"/>
    <w:rsid w:val="492D0210"/>
    <w:rsid w:val="492D1ACF"/>
    <w:rsid w:val="49313C4E"/>
    <w:rsid w:val="493A4AAE"/>
    <w:rsid w:val="494476DB"/>
    <w:rsid w:val="4948541D"/>
    <w:rsid w:val="49496A9F"/>
    <w:rsid w:val="494D6999"/>
    <w:rsid w:val="49536D89"/>
    <w:rsid w:val="495A08D2"/>
    <w:rsid w:val="495B7301"/>
    <w:rsid w:val="496277D0"/>
    <w:rsid w:val="49682F6F"/>
    <w:rsid w:val="4968417A"/>
    <w:rsid w:val="496D4E83"/>
    <w:rsid w:val="49725BF5"/>
    <w:rsid w:val="49753D38"/>
    <w:rsid w:val="49755AE6"/>
    <w:rsid w:val="497F6965"/>
    <w:rsid w:val="4981092F"/>
    <w:rsid w:val="49811327"/>
    <w:rsid w:val="49812B82"/>
    <w:rsid w:val="49865F45"/>
    <w:rsid w:val="49957F36"/>
    <w:rsid w:val="49973BDF"/>
    <w:rsid w:val="499D48F0"/>
    <w:rsid w:val="49A0179B"/>
    <w:rsid w:val="49A50EE5"/>
    <w:rsid w:val="49AA21D7"/>
    <w:rsid w:val="49AA39E1"/>
    <w:rsid w:val="49AB7617"/>
    <w:rsid w:val="49B760FE"/>
    <w:rsid w:val="49BA174B"/>
    <w:rsid w:val="49C10027"/>
    <w:rsid w:val="49C30CDC"/>
    <w:rsid w:val="49C34AA3"/>
    <w:rsid w:val="49CB3958"/>
    <w:rsid w:val="49CD5922"/>
    <w:rsid w:val="49CF169A"/>
    <w:rsid w:val="49DA5439"/>
    <w:rsid w:val="49DC7715"/>
    <w:rsid w:val="49DE368B"/>
    <w:rsid w:val="49DF064F"/>
    <w:rsid w:val="49E30CA1"/>
    <w:rsid w:val="49ED38CE"/>
    <w:rsid w:val="49F15A51"/>
    <w:rsid w:val="49F25388"/>
    <w:rsid w:val="49F31A49"/>
    <w:rsid w:val="4A023139"/>
    <w:rsid w:val="4A02381D"/>
    <w:rsid w:val="4A062D3B"/>
    <w:rsid w:val="4A111CB3"/>
    <w:rsid w:val="4A1672C9"/>
    <w:rsid w:val="4A174D37"/>
    <w:rsid w:val="4A1B519B"/>
    <w:rsid w:val="4A262B50"/>
    <w:rsid w:val="4A286FFC"/>
    <w:rsid w:val="4A2A3423"/>
    <w:rsid w:val="4A3541D0"/>
    <w:rsid w:val="4A382C50"/>
    <w:rsid w:val="4A382D24"/>
    <w:rsid w:val="4A3C3AAF"/>
    <w:rsid w:val="4A3C6604"/>
    <w:rsid w:val="4A4060F4"/>
    <w:rsid w:val="4A4066FA"/>
    <w:rsid w:val="4A421E6C"/>
    <w:rsid w:val="4A5E2A1E"/>
    <w:rsid w:val="4A600544"/>
    <w:rsid w:val="4A622179"/>
    <w:rsid w:val="4A631DE2"/>
    <w:rsid w:val="4A722025"/>
    <w:rsid w:val="4A73151A"/>
    <w:rsid w:val="4A7B576F"/>
    <w:rsid w:val="4A7F6DC7"/>
    <w:rsid w:val="4A82495E"/>
    <w:rsid w:val="4A895CED"/>
    <w:rsid w:val="4A8C1339"/>
    <w:rsid w:val="4A9220C8"/>
    <w:rsid w:val="4A9F00FA"/>
    <w:rsid w:val="4AA44424"/>
    <w:rsid w:val="4AA93873"/>
    <w:rsid w:val="4AAA17BF"/>
    <w:rsid w:val="4AB0579D"/>
    <w:rsid w:val="4AB16FF2"/>
    <w:rsid w:val="4AB253A0"/>
    <w:rsid w:val="4AB40A96"/>
    <w:rsid w:val="4AC46D25"/>
    <w:rsid w:val="4AD4683C"/>
    <w:rsid w:val="4AD50E78"/>
    <w:rsid w:val="4AD75C01"/>
    <w:rsid w:val="4ADF3B5F"/>
    <w:rsid w:val="4AE205AA"/>
    <w:rsid w:val="4AE61FD9"/>
    <w:rsid w:val="4AE64EED"/>
    <w:rsid w:val="4AE922E8"/>
    <w:rsid w:val="4AEA4080"/>
    <w:rsid w:val="4AEF3676"/>
    <w:rsid w:val="4AF173EE"/>
    <w:rsid w:val="4AF51076"/>
    <w:rsid w:val="4AF561A9"/>
    <w:rsid w:val="4AF8077D"/>
    <w:rsid w:val="4AFC7BF7"/>
    <w:rsid w:val="4B007631"/>
    <w:rsid w:val="4B05211D"/>
    <w:rsid w:val="4B054C48"/>
    <w:rsid w:val="4B0613F2"/>
    <w:rsid w:val="4B0C247A"/>
    <w:rsid w:val="4B127C87"/>
    <w:rsid w:val="4B1702B6"/>
    <w:rsid w:val="4B17371B"/>
    <w:rsid w:val="4B1F4E7B"/>
    <w:rsid w:val="4B224173"/>
    <w:rsid w:val="4B2652EA"/>
    <w:rsid w:val="4B2B6DA4"/>
    <w:rsid w:val="4B2D37A1"/>
    <w:rsid w:val="4B2E23F0"/>
    <w:rsid w:val="4B351D9D"/>
    <w:rsid w:val="4B35552D"/>
    <w:rsid w:val="4B396FAF"/>
    <w:rsid w:val="4B3D4425"/>
    <w:rsid w:val="4B447124"/>
    <w:rsid w:val="4B485C87"/>
    <w:rsid w:val="4B4E2A92"/>
    <w:rsid w:val="4B517646"/>
    <w:rsid w:val="4B555BCF"/>
    <w:rsid w:val="4B5A1437"/>
    <w:rsid w:val="4B5A31E5"/>
    <w:rsid w:val="4B5C2648"/>
    <w:rsid w:val="4B5C6F5D"/>
    <w:rsid w:val="4B5F25AA"/>
    <w:rsid w:val="4B610A73"/>
    <w:rsid w:val="4B63653E"/>
    <w:rsid w:val="4B6E6C91"/>
    <w:rsid w:val="4B702A09"/>
    <w:rsid w:val="4B71513A"/>
    <w:rsid w:val="4B7E5C76"/>
    <w:rsid w:val="4B8A2A0D"/>
    <w:rsid w:val="4B8D3A4C"/>
    <w:rsid w:val="4B93319E"/>
    <w:rsid w:val="4B9517FA"/>
    <w:rsid w:val="4BA12BC2"/>
    <w:rsid w:val="4BA92116"/>
    <w:rsid w:val="4BAD5D1F"/>
    <w:rsid w:val="4BAE072C"/>
    <w:rsid w:val="4BAE583F"/>
    <w:rsid w:val="4BB00EA6"/>
    <w:rsid w:val="4BB072A9"/>
    <w:rsid w:val="4BB64C69"/>
    <w:rsid w:val="4BBA3C84"/>
    <w:rsid w:val="4BBA7A4B"/>
    <w:rsid w:val="4BBB64B3"/>
    <w:rsid w:val="4BCC10A4"/>
    <w:rsid w:val="4BCE35B9"/>
    <w:rsid w:val="4BD61828"/>
    <w:rsid w:val="4BDE3E16"/>
    <w:rsid w:val="4BDE4938"/>
    <w:rsid w:val="4BE62CCB"/>
    <w:rsid w:val="4BEB0079"/>
    <w:rsid w:val="4BED4059"/>
    <w:rsid w:val="4BF3029F"/>
    <w:rsid w:val="4BF52F0E"/>
    <w:rsid w:val="4BF5340B"/>
    <w:rsid w:val="4C040E54"/>
    <w:rsid w:val="4C0A75DA"/>
    <w:rsid w:val="4C194E4E"/>
    <w:rsid w:val="4C1B77F0"/>
    <w:rsid w:val="4C1C493F"/>
    <w:rsid w:val="4C21134E"/>
    <w:rsid w:val="4C2757BD"/>
    <w:rsid w:val="4C2A5B88"/>
    <w:rsid w:val="4C336E5A"/>
    <w:rsid w:val="4C343BAC"/>
    <w:rsid w:val="4C3C534E"/>
    <w:rsid w:val="4C407CC9"/>
    <w:rsid w:val="4C44188D"/>
    <w:rsid w:val="4C486FFA"/>
    <w:rsid w:val="4C4A0649"/>
    <w:rsid w:val="4C50700A"/>
    <w:rsid w:val="4C531B06"/>
    <w:rsid w:val="4C583BC9"/>
    <w:rsid w:val="4C5E5A9A"/>
    <w:rsid w:val="4C6836E0"/>
    <w:rsid w:val="4C7030C4"/>
    <w:rsid w:val="4C7327B1"/>
    <w:rsid w:val="4C7379C1"/>
    <w:rsid w:val="4C76619B"/>
    <w:rsid w:val="4C78638A"/>
    <w:rsid w:val="4C7D7D0D"/>
    <w:rsid w:val="4C7E5ECA"/>
    <w:rsid w:val="4C8061AE"/>
    <w:rsid w:val="4C806C7C"/>
    <w:rsid w:val="4C83051A"/>
    <w:rsid w:val="4C8449BE"/>
    <w:rsid w:val="4C850472"/>
    <w:rsid w:val="4C8536A2"/>
    <w:rsid w:val="4C876AA5"/>
    <w:rsid w:val="4C8F5111"/>
    <w:rsid w:val="4C90241E"/>
    <w:rsid w:val="4C916E35"/>
    <w:rsid w:val="4C985AAA"/>
    <w:rsid w:val="4CA679AF"/>
    <w:rsid w:val="4CB701C3"/>
    <w:rsid w:val="4CB9218D"/>
    <w:rsid w:val="4CC052CA"/>
    <w:rsid w:val="4CC9018B"/>
    <w:rsid w:val="4CD44391"/>
    <w:rsid w:val="4CD7310B"/>
    <w:rsid w:val="4CD742AB"/>
    <w:rsid w:val="4CDC2F1E"/>
    <w:rsid w:val="4CDD24A8"/>
    <w:rsid w:val="4CDF2CD7"/>
    <w:rsid w:val="4CE17311"/>
    <w:rsid w:val="4D0E00FB"/>
    <w:rsid w:val="4D0E6A50"/>
    <w:rsid w:val="4D111FCA"/>
    <w:rsid w:val="4D151D59"/>
    <w:rsid w:val="4D176606"/>
    <w:rsid w:val="4D186EB4"/>
    <w:rsid w:val="4D1A2C2C"/>
    <w:rsid w:val="4D1C44AF"/>
    <w:rsid w:val="4D227D33"/>
    <w:rsid w:val="4D2C05D7"/>
    <w:rsid w:val="4D41465D"/>
    <w:rsid w:val="4D4B7289"/>
    <w:rsid w:val="4D5123C6"/>
    <w:rsid w:val="4D616AAD"/>
    <w:rsid w:val="4D673998"/>
    <w:rsid w:val="4D687810"/>
    <w:rsid w:val="4D694B42"/>
    <w:rsid w:val="4D6B792C"/>
    <w:rsid w:val="4D710D8B"/>
    <w:rsid w:val="4D7C5695"/>
    <w:rsid w:val="4D7F33D7"/>
    <w:rsid w:val="4D825C2E"/>
    <w:rsid w:val="4D897DB2"/>
    <w:rsid w:val="4D8C451A"/>
    <w:rsid w:val="4D907392"/>
    <w:rsid w:val="4D9421CF"/>
    <w:rsid w:val="4DA4699A"/>
    <w:rsid w:val="4DA652B9"/>
    <w:rsid w:val="4DAB1AD6"/>
    <w:rsid w:val="4DAE15C6"/>
    <w:rsid w:val="4DB52955"/>
    <w:rsid w:val="4DBA61BD"/>
    <w:rsid w:val="4DBC2B9E"/>
    <w:rsid w:val="4DBF37C5"/>
    <w:rsid w:val="4DCB3509"/>
    <w:rsid w:val="4DCE3A17"/>
    <w:rsid w:val="4DD3102D"/>
    <w:rsid w:val="4DD3727F"/>
    <w:rsid w:val="4DDA060D"/>
    <w:rsid w:val="4DDC4386"/>
    <w:rsid w:val="4DDD3C5A"/>
    <w:rsid w:val="4DDF5C24"/>
    <w:rsid w:val="4DEC4FB0"/>
    <w:rsid w:val="4DF176EF"/>
    <w:rsid w:val="4DF87638"/>
    <w:rsid w:val="4DFE254E"/>
    <w:rsid w:val="4E023D7D"/>
    <w:rsid w:val="4E047438"/>
    <w:rsid w:val="4E0538DC"/>
    <w:rsid w:val="4E075D8A"/>
    <w:rsid w:val="4E113084"/>
    <w:rsid w:val="4E173610"/>
    <w:rsid w:val="4E1A6C5C"/>
    <w:rsid w:val="4E223191"/>
    <w:rsid w:val="4E273FA4"/>
    <w:rsid w:val="4E2B0E69"/>
    <w:rsid w:val="4E2D698F"/>
    <w:rsid w:val="4E2F0959"/>
    <w:rsid w:val="4E3B72FE"/>
    <w:rsid w:val="4E481A1B"/>
    <w:rsid w:val="4E4D2BD1"/>
    <w:rsid w:val="4E4D6AFA"/>
    <w:rsid w:val="4E4D7A21"/>
    <w:rsid w:val="4E504AB6"/>
    <w:rsid w:val="4E5403C0"/>
    <w:rsid w:val="4E546612"/>
    <w:rsid w:val="4E57065E"/>
    <w:rsid w:val="4E571C5E"/>
    <w:rsid w:val="4E572490"/>
    <w:rsid w:val="4E583145"/>
    <w:rsid w:val="4E616639"/>
    <w:rsid w:val="4E6D76D3"/>
    <w:rsid w:val="4E775E5C"/>
    <w:rsid w:val="4E782283"/>
    <w:rsid w:val="4E797A6C"/>
    <w:rsid w:val="4E875F36"/>
    <w:rsid w:val="4E8C3C8D"/>
    <w:rsid w:val="4E8F13F8"/>
    <w:rsid w:val="4E8F764A"/>
    <w:rsid w:val="4EA2737D"/>
    <w:rsid w:val="4EA801A6"/>
    <w:rsid w:val="4EA84268"/>
    <w:rsid w:val="4EA96B01"/>
    <w:rsid w:val="4EB00619"/>
    <w:rsid w:val="4EB04E9E"/>
    <w:rsid w:val="4EB4110F"/>
    <w:rsid w:val="4EBC339C"/>
    <w:rsid w:val="4EC00FAD"/>
    <w:rsid w:val="4EC05A55"/>
    <w:rsid w:val="4EC45545"/>
    <w:rsid w:val="4EC56BC8"/>
    <w:rsid w:val="4ED4505D"/>
    <w:rsid w:val="4ED65279"/>
    <w:rsid w:val="4ED74DB7"/>
    <w:rsid w:val="4EDB451A"/>
    <w:rsid w:val="4EE72BC0"/>
    <w:rsid w:val="4EF1459B"/>
    <w:rsid w:val="4EF43951"/>
    <w:rsid w:val="4EFB4CDF"/>
    <w:rsid w:val="4EFF657E"/>
    <w:rsid w:val="4F021BCA"/>
    <w:rsid w:val="4F0B3174"/>
    <w:rsid w:val="4F0E056F"/>
    <w:rsid w:val="4F0F42E7"/>
    <w:rsid w:val="4F122BF0"/>
    <w:rsid w:val="4F1D07B2"/>
    <w:rsid w:val="4F204746"/>
    <w:rsid w:val="4F22226C"/>
    <w:rsid w:val="4F2C30EB"/>
    <w:rsid w:val="4F304989"/>
    <w:rsid w:val="4F343D4D"/>
    <w:rsid w:val="4F411EB6"/>
    <w:rsid w:val="4F426A87"/>
    <w:rsid w:val="4F474C91"/>
    <w:rsid w:val="4F49480A"/>
    <w:rsid w:val="4F4B17C3"/>
    <w:rsid w:val="4F4E5697"/>
    <w:rsid w:val="4F560168"/>
    <w:rsid w:val="4F561ADC"/>
    <w:rsid w:val="4F5B577E"/>
    <w:rsid w:val="4F5F0D3C"/>
    <w:rsid w:val="4F6A776F"/>
    <w:rsid w:val="4F6C798B"/>
    <w:rsid w:val="4F734876"/>
    <w:rsid w:val="4F77081E"/>
    <w:rsid w:val="4F7871A4"/>
    <w:rsid w:val="4F7E1B48"/>
    <w:rsid w:val="4F813436"/>
    <w:rsid w:val="4F85275A"/>
    <w:rsid w:val="4F860A4D"/>
    <w:rsid w:val="4F8D2DF6"/>
    <w:rsid w:val="4F8E7901"/>
    <w:rsid w:val="4F9111A0"/>
    <w:rsid w:val="4F9667B6"/>
    <w:rsid w:val="4F974A08"/>
    <w:rsid w:val="4F9843DC"/>
    <w:rsid w:val="4F9B0FDE"/>
    <w:rsid w:val="4F9B5B7A"/>
    <w:rsid w:val="4FA17635"/>
    <w:rsid w:val="4FAC51B9"/>
    <w:rsid w:val="4FB86A79"/>
    <w:rsid w:val="4FB90B70"/>
    <w:rsid w:val="4FB94474"/>
    <w:rsid w:val="4FBE1DDD"/>
    <w:rsid w:val="4FC275AB"/>
    <w:rsid w:val="4FC62A8C"/>
    <w:rsid w:val="4FC6709B"/>
    <w:rsid w:val="4FCB72A2"/>
    <w:rsid w:val="4FD25A40"/>
    <w:rsid w:val="4FD277EE"/>
    <w:rsid w:val="4FDB7693"/>
    <w:rsid w:val="4FE15AC3"/>
    <w:rsid w:val="4FE164AF"/>
    <w:rsid w:val="4FE20F0D"/>
    <w:rsid w:val="4FE22707"/>
    <w:rsid w:val="4FE35D07"/>
    <w:rsid w:val="4FE51552"/>
    <w:rsid w:val="4FEE214E"/>
    <w:rsid w:val="4FEF1719"/>
    <w:rsid w:val="4FF20C57"/>
    <w:rsid w:val="4FF37764"/>
    <w:rsid w:val="4FF57980"/>
    <w:rsid w:val="4FF77255"/>
    <w:rsid w:val="50010670"/>
    <w:rsid w:val="500C3E41"/>
    <w:rsid w:val="50102AE1"/>
    <w:rsid w:val="50106933"/>
    <w:rsid w:val="501C1DD4"/>
    <w:rsid w:val="501F70B7"/>
    <w:rsid w:val="502350D7"/>
    <w:rsid w:val="50305E13"/>
    <w:rsid w:val="50324731"/>
    <w:rsid w:val="503339D2"/>
    <w:rsid w:val="503458A9"/>
    <w:rsid w:val="50385456"/>
    <w:rsid w:val="504142BE"/>
    <w:rsid w:val="50441182"/>
    <w:rsid w:val="50467F78"/>
    <w:rsid w:val="504B134F"/>
    <w:rsid w:val="504B57F2"/>
    <w:rsid w:val="504D3DB0"/>
    <w:rsid w:val="50504C4B"/>
    <w:rsid w:val="50535FA7"/>
    <w:rsid w:val="50590687"/>
    <w:rsid w:val="50595F65"/>
    <w:rsid w:val="50642410"/>
    <w:rsid w:val="506443DD"/>
    <w:rsid w:val="50715259"/>
    <w:rsid w:val="507C3BFE"/>
    <w:rsid w:val="507E34D2"/>
    <w:rsid w:val="50964CC0"/>
    <w:rsid w:val="50974594"/>
    <w:rsid w:val="509B0528"/>
    <w:rsid w:val="509C6E7C"/>
    <w:rsid w:val="50AD2009"/>
    <w:rsid w:val="50AF5D81"/>
    <w:rsid w:val="50B44F3D"/>
    <w:rsid w:val="50B45146"/>
    <w:rsid w:val="50BB2978"/>
    <w:rsid w:val="50C1703A"/>
    <w:rsid w:val="50C23A89"/>
    <w:rsid w:val="50C43052"/>
    <w:rsid w:val="50C71B37"/>
    <w:rsid w:val="50C86E43"/>
    <w:rsid w:val="50CA6717"/>
    <w:rsid w:val="50CE6CA3"/>
    <w:rsid w:val="50D6330E"/>
    <w:rsid w:val="50DF155E"/>
    <w:rsid w:val="50E57140"/>
    <w:rsid w:val="50ED1E61"/>
    <w:rsid w:val="50F54708"/>
    <w:rsid w:val="50F81776"/>
    <w:rsid w:val="50FE5415"/>
    <w:rsid w:val="51002139"/>
    <w:rsid w:val="51053BF3"/>
    <w:rsid w:val="510541BF"/>
    <w:rsid w:val="510A120A"/>
    <w:rsid w:val="510B49FC"/>
    <w:rsid w:val="51121CFE"/>
    <w:rsid w:val="511300BE"/>
    <w:rsid w:val="51152DF3"/>
    <w:rsid w:val="511537EF"/>
    <w:rsid w:val="5119144D"/>
    <w:rsid w:val="511E4CB5"/>
    <w:rsid w:val="512129C5"/>
    <w:rsid w:val="51234079"/>
    <w:rsid w:val="51281690"/>
    <w:rsid w:val="512A365A"/>
    <w:rsid w:val="51330C53"/>
    <w:rsid w:val="514A5AAA"/>
    <w:rsid w:val="514C537E"/>
    <w:rsid w:val="514C5440"/>
    <w:rsid w:val="51532BB1"/>
    <w:rsid w:val="5153495F"/>
    <w:rsid w:val="5153670D"/>
    <w:rsid w:val="515516D9"/>
    <w:rsid w:val="515661FD"/>
    <w:rsid w:val="515B1A65"/>
    <w:rsid w:val="51621046"/>
    <w:rsid w:val="5162104E"/>
    <w:rsid w:val="51642065"/>
    <w:rsid w:val="516C77CE"/>
    <w:rsid w:val="51753DA3"/>
    <w:rsid w:val="5179781B"/>
    <w:rsid w:val="517E20C2"/>
    <w:rsid w:val="518A12B2"/>
    <w:rsid w:val="518A6DD5"/>
    <w:rsid w:val="51932EE3"/>
    <w:rsid w:val="51A27694"/>
    <w:rsid w:val="51A46F68"/>
    <w:rsid w:val="51A516E8"/>
    <w:rsid w:val="51AD2056"/>
    <w:rsid w:val="51AE6039"/>
    <w:rsid w:val="51B04EA4"/>
    <w:rsid w:val="51B65558"/>
    <w:rsid w:val="51BB2504"/>
    <w:rsid w:val="51BC4751"/>
    <w:rsid w:val="51C15A79"/>
    <w:rsid w:val="51C21DF6"/>
    <w:rsid w:val="51C23892"/>
    <w:rsid w:val="51C25640"/>
    <w:rsid w:val="51C62686"/>
    <w:rsid w:val="51CC5C50"/>
    <w:rsid w:val="51D23892"/>
    <w:rsid w:val="51E02744"/>
    <w:rsid w:val="51E657D3"/>
    <w:rsid w:val="51E952C3"/>
    <w:rsid w:val="51F31C9E"/>
    <w:rsid w:val="51FA77A2"/>
    <w:rsid w:val="51FD2B1C"/>
    <w:rsid w:val="51FE1665"/>
    <w:rsid w:val="51FF4AE6"/>
    <w:rsid w:val="5201085F"/>
    <w:rsid w:val="520D0FB1"/>
    <w:rsid w:val="520E45D9"/>
    <w:rsid w:val="520F675D"/>
    <w:rsid w:val="521509ED"/>
    <w:rsid w:val="521977B3"/>
    <w:rsid w:val="521A2D60"/>
    <w:rsid w:val="521B25EC"/>
    <w:rsid w:val="52206AF5"/>
    <w:rsid w:val="52224F02"/>
    <w:rsid w:val="522272D4"/>
    <w:rsid w:val="522462FB"/>
    <w:rsid w:val="522D1654"/>
    <w:rsid w:val="522E2CD6"/>
    <w:rsid w:val="523A6D37"/>
    <w:rsid w:val="523C3645"/>
    <w:rsid w:val="52410886"/>
    <w:rsid w:val="524A3FB4"/>
    <w:rsid w:val="5250489D"/>
    <w:rsid w:val="52554706"/>
    <w:rsid w:val="52657C81"/>
    <w:rsid w:val="52666914"/>
    <w:rsid w:val="526A01B2"/>
    <w:rsid w:val="526F3904"/>
    <w:rsid w:val="52707CF3"/>
    <w:rsid w:val="52732D10"/>
    <w:rsid w:val="52734B8D"/>
    <w:rsid w:val="52754DA9"/>
    <w:rsid w:val="527A1459"/>
    <w:rsid w:val="527B3C67"/>
    <w:rsid w:val="527C7EE5"/>
    <w:rsid w:val="527E5A0B"/>
    <w:rsid w:val="528936A7"/>
    <w:rsid w:val="529059B4"/>
    <w:rsid w:val="529E7E5B"/>
    <w:rsid w:val="52A7153D"/>
    <w:rsid w:val="52A9208C"/>
    <w:rsid w:val="52AD5B3E"/>
    <w:rsid w:val="52AF4864"/>
    <w:rsid w:val="52B768E9"/>
    <w:rsid w:val="52B96A43"/>
    <w:rsid w:val="52C227D3"/>
    <w:rsid w:val="52C6305F"/>
    <w:rsid w:val="52C9193E"/>
    <w:rsid w:val="52CC1E87"/>
    <w:rsid w:val="52CD24EF"/>
    <w:rsid w:val="52CF270B"/>
    <w:rsid w:val="52D01FDF"/>
    <w:rsid w:val="52D0481B"/>
    <w:rsid w:val="52D1331E"/>
    <w:rsid w:val="52D23FA9"/>
    <w:rsid w:val="52DE792F"/>
    <w:rsid w:val="52E64F13"/>
    <w:rsid w:val="52EA12F3"/>
    <w:rsid w:val="52EA4E4F"/>
    <w:rsid w:val="52ED0DE3"/>
    <w:rsid w:val="52FA076C"/>
    <w:rsid w:val="52FF6C77"/>
    <w:rsid w:val="53035F10"/>
    <w:rsid w:val="53071EA5"/>
    <w:rsid w:val="530F48B5"/>
    <w:rsid w:val="531243A6"/>
    <w:rsid w:val="5314011E"/>
    <w:rsid w:val="531445C2"/>
    <w:rsid w:val="53165C44"/>
    <w:rsid w:val="53176647"/>
    <w:rsid w:val="53193986"/>
    <w:rsid w:val="531C5D16"/>
    <w:rsid w:val="531F0669"/>
    <w:rsid w:val="53221BB5"/>
    <w:rsid w:val="5325057D"/>
    <w:rsid w:val="53261301"/>
    <w:rsid w:val="53264E60"/>
    <w:rsid w:val="53277E51"/>
    <w:rsid w:val="53281FE3"/>
    <w:rsid w:val="532E7431"/>
    <w:rsid w:val="532F4F57"/>
    <w:rsid w:val="533267F6"/>
    <w:rsid w:val="53346859"/>
    <w:rsid w:val="533662E6"/>
    <w:rsid w:val="533A1354"/>
    <w:rsid w:val="533B5700"/>
    <w:rsid w:val="533F3ACE"/>
    <w:rsid w:val="534327B1"/>
    <w:rsid w:val="53453079"/>
    <w:rsid w:val="5348162D"/>
    <w:rsid w:val="534A2236"/>
    <w:rsid w:val="534E3333"/>
    <w:rsid w:val="534F6AD4"/>
    <w:rsid w:val="53542EF7"/>
    <w:rsid w:val="53582700"/>
    <w:rsid w:val="535B00CA"/>
    <w:rsid w:val="535B1DC0"/>
    <w:rsid w:val="535D7DC7"/>
    <w:rsid w:val="5362483F"/>
    <w:rsid w:val="536C1BE1"/>
    <w:rsid w:val="537266D0"/>
    <w:rsid w:val="53756B51"/>
    <w:rsid w:val="53760DD8"/>
    <w:rsid w:val="538A03E0"/>
    <w:rsid w:val="538D6363"/>
    <w:rsid w:val="538F119C"/>
    <w:rsid w:val="53963ED4"/>
    <w:rsid w:val="53A039CC"/>
    <w:rsid w:val="53A1505A"/>
    <w:rsid w:val="53A414A2"/>
    <w:rsid w:val="53AB4917"/>
    <w:rsid w:val="53B147D5"/>
    <w:rsid w:val="53B60CFB"/>
    <w:rsid w:val="53CE4710"/>
    <w:rsid w:val="53DF56E0"/>
    <w:rsid w:val="53E24813"/>
    <w:rsid w:val="53E43F94"/>
    <w:rsid w:val="53E723A1"/>
    <w:rsid w:val="53E93358"/>
    <w:rsid w:val="53E977FC"/>
    <w:rsid w:val="53EB70D0"/>
    <w:rsid w:val="53ED7B5B"/>
    <w:rsid w:val="53F02939"/>
    <w:rsid w:val="53F63D75"/>
    <w:rsid w:val="53FD32A8"/>
    <w:rsid w:val="53FE6713"/>
    <w:rsid w:val="54024149"/>
    <w:rsid w:val="54041006"/>
    <w:rsid w:val="54063C0A"/>
    <w:rsid w:val="54063E08"/>
    <w:rsid w:val="54092895"/>
    <w:rsid w:val="540D6E22"/>
    <w:rsid w:val="540E7263"/>
    <w:rsid w:val="54120B01"/>
    <w:rsid w:val="5425746C"/>
    <w:rsid w:val="542E15BD"/>
    <w:rsid w:val="542E3461"/>
    <w:rsid w:val="5432083C"/>
    <w:rsid w:val="543437E8"/>
    <w:rsid w:val="543D3634"/>
    <w:rsid w:val="54484523"/>
    <w:rsid w:val="54505185"/>
    <w:rsid w:val="54534C76"/>
    <w:rsid w:val="545401D7"/>
    <w:rsid w:val="5455279C"/>
    <w:rsid w:val="545A6004"/>
    <w:rsid w:val="54662BFB"/>
    <w:rsid w:val="546D5D37"/>
    <w:rsid w:val="54752E3E"/>
    <w:rsid w:val="548337AD"/>
    <w:rsid w:val="54833C29"/>
    <w:rsid w:val="548F18D8"/>
    <w:rsid w:val="5499152E"/>
    <w:rsid w:val="549A237A"/>
    <w:rsid w:val="549B7BCF"/>
    <w:rsid w:val="549C14A5"/>
    <w:rsid w:val="54A15C61"/>
    <w:rsid w:val="54A44DCE"/>
    <w:rsid w:val="54B73456"/>
    <w:rsid w:val="54B75204"/>
    <w:rsid w:val="54BA746C"/>
    <w:rsid w:val="54BC3E63"/>
    <w:rsid w:val="54BD0C59"/>
    <w:rsid w:val="54C06D35"/>
    <w:rsid w:val="54C142D5"/>
    <w:rsid w:val="54CD01F1"/>
    <w:rsid w:val="54D42249"/>
    <w:rsid w:val="54D47B64"/>
    <w:rsid w:val="54D55F7F"/>
    <w:rsid w:val="54D565FD"/>
    <w:rsid w:val="54D81E61"/>
    <w:rsid w:val="54DB5397"/>
    <w:rsid w:val="54E30FE8"/>
    <w:rsid w:val="54E3424B"/>
    <w:rsid w:val="54E67898"/>
    <w:rsid w:val="54F13898"/>
    <w:rsid w:val="54F73313"/>
    <w:rsid w:val="54F80955"/>
    <w:rsid w:val="54FD0B14"/>
    <w:rsid w:val="550A2B46"/>
    <w:rsid w:val="550F3292"/>
    <w:rsid w:val="55102B67"/>
    <w:rsid w:val="551663CF"/>
    <w:rsid w:val="551B50EB"/>
    <w:rsid w:val="551C150B"/>
    <w:rsid w:val="552A00CC"/>
    <w:rsid w:val="55304730"/>
    <w:rsid w:val="5531145B"/>
    <w:rsid w:val="553920BD"/>
    <w:rsid w:val="553C395C"/>
    <w:rsid w:val="55405E9D"/>
    <w:rsid w:val="55480552"/>
    <w:rsid w:val="55502CC8"/>
    <w:rsid w:val="555170A7"/>
    <w:rsid w:val="55572544"/>
    <w:rsid w:val="55597041"/>
    <w:rsid w:val="555A35CD"/>
    <w:rsid w:val="555B0286"/>
    <w:rsid w:val="55625AAF"/>
    <w:rsid w:val="55625E72"/>
    <w:rsid w:val="55626334"/>
    <w:rsid w:val="556757E9"/>
    <w:rsid w:val="55681056"/>
    <w:rsid w:val="556D0389"/>
    <w:rsid w:val="556F7F78"/>
    <w:rsid w:val="55704AE4"/>
    <w:rsid w:val="557578F0"/>
    <w:rsid w:val="5579695E"/>
    <w:rsid w:val="557B0928"/>
    <w:rsid w:val="557E7519"/>
    <w:rsid w:val="55821CB6"/>
    <w:rsid w:val="5587536D"/>
    <w:rsid w:val="558A60A1"/>
    <w:rsid w:val="558B3BC6"/>
    <w:rsid w:val="558F51D8"/>
    <w:rsid w:val="559317CE"/>
    <w:rsid w:val="559B174B"/>
    <w:rsid w:val="559E6F69"/>
    <w:rsid w:val="55A30A0E"/>
    <w:rsid w:val="55A7171D"/>
    <w:rsid w:val="55A82D9F"/>
    <w:rsid w:val="55A832F9"/>
    <w:rsid w:val="55A84294"/>
    <w:rsid w:val="55AF2380"/>
    <w:rsid w:val="55BB6F76"/>
    <w:rsid w:val="55BD684B"/>
    <w:rsid w:val="55C24782"/>
    <w:rsid w:val="55CE0CF4"/>
    <w:rsid w:val="55D36AF2"/>
    <w:rsid w:val="55FD5717"/>
    <w:rsid w:val="56051FA0"/>
    <w:rsid w:val="560E65EB"/>
    <w:rsid w:val="560F068E"/>
    <w:rsid w:val="56104591"/>
    <w:rsid w:val="561072C2"/>
    <w:rsid w:val="56204D1B"/>
    <w:rsid w:val="562118B8"/>
    <w:rsid w:val="56290384"/>
    <w:rsid w:val="562C1C22"/>
    <w:rsid w:val="562E599A"/>
    <w:rsid w:val="56332FB1"/>
    <w:rsid w:val="56336B0D"/>
    <w:rsid w:val="563C1E65"/>
    <w:rsid w:val="56431446"/>
    <w:rsid w:val="564623E3"/>
    <w:rsid w:val="564E1B99"/>
    <w:rsid w:val="565511F0"/>
    <w:rsid w:val="56574F8F"/>
    <w:rsid w:val="565C42B5"/>
    <w:rsid w:val="565D1DDC"/>
    <w:rsid w:val="565D3B8A"/>
    <w:rsid w:val="56606C96"/>
    <w:rsid w:val="566118CC"/>
    <w:rsid w:val="566E6F36"/>
    <w:rsid w:val="56725D1F"/>
    <w:rsid w:val="56815ACA"/>
    <w:rsid w:val="568455BA"/>
    <w:rsid w:val="5684570E"/>
    <w:rsid w:val="568630E0"/>
    <w:rsid w:val="568832FC"/>
    <w:rsid w:val="56893E7C"/>
    <w:rsid w:val="568A7075"/>
    <w:rsid w:val="568B4B9B"/>
    <w:rsid w:val="568C0006"/>
    <w:rsid w:val="5692527D"/>
    <w:rsid w:val="569918A5"/>
    <w:rsid w:val="569F23F4"/>
    <w:rsid w:val="56A60E36"/>
    <w:rsid w:val="56A82357"/>
    <w:rsid w:val="56A92F83"/>
    <w:rsid w:val="56B22A9C"/>
    <w:rsid w:val="56B52FDF"/>
    <w:rsid w:val="56B5345E"/>
    <w:rsid w:val="56B926EF"/>
    <w:rsid w:val="56BA2B9C"/>
    <w:rsid w:val="56BC4D54"/>
    <w:rsid w:val="56C3571A"/>
    <w:rsid w:val="56C447B8"/>
    <w:rsid w:val="56C46BA9"/>
    <w:rsid w:val="56D007FF"/>
    <w:rsid w:val="56D402F0"/>
    <w:rsid w:val="56D74141"/>
    <w:rsid w:val="56E524FD"/>
    <w:rsid w:val="56E542AB"/>
    <w:rsid w:val="56E801F8"/>
    <w:rsid w:val="56EA18C1"/>
    <w:rsid w:val="56EA51DF"/>
    <w:rsid w:val="56F91B04"/>
    <w:rsid w:val="56FD4E50"/>
    <w:rsid w:val="56FE536D"/>
    <w:rsid w:val="570034B8"/>
    <w:rsid w:val="57055C0C"/>
    <w:rsid w:val="57056A69"/>
    <w:rsid w:val="57087F99"/>
    <w:rsid w:val="570A1F63"/>
    <w:rsid w:val="570C797E"/>
    <w:rsid w:val="57122BC6"/>
    <w:rsid w:val="57147D3A"/>
    <w:rsid w:val="571B5F1F"/>
    <w:rsid w:val="571D203E"/>
    <w:rsid w:val="57233025"/>
    <w:rsid w:val="5728120B"/>
    <w:rsid w:val="572D0081"/>
    <w:rsid w:val="5737262D"/>
    <w:rsid w:val="573A6470"/>
    <w:rsid w:val="573E7E5F"/>
    <w:rsid w:val="57401AE5"/>
    <w:rsid w:val="574077C9"/>
    <w:rsid w:val="574134AB"/>
    <w:rsid w:val="574D51D7"/>
    <w:rsid w:val="57551D38"/>
    <w:rsid w:val="575651A9"/>
    <w:rsid w:val="575900AA"/>
    <w:rsid w:val="575D2CAA"/>
    <w:rsid w:val="57686C8A"/>
    <w:rsid w:val="576B029A"/>
    <w:rsid w:val="576D10A9"/>
    <w:rsid w:val="576F626A"/>
    <w:rsid w:val="577218B7"/>
    <w:rsid w:val="57727B09"/>
    <w:rsid w:val="57895EA2"/>
    <w:rsid w:val="57911D3D"/>
    <w:rsid w:val="57A37CC2"/>
    <w:rsid w:val="57A43BA4"/>
    <w:rsid w:val="57A9177C"/>
    <w:rsid w:val="57AB7FB2"/>
    <w:rsid w:val="57B43C7D"/>
    <w:rsid w:val="57B72A76"/>
    <w:rsid w:val="57B7680D"/>
    <w:rsid w:val="57B974E6"/>
    <w:rsid w:val="57C3426C"/>
    <w:rsid w:val="57CC4D78"/>
    <w:rsid w:val="57CE1F93"/>
    <w:rsid w:val="57D461E9"/>
    <w:rsid w:val="57D56698"/>
    <w:rsid w:val="57D936E4"/>
    <w:rsid w:val="57E068EB"/>
    <w:rsid w:val="57E40F1C"/>
    <w:rsid w:val="57E9601D"/>
    <w:rsid w:val="57EE371D"/>
    <w:rsid w:val="57F549C2"/>
    <w:rsid w:val="57FA613D"/>
    <w:rsid w:val="580249E9"/>
    <w:rsid w:val="58047FBA"/>
    <w:rsid w:val="58093FC9"/>
    <w:rsid w:val="580C3AB9"/>
    <w:rsid w:val="581A6562"/>
    <w:rsid w:val="5829466B"/>
    <w:rsid w:val="582E3A30"/>
    <w:rsid w:val="58344811"/>
    <w:rsid w:val="58444517"/>
    <w:rsid w:val="58492617"/>
    <w:rsid w:val="584B2834"/>
    <w:rsid w:val="584E700C"/>
    <w:rsid w:val="584F41FB"/>
    <w:rsid w:val="58564D34"/>
    <w:rsid w:val="585B64A7"/>
    <w:rsid w:val="585C1FB7"/>
    <w:rsid w:val="58670A27"/>
    <w:rsid w:val="58684FDF"/>
    <w:rsid w:val="586B2F29"/>
    <w:rsid w:val="586C27AA"/>
    <w:rsid w:val="586F57B2"/>
    <w:rsid w:val="5873077E"/>
    <w:rsid w:val="587C29ED"/>
    <w:rsid w:val="587D0513"/>
    <w:rsid w:val="587E15D2"/>
    <w:rsid w:val="588562D9"/>
    <w:rsid w:val="588743D1"/>
    <w:rsid w:val="5887701A"/>
    <w:rsid w:val="588A29CF"/>
    <w:rsid w:val="588E1176"/>
    <w:rsid w:val="588F6C5E"/>
    <w:rsid w:val="589F492D"/>
    <w:rsid w:val="58A55FF9"/>
    <w:rsid w:val="58B242BD"/>
    <w:rsid w:val="58BA250B"/>
    <w:rsid w:val="58BA3515"/>
    <w:rsid w:val="58BC54DF"/>
    <w:rsid w:val="58BC728D"/>
    <w:rsid w:val="58BD2EA3"/>
    <w:rsid w:val="58C22DDC"/>
    <w:rsid w:val="58C44394"/>
    <w:rsid w:val="58CF6EE0"/>
    <w:rsid w:val="58D2260D"/>
    <w:rsid w:val="58D520FD"/>
    <w:rsid w:val="58DD2BB5"/>
    <w:rsid w:val="58E93DFA"/>
    <w:rsid w:val="58EA204C"/>
    <w:rsid w:val="58F53F29"/>
    <w:rsid w:val="58F6590D"/>
    <w:rsid w:val="58F83CC5"/>
    <w:rsid w:val="58F860D8"/>
    <w:rsid w:val="58F92290"/>
    <w:rsid w:val="58FE78A6"/>
    <w:rsid w:val="59034EBC"/>
    <w:rsid w:val="590F51D9"/>
    <w:rsid w:val="59140E77"/>
    <w:rsid w:val="59215342"/>
    <w:rsid w:val="593545D7"/>
    <w:rsid w:val="593F3A1A"/>
    <w:rsid w:val="5943350B"/>
    <w:rsid w:val="59446A2B"/>
    <w:rsid w:val="594571DD"/>
    <w:rsid w:val="59472DC9"/>
    <w:rsid w:val="594949CA"/>
    <w:rsid w:val="59513E7A"/>
    <w:rsid w:val="5952374E"/>
    <w:rsid w:val="595C281E"/>
    <w:rsid w:val="596A4F3B"/>
    <w:rsid w:val="596A6CE9"/>
    <w:rsid w:val="597013FA"/>
    <w:rsid w:val="59801327"/>
    <w:rsid w:val="5988758C"/>
    <w:rsid w:val="598C2171"/>
    <w:rsid w:val="598F4BC6"/>
    <w:rsid w:val="59941FB8"/>
    <w:rsid w:val="59995F2C"/>
    <w:rsid w:val="599975CF"/>
    <w:rsid w:val="599B6EA3"/>
    <w:rsid w:val="599D4395"/>
    <w:rsid w:val="59A46516"/>
    <w:rsid w:val="59A85A64"/>
    <w:rsid w:val="59B166C6"/>
    <w:rsid w:val="59B213F1"/>
    <w:rsid w:val="59B46BC3"/>
    <w:rsid w:val="59B80F1C"/>
    <w:rsid w:val="59BA0AD2"/>
    <w:rsid w:val="59BF4640"/>
    <w:rsid w:val="59C0439F"/>
    <w:rsid w:val="59C94E46"/>
    <w:rsid w:val="59CF1242"/>
    <w:rsid w:val="59D34263"/>
    <w:rsid w:val="59D46859"/>
    <w:rsid w:val="59D6612D"/>
    <w:rsid w:val="59DB524A"/>
    <w:rsid w:val="59DD395F"/>
    <w:rsid w:val="59DF2ACE"/>
    <w:rsid w:val="59E0386E"/>
    <w:rsid w:val="59E21AF1"/>
    <w:rsid w:val="59E44536"/>
    <w:rsid w:val="59E44E97"/>
    <w:rsid w:val="59EC76FE"/>
    <w:rsid w:val="59EE791A"/>
    <w:rsid w:val="59F0143D"/>
    <w:rsid w:val="59F52996"/>
    <w:rsid w:val="5A025174"/>
    <w:rsid w:val="5A094754"/>
    <w:rsid w:val="5A0B2C4A"/>
    <w:rsid w:val="5A111CDF"/>
    <w:rsid w:val="5A14201D"/>
    <w:rsid w:val="5A1671C8"/>
    <w:rsid w:val="5A184997"/>
    <w:rsid w:val="5A1E5DD4"/>
    <w:rsid w:val="5A1F5D26"/>
    <w:rsid w:val="5A2E2963"/>
    <w:rsid w:val="5A2F4F1B"/>
    <w:rsid w:val="5A37717F"/>
    <w:rsid w:val="5A425B58"/>
    <w:rsid w:val="5A430BF4"/>
    <w:rsid w:val="5A511C57"/>
    <w:rsid w:val="5A521067"/>
    <w:rsid w:val="5A5A147A"/>
    <w:rsid w:val="5A6202C7"/>
    <w:rsid w:val="5A647BDD"/>
    <w:rsid w:val="5A6B26EF"/>
    <w:rsid w:val="5A6F6D69"/>
    <w:rsid w:val="5A7476F4"/>
    <w:rsid w:val="5A7C4229"/>
    <w:rsid w:val="5A820063"/>
    <w:rsid w:val="5A834340"/>
    <w:rsid w:val="5A897643"/>
    <w:rsid w:val="5A8A3F4F"/>
    <w:rsid w:val="5A8C2C8F"/>
    <w:rsid w:val="5A90452E"/>
    <w:rsid w:val="5A946C3E"/>
    <w:rsid w:val="5A987886"/>
    <w:rsid w:val="5AA4622B"/>
    <w:rsid w:val="5AAC50E0"/>
    <w:rsid w:val="5AAD1584"/>
    <w:rsid w:val="5AB1199F"/>
    <w:rsid w:val="5ABE2233"/>
    <w:rsid w:val="5ACD10FB"/>
    <w:rsid w:val="5AD84127"/>
    <w:rsid w:val="5ADF7263"/>
    <w:rsid w:val="5AE002BF"/>
    <w:rsid w:val="5AE825BC"/>
    <w:rsid w:val="5AE852A2"/>
    <w:rsid w:val="5AEB7F90"/>
    <w:rsid w:val="5AED1980"/>
    <w:rsid w:val="5AED7BD2"/>
    <w:rsid w:val="5AF21780"/>
    <w:rsid w:val="5AF531CA"/>
    <w:rsid w:val="5B0841A7"/>
    <w:rsid w:val="5B0B1E06"/>
    <w:rsid w:val="5B0D7A97"/>
    <w:rsid w:val="5B174C4F"/>
    <w:rsid w:val="5B1A281A"/>
    <w:rsid w:val="5B1D5AB0"/>
    <w:rsid w:val="5B1F670B"/>
    <w:rsid w:val="5B222824"/>
    <w:rsid w:val="5B262DEE"/>
    <w:rsid w:val="5B2D08EC"/>
    <w:rsid w:val="5B2F1D51"/>
    <w:rsid w:val="5B2F6DB0"/>
    <w:rsid w:val="5B321A89"/>
    <w:rsid w:val="5B363A14"/>
    <w:rsid w:val="5B413B37"/>
    <w:rsid w:val="5B491C80"/>
    <w:rsid w:val="5B527A35"/>
    <w:rsid w:val="5B6D6AB9"/>
    <w:rsid w:val="5B6D6F97"/>
    <w:rsid w:val="5B6F5070"/>
    <w:rsid w:val="5B706FC9"/>
    <w:rsid w:val="5B750EEC"/>
    <w:rsid w:val="5B751975"/>
    <w:rsid w:val="5B7B5478"/>
    <w:rsid w:val="5B7C6858"/>
    <w:rsid w:val="5B89775C"/>
    <w:rsid w:val="5B8A5421"/>
    <w:rsid w:val="5B8F0C89"/>
    <w:rsid w:val="5B90055D"/>
    <w:rsid w:val="5B920779"/>
    <w:rsid w:val="5B9D14CD"/>
    <w:rsid w:val="5BAC183B"/>
    <w:rsid w:val="5BAF6C35"/>
    <w:rsid w:val="5BB029AE"/>
    <w:rsid w:val="5BB4249E"/>
    <w:rsid w:val="5BB950FA"/>
    <w:rsid w:val="5BBE50CA"/>
    <w:rsid w:val="5BC9564E"/>
    <w:rsid w:val="5BC95B6B"/>
    <w:rsid w:val="5BD01E44"/>
    <w:rsid w:val="5BD0447D"/>
    <w:rsid w:val="5BD112A2"/>
    <w:rsid w:val="5BD26A10"/>
    <w:rsid w:val="5BD3501A"/>
    <w:rsid w:val="5BD43145"/>
    <w:rsid w:val="5BDF5D95"/>
    <w:rsid w:val="5BE12497"/>
    <w:rsid w:val="5BF07808"/>
    <w:rsid w:val="5BF154A0"/>
    <w:rsid w:val="5BF1724E"/>
    <w:rsid w:val="5BF925A6"/>
    <w:rsid w:val="5BFE7528"/>
    <w:rsid w:val="5C0466BA"/>
    <w:rsid w:val="5C0B3787"/>
    <w:rsid w:val="5C0E5725"/>
    <w:rsid w:val="5C115B42"/>
    <w:rsid w:val="5C1B076F"/>
    <w:rsid w:val="5C1D6DB7"/>
    <w:rsid w:val="5C1F54B9"/>
    <w:rsid w:val="5C2506CD"/>
    <w:rsid w:val="5C25514A"/>
    <w:rsid w:val="5C295FAD"/>
    <w:rsid w:val="5C2F7BAA"/>
    <w:rsid w:val="5C326512"/>
    <w:rsid w:val="5C4557EC"/>
    <w:rsid w:val="5C48784C"/>
    <w:rsid w:val="5C522492"/>
    <w:rsid w:val="5C531CB7"/>
    <w:rsid w:val="5C5678DA"/>
    <w:rsid w:val="5C5679F9"/>
    <w:rsid w:val="5C587DEE"/>
    <w:rsid w:val="5C5B500F"/>
    <w:rsid w:val="5C605441"/>
    <w:rsid w:val="5C605C82"/>
    <w:rsid w:val="5C6E6AF1"/>
    <w:rsid w:val="5C763BF7"/>
    <w:rsid w:val="5C7A5495"/>
    <w:rsid w:val="5C977095"/>
    <w:rsid w:val="5C9F6CAA"/>
    <w:rsid w:val="5CA249EC"/>
    <w:rsid w:val="5CA442C0"/>
    <w:rsid w:val="5CA97B29"/>
    <w:rsid w:val="5CAB38A1"/>
    <w:rsid w:val="5CB07109"/>
    <w:rsid w:val="5CBF316A"/>
    <w:rsid w:val="5CC71033"/>
    <w:rsid w:val="5CC91F79"/>
    <w:rsid w:val="5CD22236"/>
    <w:rsid w:val="5CD728E8"/>
    <w:rsid w:val="5CD86660"/>
    <w:rsid w:val="5CDB057C"/>
    <w:rsid w:val="5CDD77D2"/>
    <w:rsid w:val="5CE45005"/>
    <w:rsid w:val="5CE47CC8"/>
    <w:rsid w:val="5CF728FB"/>
    <w:rsid w:val="5CF938D1"/>
    <w:rsid w:val="5CFC234E"/>
    <w:rsid w:val="5CFE666C"/>
    <w:rsid w:val="5D005D02"/>
    <w:rsid w:val="5D011713"/>
    <w:rsid w:val="5D0134C1"/>
    <w:rsid w:val="5D027239"/>
    <w:rsid w:val="5D0775D5"/>
    <w:rsid w:val="5D0E7637"/>
    <w:rsid w:val="5D211242"/>
    <w:rsid w:val="5D211424"/>
    <w:rsid w:val="5D2B275D"/>
    <w:rsid w:val="5D2D69AC"/>
    <w:rsid w:val="5D2E44D2"/>
    <w:rsid w:val="5D325D70"/>
    <w:rsid w:val="5D3650EA"/>
    <w:rsid w:val="5D370BDD"/>
    <w:rsid w:val="5D3F4A3A"/>
    <w:rsid w:val="5D485594"/>
    <w:rsid w:val="5D526412"/>
    <w:rsid w:val="5D5E4DB7"/>
    <w:rsid w:val="5D610840"/>
    <w:rsid w:val="5D610EDA"/>
    <w:rsid w:val="5D686C2B"/>
    <w:rsid w:val="5D7739CD"/>
    <w:rsid w:val="5D7A7A26"/>
    <w:rsid w:val="5D814602"/>
    <w:rsid w:val="5D861C18"/>
    <w:rsid w:val="5D8D11F8"/>
    <w:rsid w:val="5D8E1702"/>
    <w:rsid w:val="5D8F6D1E"/>
    <w:rsid w:val="5D9500AD"/>
    <w:rsid w:val="5D972DE6"/>
    <w:rsid w:val="5DA0717E"/>
    <w:rsid w:val="5DA402F0"/>
    <w:rsid w:val="5DAB167E"/>
    <w:rsid w:val="5DAF07B5"/>
    <w:rsid w:val="5DB04EE7"/>
    <w:rsid w:val="5DB66224"/>
    <w:rsid w:val="5DBF4FB9"/>
    <w:rsid w:val="5DC368B8"/>
    <w:rsid w:val="5DC664B8"/>
    <w:rsid w:val="5DC7527B"/>
    <w:rsid w:val="5DC76838"/>
    <w:rsid w:val="5DCF7A63"/>
    <w:rsid w:val="5DD21301"/>
    <w:rsid w:val="5DD46E27"/>
    <w:rsid w:val="5DD6174B"/>
    <w:rsid w:val="5DE132F2"/>
    <w:rsid w:val="5DE3706A"/>
    <w:rsid w:val="5DEC4171"/>
    <w:rsid w:val="5DF03535"/>
    <w:rsid w:val="5DF03C13"/>
    <w:rsid w:val="5DF43025"/>
    <w:rsid w:val="5DF55E69"/>
    <w:rsid w:val="5E0771FD"/>
    <w:rsid w:val="5E0B7894"/>
    <w:rsid w:val="5E1436C8"/>
    <w:rsid w:val="5E1B2CA8"/>
    <w:rsid w:val="5E1E00A2"/>
    <w:rsid w:val="5E234651"/>
    <w:rsid w:val="5E2356B9"/>
    <w:rsid w:val="5E2467F1"/>
    <w:rsid w:val="5E2C7286"/>
    <w:rsid w:val="5E333B7F"/>
    <w:rsid w:val="5E3A3003"/>
    <w:rsid w:val="5E3E6996"/>
    <w:rsid w:val="5E421185"/>
    <w:rsid w:val="5E4426FE"/>
    <w:rsid w:val="5E4A422F"/>
    <w:rsid w:val="5E5D10B1"/>
    <w:rsid w:val="5E5D6E1D"/>
    <w:rsid w:val="5E602469"/>
    <w:rsid w:val="5E713FC3"/>
    <w:rsid w:val="5E763B21"/>
    <w:rsid w:val="5E7E0913"/>
    <w:rsid w:val="5E86121E"/>
    <w:rsid w:val="5E8E1597"/>
    <w:rsid w:val="5E930A90"/>
    <w:rsid w:val="5E966EBF"/>
    <w:rsid w:val="5E9B5B97"/>
    <w:rsid w:val="5E9F5687"/>
    <w:rsid w:val="5EA13AD6"/>
    <w:rsid w:val="5EA77BAC"/>
    <w:rsid w:val="5EB222AF"/>
    <w:rsid w:val="5EB302B5"/>
    <w:rsid w:val="5EB32EE1"/>
    <w:rsid w:val="5EB86749"/>
    <w:rsid w:val="5EB97DCB"/>
    <w:rsid w:val="5EBA195A"/>
    <w:rsid w:val="5EBB3B43"/>
    <w:rsid w:val="5EBC2507"/>
    <w:rsid w:val="5EC17E09"/>
    <w:rsid w:val="5EC45B01"/>
    <w:rsid w:val="5ECB022A"/>
    <w:rsid w:val="5ECB647C"/>
    <w:rsid w:val="5ECE4438"/>
    <w:rsid w:val="5ED30E8D"/>
    <w:rsid w:val="5ED35331"/>
    <w:rsid w:val="5EDF5A84"/>
    <w:rsid w:val="5EE035AA"/>
    <w:rsid w:val="5EED2DC8"/>
    <w:rsid w:val="5EF04923"/>
    <w:rsid w:val="5EF3152F"/>
    <w:rsid w:val="5EF446BC"/>
    <w:rsid w:val="5EF534F9"/>
    <w:rsid w:val="5EF57055"/>
    <w:rsid w:val="5EFD23AE"/>
    <w:rsid w:val="5EFD7202"/>
    <w:rsid w:val="5F071397"/>
    <w:rsid w:val="5F087C62"/>
    <w:rsid w:val="5F0C53C6"/>
    <w:rsid w:val="5F105C3D"/>
    <w:rsid w:val="5F1073D0"/>
    <w:rsid w:val="5F13397F"/>
    <w:rsid w:val="5F147725"/>
    <w:rsid w:val="5F182D44"/>
    <w:rsid w:val="5F1A2B43"/>
    <w:rsid w:val="5F1B5C08"/>
    <w:rsid w:val="5F1C0162"/>
    <w:rsid w:val="5F1C0EB8"/>
    <w:rsid w:val="5F1E4355"/>
    <w:rsid w:val="5F1F2324"/>
    <w:rsid w:val="5F1F40D2"/>
    <w:rsid w:val="5F2330D0"/>
    <w:rsid w:val="5F257D99"/>
    <w:rsid w:val="5F296CFF"/>
    <w:rsid w:val="5F30008D"/>
    <w:rsid w:val="5F3237E8"/>
    <w:rsid w:val="5F37452B"/>
    <w:rsid w:val="5F3C79F2"/>
    <w:rsid w:val="5F43058B"/>
    <w:rsid w:val="5F465B03"/>
    <w:rsid w:val="5F5C4D0F"/>
    <w:rsid w:val="5F6940CF"/>
    <w:rsid w:val="5F6B1C84"/>
    <w:rsid w:val="5F6F5187"/>
    <w:rsid w:val="5F710167"/>
    <w:rsid w:val="5F7D5B25"/>
    <w:rsid w:val="5F872992"/>
    <w:rsid w:val="5F8959EF"/>
    <w:rsid w:val="5F8B1768"/>
    <w:rsid w:val="5F8B5C0B"/>
    <w:rsid w:val="5F984D27"/>
    <w:rsid w:val="5F994A7E"/>
    <w:rsid w:val="5FA342F8"/>
    <w:rsid w:val="5FA55E0F"/>
    <w:rsid w:val="5FAE4A45"/>
    <w:rsid w:val="5FAF18FA"/>
    <w:rsid w:val="5FB276FB"/>
    <w:rsid w:val="5FB316D7"/>
    <w:rsid w:val="5FB34F10"/>
    <w:rsid w:val="5FB837BB"/>
    <w:rsid w:val="5FC11B25"/>
    <w:rsid w:val="5FCB6733"/>
    <w:rsid w:val="5FCC71A0"/>
    <w:rsid w:val="5FD1150A"/>
    <w:rsid w:val="5FD62BCC"/>
    <w:rsid w:val="5FD749AD"/>
    <w:rsid w:val="5FD96977"/>
    <w:rsid w:val="5FDA0F1A"/>
    <w:rsid w:val="5FDE5D3B"/>
    <w:rsid w:val="5FDF3861"/>
    <w:rsid w:val="5FE10357"/>
    <w:rsid w:val="5FE405F8"/>
    <w:rsid w:val="5FE84E0C"/>
    <w:rsid w:val="5FEA25DF"/>
    <w:rsid w:val="5FF13CC0"/>
    <w:rsid w:val="5FF20509"/>
    <w:rsid w:val="5FF22866"/>
    <w:rsid w:val="5FF94A51"/>
    <w:rsid w:val="60017C7C"/>
    <w:rsid w:val="6003687A"/>
    <w:rsid w:val="600734E4"/>
    <w:rsid w:val="60121E89"/>
    <w:rsid w:val="601C4AB5"/>
    <w:rsid w:val="603604E1"/>
    <w:rsid w:val="60396A2E"/>
    <w:rsid w:val="60412B92"/>
    <w:rsid w:val="60430294"/>
    <w:rsid w:val="60477D84"/>
    <w:rsid w:val="60485FB1"/>
    <w:rsid w:val="6049691C"/>
    <w:rsid w:val="60560457"/>
    <w:rsid w:val="6057789C"/>
    <w:rsid w:val="605C1CAD"/>
    <w:rsid w:val="605E6E7C"/>
    <w:rsid w:val="60602BF4"/>
    <w:rsid w:val="60673F83"/>
    <w:rsid w:val="607246D5"/>
    <w:rsid w:val="6075770C"/>
    <w:rsid w:val="607C18FE"/>
    <w:rsid w:val="60820DBC"/>
    <w:rsid w:val="60820FA5"/>
    <w:rsid w:val="60862319"/>
    <w:rsid w:val="60912DAE"/>
    <w:rsid w:val="60934D78"/>
    <w:rsid w:val="609355AC"/>
    <w:rsid w:val="60936406"/>
    <w:rsid w:val="6098413C"/>
    <w:rsid w:val="609C2908"/>
    <w:rsid w:val="60B66CB8"/>
    <w:rsid w:val="60BF5B37"/>
    <w:rsid w:val="60C45117"/>
    <w:rsid w:val="60C90799"/>
    <w:rsid w:val="60C9697A"/>
    <w:rsid w:val="60CC405A"/>
    <w:rsid w:val="60D3786A"/>
    <w:rsid w:val="60D4713E"/>
    <w:rsid w:val="60D55390"/>
    <w:rsid w:val="60D809DC"/>
    <w:rsid w:val="60D95A5A"/>
    <w:rsid w:val="60E65BFF"/>
    <w:rsid w:val="60E74423"/>
    <w:rsid w:val="60EC4488"/>
    <w:rsid w:val="60FF240D"/>
    <w:rsid w:val="61021EFD"/>
    <w:rsid w:val="61023CAB"/>
    <w:rsid w:val="61033A7E"/>
    <w:rsid w:val="61047A23"/>
    <w:rsid w:val="61066EF1"/>
    <w:rsid w:val="611019FF"/>
    <w:rsid w:val="6110461A"/>
    <w:rsid w:val="61114ABA"/>
    <w:rsid w:val="61115BD8"/>
    <w:rsid w:val="61167757"/>
    <w:rsid w:val="611C2FBF"/>
    <w:rsid w:val="6126799A"/>
    <w:rsid w:val="612C0D28"/>
    <w:rsid w:val="613A3445"/>
    <w:rsid w:val="613B3DCF"/>
    <w:rsid w:val="613D1187"/>
    <w:rsid w:val="61475B62"/>
    <w:rsid w:val="614E65AA"/>
    <w:rsid w:val="614F3B1C"/>
    <w:rsid w:val="61504A17"/>
    <w:rsid w:val="61515E75"/>
    <w:rsid w:val="615269E1"/>
    <w:rsid w:val="61550DBD"/>
    <w:rsid w:val="61573FF7"/>
    <w:rsid w:val="615B2E7E"/>
    <w:rsid w:val="615E35D8"/>
    <w:rsid w:val="6162474A"/>
    <w:rsid w:val="616C7377"/>
    <w:rsid w:val="6170330B"/>
    <w:rsid w:val="61714784"/>
    <w:rsid w:val="61774699"/>
    <w:rsid w:val="617F2D1C"/>
    <w:rsid w:val="61840F53"/>
    <w:rsid w:val="618B7BA2"/>
    <w:rsid w:val="619830D1"/>
    <w:rsid w:val="619863BE"/>
    <w:rsid w:val="61997BE3"/>
    <w:rsid w:val="61A53472"/>
    <w:rsid w:val="61A93055"/>
    <w:rsid w:val="61B34FA6"/>
    <w:rsid w:val="61B37CD9"/>
    <w:rsid w:val="61B668E9"/>
    <w:rsid w:val="61B73243"/>
    <w:rsid w:val="61BA6246"/>
    <w:rsid w:val="61C62F2B"/>
    <w:rsid w:val="61C96577"/>
    <w:rsid w:val="61D05B58"/>
    <w:rsid w:val="61D27EB7"/>
    <w:rsid w:val="61DC2B4E"/>
    <w:rsid w:val="61DC6F8A"/>
    <w:rsid w:val="61E215D8"/>
    <w:rsid w:val="61E57855"/>
    <w:rsid w:val="61E635CD"/>
    <w:rsid w:val="61EB65BD"/>
    <w:rsid w:val="61ED495B"/>
    <w:rsid w:val="61FA2BD4"/>
    <w:rsid w:val="62075DCB"/>
    <w:rsid w:val="620B6B90"/>
    <w:rsid w:val="620D46B6"/>
    <w:rsid w:val="620F495A"/>
    <w:rsid w:val="621B3775"/>
    <w:rsid w:val="621B423A"/>
    <w:rsid w:val="621B73F8"/>
    <w:rsid w:val="623274B4"/>
    <w:rsid w:val="62364782"/>
    <w:rsid w:val="623757F2"/>
    <w:rsid w:val="62392419"/>
    <w:rsid w:val="623F6EC8"/>
    <w:rsid w:val="62487DE4"/>
    <w:rsid w:val="624B1D15"/>
    <w:rsid w:val="626F06A0"/>
    <w:rsid w:val="627255C5"/>
    <w:rsid w:val="6276661E"/>
    <w:rsid w:val="627707E5"/>
    <w:rsid w:val="62774225"/>
    <w:rsid w:val="627F6925"/>
    <w:rsid w:val="628250A4"/>
    <w:rsid w:val="6283706E"/>
    <w:rsid w:val="628647C6"/>
    <w:rsid w:val="628658F7"/>
    <w:rsid w:val="62881C46"/>
    <w:rsid w:val="62894684"/>
    <w:rsid w:val="628C1A7E"/>
    <w:rsid w:val="628E434B"/>
    <w:rsid w:val="628F5A13"/>
    <w:rsid w:val="629152E7"/>
    <w:rsid w:val="62973CDD"/>
    <w:rsid w:val="629947CB"/>
    <w:rsid w:val="629A6908"/>
    <w:rsid w:val="629B03BE"/>
    <w:rsid w:val="629D1EDE"/>
    <w:rsid w:val="629F3923"/>
    <w:rsid w:val="62A04C73"/>
    <w:rsid w:val="62A32D04"/>
    <w:rsid w:val="62A74B0A"/>
    <w:rsid w:val="62AF3F92"/>
    <w:rsid w:val="62B154A9"/>
    <w:rsid w:val="62B64D4D"/>
    <w:rsid w:val="62B86D17"/>
    <w:rsid w:val="62BB6808"/>
    <w:rsid w:val="62CA25A7"/>
    <w:rsid w:val="62D160BE"/>
    <w:rsid w:val="62D653F0"/>
    <w:rsid w:val="62DD677E"/>
    <w:rsid w:val="62E25B42"/>
    <w:rsid w:val="62E573E1"/>
    <w:rsid w:val="62E95123"/>
    <w:rsid w:val="62F6339C"/>
    <w:rsid w:val="62FA7330"/>
    <w:rsid w:val="62FB4E56"/>
    <w:rsid w:val="62FB7F3D"/>
    <w:rsid w:val="62FD0F35"/>
    <w:rsid w:val="630006BE"/>
    <w:rsid w:val="6300421A"/>
    <w:rsid w:val="63017EF8"/>
    <w:rsid w:val="630248CD"/>
    <w:rsid w:val="63065CD5"/>
    <w:rsid w:val="63166BB6"/>
    <w:rsid w:val="631D6B7A"/>
    <w:rsid w:val="63255659"/>
    <w:rsid w:val="63442359"/>
    <w:rsid w:val="63586960"/>
    <w:rsid w:val="635B76A3"/>
    <w:rsid w:val="63666493"/>
    <w:rsid w:val="636B121B"/>
    <w:rsid w:val="636B76CF"/>
    <w:rsid w:val="63710C62"/>
    <w:rsid w:val="63776102"/>
    <w:rsid w:val="63822E81"/>
    <w:rsid w:val="638718CD"/>
    <w:rsid w:val="638B7F88"/>
    <w:rsid w:val="6394356A"/>
    <w:rsid w:val="63972C59"/>
    <w:rsid w:val="63985179"/>
    <w:rsid w:val="639A414E"/>
    <w:rsid w:val="639C5F67"/>
    <w:rsid w:val="639F3A33"/>
    <w:rsid w:val="63B4442F"/>
    <w:rsid w:val="63BC7E20"/>
    <w:rsid w:val="63C61B2C"/>
    <w:rsid w:val="63C70BC6"/>
    <w:rsid w:val="63D27965"/>
    <w:rsid w:val="63D40BE9"/>
    <w:rsid w:val="63E71BF9"/>
    <w:rsid w:val="63E916E0"/>
    <w:rsid w:val="63EF5962"/>
    <w:rsid w:val="63F046DD"/>
    <w:rsid w:val="63F109D0"/>
    <w:rsid w:val="63F41FD1"/>
    <w:rsid w:val="63F50609"/>
    <w:rsid w:val="63F648F8"/>
    <w:rsid w:val="63F773CC"/>
    <w:rsid w:val="63FE4BFE"/>
    <w:rsid w:val="63FF2724"/>
    <w:rsid w:val="64061D04"/>
    <w:rsid w:val="640B10C9"/>
    <w:rsid w:val="640E4E4A"/>
    <w:rsid w:val="64102431"/>
    <w:rsid w:val="641066D8"/>
    <w:rsid w:val="64191A38"/>
    <w:rsid w:val="641E0DFC"/>
    <w:rsid w:val="642721E0"/>
    <w:rsid w:val="64277E74"/>
    <w:rsid w:val="64290EE7"/>
    <w:rsid w:val="64367C08"/>
    <w:rsid w:val="644814EC"/>
    <w:rsid w:val="64487C27"/>
    <w:rsid w:val="644A1BF1"/>
    <w:rsid w:val="644A7E43"/>
    <w:rsid w:val="644F5459"/>
    <w:rsid w:val="64505121"/>
    <w:rsid w:val="64550F8A"/>
    <w:rsid w:val="645E744B"/>
    <w:rsid w:val="64601C50"/>
    <w:rsid w:val="64630F05"/>
    <w:rsid w:val="64783F14"/>
    <w:rsid w:val="64883598"/>
    <w:rsid w:val="648A0240"/>
    <w:rsid w:val="648A456C"/>
    <w:rsid w:val="649843E3"/>
    <w:rsid w:val="64A5243A"/>
    <w:rsid w:val="64AA08E2"/>
    <w:rsid w:val="64AA19BA"/>
    <w:rsid w:val="64AA6B34"/>
    <w:rsid w:val="64AD3F2E"/>
    <w:rsid w:val="64B61035"/>
    <w:rsid w:val="64BC7B4E"/>
    <w:rsid w:val="64C00105"/>
    <w:rsid w:val="64C9520C"/>
    <w:rsid w:val="64CA4AE0"/>
    <w:rsid w:val="64CB5C25"/>
    <w:rsid w:val="64CC6AAA"/>
    <w:rsid w:val="64CE344B"/>
    <w:rsid w:val="64DD694E"/>
    <w:rsid w:val="64E076E5"/>
    <w:rsid w:val="64ED778B"/>
    <w:rsid w:val="64EE4C72"/>
    <w:rsid w:val="64EF4547"/>
    <w:rsid w:val="64F0304B"/>
    <w:rsid w:val="64F531DE"/>
    <w:rsid w:val="64F6230F"/>
    <w:rsid w:val="650243BB"/>
    <w:rsid w:val="65037A2F"/>
    <w:rsid w:val="65137E2A"/>
    <w:rsid w:val="65167D05"/>
    <w:rsid w:val="65185ADE"/>
    <w:rsid w:val="651D1138"/>
    <w:rsid w:val="65217654"/>
    <w:rsid w:val="6532537D"/>
    <w:rsid w:val="65355A22"/>
    <w:rsid w:val="65361DDD"/>
    <w:rsid w:val="65373578"/>
    <w:rsid w:val="653C6A80"/>
    <w:rsid w:val="654C0645"/>
    <w:rsid w:val="654F3237"/>
    <w:rsid w:val="65544838"/>
    <w:rsid w:val="65587EC8"/>
    <w:rsid w:val="65653EAE"/>
    <w:rsid w:val="65670581"/>
    <w:rsid w:val="656767D3"/>
    <w:rsid w:val="656B0071"/>
    <w:rsid w:val="656C3DE9"/>
    <w:rsid w:val="65711400"/>
    <w:rsid w:val="65774FEC"/>
    <w:rsid w:val="65785BCE"/>
    <w:rsid w:val="65864EAB"/>
    <w:rsid w:val="658B1468"/>
    <w:rsid w:val="658D65D9"/>
    <w:rsid w:val="65907AD8"/>
    <w:rsid w:val="65935D68"/>
    <w:rsid w:val="6598698C"/>
    <w:rsid w:val="65A25A5D"/>
    <w:rsid w:val="65A267B6"/>
    <w:rsid w:val="65A2780B"/>
    <w:rsid w:val="65A72E4C"/>
    <w:rsid w:val="65B337C6"/>
    <w:rsid w:val="65B40423"/>
    <w:rsid w:val="65B4487E"/>
    <w:rsid w:val="65C32895"/>
    <w:rsid w:val="65C349EE"/>
    <w:rsid w:val="65C72A7B"/>
    <w:rsid w:val="65C854C3"/>
    <w:rsid w:val="65CE4FEA"/>
    <w:rsid w:val="65D11E9E"/>
    <w:rsid w:val="65D26342"/>
    <w:rsid w:val="65D57BE0"/>
    <w:rsid w:val="65DC4ACB"/>
    <w:rsid w:val="65E01E80"/>
    <w:rsid w:val="65E6594A"/>
    <w:rsid w:val="65E9368C"/>
    <w:rsid w:val="65EB7404"/>
    <w:rsid w:val="65EC7453"/>
    <w:rsid w:val="65F31E15"/>
    <w:rsid w:val="65F75DA9"/>
    <w:rsid w:val="65F938CF"/>
    <w:rsid w:val="65FB298F"/>
    <w:rsid w:val="65FC2DCA"/>
    <w:rsid w:val="660364FC"/>
    <w:rsid w:val="660E4EA0"/>
    <w:rsid w:val="6618187B"/>
    <w:rsid w:val="661B5358"/>
    <w:rsid w:val="661C136B"/>
    <w:rsid w:val="661C580F"/>
    <w:rsid w:val="661F70AE"/>
    <w:rsid w:val="663D1082"/>
    <w:rsid w:val="663D12E2"/>
    <w:rsid w:val="66404FDA"/>
    <w:rsid w:val="66513498"/>
    <w:rsid w:val="665E7BD6"/>
    <w:rsid w:val="665F56FC"/>
    <w:rsid w:val="666D25E9"/>
    <w:rsid w:val="66707909"/>
    <w:rsid w:val="66730773"/>
    <w:rsid w:val="6673555F"/>
    <w:rsid w:val="667831F6"/>
    <w:rsid w:val="667B0788"/>
    <w:rsid w:val="667B07B0"/>
    <w:rsid w:val="66811B16"/>
    <w:rsid w:val="668138C4"/>
    <w:rsid w:val="66886A01"/>
    <w:rsid w:val="668A0B8E"/>
    <w:rsid w:val="668F4233"/>
    <w:rsid w:val="669730E8"/>
    <w:rsid w:val="66996E60"/>
    <w:rsid w:val="669C24AC"/>
    <w:rsid w:val="66A03F2C"/>
    <w:rsid w:val="66A7428E"/>
    <w:rsid w:val="66A82BFF"/>
    <w:rsid w:val="66BD78CB"/>
    <w:rsid w:val="66C009B1"/>
    <w:rsid w:val="66C02C27"/>
    <w:rsid w:val="66C34001"/>
    <w:rsid w:val="66C47520"/>
    <w:rsid w:val="66C8504F"/>
    <w:rsid w:val="66CD7ECC"/>
    <w:rsid w:val="66D22887"/>
    <w:rsid w:val="66D2606B"/>
    <w:rsid w:val="66D734E4"/>
    <w:rsid w:val="66D874B2"/>
    <w:rsid w:val="66DC6107"/>
    <w:rsid w:val="66DC6D4D"/>
    <w:rsid w:val="66E53440"/>
    <w:rsid w:val="66E55C01"/>
    <w:rsid w:val="66EF68AF"/>
    <w:rsid w:val="66EF6A80"/>
    <w:rsid w:val="66F81DD8"/>
    <w:rsid w:val="66F83B86"/>
    <w:rsid w:val="66F95B50"/>
    <w:rsid w:val="67035656"/>
    <w:rsid w:val="67084EFB"/>
    <w:rsid w:val="670C5884"/>
    <w:rsid w:val="670D6F06"/>
    <w:rsid w:val="671169F6"/>
    <w:rsid w:val="671604B0"/>
    <w:rsid w:val="6716400D"/>
    <w:rsid w:val="67184229"/>
    <w:rsid w:val="671F124A"/>
    <w:rsid w:val="6723497B"/>
    <w:rsid w:val="67237D9A"/>
    <w:rsid w:val="6727016E"/>
    <w:rsid w:val="67322FC2"/>
    <w:rsid w:val="6732696D"/>
    <w:rsid w:val="67346B89"/>
    <w:rsid w:val="673B1CC5"/>
    <w:rsid w:val="67446DCC"/>
    <w:rsid w:val="674F5E4E"/>
    <w:rsid w:val="67620151"/>
    <w:rsid w:val="676905E0"/>
    <w:rsid w:val="67753429"/>
    <w:rsid w:val="677879E5"/>
    <w:rsid w:val="677943D7"/>
    <w:rsid w:val="677A33C6"/>
    <w:rsid w:val="677B6565"/>
    <w:rsid w:val="678D64A0"/>
    <w:rsid w:val="6790263E"/>
    <w:rsid w:val="67947D38"/>
    <w:rsid w:val="6796489D"/>
    <w:rsid w:val="67A449AF"/>
    <w:rsid w:val="67A80A39"/>
    <w:rsid w:val="67B61D02"/>
    <w:rsid w:val="67BF28F6"/>
    <w:rsid w:val="67C17B14"/>
    <w:rsid w:val="67C21409"/>
    <w:rsid w:val="67C41CBB"/>
    <w:rsid w:val="67C972D1"/>
    <w:rsid w:val="67CB3049"/>
    <w:rsid w:val="67CE1634"/>
    <w:rsid w:val="67D338A4"/>
    <w:rsid w:val="67E03447"/>
    <w:rsid w:val="67E265E5"/>
    <w:rsid w:val="67E773BE"/>
    <w:rsid w:val="67EE4F89"/>
    <w:rsid w:val="67FC1454"/>
    <w:rsid w:val="680447AD"/>
    <w:rsid w:val="68064BD6"/>
    <w:rsid w:val="68071BA7"/>
    <w:rsid w:val="68097925"/>
    <w:rsid w:val="680C22B2"/>
    <w:rsid w:val="680E1188"/>
    <w:rsid w:val="68120C78"/>
    <w:rsid w:val="68143F80"/>
    <w:rsid w:val="68165FDF"/>
    <w:rsid w:val="68171BE1"/>
    <w:rsid w:val="68171D97"/>
    <w:rsid w:val="681A7B2C"/>
    <w:rsid w:val="681D13CB"/>
    <w:rsid w:val="681F6961"/>
    <w:rsid w:val="682664D1"/>
    <w:rsid w:val="682C160E"/>
    <w:rsid w:val="682D3A08"/>
    <w:rsid w:val="682F6360"/>
    <w:rsid w:val="68307350"/>
    <w:rsid w:val="68354966"/>
    <w:rsid w:val="683A3D2B"/>
    <w:rsid w:val="683F57E5"/>
    <w:rsid w:val="683F7292"/>
    <w:rsid w:val="68447EF6"/>
    <w:rsid w:val="68492160"/>
    <w:rsid w:val="684A6664"/>
    <w:rsid w:val="684E1DE8"/>
    <w:rsid w:val="685079F2"/>
    <w:rsid w:val="6853303E"/>
    <w:rsid w:val="68542E44"/>
    <w:rsid w:val="685E5C6B"/>
    <w:rsid w:val="685F3791"/>
    <w:rsid w:val="68602095"/>
    <w:rsid w:val="68610A2F"/>
    <w:rsid w:val="6861368C"/>
    <w:rsid w:val="6864524C"/>
    <w:rsid w:val="686455DF"/>
    <w:rsid w:val="68686AEA"/>
    <w:rsid w:val="686B482C"/>
    <w:rsid w:val="686D4031"/>
    <w:rsid w:val="686D4300"/>
    <w:rsid w:val="68700722"/>
    <w:rsid w:val="687436E1"/>
    <w:rsid w:val="68755EAC"/>
    <w:rsid w:val="687A05CB"/>
    <w:rsid w:val="687F3E33"/>
    <w:rsid w:val="687F5BE1"/>
    <w:rsid w:val="68805514"/>
    <w:rsid w:val="68863414"/>
    <w:rsid w:val="688D2CA3"/>
    <w:rsid w:val="688F22C8"/>
    <w:rsid w:val="68923EB4"/>
    <w:rsid w:val="68934FFC"/>
    <w:rsid w:val="68961CEF"/>
    <w:rsid w:val="68962018"/>
    <w:rsid w:val="689A4E2A"/>
    <w:rsid w:val="689D149E"/>
    <w:rsid w:val="68A044D6"/>
    <w:rsid w:val="68AF64C7"/>
    <w:rsid w:val="68B735CD"/>
    <w:rsid w:val="68BB5E7C"/>
    <w:rsid w:val="68CA155E"/>
    <w:rsid w:val="68CA2750"/>
    <w:rsid w:val="68CA55C5"/>
    <w:rsid w:val="68CF7AED"/>
    <w:rsid w:val="68D17D7F"/>
    <w:rsid w:val="68D57C80"/>
    <w:rsid w:val="68D67EF7"/>
    <w:rsid w:val="68DC3034"/>
    <w:rsid w:val="68DC5F87"/>
    <w:rsid w:val="68E01DB6"/>
    <w:rsid w:val="68E32614"/>
    <w:rsid w:val="68EA1347"/>
    <w:rsid w:val="68F14D31"/>
    <w:rsid w:val="68F35EB3"/>
    <w:rsid w:val="690507DD"/>
    <w:rsid w:val="69076303"/>
    <w:rsid w:val="69100406"/>
    <w:rsid w:val="69112CDD"/>
    <w:rsid w:val="69132EFA"/>
    <w:rsid w:val="69277E0A"/>
    <w:rsid w:val="692C3FBB"/>
    <w:rsid w:val="69313380"/>
    <w:rsid w:val="69316E2F"/>
    <w:rsid w:val="6932223E"/>
    <w:rsid w:val="693D1D24"/>
    <w:rsid w:val="6942558D"/>
    <w:rsid w:val="6942733B"/>
    <w:rsid w:val="69446257"/>
    <w:rsid w:val="69456E2B"/>
    <w:rsid w:val="69482477"/>
    <w:rsid w:val="694A1418"/>
    <w:rsid w:val="694B7E29"/>
    <w:rsid w:val="694E2071"/>
    <w:rsid w:val="69561413"/>
    <w:rsid w:val="69562F06"/>
    <w:rsid w:val="695E1C9B"/>
    <w:rsid w:val="6962178B"/>
    <w:rsid w:val="696324F7"/>
    <w:rsid w:val="696A0C89"/>
    <w:rsid w:val="69710DB3"/>
    <w:rsid w:val="697175FF"/>
    <w:rsid w:val="69735746"/>
    <w:rsid w:val="69736062"/>
    <w:rsid w:val="697616FC"/>
    <w:rsid w:val="69766163"/>
    <w:rsid w:val="697A3B33"/>
    <w:rsid w:val="69851E23"/>
    <w:rsid w:val="69851F0A"/>
    <w:rsid w:val="698A0CE2"/>
    <w:rsid w:val="698B4303"/>
    <w:rsid w:val="698B62FA"/>
    <w:rsid w:val="698E1994"/>
    <w:rsid w:val="69943C58"/>
    <w:rsid w:val="69951B60"/>
    <w:rsid w:val="699633EF"/>
    <w:rsid w:val="699B5CE4"/>
    <w:rsid w:val="699D27C3"/>
    <w:rsid w:val="69A022B3"/>
    <w:rsid w:val="69A22FE6"/>
    <w:rsid w:val="69A35DAC"/>
    <w:rsid w:val="69A57678"/>
    <w:rsid w:val="69A84119"/>
    <w:rsid w:val="69B11CDD"/>
    <w:rsid w:val="69B53998"/>
    <w:rsid w:val="69B53FB1"/>
    <w:rsid w:val="69B55D5F"/>
    <w:rsid w:val="69B5697D"/>
    <w:rsid w:val="69B95123"/>
    <w:rsid w:val="69BF37A7"/>
    <w:rsid w:val="69C064B2"/>
    <w:rsid w:val="69C2248D"/>
    <w:rsid w:val="69C50153"/>
    <w:rsid w:val="69CE5072"/>
    <w:rsid w:val="69D44760"/>
    <w:rsid w:val="69D56401"/>
    <w:rsid w:val="69D65C6C"/>
    <w:rsid w:val="69D87C9F"/>
    <w:rsid w:val="69DD3507"/>
    <w:rsid w:val="69E00902"/>
    <w:rsid w:val="69E72135"/>
    <w:rsid w:val="69E8167C"/>
    <w:rsid w:val="69EA444C"/>
    <w:rsid w:val="69EB79D2"/>
    <w:rsid w:val="69ED4B4A"/>
    <w:rsid w:val="69EE74C3"/>
    <w:rsid w:val="69F34AD9"/>
    <w:rsid w:val="69F61ED3"/>
    <w:rsid w:val="69FF522C"/>
    <w:rsid w:val="6A0171F6"/>
    <w:rsid w:val="6A040A94"/>
    <w:rsid w:val="6A072332"/>
    <w:rsid w:val="6A150415"/>
    <w:rsid w:val="6A1862EE"/>
    <w:rsid w:val="6A1A02B8"/>
    <w:rsid w:val="6A1B06CD"/>
    <w:rsid w:val="6A226B98"/>
    <w:rsid w:val="6A2276DF"/>
    <w:rsid w:val="6A234FED"/>
    <w:rsid w:val="6A266C5C"/>
    <w:rsid w:val="6A2E78BF"/>
    <w:rsid w:val="6A366774"/>
    <w:rsid w:val="6A3A44B6"/>
    <w:rsid w:val="6A3A7CAA"/>
    <w:rsid w:val="6A3D7B02"/>
    <w:rsid w:val="6A3F666F"/>
    <w:rsid w:val="6A4B71E9"/>
    <w:rsid w:val="6A4E1F2A"/>
    <w:rsid w:val="6A4E31B2"/>
    <w:rsid w:val="6A520EC7"/>
    <w:rsid w:val="6A57669C"/>
    <w:rsid w:val="6A5C63A1"/>
    <w:rsid w:val="6A6432E1"/>
    <w:rsid w:val="6A6C0858"/>
    <w:rsid w:val="6A6C63A9"/>
    <w:rsid w:val="6A6E6628"/>
    <w:rsid w:val="6A745C1A"/>
    <w:rsid w:val="6A7D0E05"/>
    <w:rsid w:val="6A8000FB"/>
    <w:rsid w:val="6A813E93"/>
    <w:rsid w:val="6A874677"/>
    <w:rsid w:val="6A8A4544"/>
    <w:rsid w:val="6A923F3B"/>
    <w:rsid w:val="6A946571"/>
    <w:rsid w:val="6AA236F1"/>
    <w:rsid w:val="6AA872B1"/>
    <w:rsid w:val="6AA91A68"/>
    <w:rsid w:val="6AAE27AE"/>
    <w:rsid w:val="6AB57FE0"/>
    <w:rsid w:val="6AB630E4"/>
    <w:rsid w:val="6AB63143"/>
    <w:rsid w:val="6AB73D58"/>
    <w:rsid w:val="6ACB15B2"/>
    <w:rsid w:val="6ACD0E86"/>
    <w:rsid w:val="6ACF2E50"/>
    <w:rsid w:val="6ADC556D"/>
    <w:rsid w:val="6AE306AA"/>
    <w:rsid w:val="6AE61F48"/>
    <w:rsid w:val="6AE83F12"/>
    <w:rsid w:val="6AEB755E"/>
    <w:rsid w:val="6AED1528"/>
    <w:rsid w:val="6AEF44EE"/>
    <w:rsid w:val="6AF02DC7"/>
    <w:rsid w:val="6AF87E20"/>
    <w:rsid w:val="6AFA5B2F"/>
    <w:rsid w:val="6B0C5E52"/>
    <w:rsid w:val="6B166CD1"/>
    <w:rsid w:val="6B174F6F"/>
    <w:rsid w:val="6B18104E"/>
    <w:rsid w:val="6B20545A"/>
    <w:rsid w:val="6B217424"/>
    <w:rsid w:val="6B225676"/>
    <w:rsid w:val="6B250CC2"/>
    <w:rsid w:val="6B255FDA"/>
    <w:rsid w:val="6B272C8C"/>
    <w:rsid w:val="6B2A452A"/>
    <w:rsid w:val="6B322639"/>
    <w:rsid w:val="6B364C7D"/>
    <w:rsid w:val="6B3B5513"/>
    <w:rsid w:val="6B472278"/>
    <w:rsid w:val="6B480E55"/>
    <w:rsid w:val="6B4D0219"/>
    <w:rsid w:val="6B4F5D3F"/>
    <w:rsid w:val="6B51488E"/>
    <w:rsid w:val="6B550548"/>
    <w:rsid w:val="6B5B2936"/>
    <w:rsid w:val="6B610780"/>
    <w:rsid w:val="6B651953"/>
    <w:rsid w:val="6B657311"/>
    <w:rsid w:val="6B6F7463"/>
    <w:rsid w:val="6B710C4F"/>
    <w:rsid w:val="6B7D28AC"/>
    <w:rsid w:val="6B827EC3"/>
    <w:rsid w:val="6B833C3B"/>
    <w:rsid w:val="6B87197D"/>
    <w:rsid w:val="6B8E4AB9"/>
    <w:rsid w:val="6B910069"/>
    <w:rsid w:val="6B945E48"/>
    <w:rsid w:val="6B9B2D32"/>
    <w:rsid w:val="6BA20565"/>
    <w:rsid w:val="6BB54295"/>
    <w:rsid w:val="6BC04E8F"/>
    <w:rsid w:val="6BC32289"/>
    <w:rsid w:val="6BCC7390"/>
    <w:rsid w:val="6BDA0815"/>
    <w:rsid w:val="6BE013B1"/>
    <w:rsid w:val="6BE20961"/>
    <w:rsid w:val="6BF407AD"/>
    <w:rsid w:val="6BF87B65"/>
    <w:rsid w:val="6BFF1513"/>
    <w:rsid w:val="6C021003"/>
    <w:rsid w:val="6C042FCD"/>
    <w:rsid w:val="6C091BE8"/>
    <w:rsid w:val="6C0B610A"/>
    <w:rsid w:val="6C1825D5"/>
    <w:rsid w:val="6C1B03AB"/>
    <w:rsid w:val="6C1C0317"/>
    <w:rsid w:val="6C213786"/>
    <w:rsid w:val="6C272818"/>
    <w:rsid w:val="6C2B055A"/>
    <w:rsid w:val="6C2E3F07"/>
    <w:rsid w:val="6C375151"/>
    <w:rsid w:val="6C423AF6"/>
    <w:rsid w:val="6C4433CA"/>
    <w:rsid w:val="6C4512BE"/>
    <w:rsid w:val="6C457A74"/>
    <w:rsid w:val="6C4B29AA"/>
    <w:rsid w:val="6C4B683D"/>
    <w:rsid w:val="6C4C04D0"/>
    <w:rsid w:val="6C4D3B89"/>
    <w:rsid w:val="6C5F63CA"/>
    <w:rsid w:val="6C636C38"/>
    <w:rsid w:val="6C64581A"/>
    <w:rsid w:val="6C6815AE"/>
    <w:rsid w:val="6C682D82"/>
    <w:rsid w:val="6C726189"/>
    <w:rsid w:val="6C733CAF"/>
    <w:rsid w:val="6C75636F"/>
    <w:rsid w:val="6C783074"/>
    <w:rsid w:val="6C7C2B64"/>
    <w:rsid w:val="6C7F08A6"/>
    <w:rsid w:val="6C830396"/>
    <w:rsid w:val="6C87570F"/>
    <w:rsid w:val="6C8D5262"/>
    <w:rsid w:val="6C9F4AA4"/>
    <w:rsid w:val="6CA976D1"/>
    <w:rsid w:val="6CBA0FE1"/>
    <w:rsid w:val="6CBC5656"/>
    <w:rsid w:val="6CC00430"/>
    <w:rsid w:val="6CCA4273"/>
    <w:rsid w:val="6CCD7D78"/>
    <w:rsid w:val="6CD04C5E"/>
    <w:rsid w:val="6CD56718"/>
    <w:rsid w:val="6CE10B06"/>
    <w:rsid w:val="6CE147A5"/>
    <w:rsid w:val="6CE16E6B"/>
    <w:rsid w:val="6CE33F0D"/>
    <w:rsid w:val="6CE66303"/>
    <w:rsid w:val="6CE95D1F"/>
    <w:rsid w:val="6CF21078"/>
    <w:rsid w:val="6CFD7CAA"/>
    <w:rsid w:val="6CFE7A1D"/>
    <w:rsid w:val="6CFF109D"/>
    <w:rsid w:val="6CFF5543"/>
    <w:rsid w:val="6D05257B"/>
    <w:rsid w:val="6D0E5786"/>
    <w:rsid w:val="6D0F5E8A"/>
    <w:rsid w:val="6D1159A2"/>
    <w:rsid w:val="6D125092"/>
    <w:rsid w:val="6D1A3A46"/>
    <w:rsid w:val="6D2031F1"/>
    <w:rsid w:val="6D237483"/>
    <w:rsid w:val="6D2773EB"/>
    <w:rsid w:val="6D28104B"/>
    <w:rsid w:val="6D3F5E09"/>
    <w:rsid w:val="6D433529"/>
    <w:rsid w:val="6D464F20"/>
    <w:rsid w:val="6D4738C9"/>
    <w:rsid w:val="6D505D9E"/>
    <w:rsid w:val="6D5238C5"/>
    <w:rsid w:val="6D5910F7"/>
    <w:rsid w:val="6D5C2135"/>
    <w:rsid w:val="6D632886"/>
    <w:rsid w:val="6D63353E"/>
    <w:rsid w:val="6D652E70"/>
    <w:rsid w:val="6D6B38D7"/>
    <w:rsid w:val="6D73031E"/>
    <w:rsid w:val="6D787A3F"/>
    <w:rsid w:val="6D7A4112"/>
    <w:rsid w:val="6D7E3294"/>
    <w:rsid w:val="6D874A1C"/>
    <w:rsid w:val="6D8877FC"/>
    <w:rsid w:val="6D9917E5"/>
    <w:rsid w:val="6D9B526C"/>
    <w:rsid w:val="6DA21BF5"/>
    <w:rsid w:val="6DA22A9E"/>
    <w:rsid w:val="6DA560EA"/>
    <w:rsid w:val="6DA93E2C"/>
    <w:rsid w:val="6DAD3421"/>
    <w:rsid w:val="6DB34098"/>
    <w:rsid w:val="6DB4457F"/>
    <w:rsid w:val="6DB545B6"/>
    <w:rsid w:val="6DB9234E"/>
    <w:rsid w:val="6DBF3963"/>
    <w:rsid w:val="6DBF6BF2"/>
    <w:rsid w:val="6DC04CD2"/>
    <w:rsid w:val="6DC0637A"/>
    <w:rsid w:val="6DC347C2"/>
    <w:rsid w:val="6DC61B09"/>
    <w:rsid w:val="6DC82666"/>
    <w:rsid w:val="6DCE3893"/>
    <w:rsid w:val="6DCF55CC"/>
    <w:rsid w:val="6DD0537D"/>
    <w:rsid w:val="6DD15131"/>
    <w:rsid w:val="6DD30318"/>
    <w:rsid w:val="6DD54C21"/>
    <w:rsid w:val="6DD6347A"/>
    <w:rsid w:val="6DD93FE6"/>
    <w:rsid w:val="6DDB1B0C"/>
    <w:rsid w:val="6DE02FB4"/>
    <w:rsid w:val="6DE07122"/>
    <w:rsid w:val="6DE203FF"/>
    <w:rsid w:val="6DE30987"/>
    <w:rsid w:val="6DE94229"/>
    <w:rsid w:val="6DEC3D19"/>
    <w:rsid w:val="6DF350A8"/>
    <w:rsid w:val="6DF42BCE"/>
    <w:rsid w:val="6DF5610C"/>
    <w:rsid w:val="6DF57072"/>
    <w:rsid w:val="6DFA5118"/>
    <w:rsid w:val="6E0472B5"/>
    <w:rsid w:val="6E0830F2"/>
    <w:rsid w:val="6E0B40DE"/>
    <w:rsid w:val="6E0B625F"/>
    <w:rsid w:val="6E0C315A"/>
    <w:rsid w:val="6E1A0886"/>
    <w:rsid w:val="6E1F4CD1"/>
    <w:rsid w:val="6E2345BF"/>
    <w:rsid w:val="6E2963EF"/>
    <w:rsid w:val="6E2C2368"/>
    <w:rsid w:val="6E2C680B"/>
    <w:rsid w:val="6E31797E"/>
    <w:rsid w:val="6E3463AF"/>
    <w:rsid w:val="6E3C30EB"/>
    <w:rsid w:val="6E421B8B"/>
    <w:rsid w:val="6E453429"/>
    <w:rsid w:val="6E5022A3"/>
    <w:rsid w:val="6E514CED"/>
    <w:rsid w:val="6E530188"/>
    <w:rsid w:val="6E5378F4"/>
    <w:rsid w:val="6E565636"/>
    <w:rsid w:val="6E5972F9"/>
    <w:rsid w:val="6E5E7598"/>
    <w:rsid w:val="6E650F3D"/>
    <w:rsid w:val="6E657628"/>
    <w:rsid w:val="6E6C6C08"/>
    <w:rsid w:val="6E6D577C"/>
    <w:rsid w:val="6E782F78"/>
    <w:rsid w:val="6E7837FF"/>
    <w:rsid w:val="6E7F6627"/>
    <w:rsid w:val="6E810905"/>
    <w:rsid w:val="6E8B6FAE"/>
    <w:rsid w:val="6E91666F"/>
    <w:rsid w:val="6E9879FD"/>
    <w:rsid w:val="6E9C74ED"/>
    <w:rsid w:val="6EA463A2"/>
    <w:rsid w:val="6EA63EC8"/>
    <w:rsid w:val="6EA840E4"/>
    <w:rsid w:val="6EB02F99"/>
    <w:rsid w:val="6EB32A89"/>
    <w:rsid w:val="6EB563D5"/>
    <w:rsid w:val="6ECB392F"/>
    <w:rsid w:val="6ECB7DD2"/>
    <w:rsid w:val="6ECC4053"/>
    <w:rsid w:val="6ECC76A7"/>
    <w:rsid w:val="6ED0363B"/>
    <w:rsid w:val="6ED40EA6"/>
    <w:rsid w:val="6ED80B9E"/>
    <w:rsid w:val="6ED8604B"/>
    <w:rsid w:val="6ED92677"/>
    <w:rsid w:val="6EDE7B06"/>
    <w:rsid w:val="6EDF562C"/>
    <w:rsid w:val="6EE82732"/>
    <w:rsid w:val="6EEC3222"/>
    <w:rsid w:val="6EF32E85"/>
    <w:rsid w:val="6F0C35C3"/>
    <w:rsid w:val="6F0D2199"/>
    <w:rsid w:val="6F1928EC"/>
    <w:rsid w:val="6F225983"/>
    <w:rsid w:val="6F240AD7"/>
    <w:rsid w:val="6F2A4AF9"/>
    <w:rsid w:val="6F41316E"/>
    <w:rsid w:val="6F43600D"/>
    <w:rsid w:val="6F437969"/>
    <w:rsid w:val="6F470F0C"/>
    <w:rsid w:val="6F4F05D9"/>
    <w:rsid w:val="6F4F4560"/>
    <w:rsid w:val="6F567512"/>
    <w:rsid w:val="6F5A2F04"/>
    <w:rsid w:val="6F651FD5"/>
    <w:rsid w:val="6F6618A9"/>
    <w:rsid w:val="6F6B6EC0"/>
    <w:rsid w:val="6F6F518C"/>
    <w:rsid w:val="6F773AB6"/>
    <w:rsid w:val="6F795A80"/>
    <w:rsid w:val="6F7C2E7B"/>
    <w:rsid w:val="6F7E4E45"/>
    <w:rsid w:val="6F806F25"/>
    <w:rsid w:val="6F887A72"/>
    <w:rsid w:val="6F8C4EB3"/>
    <w:rsid w:val="6F971D37"/>
    <w:rsid w:val="6F9C52CB"/>
    <w:rsid w:val="6F9D65B5"/>
    <w:rsid w:val="6FA64AAB"/>
    <w:rsid w:val="6FB410EE"/>
    <w:rsid w:val="6FC0720B"/>
    <w:rsid w:val="6FC106B6"/>
    <w:rsid w:val="6FC3739D"/>
    <w:rsid w:val="6FC8316E"/>
    <w:rsid w:val="6FCB6EF1"/>
    <w:rsid w:val="6FD41F9F"/>
    <w:rsid w:val="6FDC4D5E"/>
    <w:rsid w:val="6FDD600F"/>
    <w:rsid w:val="6FE264A0"/>
    <w:rsid w:val="6FE4739E"/>
    <w:rsid w:val="6FF0075C"/>
    <w:rsid w:val="6FF24BF2"/>
    <w:rsid w:val="6FFC5590"/>
    <w:rsid w:val="6FFE345A"/>
    <w:rsid w:val="6FFE5F86"/>
    <w:rsid w:val="6FFF26AD"/>
    <w:rsid w:val="70043CD5"/>
    <w:rsid w:val="70082909"/>
    <w:rsid w:val="70095D9A"/>
    <w:rsid w:val="700F5A14"/>
    <w:rsid w:val="701A6335"/>
    <w:rsid w:val="701F58F4"/>
    <w:rsid w:val="70221C74"/>
    <w:rsid w:val="702B68F1"/>
    <w:rsid w:val="70310D35"/>
    <w:rsid w:val="70311EB7"/>
    <w:rsid w:val="70345356"/>
    <w:rsid w:val="7039043A"/>
    <w:rsid w:val="703B2D36"/>
    <w:rsid w:val="703B3B29"/>
    <w:rsid w:val="703B4AE4"/>
    <w:rsid w:val="703D1676"/>
    <w:rsid w:val="7046768A"/>
    <w:rsid w:val="704B11CB"/>
    <w:rsid w:val="705A000D"/>
    <w:rsid w:val="70622071"/>
    <w:rsid w:val="70656E7F"/>
    <w:rsid w:val="706A2C5E"/>
    <w:rsid w:val="706D1DD0"/>
    <w:rsid w:val="707757E9"/>
    <w:rsid w:val="70784C0A"/>
    <w:rsid w:val="70856B87"/>
    <w:rsid w:val="708741CD"/>
    <w:rsid w:val="708F1AB2"/>
    <w:rsid w:val="70952156"/>
    <w:rsid w:val="709B5583"/>
    <w:rsid w:val="70A54963"/>
    <w:rsid w:val="70A6680F"/>
    <w:rsid w:val="70B54896"/>
    <w:rsid w:val="70B56AE4"/>
    <w:rsid w:val="70C42D2B"/>
    <w:rsid w:val="70C83C00"/>
    <w:rsid w:val="70D50A94"/>
    <w:rsid w:val="70D527EE"/>
    <w:rsid w:val="70E46F2A"/>
    <w:rsid w:val="70ED6AF7"/>
    <w:rsid w:val="70EF3E1D"/>
    <w:rsid w:val="70F37525"/>
    <w:rsid w:val="70FA04FB"/>
    <w:rsid w:val="70FB1535"/>
    <w:rsid w:val="7104709E"/>
    <w:rsid w:val="71094844"/>
    <w:rsid w:val="710E4AA4"/>
    <w:rsid w:val="71106F93"/>
    <w:rsid w:val="711525B3"/>
    <w:rsid w:val="71160895"/>
    <w:rsid w:val="7130059F"/>
    <w:rsid w:val="71312F91"/>
    <w:rsid w:val="71463740"/>
    <w:rsid w:val="714F6012"/>
    <w:rsid w:val="715B5300"/>
    <w:rsid w:val="715C11B6"/>
    <w:rsid w:val="715E4F2E"/>
    <w:rsid w:val="715F2D1C"/>
    <w:rsid w:val="7161057A"/>
    <w:rsid w:val="716167CC"/>
    <w:rsid w:val="716360A0"/>
    <w:rsid w:val="71637F1A"/>
    <w:rsid w:val="716779C3"/>
    <w:rsid w:val="716E19B6"/>
    <w:rsid w:val="716F4E6E"/>
    <w:rsid w:val="71721D2E"/>
    <w:rsid w:val="71744751"/>
    <w:rsid w:val="717E2EDA"/>
    <w:rsid w:val="718D5813"/>
    <w:rsid w:val="719941B8"/>
    <w:rsid w:val="719A3A8C"/>
    <w:rsid w:val="719E17CE"/>
    <w:rsid w:val="71A16BC9"/>
    <w:rsid w:val="71A65ADA"/>
    <w:rsid w:val="71AF5789"/>
    <w:rsid w:val="71B05608"/>
    <w:rsid w:val="71B30116"/>
    <w:rsid w:val="71B64249"/>
    <w:rsid w:val="71BA094E"/>
    <w:rsid w:val="71C1397E"/>
    <w:rsid w:val="71C81D44"/>
    <w:rsid w:val="71CA4371"/>
    <w:rsid w:val="71D27F8A"/>
    <w:rsid w:val="71D92806"/>
    <w:rsid w:val="71DF0FEF"/>
    <w:rsid w:val="71DF78C7"/>
    <w:rsid w:val="71EC11EF"/>
    <w:rsid w:val="71F86FCA"/>
    <w:rsid w:val="71F94632"/>
    <w:rsid w:val="71FC4BC8"/>
    <w:rsid w:val="71FD4747"/>
    <w:rsid w:val="72096764"/>
    <w:rsid w:val="720C2BDC"/>
    <w:rsid w:val="720D15DB"/>
    <w:rsid w:val="720D425E"/>
    <w:rsid w:val="7211588F"/>
    <w:rsid w:val="721538A5"/>
    <w:rsid w:val="72161688"/>
    <w:rsid w:val="72190E55"/>
    <w:rsid w:val="721A015C"/>
    <w:rsid w:val="722D066E"/>
    <w:rsid w:val="722D66AE"/>
    <w:rsid w:val="722E3A38"/>
    <w:rsid w:val="72325F68"/>
    <w:rsid w:val="723F0E59"/>
    <w:rsid w:val="7243089E"/>
    <w:rsid w:val="724D24A9"/>
    <w:rsid w:val="724D4387"/>
    <w:rsid w:val="7252703E"/>
    <w:rsid w:val="72553024"/>
    <w:rsid w:val="725974A3"/>
    <w:rsid w:val="72662C59"/>
    <w:rsid w:val="726C5D1C"/>
    <w:rsid w:val="726E73F3"/>
    <w:rsid w:val="7278201F"/>
    <w:rsid w:val="727D0145"/>
    <w:rsid w:val="727D22A9"/>
    <w:rsid w:val="727E6F0A"/>
    <w:rsid w:val="72883BAA"/>
    <w:rsid w:val="72891D6C"/>
    <w:rsid w:val="728E35F1"/>
    <w:rsid w:val="729130E1"/>
    <w:rsid w:val="729632D1"/>
    <w:rsid w:val="72980E63"/>
    <w:rsid w:val="72983706"/>
    <w:rsid w:val="72996FB8"/>
    <w:rsid w:val="72A20E4A"/>
    <w:rsid w:val="72A51AD8"/>
    <w:rsid w:val="72A93F87"/>
    <w:rsid w:val="72B666A4"/>
    <w:rsid w:val="72B8066E"/>
    <w:rsid w:val="72BF4A5A"/>
    <w:rsid w:val="72C04D9D"/>
    <w:rsid w:val="72C32899"/>
    <w:rsid w:val="72C963D7"/>
    <w:rsid w:val="72CA79C6"/>
    <w:rsid w:val="72D47949"/>
    <w:rsid w:val="72D76045"/>
    <w:rsid w:val="72E256F2"/>
    <w:rsid w:val="72E639A7"/>
    <w:rsid w:val="72EC4871"/>
    <w:rsid w:val="72F65E1E"/>
    <w:rsid w:val="72F84FAC"/>
    <w:rsid w:val="72FC4436"/>
    <w:rsid w:val="73041B05"/>
    <w:rsid w:val="73092C77"/>
    <w:rsid w:val="730D6C0C"/>
    <w:rsid w:val="730E028E"/>
    <w:rsid w:val="73122968"/>
    <w:rsid w:val="731735E6"/>
    <w:rsid w:val="731C65E6"/>
    <w:rsid w:val="731E7FAE"/>
    <w:rsid w:val="731F5D5E"/>
    <w:rsid w:val="732144AE"/>
    <w:rsid w:val="7323220C"/>
    <w:rsid w:val="732775A1"/>
    <w:rsid w:val="73290958"/>
    <w:rsid w:val="7329156C"/>
    <w:rsid w:val="7329331A"/>
    <w:rsid w:val="732B2CCF"/>
    <w:rsid w:val="73372296"/>
    <w:rsid w:val="733A5FB3"/>
    <w:rsid w:val="733B6508"/>
    <w:rsid w:val="733C129F"/>
    <w:rsid w:val="733F0D8F"/>
    <w:rsid w:val="733F48EB"/>
    <w:rsid w:val="734917D8"/>
    <w:rsid w:val="734A16A2"/>
    <w:rsid w:val="734C6778"/>
    <w:rsid w:val="73530396"/>
    <w:rsid w:val="73577E87"/>
    <w:rsid w:val="735F24F6"/>
    <w:rsid w:val="736422A3"/>
    <w:rsid w:val="73697BBA"/>
    <w:rsid w:val="736B1B84"/>
    <w:rsid w:val="736B56E0"/>
    <w:rsid w:val="7375030D"/>
    <w:rsid w:val="73824F1C"/>
    <w:rsid w:val="738E44A0"/>
    <w:rsid w:val="73922C6D"/>
    <w:rsid w:val="73A14A64"/>
    <w:rsid w:val="73A62BBC"/>
    <w:rsid w:val="73A82913"/>
    <w:rsid w:val="73AA26AC"/>
    <w:rsid w:val="73AC27BA"/>
    <w:rsid w:val="73B04B84"/>
    <w:rsid w:val="73BE1CB4"/>
    <w:rsid w:val="73C51AD5"/>
    <w:rsid w:val="73C66DBA"/>
    <w:rsid w:val="73C80D84"/>
    <w:rsid w:val="73CD3073"/>
    <w:rsid w:val="73EA0CFB"/>
    <w:rsid w:val="73ED4347"/>
    <w:rsid w:val="73F2195D"/>
    <w:rsid w:val="73F50988"/>
    <w:rsid w:val="73F90F3E"/>
    <w:rsid w:val="73FB2F08"/>
    <w:rsid w:val="73FF4E16"/>
    <w:rsid w:val="740718AD"/>
    <w:rsid w:val="74074D24"/>
    <w:rsid w:val="740C1080"/>
    <w:rsid w:val="74146D69"/>
    <w:rsid w:val="7416564C"/>
    <w:rsid w:val="741E793C"/>
    <w:rsid w:val="74241AEA"/>
    <w:rsid w:val="742835D1"/>
    <w:rsid w:val="7432523A"/>
    <w:rsid w:val="74336ED8"/>
    <w:rsid w:val="743401C8"/>
    <w:rsid w:val="74363F40"/>
    <w:rsid w:val="743A0C6C"/>
    <w:rsid w:val="743E1047"/>
    <w:rsid w:val="744146FD"/>
    <w:rsid w:val="74510D7A"/>
    <w:rsid w:val="745471E5"/>
    <w:rsid w:val="745A5E80"/>
    <w:rsid w:val="745E3944"/>
    <w:rsid w:val="745F3497"/>
    <w:rsid w:val="74650381"/>
    <w:rsid w:val="746A349B"/>
    <w:rsid w:val="747844D7"/>
    <w:rsid w:val="747E1443"/>
    <w:rsid w:val="74806F69"/>
    <w:rsid w:val="74861D3C"/>
    <w:rsid w:val="74955D2B"/>
    <w:rsid w:val="74956EB9"/>
    <w:rsid w:val="74A40C7B"/>
    <w:rsid w:val="74B231F1"/>
    <w:rsid w:val="74B44E65"/>
    <w:rsid w:val="74C2054D"/>
    <w:rsid w:val="74D177C5"/>
    <w:rsid w:val="74D774D1"/>
    <w:rsid w:val="74E27C24"/>
    <w:rsid w:val="74EC45FF"/>
    <w:rsid w:val="74EF4CAE"/>
    <w:rsid w:val="74F160B9"/>
    <w:rsid w:val="74FC6F38"/>
    <w:rsid w:val="75041948"/>
    <w:rsid w:val="750B0F29"/>
    <w:rsid w:val="750C0B7C"/>
    <w:rsid w:val="75153B55"/>
    <w:rsid w:val="75211BB8"/>
    <w:rsid w:val="752224B4"/>
    <w:rsid w:val="75232E8D"/>
    <w:rsid w:val="75377F70"/>
    <w:rsid w:val="753B10E2"/>
    <w:rsid w:val="753C02EF"/>
    <w:rsid w:val="753C37D8"/>
    <w:rsid w:val="755201CC"/>
    <w:rsid w:val="75524DAA"/>
    <w:rsid w:val="755A5A0C"/>
    <w:rsid w:val="755C1784"/>
    <w:rsid w:val="75610BAE"/>
    <w:rsid w:val="756620FA"/>
    <w:rsid w:val="75670607"/>
    <w:rsid w:val="75704214"/>
    <w:rsid w:val="75706FDE"/>
    <w:rsid w:val="757F092E"/>
    <w:rsid w:val="75884065"/>
    <w:rsid w:val="758D57D4"/>
    <w:rsid w:val="75932CCC"/>
    <w:rsid w:val="759B68C8"/>
    <w:rsid w:val="75A373B3"/>
    <w:rsid w:val="75A849CA"/>
    <w:rsid w:val="75AF5D58"/>
    <w:rsid w:val="75AF643F"/>
    <w:rsid w:val="75B0672C"/>
    <w:rsid w:val="75B503B2"/>
    <w:rsid w:val="75B50E95"/>
    <w:rsid w:val="75C303E9"/>
    <w:rsid w:val="75C31803"/>
    <w:rsid w:val="75C458AB"/>
    <w:rsid w:val="75C537CD"/>
    <w:rsid w:val="75CD4430"/>
    <w:rsid w:val="75D05CCE"/>
    <w:rsid w:val="75D40D50"/>
    <w:rsid w:val="75D67789"/>
    <w:rsid w:val="75DA1209"/>
    <w:rsid w:val="75DA6B4D"/>
    <w:rsid w:val="75DB4D9F"/>
    <w:rsid w:val="75E45A1B"/>
    <w:rsid w:val="75E55EF2"/>
    <w:rsid w:val="75F53987"/>
    <w:rsid w:val="75F714AD"/>
    <w:rsid w:val="7608190C"/>
    <w:rsid w:val="760C5D87"/>
    <w:rsid w:val="76140A1D"/>
    <w:rsid w:val="76146C69"/>
    <w:rsid w:val="7617195C"/>
    <w:rsid w:val="76216307"/>
    <w:rsid w:val="76233C70"/>
    <w:rsid w:val="76261D92"/>
    <w:rsid w:val="763444AF"/>
    <w:rsid w:val="7635099D"/>
    <w:rsid w:val="763D3D03"/>
    <w:rsid w:val="76497564"/>
    <w:rsid w:val="764A5A81"/>
    <w:rsid w:val="76505878"/>
    <w:rsid w:val="765606D8"/>
    <w:rsid w:val="7657019E"/>
    <w:rsid w:val="765E6A7E"/>
    <w:rsid w:val="766318AD"/>
    <w:rsid w:val="766B0D4A"/>
    <w:rsid w:val="766D176F"/>
    <w:rsid w:val="766D4B8A"/>
    <w:rsid w:val="76704843"/>
    <w:rsid w:val="7671300D"/>
    <w:rsid w:val="76764AC8"/>
    <w:rsid w:val="767945B8"/>
    <w:rsid w:val="767A2C9B"/>
    <w:rsid w:val="767B6620"/>
    <w:rsid w:val="767C1603"/>
    <w:rsid w:val="76830F93"/>
    <w:rsid w:val="768D4622"/>
    <w:rsid w:val="769F31DF"/>
    <w:rsid w:val="76A038F3"/>
    <w:rsid w:val="76A456F0"/>
    <w:rsid w:val="76A72ED3"/>
    <w:rsid w:val="76A809F9"/>
    <w:rsid w:val="76AC2297"/>
    <w:rsid w:val="76AD7DBE"/>
    <w:rsid w:val="76BA74CF"/>
    <w:rsid w:val="76BB697E"/>
    <w:rsid w:val="76C27D0D"/>
    <w:rsid w:val="76C43A85"/>
    <w:rsid w:val="76CD220E"/>
    <w:rsid w:val="76D11045"/>
    <w:rsid w:val="76D65566"/>
    <w:rsid w:val="76D67314"/>
    <w:rsid w:val="76D90205"/>
    <w:rsid w:val="76DA5057"/>
    <w:rsid w:val="76DE49AA"/>
    <w:rsid w:val="76E65967"/>
    <w:rsid w:val="76E84053"/>
    <w:rsid w:val="76EB7020"/>
    <w:rsid w:val="76EC08E6"/>
    <w:rsid w:val="76EE465E"/>
    <w:rsid w:val="76F10D0D"/>
    <w:rsid w:val="76F22B8B"/>
    <w:rsid w:val="76F679B7"/>
    <w:rsid w:val="76F93003"/>
    <w:rsid w:val="76FC4E0F"/>
    <w:rsid w:val="76FD6F97"/>
    <w:rsid w:val="76FF686B"/>
    <w:rsid w:val="77000835"/>
    <w:rsid w:val="77084735"/>
    <w:rsid w:val="77091498"/>
    <w:rsid w:val="770A73B1"/>
    <w:rsid w:val="770C2D36"/>
    <w:rsid w:val="770D2E3D"/>
    <w:rsid w:val="770E6AAE"/>
    <w:rsid w:val="771A5453"/>
    <w:rsid w:val="771B741D"/>
    <w:rsid w:val="771F4346"/>
    <w:rsid w:val="77220C5B"/>
    <w:rsid w:val="77237793"/>
    <w:rsid w:val="772B5915"/>
    <w:rsid w:val="772C162A"/>
    <w:rsid w:val="772E6AA5"/>
    <w:rsid w:val="773532AB"/>
    <w:rsid w:val="7736177B"/>
    <w:rsid w:val="77381D7D"/>
    <w:rsid w:val="773A3D47"/>
    <w:rsid w:val="77413779"/>
    <w:rsid w:val="775A7F45"/>
    <w:rsid w:val="77607C4C"/>
    <w:rsid w:val="776209F2"/>
    <w:rsid w:val="77674410"/>
    <w:rsid w:val="7768701E"/>
    <w:rsid w:val="776D22BA"/>
    <w:rsid w:val="776D5884"/>
    <w:rsid w:val="776D5ECB"/>
    <w:rsid w:val="776E65E7"/>
    <w:rsid w:val="77752FD1"/>
    <w:rsid w:val="77762421"/>
    <w:rsid w:val="777D4590"/>
    <w:rsid w:val="778F2D61"/>
    <w:rsid w:val="77925931"/>
    <w:rsid w:val="779571D0"/>
    <w:rsid w:val="779823DC"/>
    <w:rsid w:val="779A6594"/>
    <w:rsid w:val="779C5EA0"/>
    <w:rsid w:val="77A4314B"/>
    <w:rsid w:val="77AB5D06"/>
    <w:rsid w:val="77B00648"/>
    <w:rsid w:val="77B178E4"/>
    <w:rsid w:val="77B56B1F"/>
    <w:rsid w:val="77B751D7"/>
    <w:rsid w:val="77B87C8B"/>
    <w:rsid w:val="77C35AEB"/>
    <w:rsid w:val="77CC7345"/>
    <w:rsid w:val="77CF26E1"/>
    <w:rsid w:val="77D63457"/>
    <w:rsid w:val="77DC095A"/>
    <w:rsid w:val="77DE1784"/>
    <w:rsid w:val="77E20F09"/>
    <w:rsid w:val="77E24F54"/>
    <w:rsid w:val="77E3555B"/>
    <w:rsid w:val="77FA5285"/>
    <w:rsid w:val="78014865"/>
    <w:rsid w:val="780A196C"/>
    <w:rsid w:val="780B224D"/>
    <w:rsid w:val="780F09F4"/>
    <w:rsid w:val="78112CFA"/>
    <w:rsid w:val="7812185A"/>
    <w:rsid w:val="782D11B6"/>
    <w:rsid w:val="783267CC"/>
    <w:rsid w:val="78395DAD"/>
    <w:rsid w:val="78397B5B"/>
    <w:rsid w:val="783A38D3"/>
    <w:rsid w:val="783B5319"/>
    <w:rsid w:val="78494149"/>
    <w:rsid w:val="784B0F6E"/>
    <w:rsid w:val="785B21C7"/>
    <w:rsid w:val="786848E4"/>
    <w:rsid w:val="787B2D76"/>
    <w:rsid w:val="787C365F"/>
    <w:rsid w:val="787E1A12"/>
    <w:rsid w:val="78803470"/>
    <w:rsid w:val="78826FCA"/>
    <w:rsid w:val="78852DA0"/>
    <w:rsid w:val="788820B9"/>
    <w:rsid w:val="788A485A"/>
    <w:rsid w:val="78905891"/>
    <w:rsid w:val="789D27E0"/>
    <w:rsid w:val="789D5597"/>
    <w:rsid w:val="78A14C9D"/>
    <w:rsid w:val="78A3591C"/>
    <w:rsid w:val="78A90480"/>
    <w:rsid w:val="78AC657F"/>
    <w:rsid w:val="78B95140"/>
    <w:rsid w:val="78BC47EF"/>
    <w:rsid w:val="78C53AE4"/>
    <w:rsid w:val="78C95383"/>
    <w:rsid w:val="78D43D28"/>
    <w:rsid w:val="78D579A9"/>
    <w:rsid w:val="78DB58DC"/>
    <w:rsid w:val="78DC0503"/>
    <w:rsid w:val="78DF4BA6"/>
    <w:rsid w:val="78E233CA"/>
    <w:rsid w:val="78E45E0F"/>
    <w:rsid w:val="78E75809"/>
    <w:rsid w:val="78E977D3"/>
    <w:rsid w:val="78EB6A8D"/>
    <w:rsid w:val="78EF290F"/>
    <w:rsid w:val="78F543CA"/>
    <w:rsid w:val="78F63C9E"/>
    <w:rsid w:val="78F65A4C"/>
    <w:rsid w:val="78F9378E"/>
    <w:rsid w:val="79004B1D"/>
    <w:rsid w:val="79137617"/>
    <w:rsid w:val="792409F5"/>
    <w:rsid w:val="792720A9"/>
    <w:rsid w:val="79295E21"/>
    <w:rsid w:val="792F0F5E"/>
    <w:rsid w:val="792F6C5F"/>
    <w:rsid w:val="79383607"/>
    <w:rsid w:val="79465905"/>
    <w:rsid w:val="79493C20"/>
    <w:rsid w:val="79496E26"/>
    <w:rsid w:val="79507C6C"/>
    <w:rsid w:val="79517126"/>
    <w:rsid w:val="7957544F"/>
    <w:rsid w:val="795D5ACB"/>
    <w:rsid w:val="79610156"/>
    <w:rsid w:val="79621333"/>
    <w:rsid w:val="79634507"/>
    <w:rsid w:val="79692D21"/>
    <w:rsid w:val="796C39B1"/>
    <w:rsid w:val="797057FE"/>
    <w:rsid w:val="79725A1A"/>
    <w:rsid w:val="79766B8D"/>
    <w:rsid w:val="79782905"/>
    <w:rsid w:val="797A48CF"/>
    <w:rsid w:val="797A6905"/>
    <w:rsid w:val="79894B12"/>
    <w:rsid w:val="798A732A"/>
    <w:rsid w:val="799001B0"/>
    <w:rsid w:val="79925BB5"/>
    <w:rsid w:val="799D4020"/>
    <w:rsid w:val="79A731EA"/>
    <w:rsid w:val="79AD6A52"/>
    <w:rsid w:val="79B0387B"/>
    <w:rsid w:val="79B40D24"/>
    <w:rsid w:val="79B853F7"/>
    <w:rsid w:val="79BC4EE7"/>
    <w:rsid w:val="79C142AC"/>
    <w:rsid w:val="79C21DD2"/>
    <w:rsid w:val="79C913B2"/>
    <w:rsid w:val="79CB512B"/>
    <w:rsid w:val="79CF15E2"/>
    <w:rsid w:val="79D044EF"/>
    <w:rsid w:val="79D7587D"/>
    <w:rsid w:val="79D9033A"/>
    <w:rsid w:val="79DA536E"/>
    <w:rsid w:val="79E24918"/>
    <w:rsid w:val="79E41D48"/>
    <w:rsid w:val="79E461EC"/>
    <w:rsid w:val="79E955B1"/>
    <w:rsid w:val="79EB30D7"/>
    <w:rsid w:val="79F32F0A"/>
    <w:rsid w:val="79F44681"/>
    <w:rsid w:val="79FC7092"/>
    <w:rsid w:val="79FE72AE"/>
    <w:rsid w:val="7A081BF2"/>
    <w:rsid w:val="7A081EDB"/>
    <w:rsid w:val="7A083C89"/>
    <w:rsid w:val="7A0B5527"/>
    <w:rsid w:val="7A0B7C30"/>
    <w:rsid w:val="7A0D67F5"/>
    <w:rsid w:val="7A0E138A"/>
    <w:rsid w:val="7A147E53"/>
    <w:rsid w:val="7A1848DA"/>
    <w:rsid w:val="7A1B0D91"/>
    <w:rsid w:val="7A1D388A"/>
    <w:rsid w:val="7A1E10AC"/>
    <w:rsid w:val="7A1E240C"/>
    <w:rsid w:val="7A1E525A"/>
    <w:rsid w:val="7A233C18"/>
    <w:rsid w:val="7A240145"/>
    <w:rsid w:val="7A2465E9"/>
    <w:rsid w:val="7A2A3030"/>
    <w:rsid w:val="7A3031E0"/>
    <w:rsid w:val="7A364017"/>
    <w:rsid w:val="7A3C1B84"/>
    <w:rsid w:val="7A412712"/>
    <w:rsid w:val="7A414F47"/>
    <w:rsid w:val="7A425FE8"/>
    <w:rsid w:val="7A4F7B0A"/>
    <w:rsid w:val="7A5549F4"/>
    <w:rsid w:val="7A561344"/>
    <w:rsid w:val="7A5679EA"/>
    <w:rsid w:val="7A586CAC"/>
    <w:rsid w:val="7A5C2227"/>
    <w:rsid w:val="7A652E89"/>
    <w:rsid w:val="7A6A3808"/>
    <w:rsid w:val="7A7430CC"/>
    <w:rsid w:val="7A772BBC"/>
    <w:rsid w:val="7A8035F1"/>
    <w:rsid w:val="7A8265E1"/>
    <w:rsid w:val="7A831FE3"/>
    <w:rsid w:val="7A880D6E"/>
    <w:rsid w:val="7A8D0262"/>
    <w:rsid w:val="7A94551C"/>
    <w:rsid w:val="7A9B68AB"/>
    <w:rsid w:val="7AA21941"/>
    <w:rsid w:val="7AA96091"/>
    <w:rsid w:val="7AAD7CE7"/>
    <w:rsid w:val="7AAF67FA"/>
    <w:rsid w:val="7AAF7244"/>
    <w:rsid w:val="7AB20098"/>
    <w:rsid w:val="7AB43E11"/>
    <w:rsid w:val="7AB55657"/>
    <w:rsid w:val="7ABD0F17"/>
    <w:rsid w:val="7ABF6602"/>
    <w:rsid w:val="7ACC4A0F"/>
    <w:rsid w:val="7AD16771"/>
    <w:rsid w:val="7AD324E9"/>
    <w:rsid w:val="7AD4252C"/>
    <w:rsid w:val="7ADA0759"/>
    <w:rsid w:val="7ADC0FD3"/>
    <w:rsid w:val="7ADE49EA"/>
    <w:rsid w:val="7AE04C06"/>
    <w:rsid w:val="7AE84A09"/>
    <w:rsid w:val="7AE91FA6"/>
    <w:rsid w:val="7AEC5358"/>
    <w:rsid w:val="7AED2E7F"/>
    <w:rsid w:val="7AEE1591"/>
    <w:rsid w:val="7AFA5109"/>
    <w:rsid w:val="7B01612F"/>
    <w:rsid w:val="7B0703E4"/>
    <w:rsid w:val="7B0F1047"/>
    <w:rsid w:val="7B205002"/>
    <w:rsid w:val="7B225BA8"/>
    <w:rsid w:val="7B2865FC"/>
    <w:rsid w:val="7B2A3D45"/>
    <w:rsid w:val="7B2A5E81"/>
    <w:rsid w:val="7B42766E"/>
    <w:rsid w:val="7B4823D6"/>
    <w:rsid w:val="7B537186"/>
    <w:rsid w:val="7B542EFE"/>
    <w:rsid w:val="7B5A49B8"/>
    <w:rsid w:val="7B6408D0"/>
    <w:rsid w:val="7B6560F7"/>
    <w:rsid w:val="7B686D42"/>
    <w:rsid w:val="7B6A1745"/>
    <w:rsid w:val="7B6A2BD3"/>
    <w:rsid w:val="7B6B5044"/>
    <w:rsid w:val="7B6C0247"/>
    <w:rsid w:val="7B7548E5"/>
    <w:rsid w:val="7B7610C6"/>
    <w:rsid w:val="7B794B8B"/>
    <w:rsid w:val="7B7F1E5C"/>
    <w:rsid w:val="7B7F61CD"/>
    <w:rsid w:val="7B8315CA"/>
    <w:rsid w:val="7B841746"/>
    <w:rsid w:val="7B857621"/>
    <w:rsid w:val="7B8638B0"/>
    <w:rsid w:val="7B890DF9"/>
    <w:rsid w:val="7B8C61F4"/>
    <w:rsid w:val="7B914152"/>
    <w:rsid w:val="7B92402D"/>
    <w:rsid w:val="7B954CFC"/>
    <w:rsid w:val="7B98103C"/>
    <w:rsid w:val="7B9854E0"/>
    <w:rsid w:val="7BA14254"/>
    <w:rsid w:val="7BA23C69"/>
    <w:rsid w:val="7BA75723"/>
    <w:rsid w:val="7BA774D1"/>
    <w:rsid w:val="7BAE0860"/>
    <w:rsid w:val="7BAE7724"/>
    <w:rsid w:val="7BB424C3"/>
    <w:rsid w:val="7BB43FE4"/>
    <w:rsid w:val="7BB8348D"/>
    <w:rsid w:val="7BC709D2"/>
    <w:rsid w:val="7BC865DB"/>
    <w:rsid w:val="7BCD3C26"/>
    <w:rsid w:val="7BCD518A"/>
    <w:rsid w:val="7BCD604E"/>
    <w:rsid w:val="7BCE2CB0"/>
    <w:rsid w:val="7BCE4A5E"/>
    <w:rsid w:val="7BD53B4A"/>
    <w:rsid w:val="7BDC361F"/>
    <w:rsid w:val="7BEB3862"/>
    <w:rsid w:val="7BF72D2F"/>
    <w:rsid w:val="7BFA5EE7"/>
    <w:rsid w:val="7BFB59C6"/>
    <w:rsid w:val="7BFD106A"/>
    <w:rsid w:val="7C044924"/>
    <w:rsid w:val="7C077F70"/>
    <w:rsid w:val="7C15268D"/>
    <w:rsid w:val="7C18217D"/>
    <w:rsid w:val="7C1C619F"/>
    <w:rsid w:val="7C1F52BA"/>
    <w:rsid w:val="7C224DAA"/>
    <w:rsid w:val="7C2D79D7"/>
    <w:rsid w:val="7C40492A"/>
    <w:rsid w:val="7C480CB4"/>
    <w:rsid w:val="7C484810"/>
    <w:rsid w:val="7C596A1E"/>
    <w:rsid w:val="7C5A30E7"/>
    <w:rsid w:val="7C6C5AC7"/>
    <w:rsid w:val="7C6C62C5"/>
    <w:rsid w:val="7C6F6241"/>
    <w:rsid w:val="7C71177A"/>
    <w:rsid w:val="7C8415C1"/>
    <w:rsid w:val="7C86358B"/>
    <w:rsid w:val="7C8A0D32"/>
    <w:rsid w:val="7C8A307B"/>
    <w:rsid w:val="7C923CDE"/>
    <w:rsid w:val="7C924338"/>
    <w:rsid w:val="7C970EE2"/>
    <w:rsid w:val="7C9B68F5"/>
    <w:rsid w:val="7C9C234A"/>
    <w:rsid w:val="7C9E2682"/>
    <w:rsid w:val="7CA0464C"/>
    <w:rsid w:val="7CA67789"/>
    <w:rsid w:val="7CA750F5"/>
    <w:rsid w:val="7CA915F3"/>
    <w:rsid w:val="7CAA54CB"/>
    <w:rsid w:val="7CAA7279"/>
    <w:rsid w:val="7CAB2FF1"/>
    <w:rsid w:val="7CAF4890"/>
    <w:rsid w:val="7CB458B4"/>
    <w:rsid w:val="7CBA251E"/>
    <w:rsid w:val="7CC6544B"/>
    <w:rsid w:val="7CC663F8"/>
    <w:rsid w:val="7CC974B5"/>
    <w:rsid w:val="7CCD2C16"/>
    <w:rsid w:val="7CCD4D16"/>
    <w:rsid w:val="7CCD6B46"/>
    <w:rsid w:val="7CD04806"/>
    <w:rsid w:val="7CD24A22"/>
    <w:rsid w:val="7CDB38D7"/>
    <w:rsid w:val="7CE149CA"/>
    <w:rsid w:val="7CE85FF3"/>
    <w:rsid w:val="7CEB2A4A"/>
    <w:rsid w:val="7CF36B35"/>
    <w:rsid w:val="7CF56D71"/>
    <w:rsid w:val="7CF91046"/>
    <w:rsid w:val="7D0239FF"/>
    <w:rsid w:val="7D056BA5"/>
    <w:rsid w:val="7D0F3580"/>
    <w:rsid w:val="7D184771"/>
    <w:rsid w:val="7D1B61F3"/>
    <w:rsid w:val="7D1E2869"/>
    <w:rsid w:val="7D206D66"/>
    <w:rsid w:val="7D2C12E2"/>
    <w:rsid w:val="7D3134F6"/>
    <w:rsid w:val="7D3354C1"/>
    <w:rsid w:val="7D341323"/>
    <w:rsid w:val="7D344D95"/>
    <w:rsid w:val="7D362905"/>
    <w:rsid w:val="7D3F2DF4"/>
    <w:rsid w:val="7D40373A"/>
    <w:rsid w:val="7D4A571A"/>
    <w:rsid w:val="7D4C09B6"/>
    <w:rsid w:val="7D5176F5"/>
    <w:rsid w:val="7D537911"/>
    <w:rsid w:val="7D5611AF"/>
    <w:rsid w:val="7D5E40CD"/>
    <w:rsid w:val="7D5F1E9E"/>
    <w:rsid w:val="7D621902"/>
    <w:rsid w:val="7D627B5B"/>
    <w:rsid w:val="7D7609EC"/>
    <w:rsid w:val="7D8E6B9B"/>
    <w:rsid w:val="7D935F5F"/>
    <w:rsid w:val="7D960FF5"/>
    <w:rsid w:val="7D9817C8"/>
    <w:rsid w:val="7D997C30"/>
    <w:rsid w:val="7D9F0B4A"/>
    <w:rsid w:val="7DA71A0B"/>
    <w:rsid w:val="7DA8098F"/>
    <w:rsid w:val="7DBA34EC"/>
    <w:rsid w:val="7DBD122E"/>
    <w:rsid w:val="7DC031EC"/>
    <w:rsid w:val="7DC126DE"/>
    <w:rsid w:val="7DC169E9"/>
    <w:rsid w:val="7DC60B4C"/>
    <w:rsid w:val="7DCB43FA"/>
    <w:rsid w:val="7DCC321F"/>
    <w:rsid w:val="7DCD56F2"/>
    <w:rsid w:val="7DCD7244"/>
    <w:rsid w:val="7DD547CA"/>
    <w:rsid w:val="7DDB16B4"/>
    <w:rsid w:val="7DDE245B"/>
    <w:rsid w:val="7DE652B4"/>
    <w:rsid w:val="7DE73CAC"/>
    <w:rsid w:val="7DEC38C1"/>
    <w:rsid w:val="7E002BC8"/>
    <w:rsid w:val="7E01736D"/>
    <w:rsid w:val="7E094473"/>
    <w:rsid w:val="7E097FCF"/>
    <w:rsid w:val="7E0C7E0E"/>
    <w:rsid w:val="7E0D62FA"/>
    <w:rsid w:val="7E0E1A8A"/>
    <w:rsid w:val="7E1075B0"/>
    <w:rsid w:val="7E13782B"/>
    <w:rsid w:val="7E17093E"/>
    <w:rsid w:val="7E1A6A70"/>
    <w:rsid w:val="7E235FBD"/>
    <w:rsid w:val="7E24305B"/>
    <w:rsid w:val="7E266DD3"/>
    <w:rsid w:val="7E2E3EDA"/>
    <w:rsid w:val="7E2F6502"/>
    <w:rsid w:val="7E3042FC"/>
    <w:rsid w:val="7E386B07"/>
    <w:rsid w:val="7E3C1FEC"/>
    <w:rsid w:val="7E4234E1"/>
    <w:rsid w:val="7E426883"/>
    <w:rsid w:val="7E492AC2"/>
    <w:rsid w:val="7E4A0A21"/>
    <w:rsid w:val="7E504BBF"/>
    <w:rsid w:val="7E5A3C54"/>
    <w:rsid w:val="7E635932"/>
    <w:rsid w:val="7E6478FC"/>
    <w:rsid w:val="7E657143"/>
    <w:rsid w:val="7E68119A"/>
    <w:rsid w:val="7E6830A4"/>
    <w:rsid w:val="7E691F7C"/>
    <w:rsid w:val="7E6B21EE"/>
    <w:rsid w:val="7E6B47E6"/>
    <w:rsid w:val="7E6D2A2B"/>
    <w:rsid w:val="7E722019"/>
    <w:rsid w:val="7E7261A3"/>
    <w:rsid w:val="7E7342C7"/>
    <w:rsid w:val="7E7838D3"/>
    <w:rsid w:val="7E792D8E"/>
    <w:rsid w:val="7E7A62B7"/>
    <w:rsid w:val="7E870400"/>
    <w:rsid w:val="7E875B2B"/>
    <w:rsid w:val="7E880B29"/>
    <w:rsid w:val="7E897975"/>
    <w:rsid w:val="7E8B4E88"/>
    <w:rsid w:val="7E8F4979"/>
    <w:rsid w:val="7E925549"/>
    <w:rsid w:val="7E9B4AEF"/>
    <w:rsid w:val="7EAE4BA1"/>
    <w:rsid w:val="7EAE76AC"/>
    <w:rsid w:val="7EB22055"/>
    <w:rsid w:val="7EBE700C"/>
    <w:rsid w:val="7EC31EF6"/>
    <w:rsid w:val="7EC62364"/>
    <w:rsid w:val="7ED607F9"/>
    <w:rsid w:val="7ED66A06"/>
    <w:rsid w:val="7ED766E8"/>
    <w:rsid w:val="7EDC7272"/>
    <w:rsid w:val="7EDE76AE"/>
    <w:rsid w:val="7EE03426"/>
    <w:rsid w:val="7EE36F5D"/>
    <w:rsid w:val="7EE90AF7"/>
    <w:rsid w:val="7EE95912"/>
    <w:rsid w:val="7EEB5927"/>
    <w:rsid w:val="7EF10BF2"/>
    <w:rsid w:val="7EF32EF0"/>
    <w:rsid w:val="7EFE1AFE"/>
    <w:rsid w:val="7F001CE7"/>
    <w:rsid w:val="7F026FED"/>
    <w:rsid w:val="7F0F1615"/>
    <w:rsid w:val="7F17671C"/>
    <w:rsid w:val="7F192494"/>
    <w:rsid w:val="7F25708B"/>
    <w:rsid w:val="7F272E03"/>
    <w:rsid w:val="7F2A4E0A"/>
    <w:rsid w:val="7F362636"/>
    <w:rsid w:val="7F463B0F"/>
    <w:rsid w:val="7F501AD5"/>
    <w:rsid w:val="7F54171E"/>
    <w:rsid w:val="7F5A268E"/>
    <w:rsid w:val="7F6000C3"/>
    <w:rsid w:val="7F623E3B"/>
    <w:rsid w:val="7F6962F1"/>
    <w:rsid w:val="7F6B4C36"/>
    <w:rsid w:val="7F6C01A4"/>
    <w:rsid w:val="7F6C6974"/>
    <w:rsid w:val="7F6E726C"/>
    <w:rsid w:val="7F76664D"/>
    <w:rsid w:val="7F767370"/>
    <w:rsid w:val="7F7818B1"/>
    <w:rsid w:val="7F7E010B"/>
    <w:rsid w:val="7F871AF4"/>
    <w:rsid w:val="7F8A15E4"/>
    <w:rsid w:val="7F9379C3"/>
    <w:rsid w:val="7F963AE5"/>
    <w:rsid w:val="7F995383"/>
    <w:rsid w:val="7F9A351D"/>
    <w:rsid w:val="7F9C3A4F"/>
    <w:rsid w:val="7F9F121C"/>
    <w:rsid w:val="7FA505FD"/>
    <w:rsid w:val="7FAB7913"/>
    <w:rsid w:val="7FB04AAA"/>
    <w:rsid w:val="7FB22C02"/>
    <w:rsid w:val="7FB644B6"/>
    <w:rsid w:val="7FB81CAD"/>
    <w:rsid w:val="7FC40652"/>
    <w:rsid w:val="7FC44AF6"/>
    <w:rsid w:val="7FC468A4"/>
    <w:rsid w:val="7FC70142"/>
    <w:rsid w:val="7FCC376A"/>
    <w:rsid w:val="7FD64829"/>
    <w:rsid w:val="7FD665D7"/>
    <w:rsid w:val="7FD840FD"/>
    <w:rsid w:val="7FE47E50"/>
    <w:rsid w:val="7FE52097"/>
    <w:rsid w:val="7FE64A6C"/>
    <w:rsid w:val="7FF01447"/>
    <w:rsid w:val="7FF058EB"/>
    <w:rsid w:val="7FF36F10"/>
    <w:rsid w:val="7FF42017"/>
    <w:rsid w:val="7FF66C44"/>
    <w:rsid w:val="7FFD3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qFormat="1" w:unhideWhenUsed="0" w:uiPriority="0" w:semiHidden="0" w:name="index 1" w:locked="1"/>
    <w:lsdException w:uiPriority="0" w:name="index 2" w:locked="1"/>
    <w:lsdException w:uiPriority="0" w:name="index 3" w:locked="1"/>
    <w:lsdException w:qFormat="1" w:unhideWhenUsed="0" w:uiPriority="0" w:semiHidden="0" w:name="index 4" w:locked="1"/>
    <w:lsdException w:uiPriority="0" w:name="index 5" w:locked="1"/>
    <w:lsdException w:qFormat="1" w:unhideWhenUsed="0" w:uiPriority="99" w:semiHidden="0" w:name="index 6" w:locked="1"/>
    <w:lsdException w:uiPriority="0" w:name="index 7" w:locked="1"/>
    <w:lsdException w:qFormat="1" w:unhideWhenUsed="0" w:uiPriority="0" w:semiHidden="0" w:name="index 8" w:locked="1"/>
    <w:lsdException w:uiPriority="0" w:name="index 9" w:locked="1"/>
    <w:lsdException w:qFormat="1" w:unhideWhenUsed="0" w:uiPriority="39" w:semiHidden="0" w:name="toc 1" w:locked="1"/>
    <w:lsdException w:qFormat="1" w:unhideWhenUsed="0" w:uiPriority="39" w:semiHidden="0" w:name="toc 2" w:locked="1"/>
    <w:lsdException w:qFormat="1" w:unhideWhenUsed="0" w:uiPriority="39" w:semiHidden="0" w:name="toc 3" w:locked="1"/>
    <w:lsdException w:qFormat="1" w:unhideWhenUsed="0" w:uiPriority="39" w:semiHidden="0" w:name="toc 4" w:locked="1"/>
    <w:lsdException w:qFormat="1" w:unhideWhenUsed="0" w:uiPriority="39" w:semiHidden="0" w:name="toc 5" w:locked="1"/>
    <w:lsdException w:qFormat="1" w:unhideWhenUsed="0" w:uiPriority="39" w:semiHidden="0" w:name="toc 6" w:locked="1"/>
    <w:lsdException w:qFormat="1" w:unhideWhenUsed="0" w:uiPriority="39" w:semiHidden="0" w:name="toc 7" w:locked="1"/>
    <w:lsdException w:qFormat="1" w:unhideWhenUsed="0" w:uiPriority="39" w:semiHidden="0" w:name="toc 8" w:locked="1"/>
    <w:lsdException w:qFormat="1" w:unhideWhenUsed="0" w:uiPriority="39" w:semiHidden="0" w:name="toc 9" w:locked="1"/>
    <w:lsdException w:qFormat="1" w:unhideWhenUsed="0" w:uiPriority="0" w:semiHidden="0" w:name="Normal Indent" w:locked="1"/>
    <w:lsdException w:uiPriority="0"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ocked="1"/>
    <w:lsdException w:qFormat="1" w:unhideWhenUsed="0" w:uiPriority="0" w:semiHidden="0" w:name="caption" w:locked="1"/>
    <w:lsdException w:qFormat="1" w:unhideWhenUsed="0" w:uiPriority="0" w:semiHidden="0" w:name="table of figures" w:locked="1"/>
    <w:lsdException w:uiPriority="0" w:name="envelope address" w:locked="1"/>
    <w:lsdException w:qFormat="1" w:unhideWhenUsed="0" w:uiPriority="0" w:semiHidden="0" w:name="envelope return" w:locked="1"/>
    <w:lsdException w:uiPriority="0" w:name="footnote reference" w:locked="1"/>
    <w:lsdException w:qFormat="1" w:unhideWhenUsed="0" w:uiPriority="99" w:semiHidden="0" w:name="annotation reference"/>
    <w:lsdException w:uiPriority="0" w:name="line number" w:locked="1"/>
    <w:lsdException w:qFormat="1" w:unhideWhenUsed="0" w:uiPriority="0" w:semiHidden="0" w:name="page number" w:locked="1"/>
    <w:lsdException w:qFormat="1" w:uiPriority="99" w:semiHidden="0" w:name="endnote reference" w:locked="1"/>
    <w:lsdException w:qFormat="1" w:uiPriority="99" w:semiHidden="0" w:name="endnote text" w:locked="1"/>
    <w:lsdException w:qFormat="1" w:unhideWhenUsed="0" w:uiPriority="0" w:semiHidden="0" w:name="table of authorities" w:locked="1"/>
    <w:lsdException w:uiPriority="0" w:name="macro" w:locked="1"/>
    <w:lsdException w:qFormat="1" w:unhideWhenUsed="0" w:uiPriority="99" w:semiHidden="0" w:name="toa heading" w:locked="1"/>
    <w:lsdException w:qFormat="1" w:unhideWhenUsed="0" w:uiPriority="99" w:semiHidden="0" w:name="List" w:locked="1"/>
    <w:lsdException w:uiPriority="0" w:name="List Bullet" w:locked="1"/>
    <w:lsdException w:qFormat="1" w:unhideWhenUsed="0" w:uiPriority="0" w:semiHidden="0" w:name="List Number" w:locked="1"/>
    <w:lsdException w:qFormat="1" w:unhideWhenUsed="0" w:uiPriority="0" w:semiHidden="0" w:name="List 2" w:locked="1"/>
    <w:lsdException w:uiPriority="0" w:name="List 3" w:locked="1"/>
    <w:lsdException w:unhideWhenUsed="0" w:uiPriority="0" w:semiHidden="0" w:name="List 4" w:locked="1"/>
    <w:lsdException w:unhideWhenUsed="0" w:uiPriority="0" w:semiHidden="0" w:name="List 5" w:locked="1"/>
    <w:lsdException w:qFormat="1" w:unhideWhenUsed="0" w:uiPriority="0" w:semiHidden="0" w:name="List Bullet 2" w:locked="1"/>
    <w:lsdException w:uiPriority="0" w:name="List Bullet 3" w:locked="1"/>
    <w:lsdException w:uiPriority="0" w:name="List Bullet 4" w:locked="1"/>
    <w:lsdException w:qFormat="1" w:unhideWhenUsed="0" w:uiPriority="0" w:semiHidden="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0" w:semiHidden="0" w:name="Title" w:locked="1"/>
    <w:lsdException w:uiPriority="0" w:name="Closing" w:locked="1"/>
    <w:lsdException w:uiPriority="0" w:name="Signature" w:locked="1"/>
    <w:lsdException w:qFormat="1" w:uiPriority="1" w:semiHidden="0" w:name="Default Paragraph Font"/>
    <w:lsdException w:qFormat="1" w:unhideWhenUsed="0" w:uiPriority="0" w:semiHidden="0" w:name="Body Text"/>
    <w:lsdException w:qFormat="1" w:unhideWhenUsed="0" w:uiPriority="0" w:semiHidden="0" w:name="Body Text Indent"/>
    <w:lsdException w:uiPriority="0" w:name="List Continue" w:locked="1"/>
    <w:lsdException w:uiPriority="0" w:name="List Continue 2" w:locked="1"/>
    <w:lsdException w:uiPriority="0" w:name="List Continue 3" w:locked="1"/>
    <w:lsdException w:uiPriority="0" w:name="List Continue 4" w:locked="1"/>
    <w:lsdException w:uiPriority="0" w:name="List Continue 5" w:locked="1"/>
    <w:lsdException w:uiPriority="0" w:name="Message Header" w:locked="1"/>
    <w:lsdException w:qFormat="1" w:unhideWhenUsed="0" w:uiPriority="0" w:semiHidden="0" w:name="Subtitle" w:locked="1"/>
    <w:lsdException w:qFormat="1" w:unhideWhenUsed="0" w:uiPriority="0" w:semiHidden="0" w:name="Salutation" w:locked="1"/>
    <w:lsdException w:qFormat="1" w:unhideWhenUsed="0" w:uiPriority="99" w:semiHidden="0" w:name="Date"/>
    <w:lsdException w:qFormat="1" w:unhideWhenUsed="0" w:uiPriority="99" w:semiHidden="0" w:name="Body Text First Indent" w:locked="1"/>
    <w:lsdException w:qFormat="1" w:uiPriority="0" w:semiHidden="0" w:name="Body Text First Indent 2" w:locked="1"/>
    <w:lsdException w:qFormat="1" w:unhideWhenUsed="0" w:uiPriority="0" w:semiHidden="0" w:name="Note Heading" w:locked="1"/>
    <w:lsdException w:qFormat="1" w:unhideWhenUsed="0" w:uiPriority="99" w:semiHidden="0" w:name="Body Text 2" w:locked="1"/>
    <w:lsdException w:qFormat="1" w:unhideWhenUsed="0" w:uiPriority="99"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qFormat="1" w:unhideWhenUsed="0" w:uiPriority="99" w:semiHidden="0" w:name="Hyperlink" w:locked="1"/>
    <w:lsdException w:qFormat="1" w:unhideWhenUsed="0" w:uiPriority="0" w:semiHidden="0" w:name="FollowedHyperlink" w:locked="1"/>
    <w:lsdException w:qFormat="1" w:unhideWhenUsed="0" w:uiPriority="22" w:semiHidden="0" w:name="Strong" w:locked="1"/>
    <w:lsdException w:qFormat="1" w:unhideWhenUsed="0" w:uiPriority="20" w:semiHidden="0" w:name="Emphasis" w:locked="1"/>
    <w:lsdException w:qFormat="1" w:unhideWhenUsed="0" w:uiPriority="99" w:semiHidden="0" w:name="Document Map" w:locked="1"/>
    <w:lsdException w:qFormat="1" w:unhideWhenUsed="0" w:uiPriority="0" w:semiHidden="0" w:name="Plain Text" w:locked="1"/>
    <w:lsdException w:uiPriority="0" w:name="E-mail Signature" w:locked="1"/>
    <w:lsdException w:qFormat="1" w:unhideWhenUsed="0" w:uiPriority="99" w:semiHidden="0" w:name="Normal (Web)"/>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qFormat="1" w:unhideWhenUsed="0" w:uiPriority="99" w:semiHidden="0" w:name="HTML Preformatted" w:locked="1"/>
    <w:lsdException w:uiPriority="0" w:name="HTML Sample" w:locked="1"/>
    <w:lsdException w:qFormat="1" w:unhideWhenUsed="0" w:uiPriority="0" w:semiHidden="0" w:name="HTML Typewriter" w:locked="1"/>
    <w:lsdException w:uiPriority="0" w:name="HTML Variable" w:locked="1"/>
    <w:lsdException w:qFormat="1" w:uiPriority="99" w:name="Normal Table"/>
    <w:lsdException w:qFormat="1" w:unhideWhenUsed="0" w:uiPriority="99" w:semiHidden="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qFormat="1" w:unhideWhenUsed="0" w:uiPriority="0" w:semiHidden="0" w:name="Table Grid 1" w:locked="1"/>
    <w:lsdException w:uiPriority="0" w:name="Table Grid 2" w:locked="1"/>
    <w:lsdException w:uiPriority="0" w:name="Table Grid 3" w:locked="1"/>
    <w:lsdException w:uiPriority="0" w:name="Table Grid 4" w:locked="1"/>
    <w:lsdException w:qFormat="1" w:unhideWhenUsed="0" w:uiPriority="0" w:semiHidden="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qFormat="1" w:unhideWhenUsed="0" w:uiPriority="0" w:semiHidden="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99" w:semiHidden="0" w:name="Balloon Text"/>
    <w:lsdException w:qFormat="1" w:unhideWhenUsed="0" w:uiPriority="59" w:semiHidden="0" w:name="Table Grid"/>
    <w:lsdException w:qFormat="1" w:unhideWhenUsed="0" w:uiPriority="0" w:semiHidden="0" w:name="Table Theme" w:locked="1"/>
    <w:lsdException w:qFormat="1" w:uiPriority="99" w:semiHidden="0"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49"/>
    <w:autoRedefine/>
    <w:qFormat/>
    <w:locked/>
    <w:uiPriority w:val="0"/>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4"/>
    <w:next w:val="1"/>
    <w:link w:val="102"/>
    <w:autoRedefine/>
    <w:qFormat/>
    <w:locked/>
    <w:uiPriority w:val="0"/>
    <w:pPr>
      <w:keepNext/>
      <w:keepLines/>
      <w:tabs>
        <w:tab w:val="left" w:pos="425"/>
      </w:tabs>
      <w:spacing w:before="120" w:after="120" w:line="480" w:lineRule="exact"/>
      <w:ind w:left="425" w:hanging="425"/>
      <w:outlineLvl w:val="1"/>
    </w:pPr>
    <w:rPr>
      <w:rFonts w:ascii="Arial" w:hAnsi="Arial" w:eastAsia="黑体"/>
      <w:b/>
      <w:sz w:val="36"/>
      <w:szCs w:val="20"/>
    </w:rPr>
  </w:style>
  <w:style w:type="paragraph" w:styleId="5">
    <w:name w:val="heading 3"/>
    <w:basedOn w:val="1"/>
    <w:next w:val="1"/>
    <w:link w:val="103"/>
    <w:autoRedefine/>
    <w:qFormat/>
    <w:locked/>
    <w:uiPriority w:val="0"/>
    <w:pPr>
      <w:keepNext/>
      <w:keepLines/>
      <w:tabs>
        <w:tab w:val="left" w:pos="567"/>
      </w:tabs>
      <w:spacing w:before="120" w:after="120" w:line="480" w:lineRule="exact"/>
      <w:ind w:left="567" w:hanging="567"/>
      <w:outlineLvl w:val="2"/>
    </w:pPr>
    <w:rPr>
      <w:rFonts w:ascii="Arial" w:hAnsi="Arial" w:eastAsia="黑体"/>
      <w:b/>
      <w:sz w:val="30"/>
      <w:szCs w:val="20"/>
    </w:rPr>
  </w:style>
  <w:style w:type="paragraph" w:styleId="6">
    <w:name w:val="heading 4"/>
    <w:basedOn w:val="1"/>
    <w:next w:val="1"/>
    <w:link w:val="104"/>
    <w:autoRedefine/>
    <w:qFormat/>
    <w:locked/>
    <w:uiPriority w:val="0"/>
    <w:pPr>
      <w:keepNext/>
      <w:keepLines/>
      <w:tabs>
        <w:tab w:val="left" w:pos="1080"/>
      </w:tabs>
      <w:spacing w:before="120" w:after="120" w:line="320" w:lineRule="exact"/>
      <w:ind w:left="567" w:hanging="567"/>
      <w:outlineLvl w:val="3"/>
    </w:pPr>
    <w:rPr>
      <w:rFonts w:ascii="Arial" w:hAnsi="Arial" w:eastAsia="黑体"/>
      <w:b/>
      <w:sz w:val="28"/>
      <w:szCs w:val="20"/>
    </w:rPr>
  </w:style>
  <w:style w:type="paragraph" w:styleId="7">
    <w:name w:val="heading 5"/>
    <w:basedOn w:val="1"/>
    <w:next w:val="8"/>
    <w:link w:val="105"/>
    <w:autoRedefine/>
    <w:qFormat/>
    <w:locked/>
    <w:uiPriority w:val="0"/>
    <w:pPr>
      <w:keepNext/>
      <w:tabs>
        <w:tab w:val="left" w:pos="1080"/>
      </w:tabs>
      <w:ind w:left="851" w:hanging="851"/>
      <w:outlineLvl w:val="4"/>
    </w:pPr>
    <w:rPr>
      <w:rFonts w:ascii="Arial" w:hAnsi="Arial"/>
      <w:b/>
      <w:sz w:val="28"/>
      <w:szCs w:val="20"/>
    </w:rPr>
  </w:style>
  <w:style w:type="paragraph" w:styleId="12">
    <w:name w:val="heading 6"/>
    <w:basedOn w:val="1"/>
    <w:next w:val="1"/>
    <w:link w:val="106"/>
    <w:autoRedefine/>
    <w:qFormat/>
    <w:locked/>
    <w:uiPriority w:val="0"/>
    <w:pPr>
      <w:keepNext/>
      <w:widowControl/>
      <w:tabs>
        <w:tab w:val="left" w:pos="0"/>
      </w:tabs>
      <w:jc w:val="center"/>
      <w:outlineLvl w:val="5"/>
    </w:pPr>
    <w:rPr>
      <w:rFonts w:eastAsia="楷体_GB2312"/>
      <w:b/>
      <w:kern w:val="0"/>
      <w:sz w:val="20"/>
      <w:szCs w:val="20"/>
    </w:rPr>
  </w:style>
  <w:style w:type="paragraph" w:styleId="13">
    <w:name w:val="heading 7"/>
    <w:basedOn w:val="1"/>
    <w:next w:val="1"/>
    <w:link w:val="107"/>
    <w:autoRedefine/>
    <w:qFormat/>
    <w:locked/>
    <w:uiPriority w:val="0"/>
    <w:pPr>
      <w:keepNext/>
      <w:keepLines/>
      <w:adjustRightInd w:val="0"/>
      <w:spacing w:before="240" w:after="64" w:line="320" w:lineRule="atLeast"/>
      <w:ind w:firstLine="200" w:firstLineChars="200"/>
      <w:textAlignment w:val="baseline"/>
      <w:outlineLvl w:val="6"/>
    </w:pPr>
    <w:rPr>
      <w:rFonts w:eastAsia="仿宋_GB2312"/>
      <w:b/>
      <w:kern w:val="0"/>
      <w:sz w:val="24"/>
      <w:lang w:val="zh-CN"/>
    </w:rPr>
  </w:style>
  <w:style w:type="paragraph" w:styleId="14">
    <w:name w:val="heading 8"/>
    <w:basedOn w:val="1"/>
    <w:next w:val="1"/>
    <w:link w:val="108"/>
    <w:autoRedefine/>
    <w:qFormat/>
    <w:locked/>
    <w:uiPriority w:val="0"/>
    <w:pPr>
      <w:keepNext/>
      <w:keepLines/>
      <w:adjustRightInd w:val="0"/>
      <w:spacing w:before="240" w:after="64" w:line="320" w:lineRule="atLeast"/>
      <w:ind w:firstLine="200" w:firstLineChars="200"/>
      <w:textAlignment w:val="baseline"/>
      <w:outlineLvl w:val="7"/>
    </w:pPr>
    <w:rPr>
      <w:rFonts w:ascii="Arial" w:hAnsi="Arial" w:eastAsia="黑体"/>
      <w:bCs/>
      <w:kern w:val="0"/>
      <w:sz w:val="24"/>
      <w:lang w:val="zh-CN"/>
    </w:rPr>
  </w:style>
  <w:style w:type="paragraph" w:styleId="15">
    <w:name w:val="heading 9"/>
    <w:basedOn w:val="1"/>
    <w:next w:val="1"/>
    <w:link w:val="109"/>
    <w:autoRedefine/>
    <w:qFormat/>
    <w:locked/>
    <w:uiPriority w:val="0"/>
    <w:pPr>
      <w:keepNext/>
      <w:keepLines/>
      <w:adjustRightInd w:val="0"/>
      <w:spacing w:before="240" w:after="64" w:line="320" w:lineRule="atLeast"/>
      <w:ind w:firstLine="200" w:firstLineChars="200"/>
      <w:textAlignment w:val="baseline"/>
      <w:outlineLvl w:val="8"/>
    </w:pPr>
    <w:rPr>
      <w:rFonts w:ascii="Arial" w:hAnsi="Arial" w:eastAsia="黑体"/>
      <w:bCs/>
      <w:kern w:val="0"/>
      <w:sz w:val="24"/>
      <w:lang w:val="zh-CN"/>
    </w:rPr>
  </w:style>
  <w:style w:type="character" w:default="1" w:styleId="69">
    <w:name w:val="Default Paragraph Font"/>
    <w:autoRedefine/>
    <w:unhideWhenUsed/>
    <w:qFormat/>
    <w:uiPriority w:val="1"/>
  </w:style>
  <w:style w:type="table" w:default="1" w:styleId="63">
    <w:name w:val="Normal Table"/>
    <w:autoRedefine/>
    <w:semiHidden/>
    <w:unhideWhenUsed/>
    <w:qFormat/>
    <w:uiPriority w:val="99"/>
    <w:tblPr>
      <w:tblCellMar>
        <w:top w:w="0" w:type="dxa"/>
        <w:left w:w="108" w:type="dxa"/>
        <w:bottom w:w="0" w:type="dxa"/>
        <w:right w:w="108" w:type="dxa"/>
      </w:tblCellMar>
    </w:tblPr>
  </w:style>
  <w:style w:type="paragraph" w:styleId="4">
    <w:name w:val="List Paragraph"/>
    <w:basedOn w:val="1"/>
    <w:autoRedefine/>
    <w:qFormat/>
    <w:uiPriority w:val="0"/>
    <w:pPr>
      <w:widowControl/>
      <w:ind w:firstLine="420" w:firstLineChars="200"/>
      <w:jc w:val="left"/>
    </w:pPr>
    <w:rPr>
      <w:kern w:val="0"/>
      <w:sz w:val="20"/>
      <w:szCs w:val="20"/>
    </w:rPr>
  </w:style>
  <w:style w:type="paragraph" w:styleId="8">
    <w:name w:val="Normal Indent"/>
    <w:basedOn w:val="1"/>
    <w:next w:val="9"/>
    <w:link w:val="151"/>
    <w:autoRedefine/>
    <w:qFormat/>
    <w:locked/>
    <w:uiPriority w:val="0"/>
    <w:pPr>
      <w:ind w:firstLine="420"/>
    </w:pPr>
    <w:rPr>
      <w:kern w:val="0"/>
      <w:sz w:val="20"/>
      <w:szCs w:val="20"/>
    </w:rPr>
  </w:style>
  <w:style w:type="paragraph" w:styleId="9">
    <w:name w:val="Body Text First Indent 2"/>
    <w:basedOn w:val="10"/>
    <w:next w:val="1"/>
    <w:link w:val="230"/>
    <w:autoRedefine/>
    <w:unhideWhenUsed/>
    <w:qFormat/>
    <w:locked/>
    <w:uiPriority w:val="0"/>
    <w:pPr>
      <w:widowControl/>
      <w:ind w:firstLine="420" w:firstLineChars="200"/>
      <w:jc w:val="left"/>
    </w:pPr>
    <w:rPr>
      <w:sz w:val="20"/>
    </w:rPr>
  </w:style>
  <w:style w:type="paragraph" w:styleId="10">
    <w:name w:val="Body Text Indent"/>
    <w:basedOn w:val="1"/>
    <w:next w:val="11"/>
    <w:link w:val="89"/>
    <w:autoRedefine/>
    <w:qFormat/>
    <w:uiPriority w:val="0"/>
    <w:pPr>
      <w:spacing w:after="120"/>
      <w:ind w:left="420" w:leftChars="200"/>
    </w:pPr>
    <w:rPr>
      <w:kern w:val="0"/>
      <w:sz w:val="24"/>
      <w:szCs w:val="20"/>
    </w:rPr>
  </w:style>
  <w:style w:type="paragraph" w:styleId="11">
    <w:name w:val="Body Text Indent 2"/>
    <w:basedOn w:val="1"/>
    <w:next w:val="9"/>
    <w:link w:val="114"/>
    <w:autoRedefine/>
    <w:qFormat/>
    <w:locked/>
    <w:uiPriority w:val="0"/>
    <w:pPr>
      <w:widowControl/>
      <w:ind w:firstLine="600"/>
    </w:pPr>
    <w:rPr>
      <w:rFonts w:eastAsia="仿宋_GB2312"/>
      <w:b/>
      <w:kern w:val="0"/>
      <w:sz w:val="20"/>
      <w:szCs w:val="20"/>
    </w:rPr>
  </w:style>
  <w:style w:type="paragraph" w:styleId="16">
    <w:name w:val="toc 7"/>
    <w:basedOn w:val="1"/>
    <w:next w:val="1"/>
    <w:autoRedefine/>
    <w:qFormat/>
    <w:locked/>
    <w:uiPriority w:val="39"/>
    <w:pPr>
      <w:ind w:left="2520" w:leftChars="1200"/>
    </w:pPr>
  </w:style>
  <w:style w:type="paragraph" w:styleId="17">
    <w:name w:val="table of authorities"/>
    <w:basedOn w:val="1"/>
    <w:next w:val="1"/>
    <w:autoRedefine/>
    <w:qFormat/>
    <w:locked/>
    <w:uiPriority w:val="0"/>
    <w:rPr>
      <w:rFonts w:ascii="宋体"/>
      <w:sz w:val="28"/>
      <w:szCs w:val="20"/>
    </w:rPr>
  </w:style>
  <w:style w:type="paragraph" w:styleId="18">
    <w:name w:val="Note Heading"/>
    <w:basedOn w:val="1"/>
    <w:next w:val="1"/>
    <w:link w:val="248"/>
    <w:autoRedefine/>
    <w:qFormat/>
    <w:locked/>
    <w:uiPriority w:val="0"/>
    <w:pPr>
      <w:jc w:val="center"/>
    </w:pPr>
    <w:rPr>
      <w:rFonts w:ascii="宋体"/>
      <w:szCs w:val="20"/>
    </w:rPr>
  </w:style>
  <w:style w:type="paragraph" w:styleId="19">
    <w:name w:val="index 8"/>
    <w:basedOn w:val="1"/>
    <w:next w:val="1"/>
    <w:autoRedefine/>
    <w:qFormat/>
    <w:locked/>
    <w:uiPriority w:val="0"/>
    <w:pPr>
      <w:ind w:left="1400" w:leftChars="1400"/>
    </w:pPr>
  </w:style>
  <w:style w:type="paragraph" w:styleId="20">
    <w:name w:val="List Number"/>
    <w:basedOn w:val="1"/>
    <w:autoRedefine/>
    <w:qFormat/>
    <w:locked/>
    <w:uiPriority w:val="0"/>
    <w:pPr>
      <w:tabs>
        <w:tab w:val="left" w:pos="360"/>
        <w:tab w:val="left" w:pos="780"/>
      </w:tabs>
      <w:ind w:left="780" w:hanging="210"/>
    </w:pPr>
  </w:style>
  <w:style w:type="paragraph" w:styleId="21">
    <w:name w:val="caption"/>
    <w:basedOn w:val="1"/>
    <w:next w:val="1"/>
    <w:autoRedefine/>
    <w:qFormat/>
    <w:locked/>
    <w:uiPriority w:val="0"/>
    <w:pPr>
      <w:keepNext/>
      <w:snapToGrid w:val="0"/>
      <w:jc w:val="center"/>
    </w:pPr>
    <w:rPr>
      <w:rFonts w:ascii="宋体" w:hAnsi="宋体" w:cs="Arial"/>
      <w:szCs w:val="20"/>
    </w:rPr>
  </w:style>
  <w:style w:type="paragraph" w:styleId="22">
    <w:name w:val="Document Map"/>
    <w:basedOn w:val="1"/>
    <w:link w:val="150"/>
    <w:autoRedefine/>
    <w:qFormat/>
    <w:locked/>
    <w:uiPriority w:val="99"/>
    <w:pPr>
      <w:widowControl/>
      <w:jc w:val="left"/>
    </w:pPr>
    <w:rPr>
      <w:rFonts w:ascii="宋体"/>
      <w:kern w:val="0"/>
      <w:sz w:val="18"/>
      <w:szCs w:val="20"/>
    </w:rPr>
  </w:style>
  <w:style w:type="paragraph" w:styleId="23">
    <w:name w:val="toa heading"/>
    <w:basedOn w:val="1"/>
    <w:next w:val="1"/>
    <w:autoRedefine/>
    <w:qFormat/>
    <w:locked/>
    <w:uiPriority w:val="99"/>
    <w:pPr>
      <w:adjustRightInd w:val="0"/>
      <w:spacing w:before="120" w:line="360" w:lineRule="auto"/>
      <w:textAlignment w:val="baseline"/>
    </w:pPr>
    <w:rPr>
      <w:rFonts w:ascii="Arial" w:hAnsi="Arial" w:cs="Arial"/>
      <w:kern w:val="0"/>
      <w:sz w:val="24"/>
      <w:szCs w:val="20"/>
    </w:rPr>
  </w:style>
  <w:style w:type="paragraph" w:styleId="24">
    <w:name w:val="annotation text"/>
    <w:basedOn w:val="1"/>
    <w:link w:val="94"/>
    <w:autoRedefine/>
    <w:qFormat/>
    <w:uiPriority w:val="99"/>
    <w:pPr>
      <w:jc w:val="left"/>
    </w:pPr>
    <w:rPr>
      <w:kern w:val="0"/>
      <w:sz w:val="24"/>
      <w:szCs w:val="20"/>
    </w:rPr>
  </w:style>
  <w:style w:type="paragraph" w:styleId="25">
    <w:name w:val="index 6"/>
    <w:basedOn w:val="1"/>
    <w:next w:val="1"/>
    <w:autoRedefine/>
    <w:qFormat/>
    <w:locked/>
    <w:uiPriority w:val="99"/>
    <w:pPr>
      <w:widowControl/>
      <w:ind w:left="1000" w:leftChars="1000"/>
      <w:jc w:val="left"/>
    </w:pPr>
    <w:rPr>
      <w:kern w:val="0"/>
      <w:sz w:val="20"/>
      <w:szCs w:val="20"/>
    </w:rPr>
  </w:style>
  <w:style w:type="paragraph" w:styleId="26">
    <w:name w:val="Salutation"/>
    <w:basedOn w:val="1"/>
    <w:next w:val="1"/>
    <w:qFormat/>
    <w:locked/>
    <w:uiPriority w:val="0"/>
  </w:style>
  <w:style w:type="paragraph" w:styleId="27">
    <w:name w:val="Body Text 3"/>
    <w:basedOn w:val="1"/>
    <w:link w:val="261"/>
    <w:autoRedefine/>
    <w:qFormat/>
    <w:locked/>
    <w:uiPriority w:val="99"/>
    <w:pPr>
      <w:spacing w:after="120"/>
    </w:pPr>
    <w:rPr>
      <w:rFonts w:ascii="宋体" w:hAnsi="宋体"/>
      <w:sz w:val="16"/>
      <w:szCs w:val="16"/>
    </w:rPr>
  </w:style>
  <w:style w:type="paragraph" w:styleId="28">
    <w:name w:val="Body Text"/>
    <w:basedOn w:val="1"/>
    <w:next w:val="29"/>
    <w:link w:val="95"/>
    <w:autoRedefine/>
    <w:qFormat/>
    <w:uiPriority w:val="0"/>
    <w:pPr>
      <w:widowControl/>
      <w:snapToGrid w:val="0"/>
      <w:spacing w:before="60" w:after="160" w:line="259" w:lineRule="auto"/>
      <w:ind w:right="113"/>
    </w:pPr>
    <w:rPr>
      <w:kern w:val="0"/>
      <w:sz w:val="18"/>
      <w:szCs w:val="20"/>
    </w:rPr>
  </w:style>
  <w:style w:type="paragraph" w:customStyle="1" w:styleId="29">
    <w:name w:val="xl27"/>
    <w:basedOn w:val="1"/>
    <w:next w:val="1"/>
    <w:autoRedefine/>
    <w:qFormat/>
    <w:uiPriority w:val="0"/>
    <w:pPr>
      <w:widowControl/>
      <w:pBdr>
        <w:left w:val="single" w:color="auto" w:sz="4" w:space="0"/>
        <w:right w:val="single" w:color="auto" w:sz="4" w:space="0"/>
      </w:pBdr>
      <w:spacing w:before="100" w:beforeAutospacing="1" w:after="100" w:afterAutospacing="1"/>
      <w:jc w:val="center"/>
    </w:pPr>
    <w:rPr>
      <w:rFonts w:eastAsia="Arial Unicode MS"/>
      <w:kern w:val="0"/>
      <w:sz w:val="24"/>
    </w:rPr>
  </w:style>
  <w:style w:type="paragraph" w:styleId="30">
    <w:name w:val="List 2"/>
    <w:basedOn w:val="1"/>
    <w:autoRedefine/>
    <w:qFormat/>
    <w:locked/>
    <w:uiPriority w:val="0"/>
    <w:pPr>
      <w:spacing w:line="360" w:lineRule="exact"/>
      <w:jc w:val="center"/>
    </w:pPr>
    <w:rPr>
      <w:rFonts w:ascii="仿宋_GB2312" w:eastAsia="仿宋_GB2312"/>
      <w:szCs w:val="20"/>
    </w:rPr>
  </w:style>
  <w:style w:type="paragraph" w:styleId="31">
    <w:name w:val="Block Text"/>
    <w:basedOn w:val="1"/>
    <w:autoRedefine/>
    <w:qFormat/>
    <w:locked/>
    <w:uiPriority w:val="0"/>
    <w:pPr>
      <w:widowControl/>
      <w:spacing w:after="120"/>
      <w:ind w:left="1440" w:leftChars="700" w:right="1440" w:rightChars="700"/>
      <w:jc w:val="left"/>
    </w:pPr>
    <w:rPr>
      <w:kern w:val="0"/>
      <w:sz w:val="20"/>
      <w:szCs w:val="20"/>
    </w:rPr>
  </w:style>
  <w:style w:type="paragraph" w:styleId="32">
    <w:name w:val="List Bullet 2"/>
    <w:basedOn w:val="1"/>
    <w:autoRedefine/>
    <w:qFormat/>
    <w:locked/>
    <w:uiPriority w:val="0"/>
    <w:pPr>
      <w:tabs>
        <w:tab w:val="left" w:pos="1215"/>
      </w:tabs>
      <w:adjustRightInd w:val="0"/>
      <w:spacing w:line="240" w:lineRule="atLeast"/>
      <w:ind w:left="1215" w:hanging="1215"/>
      <w:jc w:val="left"/>
      <w:textAlignment w:val="baseline"/>
    </w:pPr>
    <w:rPr>
      <w:rFonts w:ascii="宋体"/>
      <w:kern w:val="0"/>
      <w:sz w:val="34"/>
      <w:szCs w:val="34"/>
    </w:rPr>
  </w:style>
  <w:style w:type="paragraph" w:styleId="33">
    <w:name w:val="index 4"/>
    <w:basedOn w:val="1"/>
    <w:next w:val="1"/>
    <w:autoRedefine/>
    <w:qFormat/>
    <w:locked/>
    <w:uiPriority w:val="0"/>
    <w:pPr>
      <w:suppressAutoHyphens/>
      <w:adjustRightInd w:val="0"/>
      <w:spacing w:line="300" w:lineRule="auto"/>
      <w:ind w:left="1260"/>
    </w:pPr>
    <w:rPr>
      <w:kern w:val="28"/>
      <w:sz w:val="24"/>
      <w:szCs w:val="20"/>
    </w:rPr>
  </w:style>
  <w:style w:type="paragraph" w:styleId="34">
    <w:name w:val="toc 5"/>
    <w:basedOn w:val="1"/>
    <w:next w:val="1"/>
    <w:autoRedefine/>
    <w:qFormat/>
    <w:locked/>
    <w:uiPriority w:val="39"/>
    <w:pPr>
      <w:adjustRightInd w:val="0"/>
      <w:snapToGrid w:val="0"/>
      <w:spacing w:line="360" w:lineRule="auto"/>
      <w:ind w:left="840" w:firstLine="112"/>
      <w:jc w:val="center"/>
    </w:pPr>
    <w:rPr>
      <w:sz w:val="20"/>
      <w:szCs w:val="20"/>
    </w:rPr>
  </w:style>
  <w:style w:type="paragraph" w:styleId="35">
    <w:name w:val="toc 3"/>
    <w:basedOn w:val="1"/>
    <w:next w:val="1"/>
    <w:autoRedefine/>
    <w:qFormat/>
    <w:locked/>
    <w:uiPriority w:val="39"/>
    <w:pPr>
      <w:ind w:left="240"/>
      <w:jc w:val="left"/>
    </w:pPr>
    <w:rPr>
      <w:sz w:val="20"/>
      <w:szCs w:val="20"/>
    </w:rPr>
  </w:style>
  <w:style w:type="paragraph" w:styleId="36">
    <w:name w:val="Plain Text"/>
    <w:basedOn w:val="1"/>
    <w:next w:val="26"/>
    <w:link w:val="110"/>
    <w:autoRedefine/>
    <w:qFormat/>
    <w:locked/>
    <w:uiPriority w:val="0"/>
    <w:rPr>
      <w:rFonts w:ascii="宋体" w:hAnsi="Courier New"/>
      <w:kern w:val="0"/>
      <w:szCs w:val="20"/>
    </w:rPr>
  </w:style>
  <w:style w:type="paragraph" w:styleId="37">
    <w:name w:val="List Bullet 5"/>
    <w:basedOn w:val="1"/>
    <w:autoRedefine/>
    <w:qFormat/>
    <w:locked/>
    <w:uiPriority w:val="0"/>
    <w:pPr>
      <w:widowControl/>
      <w:spacing w:line="360" w:lineRule="auto"/>
      <w:ind w:firstLine="480"/>
      <w:jc w:val="left"/>
    </w:pPr>
    <w:rPr>
      <w:kern w:val="0"/>
      <w:sz w:val="24"/>
    </w:rPr>
  </w:style>
  <w:style w:type="paragraph" w:styleId="38">
    <w:name w:val="toc 8"/>
    <w:basedOn w:val="1"/>
    <w:next w:val="1"/>
    <w:autoRedefine/>
    <w:qFormat/>
    <w:locked/>
    <w:uiPriority w:val="39"/>
    <w:pPr>
      <w:ind w:left="1440"/>
      <w:jc w:val="left"/>
    </w:pPr>
    <w:rPr>
      <w:sz w:val="20"/>
      <w:szCs w:val="20"/>
    </w:rPr>
  </w:style>
  <w:style w:type="paragraph" w:styleId="39">
    <w:name w:val="Date"/>
    <w:basedOn w:val="1"/>
    <w:next w:val="1"/>
    <w:link w:val="92"/>
    <w:autoRedefine/>
    <w:qFormat/>
    <w:uiPriority w:val="99"/>
    <w:pPr>
      <w:ind w:left="100" w:leftChars="2500"/>
    </w:pPr>
    <w:rPr>
      <w:kern w:val="0"/>
      <w:sz w:val="24"/>
      <w:szCs w:val="20"/>
    </w:rPr>
  </w:style>
  <w:style w:type="paragraph" w:styleId="40">
    <w:name w:val="endnote text"/>
    <w:basedOn w:val="1"/>
    <w:link w:val="545"/>
    <w:autoRedefine/>
    <w:unhideWhenUsed/>
    <w:qFormat/>
    <w:locked/>
    <w:uiPriority w:val="99"/>
    <w:pPr>
      <w:adjustRightInd w:val="0"/>
      <w:snapToGrid w:val="0"/>
      <w:spacing w:line="312" w:lineRule="atLeast"/>
      <w:jc w:val="left"/>
      <w:textAlignment w:val="baseline"/>
    </w:pPr>
    <w:rPr>
      <w:kern w:val="0"/>
      <w:szCs w:val="20"/>
      <w:lang w:val="zh-CN"/>
    </w:rPr>
  </w:style>
  <w:style w:type="paragraph" w:styleId="41">
    <w:name w:val="Balloon Text"/>
    <w:basedOn w:val="1"/>
    <w:link w:val="96"/>
    <w:autoRedefine/>
    <w:qFormat/>
    <w:uiPriority w:val="99"/>
    <w:rPr>
      <w:kern w:val="0"/>
      <w:sz w:val="18"/>
      <w:szCs w:val="20"/>
    </w:rPr>
  </w:style>
  <w:style w:type="paragraph" w:styleId="42">
    <w:name w:val="footer"/>
    <w:basedOn w:val="1"/>
    <w:link w:val="90"/>
    <w:autoRedefine/>
    <w:qFormat/>
    <w:uiPriority w:val="99"/>
    <w:pPr>
      <w:tabs>
        <w:tab w:val="center" w:pos="4153"/>
        <w:tab w:val="right" w:pos="8306"/>
      </w:tabs>
      <w:snapToGrid w:val="0"/>
      <w:jc w:val="left"/>
    </w:pPr>
    <w:rPr>
      <w:kern w:val="0"/>
      <w:sz w:val="18"/>
      <w:szCs w:val="20"/>
    </w:rPr>
  </w:style>
  <w:style w:type="paragraph" w:styleId="43">
    <w:name w:val="envelope return"/>
    <w:basedOn w:val="1"/>
    <w:qFormat/>
    <w:locked/>
    <w:uiPriority w:val="0"/>
    <w:pPr>
      <w:snapToGrid w:val="0"/>
      <w:spacing w:line="480" w:lineRule="exact"/>
      <w:ind w:firstLine="0" w:firstLineChars="0"/>
    </w:pPr>
    <w:rPr>
      <w:rFonts w:ascii="Arial" w:hAnsi="Arial" w:cs="Arial"/>
      <w:sz w:val="21"/>
    </w:rPr>
  </w:style>
  <w:style w:type="paragraph" w:styleId="44">
    <w:name w:val="header"/>
    <w:basedOn w:val="1"/>
    <w:next w:val="45"/>
    <w:link w:val="87"/>
    <w:autoRedefine/>
    <w:qFormat/>
    <w:uiPriority w:val="99"/>
    <w:pPr>
      <w:pBdr>
        <w:bottom w:val="single" w:color="auto" w:sz="6" w:space="1"/>
      </w:pBdr>
      <w:tabs>
        <w:tab w:val="center" w:pos="4153"/>
        <w:tab w:val="right" w:pos="8306"/>
      </w:tabs>
      <w:snapToGrid w:val="0"/>
      <w:jc w:val="center"/>
    </w:pPr>
    <w:rPr>
      <w:kern w:val="0"/>
      <w:sz w:val="18"/>
      <w:szCs w:val="20"/>
    </w:rPr>
  </w:style>
  <w:style w:type="paragraph" w:customStyle="1" w:styleId="45">
    <w:name w:val="样式5"/>
    <w:autoRedefine/>
    <w:qFormat/>
    <w:uiPriority w:val="0"/>
    <w:pPr>
      <w:tabs>
        <w:tab w:val="center" w:pos="4153"/>
        <w:tab w:val="right" w:pos="8306"/>
      </w:tabs>
      <w:snapToGrid w:val="0"/>
    </w:pPr>
    <w:rPr>
      <w:rFonts w:ascii="Times New Roman" w:hAnsi="Times New Roman" w:eastAsia="宋体" w:cs="Times New Roman"/>
      <w:sz w:val="18"/>
      <w:lang w:val="en-US" w:eastAsia="zh-CN" w:bidi="ar-SA"/>
    </w:rPr>
  </w:style>
  <w:style w:type="paragraph" w:styleId="46">
    <w:name w:val="toc 1"/>
    <w:basedOn w:val="1"/>
    <w:next w:val="1"/>
    <w:autoRedefine/>
    <w:qFormat/>
    <w:locked/>
    <w:uiPriority w:val="39"/>
    <w:pPr>
      <w:tabs>
        <w:tab w:val="right" w:leader="dot" w:pos="8296"/>
      </w:tabs>
      <w:spacing w:line="360" w:lineRule="auto"/>
      <w:ind w:firstLine="480" w:firstLineChars="200"/>
      <w:jc w:val="left"/>
    </w:pPr>
    <w:rPr>
      <w:rFonts w:ascii="宋体" w:hAnsi="宋体"/>
      <w:caps/>
      <w:color w:val="000000"/>
      <w:sz w:val="24"/>
    </w:rPr>
  </w:style>
  <w:style w:type="paragraph" w:styleId="47">
    <w:name w:val="toc 4"/>
    <w:basedOn w:val="1"/>
    <w:next w:val="1"/>
    <w:autoRedefine/>
    <w:qFormat/>
    <w:locked/>
    <w:uiPriority w:val="39"/>
    <w:pPr>
      <w:ind w:left="480"/>
      <w:jc w:val="left"/>
    </w:pPr>
    <w:rPr>
      <w:sz w:val="20"/>
      <w:szCs w:val="20"/>
    </w:rPr>
  </w:style>
  <w:style w:type="paragraph" w:styleId="48">
    <w:name w:val="index heading"/>
    <w:basedOn w:val="1"/>
    <w:next w:val="49"/>
    <w:autoRedefine/>
    <w:qFormat/>
    <w:locked/>
    <w:uiPriority w:val="0"/>
    <w:pPr>
      <w:spacing w:line="500" w:lineRule="exact"/>
    </w:pPr>
    <w:rPr>
      <w:rFonts w:ascii="仿宋_GB2312" w:eastAsia="仿宋_GB2312"/>
      <w:sz w:val="28"/>
      <w:szCs w:val="20"/>
    </w:rPr>
  </w:style>
  <w:style w:type="paragraph" w:styleId="49">
    <w:name w:val="index 1"/>
    <w:basedOn w:val="1"/>
    <w:next w:val="1"/>
    <w:autoRedefine/>
    <w:qFormat/>
    <w:locked/>
    <w:uiPriority w:val="0"/>
  </w:style>
  <w:style w:type="paragraph" w:styleId="50">
    <w:name w:val="Subtitle"/>
    <w:basedOn w:val="1"/>
    <w:next w:val="1"/>
    <w:link w:val="113"/>
    <w:autoRedefine/>
    <w:qFormat/>
    <w:locked/>
    <w:uiPriority w:val="0"/>
    <w:pPr>
      <w:spacing w:line="480" w:lineRule="exact"/>
      <w:jc w:val="center"/>
      <w:outlineLvl w:val="4"/>
    </w:pPr>
    <w:rPr>
      <w:rFonts w:ascii="Cambria" w:hAnsi="Cambria"/>
      <w:kern w:val="0"/>
      <w:sz w:val="24"/>
      <w:szCs w:val="20"/>
      <w:lang w:eastAsia="en-US"/>
    </w:rPr>
  </w:style>
  <w:style w:type="paragraph" w:styleId="51">
    <w:name w:val="List"/>
    <w:basedOn w:val="1"/>
    <w:autoRedefine/>
    <w:qFormat/>
    <w:locked/>
    <w:uiPriority w:val="99"/>
    <w:pPr>
      <w:spacing w:line="360" w:lineRule="exact"/>
      <w:jc w:val="center"/>
    </w:pPr>
    <w:rPr>
      <w:rFonts w:ascii="仿宋_GB2312" w:eastAsia="仿宋_GB2312"/>
      <w:sz w:val="24"/>
      <w:szCs w:val="20"/>
    </w:rPr>
  </w:style>
  <w:style w:type="paragraph" w:styleId="52">
    <w:name w:val="toc 6"/>
    <w:basedOn w:val="1"/>
    <w:next w:val="1"/>
    <w:autoRedefine/>
    <w:qFormat/>
    <w:locked/>
    <w:uiPriority w:val="39"/>
    <w:pPr>
      <w:ind w:left="960"/>
      <w:jc w:val="left"/>
    </w:pPr>
    <w:rPr>
      <w:sz w:val="20"/>
      <w:szCs w:val="20"/>
    </w:rPr>
  </w:style>
  <w:style w:type="paragraph" w:styleId="53">
    <w:name w:val="Body Text Indent 3"/>
    <w:basedOn w:val="1"/>
    <w:link w:val="122"/>
    <w:autoRedefine/>
    <w:qFormat/>
    <w:locked/>
    <w:uiPriority w:val="0"/>
    <w:pPr>
      <w:widowControl/>
      <w:spacing w:line="440" w:lineRule="exact"/>
      <w:ind w:firstLine="561" w:firstLineChars="200"/>
    </w:pPr>
    <w:rPr>
      <w:rFonts w:eastAsia="楷体_GB2312"/>
      <w:b/>
      <w:kern w:val="0"/>
      <w:sz w:val="20"/>
      <w:szCs w:val="20"/>
    </w:rPr>
  </w:style>
  <w:style w:type="paragraph" w:styleId="54">
    <w:name w:val="table of figures"/>
    <w:basedOn w:val="1"/>
    <w:next w:val="1"/>
    <w:autoRedefine/>
    <w:qFormat/>
    <w:locked/>
    <w:uiPriority w:val="0"/>
    <w:pPr>
      <w:ind w:left="200" w:leftChars="200" w:hanging="200" w:hangingChars="200"/>
    </w:pPr>
  </w:style>
  <w:style w:type="paragraph" w:styleId="55">
    <w:name w:val="toc 2"/>
    <w:basedOn w:val="1"/>
    <w:next w:val="1"/>
    <w:autoRedefine/>
    <w:qFormat/>
    <w:locked/>
    <w:uiPriority w:val="39"/>
    <w:pPr>
      <w:tabs>
        <w:tab w:val="right" w:leader="dot" w:pos="9061"/>
      </w:tabs>
      <w:spacing w:line="360" w:lineRule="auto"/>
      <w:ind w:firstLine="480" w:firstLineChars="200"/>
    </w:pPr>
    <w:rPr>
      <w:sz w:val="24"/>
    </w:rPr>
  </w:style>
  <w:style w:type="paragraph" w:styleId="56">
    <w:name w:val="toc 9"/>
    <w:basedOn w:val="1"/>
    <w:next w:val="1"/>
    <w:autoRedefine/>
    <w:qFormat/>
    <w:locked/>
    <w:uiPriority w:val="39"/>
    <w:pPr>
      <w:ind w:left="1680"/>
      <w:jc w:val="left"/>
    </w:pPr>
    <w:rPr>
      <w:sz w:val="20"/>
      <w:szCs w:val="20"/>
    </w:rPr>
  </w:style>
  <w:style w:type="paragraph" w:styleId="57">
    <w:name w:val="Body Text 2"/>
    <w:basedOn w:val="1"/>
    <w:link w:val="167"/>
    <w:autoRedefine/>
    <w:qFormat/>
    <w:locked/>
    <w:uiPriority w:val="99"/>
    <w:pPr>
      <w:spacing w:after="120" w:line="480" w:lineRule="auto"/>
    </w:pPr>
    <w:rPr>
      <w:kern w:val="0"/>
      <w:sz w:val="20"/>
      <w:szCs w:val="20"/>
    </w:rPr>
  </w:style>
  <w:style w:type="paragraph" w:styleId="58">
    <w:name w:val="HTML Preformatted"/>
    <w:basedOn w:val="1"/>
    <w:link w:val="279"/>
    <w:autoRedefine/>
    <w:qFormat/>
    <w:locked/>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8" w:lineRule="atLeast"/>
      <w:jc w:val="left"/>
    </w:pPr>
    <w:rPr>
      <w:rFonts w:ascii="Arial" w:hAnsi="Arial"/>
      <w:kern w:val="0"/>
      <w:sz w:val="23"/>
      <w:szCs w:val="23"/>
      <w:lang w:val="zh-CN"/>
    </w:rPr>
  </w:style>
  <w:style w:type="paragraph" w:styleId="59">
    <w:name w:val="Normal (Web)"/>
    <w:basedOn w:val="1"/>
    <w:link w:val="88"/>
    <w:autoRedefine/>
    <w:qFormat/>
    <w:uiPriority w:val="99"/>
    <w:pPr>
      <w:widowControl/>
      <w:spacing w:before="100" w:beforeAutospacing="1" w:after="100" w:afterAutospacing="1"/>
      <w:jc w:val="left"/>
    </w:pPr>
    <w:rPr>
      <w:rFonts w:ascii="宋体" w:hAnsi="宋体"/>
      <w:kern w:val="0"/>
      <w:sz w:val="24"/>
      <w:szCs w:val="20"/>
    </w:rPr>
  </w:style>
  <w:style w:type="paragraph" w:styleId="60">
    <w:name w:val="Title"/>
    <w:basedOn w:val="1"/>
    <w:link w:val="123"/>
    <w:autoRedefine/>
    <w:qFormat/>
    <w:locked/>
    <w:uiPriority w:val="0"/>
    <w:pPr>
      <w:widowControl/>
      <w:spacing w:before="100" w:beforeAutospacing="1" w:after="100" w:afterAutospacing="1"/>
      <w:jc w:val="left"/>
    </w:pPr>
    <w:rPr>
      <w:rFonts w:ascii="宋体"/>
      <w:kern w:val="0"/>
      <w:sz w:val="24"/>
      <w:szCs w:val="20"/>
    </w:rPr>
  </w:style>
  <w:style w:type="paragraph" w:styleId="61">
    <w:name w:val="annotation subject"/>
    <w:basedOn w:val="24"/>
    <w:next w:val="24"/>
    <w:link w:val="91"/>
    <w:autoRedefine/>
    <w:qFormat/>
    <w:uiPriority w:val="99"/>
    <w:rPr>
      <w:b/>
    </w:rPr>
  </w:style>
  <w:style w:type="paragraph" w:styleId="62">
    <w:name w:val="Body Text First Indent"/>
    <w:basedOn w:val="28"/>
    <w:link w:val="144"/>
    <w:autoRedefine/>
    <w:qFormat/>
    <w:locked/>
    <w:uiPriority w:val="99"/>
    <w:pPr>
      <w:widowControl w:val="0"/>
      <w:snapToGrid/>
      <w:spacing w:before="0" w:after="120" w:line="240" w:lineRule="auto"/>
      <w:ind w:right="0" w:firstLine="420" w:firstLineChars="100"/>
    </w:pPr>
    <w:rPr>
      <w:sz w:val="20"/>
    </w:rPr>
  </w:style>
  <w:style w:type="table" w:styleId="64">
    <w:name w:val="Table Grid"/>
    <w:basedOn w:val="63"/>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5">
    <w:name w:val="Table Theme"/>
    <w:basedOn w:val="63"/>
    <w:autoRedefine/>
    <w:qFormat/>
    <w:locked/>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6">
    <w:name w:val="Table Elegant"/>
    <w:basedOn w:val="63"/>
    <w:autoRedefine/>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67">
    <w:name w:val="Table Grid 1"/>
    <w:basedOn w:val="63"/>
    <w:autoRedefine/>
    <w:qFormat/>
    <w:locked/>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color="000000" w:sz="6" w:space="0"/>
          <w:tr2bl w:val="nil"/>
        </w:tcBorders>
      </w:tcPr>
    </w:tblStylePr>
  </w:style>
  <w:style w:type="table" w:styleId="68">
    <w:name w:val="Table Grid 5"/>
    <w:basedOn w:val="63"/>
    <w:autoRedefine/>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character" w:styleId="70">
    <w:name w:val="Strong"/>
    <w:autoRedefine/>
    <w:qFormat/>
    <w:locked/>
    <w:uiPriority w:val="22"/>
    <w:rPr>
      <w:b/>
      <w:bCs/>
    </w:rPr>
  </w:style>
  <w:style w:type="character" w:styleId="71">
    <w:name w:val="endnote reference"/>
    <w:autoRedefine/>
    <w:unhideWhenUsed/>
    <w:qFormat/>
    <w:locked/>
    <w:uiPriority w:val="99"/>
    <w:rPr>
      <w:rFonts w:cs="Times New Roman"/>
      <w:vertAlign w:val="superscript"/>
    </w:rPr>
  </w:style>
  <w:style w:type="character" w:styleId="72">
    <w:name w:val="page number"/>
    <w:basedOn w:val="69"/>
    <w:autoRedefine/>
    <w:qFormat/>
    <w:locked/>
    <w:uiPriority w:val="0"/>
  </w:style>
  <w:style w:type="character" w:styleId="73">
    <w:name w:val="FollowedHyperlink"/>
    <w:autoRedefine/>
    <w:qFormat/>
    <w:locked/>
    <w:uiPriority w:val="0"/>
    <w:rPr>
      <w:color w:val="800080"/>
      <w:u w:val="single"/>
    </w:rPr>
  </w:style>
  <w:style w:type="character" w:styleId="74">
    <w:name w:val="Emphasis"/>
    <w:autoRedefine/>
    <w:qFormat/>
    <w:locked/>
    <w:uiPriority w:val="20"/>
    <w:rPr>
      <w:color w:val="CC0000"/>
    </w:rPr>
  </w:style>
  <w:style w:type="character" w:styleId="75">
    <w:name w:val="HTML Typewriter"/>
    <w:autoRedefine/>
    <w:qFormat/>
    <w:locked/>
    <w:uiPriority w:val="0"/>
    <w:rPr>
      <w:rFonts w:ascii="宋体" w:hAnsi="宋体" w:eastAsia="宋体" w:cs="宋体"/>
      <w:sz w:val="24"/>
      <w:szCs w:val="24"/>
    </w:rPr>
  </w:style>
  <w:style w:type="character" w:styleId="76">
    <w:name w:val="Hyperlink"/>
    <w:autoRedefine/>
    <w:qFormat/>
    <w:locked/>
    <w:uiPriority w:val="99"/>
    <w:rPr>
      <w:rFonts w:cs="Times New Roman"/>
      <w:color w:val="136EC2"/>
      <w:u w:val="single"/>
    </w:rPr>
  </w:style>
  <w:style w:type="character" w:styleId="77">
    <w:name w:val="annotation reference"/>
    <w:autoRedefine/>
    <w:qFormat/>
    <w:uiPriority w:val="99"/>
    <w:rPr>
      <w:sz w:val="21"/>
    </w:rPr>
  </w:style>
  <w:style w:type="paragraph" w:customStyle="1" w:styleId="78">
    <w:name w:val="Default"/>
    <w:basedOn w:val="79"/>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9">
    <w:name w:val="文本"/>
    <w:next w:val="1"/>
    <w:link w:val="401"/>
    <w:autoRedefine/>
    <w:qFormat/>
    <w:uiPriority w:val="0"/>
    <w:pPr>
      <w:widowControl w:val="0"/>
      <w:spacing w:line="440" w:lineRule="exact"/>
      <w:ind w:firstLine="200" w:firstLineChars="200"/>
    </w:pPr>
    <w:rPr>
      <w:rFonts w:ascii="Times New Roman" w:hAnsi="Times New Roman" w:eastAsia="Times New Roman" w:cs="Times New Roman"/>
      <w:kern w:val="2"/>
      <w:sz w:val="24"/>
      <w:szCs w:val="24"/>
      <w:lang w:val="en-US" w:eastAsia="zh-CN" w:bidi="ar-SA"/>
    </w:rPr>
  </w:style>
  <w:style w:type="paragraph" w:customStyle="1" w:styleId="80">
    <w:name w:val="样式1"/>
    <w:basedOn w:val="48"/>
    <w:next w:val="31"/>
    <w:link w:val="169"/>
    <w:autoRedefine/>
    <w:qFormat/>
    <w:uiPriority w:val="0"/>
    <w:pPr>
      <w:adjustRightInd w:val="0"/>
      <w:snapToGrid w:val="0"/>
      <w:spacing w:line="320" w:lineRule="exact"/>
      <w:jc w:val="center"/>
    </w:pPr>
    <w:rPr>
      <w:rFonts w:ascii="Calibri" w:hAnsi="Calibri"/>
      <w:color w:val="000000"/>
      <w:kern w:val="0"/>
      <w:sz w:val="24"/>
      <w:szCs w:val="20"/>
    </w:rPr>
  </w:style>
  <w:style w:type="paragraph" w:customStyle="1" w:styleId="81">
    <w:name w:val="样式35"/>
    <w:basedOn w:val="1"/>
    <w:qFormat/>
    <w:uiPriority w:val="0"/>
    <w:pPr>
      <w:adjustRightInd w:val="0"/>
      <w:spacing w:line="312" w:lineRule="auto"/>
      <w:ind w:firstLine="567"/>
    </w:pPr>
    <w:rPr>
      <w:rFonts w:ascii="宋体"/>
      <w:kern w:val="0"/>
      <w:sz w:val="28"/>
      <w:szCs w:val="20"/>
    </w:rPr>
  </w:style>
  <w:style w:type="paragraph" w:customStyle="1" w:styleId="82">
    <w:name w:val="正文首行缩进2个字 Char"/>
    <w:basedOn w:val="1"/>
    <w:qFormat/>
    <w:uiPriority w:val="0"/>
    <w:pPr>
      <w:ind w:firstLine="480" w:firstLineChars="200"/>
    </w:pPr>
    <w:rPr>
      <w:rFonts w:eastAsia="楷体"/>
      <w:sz w:val="24"/>
    </w:rPr>
  </w:style>
  <w:style w:type="paragraph" w:customStyle="1" w:styleId="83">
    <w:name w:val="常规"/>
    <w:basedOn w:val="1"/>
    <w:qFormat/>
    <w:uiPriority w:val="0"/>
    <w:pPr>
      <w:ind w:firstLine="200" w:firstLineChars="200"/>
      <w:jc w:val="left"/>
    </w:pPr>
    <w:rPr>
      <w:rFonts w:ascii="Arial" w:hAnsi="Arial" w:eastAsia="Arial"/>
      <w:color w:val="000000"/>
      <w:kern w:val="0"/>
      <w:sz w:val="20"/>
      <w:lang w:val="zh-CN"/>
    </w:rPr>
  </w:style>
  <w:style w:type="paragraph" w:customStyle="1" w:styleId="84">
    <w:name w:val="A正文"/>
    <w:basedOn w:val="1"/>
    <w:autoRedefine/>
    <w:qFormat/>
    <w:uiPriority w:val="0"/>
    <w:pPr>
      <w:snapToGrid w:val="0"/>
      <w:spacing w:line="500" w:lineRule="exact"/>
      <w:ind w:firstLine="480"/>
    </w:pPr>
    <w:rPr>
      <w:sz w:val="24"/>
    </w:rPr>
  </w:style>
  <w:style w:type="character" w:customStyle="1" w:styleId="85">
    <w:name w:val="批注文字 字符1"/>
    <w:autoRedefine/>
    <w:semiHidden/>
    <w:qFormat/>
    <w:uiPriority w:val="0"/>
    <w:rPr>
      <w:rFonts w:ascii="Times New Roman" w:hAnsi="Times New Roman" w:eastAsia="宋体"/>
      <w:sz w:val="24"/>
    </w:rPr>
  </w:style>
  <w:style w:type="character" w:customStyle="1" w:styleId="86">
    <w:name w:val="页脚 字符"/>
    <w:basedOn w:val="69"/>
    <w:autoRedefine/>
    <w:qFormat/>
    <w:uiPriority w:val="99"/>
  </w:style>
  <w:style w:type="character" w:customStyle="1" w:styleId="87">
    <w:name w:val="页眉 字符"/>
    <w:link w:val="44"/>
    <w:autoRedefine/>
    <w:qFormat/>
    <w:locked/>
    <w:uiPriority w:val="99"/>
    <w:rPr>
      <w:sz w:val="18"/>
    </w:rPr>
  </w:style>
  <w:style w:type="character" w:customStyle="1" w:styleId="88">
    <w:name w:val="普通(网站) 字符"/>
    <w:link w:val="59"/>
    <w:autoRedefine/>
    <w:qFormat/>
    <w:locked/>
    <w:uiPriority w:val="0"/>
    <w:rPr>
      <w:rFonts w:ascii="宋体" w:hAnsi="宋体" w:eastAsia="宋体"/>
      <w:sz w:val="24"/>
    </w:rPr>
  </w:style>
  <w:style w:type="character" w:customStyle="1" w:styleId="89">
    <w:name w:val="正文文本缩进 字符"/>
    <w:link w:val="10"/>
    <w:autoRedefine/>
    <w:qFormat/>
    <w:locked/>
    <w:uiPriority w:val="0"/>
    <w:rPr>
      <w:rFonts w:ascii="Times New Roman" w:hAnsi="Times New Roman" w:eastAsia="宋体"/>
      <w:sz w:val="24"/>
    </w:rPr>
  </w:style>
  <w:style w:type="character" w:customStyle="1" w:styleId="90">
    <w:name w:val="页脚 字符1"/>
    <w:link w:val="42"/>
    <w:autoRedefine/>
    <w:qFormat/>
    <w:locked/>
    <w:uiPriority w:val="99"/>
    <w:rPr>
      <w:sz w:val="18"/>
    </w:rPr>
  </w:style>
  <w:style w:type="character" w:customStyle="1" w:styleId="91">
    <w:name w:val="批注主题 字符"/>
    <w:link w:val="61"/>
    <w:autoRedefine/>
    <w:qFormat/>
    <w:locked/>
    <w:uiPriority w:val="99"/>
    <w:rPr>
      <w:rFonts w:ascii="Times New Roman" w:hAnsi="Times New Roman" w:eastAsia="宋体"/>
      <w:b/>
      <w:kern w:val="2"/>
      <w:sz w:val="24"/>
    </w:rPr>
  </w:style>
  <w:style w:type="character" w:customStyle="1" w:styleId="92">
    <w:name w:val="日期 字符1"/>
    <w:link w:val="39"/>
    <w:autoRedefine/>
    <w:qFormat/>
    <w:locked/>
    <w:uiPriority w:val="0"/>
    <w:rPr>
      <w:rFonts w:ascii="Times New Roman" w:hAnsi="Times New Roman" w:eastAsia="宋体"/>
      <w:sz w:val="24"/>
    </w:rPr>
  </w:style>
  <w:style w:type="character" w:customStyle="1" w:styleId="93">
    <w:name w:val="正文文本 字符1"/>
    <w:autoRedefine/>
    <w:semiHidden/>
    <w:qFormat/>
    <w:uiPriority w:val="0"/>
    <w:rPr>
      <w:rFonts w:ascii="Times New Roman" w:hAnsi="Times New Roman" w:eastAsia="宋体"/>
      <w:sz w:val="24"/>
    </w:rPr>
  </w:style>
  <w:style w:type="character" w:customStyle="1" w:styleId="94">
    <w:name w:val="批注文字 字符"/>
    <w:link w:val="24"/>
    <w:autoRedefine/>
    <w:qFormat/>
    <w:locked/>
    <w:uiPriority w:val="99"/>
    <w:rPr>
      <w:rFonts w:ascii="Times New Roman" w:hAnsi="Times New Roman" w:eastAsia="宋体"/>
      <w:sz w:val="24"/>
    </w:rPr>
  </w:style>
  <w:style w:type="character" w:customStyle="1" w:styleId="95">
    <w:name w:val="正文文本 字符"/>
    <w:link w:val="28"/>
    <w:autoRedefine/>
    <w:qFormat/>
    <w:locked/>
    <w:uiPriority w:val="0"/>
    <w:rPr>
      <w:sz w:val="18"/>
    </w:rPr>
  </w:style>
  <w:style w:type="character" w:customStyle="1" w:styleId="96">
    <w:name w:val="批注框文本 字符"/>
    <w:link w:val="41"/>
    <w:autoRedefine/>
    <w:qFormat/>
    <w:locked/>
    <w:uiPriority w:val="99"/>
    <w:rPr>
      <w:rFonts w:ascii="Times New Roman" w:hAnsi="Times New Roman" w:eastAsia="宋体"/>
      <w:sz w:val="18"/>
    </w:rPr>
  </w:style>
  <w:style w:type="character" w:customStyle="1" w:styleId="97">
    <w:name w:val="表格 Char"/>
    <w:link w:val="98"/>
    <w:autoRedefine/>
    <w:qFormat/>
    <w:locked/>
    <w:uiPriority w:val="0"/>
    <w:rPr>
      <w:rFonts w:ascii="宋体"/>
      <w:sz w:val="21"/>
    </w:rPr>
  </w:style>
  <w:style w:type="paragraph" w:customStyle="1" w:styleId="98">
    <w:name w:val="表格"/>
    <w:basedOn w:val="59"/>
    <w:next w:val="1"/>
    <w:link w:val="97"/>
    <w:autoRedefine/>
    <w:qFormat/>
    <w:uiPriority w:val="0"/>
    <w:pPr>
      <w:adjustRightInd w:val="0"/>
      <w:snapToGrid w:val="0"/>
      <w:spacing w:beforeLines="10" w:afterLines="10" w:line="259" w:lineRule="auto"/>
      <w:jc w:val="center"/>
    </w:pPr>
    <w:rPr>
      <w:rFonts w:ascii="宋体"/>
      <w:kern w:val="0"/>
      <w:szCs w:val="20"/>
    </w:rPr>
  </w:style>
  <w:style w:type="character" w:customStyle="1" w:styleId="99">
    <w:name w:val="日期 字符"/>
    <w:autoRedefine/>
    <w:qFormat/>
    <w:uiPriority w:val="99"/>
    <w:rPr>
      <w:rFonts w:ascii="Times New Roman" w:hAnsi="Times New Roman" w:eastAsia="宋体"/>
      <w:sz w:val="24"/>
    </w:rPr>
  </w:style>
  <w:style w:type="paragraph" w:customStyle="1" w:styleId="100">
    <w:name w:val="正文_1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1">
    <w:name w:val="普通(网站)2"/>
    <w:basedOn w:val="1"/>
    <w:autoRedefine/>
    <w:qFormat/>
    <w:uiPriority w:val="0"/>
    <w:pPr>
      <w:widowControl/>
      <w:spacing w:before="100" w:beforeAutospacing="1" w:after="100" w:afterAutospacing="1"/>
      <w:jc w:val="left"/>
    </w:pPr>
    <w:rPr>
      <w:rFonts w:ascii="宋体" w:hAnsi="宋体"/>
      <w:sz w:val="24"/>
      <w:szCs w:val="20"/>
    </w:rPr>
  </w:style>
  <w:style w:type="character" w:customStyle="1" w:styleId="102">
    <w:name w:val="标题 2 字符1"/>
    <w:link w:val="3"/>
    <w:autoRedefine/>
    <w:qFormat/>
    <w:uiPriority w:val="99"/>
    <w:rPr>
      <w:rFonts w:ascii="Arial" w:hAnsi="Arial" w:eastAsia="黑体"/>
      <w:b/>
      <w:kern w:val="2"/>
      <w:sz w:val="36"/>
    </w:rPr>
  </w:style>
  <w:style w:type="character" w:customStyle="1" w:styleId="103">
    <w:name w:val="标题 3 字符1"/>
    <w:link w:val="5"/>
    <w:autoRedefine/>
    <w:qFormat/>
    <w:uiPriority w:val="0"/>
    <w:rPr>
      <w:rFonts w:ascii="Arial" w:hAnsi="Arial" w:eastAsia="黑体"/>
      <w:b/>
      <w:kern w:val="2"/>
      <w:sz w:val="30"/>
    </w:rPr>
  </w:style>
  <w:style w:type="character" w:customStyle="1" w:styleId="104">
    <w:name w:val="标题 4 字符1"/>
    <w:link w:val="6"/>
    <w:autoRedefine/>
    <w:qFormat/>
    <w:uiPriority w:val="99"/>
    <w:rPr>
      <w:rFonts w:ascii="Arial" w:hAnsi="Arial" w:eastAsia="黑体"/>
      <w:b/>
      <w:kern w:val="2"/>
      <w:sz w:val="28"/>
    </w:rPr>
  </w:style>
  <w:style w:type="character" w:customStyle="1" w:styleId="105">
    <w:name w:val="标题 5 字符2"/>
    <w:link w:val="7"/>
    <w:autoRedefine/>
    <w:qFormat/>
    <w:uiPriority w:val="0"/>
    <w:rPr>
      <w:rFonts w:ascii="Arial" w:hAnsi="Arial"/>
      <w:b/>
      <w:kern w:val="2"/>
      <w:sz w:val="28"/>
    </w:rPr>
  </w:style>
  <w:style w:type="character" w:customStyle="1" w:styleId="106">
    <w:name w:val="标题 6 字符1"/>
    <w:link w:val="12"/>
    <w:autoRedefine/>
    <w:qFormat/>
    <w:uiPriority w:val="0"/>
    <w:rPr>
      <w:rFonts w:eastAsia="楷体_GB2312"/>
      <w:b/>
    </w:rPr>
  </w:style>
  <w:style w:type="character" w:customStyle="1" w:styleId="107">
    <w:name w:val="标题 7 字符1"/>
    <w:link w:val="13"/>
    <w:autoRedefine/>
    <w:qFormat/>
    <w:uiPriority w:val="0"/>
    <w:rPr>
      <w:rFonts w:eastAsia="仿宋_GB2312"/>
      <w:b/>
      <w:sz w:val="24"/>
      <w:szCs w:val="24"/>
      <w:lang w:val="zh-CN" w:eastAsia="zh-CN"/>
    </w:rPr>
  </w:style>
  <w:style w:type="character" w:customStyle="1" w:styleId="108">
    <w:name w:val="标题 8 字符1"/>
    <w:link w:val="14"/>
    <w:autoRedefine/>
    <w:qFormat/>
    <w:uiPriority w:val="0"/>
    <w:rPr>
      <w:rFonts w:ascii="Arial" w:hAnsi="Arial" w:eastAsia="黑体"/>
      <w:bCs/>
      <w:sz w:val="24"/>
      <w:szCs w:val="24"/>
      <w:lang w:val="zh-CN" w:eastAsia="zh-CN"/>
    </w:rPr>
  </w:style>
  <w:style w:type="character" w:customStyle="1" w:styleId="109">
    <w:name w:val="标题 9 字符1"/>
    <w:link w:val="15"/>
    <w:autoRedefine/>
    <w:qFormat/>
    <w:uiPriority w:val="0"/>
    <w:rPr>
      <w:rFonts w:ascii="Arial" w:hAnsi="Arial" w:eastAsia="黑体"/>
      <w:bCs/>
      <w:sz w:val="24"/>
      <w:szCs w:val="24"/>
      <w:lang w:val="zh-CN" w:eastAsia="zh-CN"/>
    </w:rPr>
  </w:style>
  <w:style w:type="character" w:customStyle="1" w:styleId="110">
    <w:name w:val="纯文本 字符2"/>
    <w:link w:val="36"/>
    <w:autoRedefine/>
    <w:qFormat/>
    <w:locked/>
    <w:uiPriority w:val="0"/>
    <w:rPr>
      <w:rFonts w:ascii="宋体" w:hAnsi="Courier New"/>
      <w:sz w:val="21"/>
    </w:rPr>
  </w:style>
  <w:style w:type="character" w:customStyle="1" w:styleId="111">
    <w:name w:val="纯文本 Char"/>
    <w:autoRedefine/>
    <w:qFormat/>
    <w:uiPriority w:val="0"/>
    <w:rPr>
      <w:rFonts w:ascii="宋体" w:hAnsi="Courier New" w:eastAsia="宋体"/>
      <w:kern w:val="0"/>
      <w:sz w:val="21"/>
    </w:rPr>
  </w:style>
  <w:style w:type="character" w:customStyle="1" w:styleId="112">
    <w:name w:val="height"/>
    <w:autoRedefine/>
    <w:qFormat/>
    <w:uiPriority w:val="99"/>
    <w:rPr>
      <w:rFonts w:cs="Times New Roman"/>
    </w:rPr>
  </w:style>
  <w:style w:type="character" w:customStyle="1" w:styleId="113">
    <w:name w:val="副标题 字符1"/>
    <w:link w:val="50"/>
    <w:autoRedefine/>
    <w:qFormat/>
    <w:locked/>
    <w:uiPriority w:val="0"/>
    <w:rPr>
      <w:rFonts w:ascii="Cambria" w:hAnsi="Cambria"/>
      <w:sz w:val="24"/>
      <w:lang w:eastAsia="en-US"/>
    </w:rPr>
  </w:style>
  <w:style w:type="character" w:customStyle="1" w:styleId="114">
    <w:name w:val="正文文本缩进 2 字符1"/>
    <w:link w:val="11"/>
    <w:autoRedefine/>
    <w:qFormat/>
    <w:locked/>
    <w:uiPriority w:val="99"/>
    <w:rPr>
      <w:rFonts w:eastAsia="仿宋_GB2312"/>
      <w:b/>
    </w:rPr>
  </w:style>
  <w:style w:type="character" w:customStyle="1" w:styleId="115">
    <w:name w:val="apple-converted-space"/>
    <w:autoRedefine/>
    <w:qFormat/>
    <w:uiPriority w:val="0"/>
  </w:style>
  <w:style w:type="character" w:customStyle="1" w:styleId="116">
    <w:name w:val="表格内文字 Char Char"/>
    <w:autoRedefine/>
    <w:qFormat/>
    <w:uiPriority w:val="0"/>
    <w:rPr>
      <w:rFonts w:eastAsia="仿宋_GB2312"/>
      <w:kern w:val="2"/>
      <w:sz w:val="24"/>
    </w:rPr>
  </w:style>
  <w:style w:type="character" w:customStyle="1" w:styleId="117">
    <w:name w:val="表格文字 Char"/>
    <w:link w:val="118"/>
    <w:autoRedefine/>
    <w:qFormat/>
    <w:locked/>
    <w:uiPriority w:val="0"/>
    <w:rPr>
      <w:rFonts w:ascii="仿宋_GB2312" w:hAnsi="Arial Black" w:eastAsia="仿宋_GB2312"/>
      <w:kern w:val="44"/>
      <w:sz w:val="24"/>
    </w:rPr>
  </w:style>
  <w:style w:type="paragraph" w:customStyle="1" w:styleId="118">
    <w:name w:val="表格文字"/>
    <w:basedOn w:val="28"/>
    <w:next w:val="119"/>
    <w:link w:val="117"/>
    <w:autoRedefine/>
    <w:qFormat/>
    <w:uiPriority w:val="0"/>
    <w:pPr>
      <w:jc w:val="center"/>
    </w:pPr>
    <w:rPr>
      <w:rFonts w:ascii="仿宋_GB2312" w:hAnsi="Arial Black" w:eastAsia="仿宋_GB2312"/>
      <w:kern w:val="44"/>
      <w:sz w:val="24"/>
      <w:szCs w:val="20"/>
    </w:rPr>
  </w:style>
  <w:style w:type="paragraph" w:customStyle="1" w:styleId="119">
    <w:name w:val="表格标题"/>
    <w:basedOn w:val="21"/>
    <w:next w:val="1"/>
    <w:link w:val="274"/>
    <w:autoRedefine/>
    <w:qFormat/>
    <w:uiPriority w:val="0"/>
    <w:pPr>
      <w:spacing w:before="120"/>
      <w:jc w:val="center"/>
    </w:pPr>
    <w:rPr>
      <w:rFonts w:eastAsia="方正魏碑简体"/>
      <w:sz w:val="24"/>
      <w:szCs w:val="20"/>
    </w:rPr>
  </w:style>
  <w:style w:type="character" w:customStyle="1" w:styleId="120">
    <w:name w:val="谏壁正文chen Char Char"/>
    <w:link w:val="121"/>
    <w:autoRedefine/>
    <w:qFormat/>
    <w:locked/>
    <w:uiPriority w:val="99"/>
    <w:rPr>
      <w:kern w:val="2"/>
      <w:sz w:val="24"/>
    </w:rPr>
  </w:style>
  <w:style w:type="paragraph" w:customStyle="1" w:styleId="121">
    <w:name w:val="谏壁正文chen"/>
    <w:basedOn w:val="1"/>
    <w:link w:val="120"/>
    <w:autoRedefine/>
    <w:qFormat/>
    <w:uiPriority w:val="99"/>
    <w:pPr>
      <w:spacing w:line="360" w:lineRule="auto"/>
      <w:ind w:firstLine="200" w:firstLineChars="200"/>
    </w:pPr>
    <w:rPr>
      <w:sz w:val="24"/>
      <w:szCs w:val="20"/>
    </w:rPr>
  </w:style>
  <w:style w:type="character" w:customStyle="1" w:styleId="122">
    <w:name w:val="正文文本缩进 3 字符1"/>
    <w:link w:val="53"/>
    <w:autoRedefine/>
    <w:qFormat/>
    <w:locked/>
    <w:uiPriority w:val="0"/>
    <w:rPr>
      <w:rFonts w:eastAsia="楷体_GB2312"/>
      <w:b/>
    </w:rPr>
  </w:style>
  <w:style w:type="character" w:customStyle="1" w:styleId="123">
    <w:name w:val="标题 字符1"/>
    <w:link w:val="60"/>
    <w:autoRedefine/>
    <w:qFormat/>
    <w:locked/>
    <w:uiPriority w:val="0"/>
    <w:rPr>
      <w:rFonts w:ascii="宋体"/>
      <w:sz w:val="24"/>
    </w:rPr>
  </w:style>
  <w:style w:type="character" w:customStyle="1" w:styleId="124">
    <w:name w:val="正文文本 Char"/>
    <w:autoRedefine/>
    <w:qFormat/>
    <w:locked/>
    <w:uiPriority w:val="0"/>
    <w:rPr>
      <w:rFonts w:ascii="Times New Roman" w:hAnsi="Times New Roman" w:eastAsia="宋体" w:cs="Times New Roman"/>
      <w:kern w:val="0"/>
      <w:sz w:val="20"/>
    </w:rPr>
  </w:style>
  <w:style w:type="character" w:customStyle="1" w:styleId="125">
    <w:name w:val="批注主题 Char"/>
    <w:autoRedefine/>
    <w:qFormat/>
    <w:locked/>
    <w:uiPriority w:val="99"/>
    <w:rPr>
      <w:rFonts w:ascii="Times New Roman" w:hAnsi="Times New Roman" w:cs="Times New Roman"/>
      <w:b/>
    </w:rPr>
  </w:style>
  <w:style w:type="character" w:customStyle="1" w:styleId="126">
    <w:name w:val="price_unline"/>
    <w:autoRedefine/>
    <w:qFormat/>
    <w:uiPriority w:val="99"/>
    <w:rPr>
      <w:rFonts w:cs="Times New Roman"/>
    </w:rPr>
  </w:style>
  <w:style w:type="character" w:customStyle="1" w:styleId="127">
    <w:name w:val="表格样式 Char"/>
    <w:link w:val="128"/>
    <w:autoRedefine/>
    <w:qFormat/>
    <w:locked/>
    <w:uiPriority w:val="99"/>
    <w:rPr>
      <w:rFonts w:ascii="宋体"/>
      <w:kern w:val="2"/>
      <w:sz w:val="21"/>
    </w:rPr>
  </w:style>
  <w:style w:type="paragraph" w:customStyle="1" w:styleId="128">
    <w:name w:val="表格样式"/>
    <w:basedOn w:val="1"/>
    <w:link w:val="127"/>
    <w:autoRedefine/>
    <w:qFormat/>
    <w:uiPriority w:val="99"/>
    <w:pPr>
      <w:jc w:val="center"/>
    </w:pPr>
    <w:rPr>
      <w:rFonts w:ascii="宋体"/>
      <w:szCs w:val="20"/>
    </w:rPr>
  </w:style>
  <w:style w:type="character" w:customStyle="1" w:styleId="129">
    <w:name w:val="表文字 Char1"/>
    <w:link w:val="130"/>
    <w:autoRedefine/>
    <w:qFormat/>
    <w:locked/>
    <w:uiPriority w:val="99"/>
  </w:style>
  <w:style w:type="paragraph" w:customStyle="1" w:styleId="130">
    <w:name w:val="表文字"/>
    <w:basedOn w:val="1"/>
    <w:link w:val="129"/>
    <w:autoRedefine/>
    <w:qFormat/>
    <w:uiPriority w:val="0"/>
    <w:pPr>
      <w:overflowPunct w:val="0"/>
      <w:autoSpaceDE w:val="0"/>
      <w:autoSpaceDN w:val="0"/>
      <w:adjustRightInd w:val="0"/>
      <w:spacing w:line="240" w:lineRule="atLeast"/>
      <w:jc w:val="center"/>
      <w:textAlignment w:val="baseline"/>
    </w:pPr>
    <w:rPr>
      <w:kern w:val="0"/>
      <w:sz w:val="20"/>
      <w:szCs w:val="20"/>
    </w:rPr>
  </w:style>
  <w:style w:type="character" w:customStyle="1" w:styleId="131">
    <w:name w:val="aspmaker1"/>
    <w:autoRedefine/>
    <w:qFormat/>
    <w:uiPriority w:val="0"/>
    <w:rPr>
      <w:sz w:val="20"/>
    </w:rPr>
  </w:style>
  <w:style w:type="character" w:customStyle="1" w:styleId="132">
    <w:name w:val="正文（首行缩进2字） Char1"/>
    <w:link w:val="133"/>
    <w:autoRedefine/>
    <w:qFormat/>
    <w:locked/>
    <w:uiPriority w:val="99"/>
    <w:rPr>
      <w:kern w:val="2"/>
      <w:sz w:val="30"/>
    </w:rPr>
  </w:style>
  <w:style w:type="paragraph" w:customStyle="1" w:styleId="133">
    <w:name w:val="正文（首行缩进2字）"/>
    <w:basedOn w:val="1"/>
    <w:link w:val="132"/>
    <w:autoRedefine/>
    <w:qFormat/>
    <w:uiPriority w:val="99"/>
    <w:pPr>
      <w:spacing w:line="440" w:lineRule="exact"/>
      <w:ind w:firstLine="480" w:firstLineChars="200"/>
    </w:pPr>
    <w:rPr>
      <w:sz w:val="30"/>
      <w:szCs w:val="20"/>
    </w:rPr>
  </w:style>
  <w:style w:type="character" w:customStyle="1" w:styleId="134">
    <w:name w:val="正文文本 + MingLiU7"/>
    <w:autoRedefine/>
    <w:qFormat/>
    <w:uiPriority w:val="99"/>
    <w:rPr>
      <w:rFonts w:ascii="MingLiU" w:hAnsi="宋体" w:eastAsia="MingLiU"/>
      <w:i/>
      <w:sz w:val="19"/>
    </w:rPr>
  </w:style>
  <w:style w:type="character" w:customStyle="1" w:styleId="135">
    <w:name w:val="表格标题博泵 Char"/>
    <w:link w:val="136"/>
    <w:autoRedefine/>
    <w:qFormat/>
    <w:locked/>
    <w:uiPriority w:val="99"/>
    <w:rPr>
      <w:b/>
      <w:color w:val="000000"/>
    </w:rPr>
  </w:style>
  <w:style w:type="paragraph" w:customStyle="1" w:styleId="136">
    <w:name w:val="表格标题博泵"/>
    <w:basedOn w:val="1"/>
    <w:link w:val="135"/>
    <w:autoRedefine/>
    <w:qFormat/>
    <w:uiPriority w:val="99"/>
    <w:pPr>
      <w:adjustRightInd w:val="0"/>
      <w:snapToGrid w:val="0"/>
      <w:jc w:val="center"/>
      <w:textAlignment w:val="baseline"/>
    </w:pPr>
    <w:rPr>
      <w:b/>
      <w:color w:val="000000"/>
      <w:kern w:val="0"/>
      <w:sz w:val="20"/>
      <w:szCs w:val="20"/>
    </w:rPr>
  </w:style>
  <w:style w:type="character" w:customStyle="1" w:styleId="137">
    <w:name w:val="正文文本 (6)_"/>
    <w:link w:val="138"/>
    <w:autoRedefine/>
    <w:qFormat/>
    <w:locked/>
    <w:uiPriority w:val="99"/>
    <w:rPr>
      <w:rFonts w:ascii="宋体"/>
      <w:shd w:val="clear" w:color="auto" w:fill="FFFFFF"/>
    </w:rPr>
  </w:style>
  <w:style w:type="paragraph" w:customStyle="1" w:styleId="138">
    <w:name w:val="正文文本 (6)"/>
    <w:basedOn w:val="1"/>
    <w:link w:val="137"/>
    <w:autoRedefine/>
    <w:qFormat/>
    <w:uiPriority w:val="99"/>
    <w:pPr>
      <w:widowControl/>
      <w:shd w:val="clear" w:color="auto" w:fill="FFFFFF"/>
      <w:spacing w:before="120" w:line="307" w:lineRule="exact"/>
      <w:jc w:val="right"/>
    </w:pPr>
    <w:rPr>
      <w:rFonts w:ascii="宋体"/>
      <w:kern w:val="0"/>
      <w:sz w:val="20"/>
      <w:szCs w:val="20"/>
      <w:shd w:val="clear" w:color="auto" w:fill="FFFFFF"/>
    </w:rPr>
  </w:style>
  <w:style w:type="character" w:customStyle="1" w:styleId="139">
    <w:name w:val="日期 Char"/>
    <w:autoRedefine/>
    <w:qFormat/>
    <w:locked/>
    <w:uiPriority w:val="99"/>
    <w:rPr>
      <w:rFonts w:ascii="Times New Roman" w:hAnsi="Times New Roman" w:eastAsia="宋体" w:cs="Times New Roman"/>
      <w:sz w:val="20"/>
    </w:rPr>
  </w:style>
  <w:style w:type="character" w:customStyle="1" w:styleId="140">
    <w:name w:val="博泵1 Char"/>
    <w:link w:val="141"/>
    <w:autoRedefine/>
    <w:qFormat/>
    <w:locked/>
    <w:uiPriority w:val="0"/>
    <w:rPr>
      <w:rFonts w:hAnsi="宋体"/>
      <w:color w:val="000000"/>
      <w:sz w:val="24"/>
    </w:rPr>
  </w:style>
  <w:style w:type="paragraph" w:customStyle="1" w:styleId="141">
    <w:name w:val="博泵1"/>
    <w:basedOn w:val="1"/>
    <w:link w:val="140"/>
    <w:autoRedefine/>
    <w:qFormat/>
    <w:uiPriority w:val="0"/>
    <w:pPr>
      <w:adjustRightInd w:val="0"/>
      <w:spacing w:line="480" w:lineRule="exact"/>
      <w:ind w:firstLine="200" w:firstLineChars="200"/>
      <w:jc w:val="left"/>
      <w:textAlignment w:val="baseline"/>
    </w:pPr>
    <w:rPr>
      <w:rFonts w:hAnsi="宋体"/>
      <w:color w:val="000000"/>
      <w:kern w:val="0"/>
      <w:sz w:val="24"/>
      <w:szCs w:val="20"/>
    </w:rPr>
  </w:style>
  <w:style w:type="character" w:customStyle="1" w:styleId="142">
    <w:name w:val="批注框文本 Char"/>
    <w:autoRedefine/>
    <w:qFormat/>
    <w:locked/>
    <w:uiPriority w:val="99"/>
    <w:rPr>
      <w:rFonts w:ascii="Times New Roman" w:hAnsi="Times New Roman" w:eastAsia="宋体" w:cs="Times New Roman"/>
      <w:kern w:val="0"/>
      <w:sz w:val="18"/>
    </w:rPr>
  </w:style>
  <w:style w:type="character" w:customStyle="1" w:styleId="143">
    <w:name w:val="标题 Char1"/>
    <w:autoRedefine/>
    <w:qFormat/>
    <w:uiPriority w:val="99"/>
    <w:rPr>
      <w:rFonts w:ascii="Cambria" w:hAnsi="Cambria" w:eastAsia="宋体"/>
      <w:b/>
      <w:kern w:val="0"/>
      <w:sz w:val="32"/>
    </w:rPr>
  </w:style>
  <w:style w:type="character" w:customStyle="1" w:styleId="144">
    <w:name w:val="正文首行缩进 字符"/>
    <w:link w:val="62"/>
    <w:autoRedefine/>
    <w:qFormat/>
    <w:locked/>
    <w:uiPriority w:val="99"/>
  </w:style>
  <w:style w:type="character" w:customStyle="1" w:styleId="145">
    <w:name w:val="正文文本缩进 Char"/>
    <w:autoRedefine/>
    <w:qFormat/>
    <w:locked/>
    <w:uiPriority w:val="0"/>
    <w:rPr>
      <w:rFonts w:ascii="Times New Roman" w:hAnsi="Times New Roman" w:eastAsia="楷体_GB2312" w:cs="Times New Roman"/>
      <w:b/>
      <w:kern w:val="0"/>
      <w:sz w:val="20"/>
    </w:rPr>
  </w:style>
  <w:style w:type="character" w:customStyle="1" w:styleId="146">
    <w:name w:val="页眉 Char"/>
    <w:autoRedefine/>
    <w:qFormat/>
    <w:locked/>
    <w:uiPriority w:val="99"/>
    <w:rPr>
      <w:rFonts w:cs="Times New Roman"/>
      <w:sz w:val="18"/>
    </w:rPr>
  </w:style>
  <w:style w:type="character" w:customStyle="1" w:styleId="147">
    <w:name w:val="表头 Char"/>
    <w:link w:val="148"/>
    <w:autoRedefine/>
    <w:qFormat/>
    <w:locked/>
    <w:uiPriority w:val="0"/>
    <w:rPr>
      <w:rFonts w:eastAsia="黑体"/>
    </w:rPr>
  </w:style>
  <w:style w:type="paragraph" w:customStyle="1" w:styleId="148">
    <w:name w:val="表头"/>
    <w:basedOn w:val="62"/>
    <w:link w:val="147"/>
    <w:autoRedefine/>
    <w:qFormat/>
    <w:uiPriority w:val="0"/>
    <w:pPr>
      <w:overflowPunct w:val="0"/>
      <w:autoSpaceDE w:val="0"/>
      <w:autoSpaceDN w:val="0"/>
      <w:adjustRightInd w:val="0"/>
      <w:spacing w:before="60" w:after="60" w:line="360" w:lineRule="auto"/>
      <w:ind w:firstLine="539" w:firstLineChars="0"/>
      <w:jc w:val="center"/>
      <w:textAlignment w:val="baseline"/>
    </w:pPr>
    <w:rPr>
      <w:rFonts w:eastAsia="黑体"/>
    </w:rPr>
  </w:style>
  <w:style w:type="character" w:customStyle="1" w:styleId="149">
    <w:name w:val="标题 1 字符1"/>
    <w:link w:val="2"/>
    <w:autoRedefine/>
    <w:qFormat/>
    <w:locked/>
    <w:uiPriority w:val="0"/>
    <w:rPr>
      <w:rFonts w:eastAsia="黑体"/>
      <w:b/>
      <w:bCs/>
      <w:color w:val="000000"/>
      <w:kern w:val="44"/>
      <w:sz w:val="30"/>
      <w:szCs w:val="30"/>
    </w:rPr>
  </w:style>
  <w:style w:type="character" w:customStyle="1" w:styleId="150">
    <w:name w:val="文档结构图 字符1"/>
    <w:link w:val="22"/>
    <w:autoRedefine/>
    <w:qFormat/>
    <w:locked/>
    <w:uiPriority w:val="99"/>
    <w:rPr>
      <w:rFonts w:ascii="宋体"/>
      <w:sz w:val="18"/>
    </w:rPr>
  </w:style>
  <w:style w:type="character" w:customStyle="1" w:styleId="151">
    <w:name w:val="正文缩进 字符1"/>
    <w:link w:val="8"/>
    <w:autoRedefine/>
    <w:qFormat/>
    <w:locked/>
    <w:uiPriority w:val="0"/>
  </w:style>
  <w:style w:type="character" w:customStyle="1" w:styleId="152">
    <w:name w:val="1正文段落 Char"/>
    <w:link w:val="153"/>
    <w:autoRedefine/>
    <w:qFormat/>
    <w:locked/>
    <w:uiPriority w:val="99"/>
    <w:rPr>
      <w:snapToGrid w:val="0"/>
      <w:sz w:val="24"/>
    </w:rPr>
  </w:style>
  <w:style w:type="paragraph" w:customStyle="1" w:styleId="153">
    <w:name w:val="1正文段落"/>
    <w:basedOn w:val="1"/>
    <w:link w:val="152"/>
    <w:autoRedefine/>
    <w:qFormat/>
    <w:uiPriority w:val="0"/>
    <w:pPr>
      <w:spacing w:line="360" w:lineRule="auto"/>
      <w:ind w:firstLine="480" w:firstLineChars="200"/>
      <w:jc w:val="left"/>
    </w:pPr>
    <w:rPr>
      <w:snapToGrid w:val="0"/>
      <w:kern w:val="0"/>
      <w:sz w:val="24"/>
      <w:szCs w:val="20"/>
    </w:rPr>
  </w:style>
  <w:style w:type="character" w:customStyle="1" w:styleId="154">
    <w:name w:val="批注文字 Char"/>
    <w:autoRedefine/>
    <w:qFormat/>
    <w:locked/>
    <w:uiPriority w:val="99"/>
    <w:rPr>
      <w:rFonts w:ascii="Times New Roman" w:hAnsi="Times New Roman" w:cs="Times New Roman"/>
    </w:rPr>
  </w:style>
  <w:style w:type="character" w:customStyle="1" w:styleId="155">
    <w:name w:val="环评正文 Char1"/>
    <w:link w:val="156"/>
    <w:autoRedefine/>
    <w:qFormat/>
    <w:locked/>
    <w:uiPriority w:val="99"/>
    <w:rPr>
      <w:rFonts w:ascii="仿宋_GB2312" w:eastAsia="仿宋_GB2312"/>
      <w:kern w:val="2"/>
      <w:sz w:val="28"/>
      <w:lang w:val="zh-CN"/>
    </w:rPr>
  </w:style>
  <w:style w:type="paragraph" w:customStyle="1" w:styleId="156">
    <w:name w:val="环评正文"/>
    <w:basedOn w:val="39"/>
    <w:link w:val="155"/>
    <w:autoRedefine/>
    <w:qFormat/>
    <w:uiPriority w:val="0"/>
    <w:pPr>
      <w:spacing w:line="500" w:lineRule="exact"/>
      <w:ind w:left="0" w:leftChars="0" w:firstLine="560" w:firstLineChars="200"/>
    </w:pPr>
    <w:rPr>
      <w:rFonts w:ascii="仿宋_GB2312" w:eastAsia="仿宋_GB2312"/>
      <w:kern w:val="2"/>
      <w:sz w:val="28"/>
      <w:lang w:val="zh-CN"/>
    </w:rPr>
  </w:style>
  <w:style w:type="character" w:customStyle="1" w:styleId="157">
    <w:name w:val="正文(首行缩进) Char Char"/>
    <w:link w:val="158"/>
    <w:autoRedefine/>
    <w:qFormat/>
    <w:locked/>
    <w:uiPriority w:val="99"/>
    <w:rPr>
      <w:snapToGrid w:val="0"/>
      <w:sz w:val="24"/>
    </w:rPr>
  </w:style>
  <w:style w:type="paragraph" w:customStyle="1" w:styleId="158">
    <w:name w:val="正文(首行缩进)"/>
    <w:basedOn w:val="1"/>
    <w:link w:val="157"/>
    <w:autoRedefine/>
    <w:qFormat/>
    <w:uiPriority w:val="0"/>
    <w:pPr>
      <w:spacing w:line="360" w:lineRule="auto"/>
      <w:ind w:firstLine="480" w:firstLineChars="200"/>
    </w:pPr>
    <w:rPr>
      <w:snapToGrid w:val="0"/>
      <w:kern w:val="0"/>
      <w:sz w:val="24"/>
      <w:szCs w:val="20"/>
    </w:rPr>
  </w:style>
  <w:style w:type="character" w:customStyle="1" w:styleId="159">
    <w:name w:val="正文01 Char1"/>
    <w:link w:val="160"/>
    <w:autoRedefine/>
    <w:qFormat/>
    <w:locked/>
    <w:uiPriority w:val="0"/>
    <w:rPr>
      <w:kern w:val="2"/>
      <w:sz w:val="24"/>
    </w:rPr>
  </w:style>
  <w:style w:type="paragraph" w:customStyle="1" w:styleId="160">
    <w:name w:val="正文01"/>
    <w:basedOn w:val="1"/>
    <w:link w:val="159"/>
    <w:autoRedefine/>
    <w:qFormat/>
    <w:uiPriority w:val="0"/>
    <w:pPr>
      <w:adjustRightInd w:val="0"/>
      <w:snapToGrid w:val="0"/>
      <w:spacing w:before="60" w:line="460" w:lineRule="exact"/>
      <w:ind w:firstLine="200" w:firstLineChars="200"/>
    </w:pPr>
    <w:rPr>
      <w:sz w:val="24"/>
      <w:szCs w:val="20"/>
    </w:rPr>
  </w:style>
  <w:style w:type="character" w:customStyle="1" w:styleId="161">
    <w:name w:val="我的样式（正文） Char"/>
    <w:link w:val="162"/>
    <w:autoRedefine/>
    <w:qFormat/>
    <w:locked/>
    <w:uiPriority w:val="99"/>
    <w:rPr>
      <w:rFonts w:ascii="宋体"/>
      <w:kern w:val="2"/>
      <w:sz w:val="24"/>
    </w:rPr>
  </w:style>
  <w:style w:type="paragraph" w:customStyle="1" w:styleId="162">
    <w:name w:val="我的样式（正文）"/>
    <w:basedOn w:val="1"/>
    <w:link w:val="161"/>
    <w:autoRedefine/>
    <w:qFormat/>
    <w:uiPriority w:val="0"/>
    <w:pPr>
      <w:adjustRightInd w:val="0"/>
      <w:snapToGrid w:val="0"/>
      <w:spacing w:line="360" w:lineRule="auto"/>
      <w:ind w:firstLine="200" w:firstLineChars="200"/>
    </w:pPr>
    <w:rPr>
      <w:rFonts w:ascii="宋体"/>
      <w:sz w:val="24"/>
      <w:szCs w:val="20"/>
    </w:rPr>
  </w:style>
  <w:style w:type="character" w:customStyle="1" w:styleId="163">
    <w:name w:val="页脚 Char"/>
    <w:autoRedefine/>
    <w:qFormat/>
    <w:locked/>
    <w:uiPriority w:val="99"/>
    <w:rPr>
      <w:rFonts w:cs="Times New Roman"/>
      <w:sz w:val="18"/>
    </w:rPr>
  </w:style>
  <w:style w:type="character" w:customStyle="1" w:styleId="164">
    <w:name w:val="正文(首行缩进) Char"/>
    <w:autoRedefine/>
    <w:qFormat/>
    <w:uiPriority w:val="0"/>
    <w:rPr>
      <w:rFonts w:eastAsia="宋体"/>
      <w:snapToGrid w:val="0"/>
      <w:sz w:val="24"/>
      <w:lang w:val="en-US" w:eastAsia="zh-CN"/>
    </w:rPr>
  </w:style>
  <w:style w:type="character" w:customStyle="1" w:styleId="165">
    <w:name w:val="表格内文字 Char"/>
    <w:link w:val="166"/>
    <w:autoRedefine/>
    <w:qFormat/>
    <w:locked/>
    <w:uiPriority w:val="0"/>
    <w:rPr>
      <w:rFonts w:eastAsia="仿宋_GB2312"/>
      <w:sz w:val="24"/>
    </w:rPr>
  </w:style>
  <w:style w:type="paragraph" w:customStyle="1" w:styleId="166">
    <w:name w:val="表格内文字"/>
    <w:basedOn w:val="118"/>
    <w:next w:val="1"/>
    <w:link w:val="165"/>
    <w:autoRedefine/>
    <w:qFormat/>
    <w:uiPriority w:val="0"/>
    <w:pPr>
      <w:tabs>
        <w:tab w:val="left" w:pos="0"/>
      </w:tabs>
      <w:adjustRightInd w:val="0"/>
      <w:snapToGrid w:val="0"/>
      <w:jc w:val="center"/>
    </w:pPr>
    <w:rPr>
      <w:rFonts w:eastAsia="仿宋_GB2312"/>
      <w:kern w:val="0"/>
      <w:sz w:val="24"/>
      <w:szCs w:val="20"/>
    </w:rPr>
  </w:style>
  <w:style w:type="character" w:customStyle="1" w:styleId="167">
    <w:name w:val="正文文本 2 字符1"/>
    <w:link w:val="57"/>
    <w:autoRedefine/>
    <w:qFormat/>
    <w:locked/>
    <w:uiPriority w:val="99"/>
  </w:style>
  <w:style w:type="character" w:customStyle="1" w:styleId="168">
    <w:name w:val="crumb"/>
    <w:autoRedefine/>
    <w:qFormat/>
    <w:uiPriority w:val="99"/>
  </w:style>
  <w:style w:type="character" w:customStyle="1" w:styleId="169">
    <w:name w:val="样式1 Char"/>
    <w:link w:val="80"/>
    <w:autoRedefine/>
    <w:qFormat/>
    <w:locked/>
    <w:uiPriority w:val="0"/>
    <w:rPr>
      <w:rFonts w:ascii="Calibri" w:hAnsi="Calibri"/>
      <w:color w:val="000000"/>
      <w:sz w:val="24"/>
    </w:rPr>
  </w:style>
  <w:style w:type="character" w:customStyle="1" w:styleId="170">
    <w:name w:val="报告正文-连续目录 Char Char"/>
    <w:link w:val="171"/>
    <w:autoRedefine/>
    <w:qFormat/>
    <w:locked/>
    <w:uiPriority w:val="99"/>
    <w:rPr>
      <w:rFonts w:ascii="Arial" w:hAnsi="Arial"/>
      <w:snapToGrid w:val="0"/>
      <w:sz w:val="24"/>
    </w:rPr>
  </w:style>
  <w:style w:type="paragraph" w:customStyle="1" w:styleId="171">
    <w:name w:val="报告正文-连续目录"/>
    <w:basedOn w:val="1"/>
    <w:link w:val="170"/>
    <w:autoRedefine/>
    <w:qFormat/>
    <w:uiPriority w:val="99"/>
    <w:pPr>
      <w:spacing w:line="440" w:lineRule="exact"/>
      <w:ind w:firstLine="200" w:firstLineChars="200"/>
    </w:pPr>
    <w:rPr>
      <w:rFonts w:ascii="Arial" w:hAnsi="Arial"/>
      <w:snapToGrid w:val="0"/>
      <w:kern w:val="0"/>
      <w:sz w:val="24"/>
      <w:szCs w:val="20"/>
    </w:rPr>
  </w:style>
  <w:style w:type="character" w:customStyle="1" w:styleId="172">
    <w:name w:val="表格 普通文字 Char"/>
    <w:link w:val="173"/>
    <w:autoRedefine/>
    <w:qFormat/>
    <w:uiPriority w:val="0"/>
    <w:rPr>
      <w:rFonts w:eastAsia="仿宋_GB2312"/>
      <w:kern w:val="2"/>
      <w:sz w:val="21"/>
      <w:szCs w:val="21"/>
    </w:rPr>
  </w:style>
  <w:style w:type="paragraph" w:customStyle="1" w:styleId="173">
    <w:name w:val="表格 普通文字"/>
    <w:link w:val="172"/>
    <w:autoRedefine/>
    <w:qFormat/>
    <w:uiPriority w:val="0"/>
    <w:pPr>
      <w:jc w:val="center"/>
    </w:pPr>
    <w:rPr>
      <w:rFonts w:ascii="Times New Roman" w:hAnsi="Times New Roman" w:eastAsia="仿宋_GB2312" w:cs="Times New Roman"/>
      <w:kern w:val="2"/>
      <w:sz w:val="21"/>
      <w:szCs w:val="21"/>
      <w:lang w:val="en-US" w:eastAsia="zh-CN" w:bidi="ar-SA"/>
    </w:rPr>
  </w:style>
  <w:style w:type="character" w:customStyle="1" w:styleId="174">
    <w:name w:val="文档结构图 Char1"/>
    <w:autoRedefine/>
    <w:qFormat/>
    <w:uiPriority w:val="99"/>
    <w:rPr>
      <w:rFonts w:ascii="宋体"/>
      <w:kern w:val="2"/>
      <w:sz w:val="18"/>
      <w:szCs w:val="18"/>
    </w:rPr>
  </w:style>
  <w:style w:type="paragraph" w:customStyle="1" w:styleId="175">
    <w:name w:val="海尔正文"/>
    <w:basedOn w:val="1"/>
    <w:autoRedefine/>
    <w:qFormat/>
    <w:uiPriority w:val="0"/>
    <w:pPr>
      <w:spacing w:line="360" w:lineRule="auto"/>
      <w:ind w:firstLine="200" w:firstLineChars="200"/>
    </w:pPr>
    <w:rPr>
      <w:rFonts w:ascii="宋体" w:cs="宋体"/>
      <w:sz w:val="28"/>
    </w:rPr>
  </w:style>
  <w:style w:type="paragraph" w:customStyle="1" w:styleId="176">
    <w:name w:val="表标题"/>
    <w:basedOn w:val="1"/>
    <w:autoRedefine/>
    <w:qFormat/>
    <w:uiPriority w:val="0"/>
    <w:pPr>
      <w:spacing w:line="360" w:lineRule="auto"/>
      <w:ind w:left="3420"/>
    </w:pPr>
    <w:rPr>
      <w:rFonts w:ascii="宋体" w:hAnsi="宋体"/>
      <w:sz w:val="24"/>
    </w:rPr>
  </w:style>
  <w:style w:type="character" w:customStyle="1" w:styleId="177">
    <w:name w:val="正文文本缩进 3 Char1"/>
    <w:autoRedefine/>
    <w:qFormat/>
    <w:uiPriority w:val="0"/>
    <w:rPr>
      <w:kern w:val="2"/>
      <w:sz w:val="16"/>
      <w:szCs w:val="16"/>
    </w:rPr>
  </w:style>
  <w:style w:type="paragraph" w:customStyle="1" w:styleId="178">
    <w:name w:val="样式 (中文) 仿宋_GB2312 四号 首行缩进:  0.98 厘米 行距: 固定值 25 磅"/>
    <w:basedOn w:val="1"/>
    <w:autoRedefine/>
    <w:qFormat/>
    <w:uiPriority w:val="99"/>
    <w:pPr>
      <w:spacing w:line="360" w:lineRule="auto"/>
      <w:ind w:firstLine="556"/>
    </w:pPr>
    <w:rPr>
      <w:rFonts w:cs="宋体"/>
      <w:sz w:val="24"/>
      <w:szCs w:val="20"/>
    </w:rPr>
  </w:style>
  <w:style w:type="paragraph" w:customStyle="1" w:styleId="179">
    <w:name w:val="正文文本 (8)1"/>
    <w:basedOn w:val="1"/>
    <w:autoRedefine/>
    <w:qFormat/>
    <w:uiPriority w:val="99"/>
    <w:pPr>
      <w:widowControl/>
      <w:shd w:val="clear" w:color="auto" w:fill="FFFFFF"/>
      <w:spacing w:before="120" w:line="307" w:lineRule="exact"/>
      <w:jc w:val="right"/>
    </w:pPr>
    <w:rPr>
      <w:rFonts w:ascii="MingLiU" w:eastAsia="MingLiU"/>
      <w:kern w:val="0"/>
      <w:sz w:val="19"/>
      <w:szCs w:val="19"/>
    </w:rPr>
  </w:style>
  <w:style w:type="paragraph" w:customStyle="1" w:styleId="180">
    <w:name w:val="列出段落1"/>
    <w:basedOn w:val="1"/>
    <w:link w:val="548"/>
    <w:autoRedefine/>
    <w:qFormat/>
    <w:uiPriority w:val="0"/>
    <w:pPr>
      <w:widowControl/>
      <w:ind w:firstLine="420" w:firstLineChars="200"/>
      <w:jc w:val="left"/>
    </w:pPr>
    <w:rPr>
      <w:kern w:val="0"/>
      <w:sz w:val="20"/>
      <w:szCs w:val="20"/>
    </w:rPr>
  </w:style>
  <w:style w:type="paragraph" w:customStyle="1" w:styleId="181">
    <w:name w:val="Char Char Char Char Char Char Char Char Char Char Char Char Char Char Char Char"/>
    <w:basedOn w:val="1"/>
    <w:autoRedefine/>
    <w:qFormat/>
    <w:uiPriority w:val="0"/>
    <w:pPr>
      <w:autoSpaceDE w:val="0"/>
      <w:autoSpaceDN w:val="0"/>
      <w:adjustRightInd w:val="0"/>
      <w:textAlignment w:val="baseline"/>
    </w:pPr>
    <w:rPr>
      <w:szCs w:val="20"/>
    </w:rPr>
  </w:style>
  <w:style w:type="character" w:customStyle="1" w:styleId="182">
    <w:name w:val="正文文本缩进 2 Char1"/>
    <w:autoRedefine/>
    <w:qFormat/>
    <w:uiPriority w:val="0"/>
    <w:rPr>
      <w:kern w:val="2"/>
      <w:sz w:val="21"/>
      <w:szCs w:val="24"/>
    </w:rPr>
  </w:style>
  <w:style w:type="paragraph" w:customStyle="1" w:styleId="183">
    <w:name w:val="Char Char Char1 Char Char Char"/>
    <w:basedOn w:val="1"/>
    <w:autoRedefine/>
    <w:qFormat/>
    <w:uiPriority w:val="99"/>
    <w:rPr>
      <w:rFonts w:ascii="Courier New" w:hAnsi="Courier New" w:eastAsia="仿宋" w:cs="Courier New"/>
      <w:sz w:val="24"/>
    </w:rPr>
  </w:style>
  <w:style w:type="character" w:customStyle="1" w:styleId="184">
    <w:name w:val="纯文本 Char2"/>
    <w:autoRedefine/>
    <w:qFormat/>
    <w:uiPriority w:val="0"/>
    <w:rPr>
      <w:rFonts w:ascii="宋体" w:hAnsi="Courier New" w:cs="Courier New"/>
      <w:kern w:val="2"/>
      <w:sz w:val="21"/>
      <w:szCs w:val="21"/>
    </w:rPr>
  </w:style>
  <w:style w:type="paragraph" w:customStyle="1" w:styleId="185">
    <w:name w:val="a4"/>
    <w:basedOn w:val="1"/>
    <w:autoRedefine/>
    <w:qFormat/>
    <w:uiPriority w:val="99"/>
    <w:pPr>
      <w:widowControl/>
      <w:spacing w:before="100" w:beforeAutospacing="1" w:after="100" w:afterAutospacing="1" w:line="270" w:lineRule="atLeast"/>
      <w:jc w:val="left"/>
    </w:pPr>
    <w:rPr>
      <w:rFonts w:ascii="宋体" w:hAnsi="宋体" w:cs="宋体"/>
      <w:color w:val="000000"/>
      <w:kern w:val="0"/>
      <w:sz w:val="20"/>
      <w:szCs w:val="20"/>
    </w:rPr>
  </w:style>
  <w:style w:type="paragraph" w:customStyle="1" w:styleId="186">
    <w:name w:val="Char Char Char Char1"/>
    <w:basedOn w:val="1"/>
    <w:autoRedefine/>
    <w:qFormat/>
    <w:uiPriority w:val="99"/>
    <w:pPr>
      <w:spacing w:line="360" w:lineRule="auto"/>
      <w:ind w:firstLine="200" w:firstLineChars="200"/>
    </w:pPr>
    <w:rPr>
      <w:rFonts w:ascii="宋体" w:hAnsi="宋体" w:cs="宋体"/>
      <w:sz w:val="24"/>
    </w:rPr>
  </w:style>
  <w:style w:type="paragraph" w:customStyle="1" w:styleId="187">
    <w:name w:val="xl42"/>
    <w:basedOn w:val="1"/>
    <w:autoRedefine/>
    <w:qFormat/>
    <w:uiPriority w:val="99"/>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olor w:val="000000"/>
      <w:kern w:val="0"/>
      <w:szCs w:val="21"/>
    </w:rPr>
  </w:style>
  <w:style w:type="paragraph" w:customStyle="1" w:styleId="188">
    <w:name w:val="表格正文"/>
    <w:basedOn w:val="8"/>
    <w:next w:val="1"/>
    <w:autoRedefine/>
    <w:qFormat/>
    <w:uiPriority w:val="0"/>
    <w:pPr>
      <w:spacing w:line="360" w:lineRule="exact"/>
      <w:jc w:val="center"/>
    </w:pPr>
    <w:rPr>
      <w:szCs w:val="20"/>
    </w:rPr>
  </w:style>
  <w:style w:type="paragraph" w:customStyle="1" w:styleId="189">
    <w:name w:val="Char Char4 Char Char"/>
    <w:basedOn w:val="1"/>
    <w:autoRedefine/>
    <w:qFormat/>
    <w:uiPriority w:val="99"/>
    <w:rPr>
      <w:szCs w:val="20"/>
    </w:rPr>
  </w:style>
  <w:style w:type="paragraph" w:customStyle="1" w:styleId="190">
    <w:name w:val="Char Char Char Char Char Char Char Char Char1"/>
    <w:basedOn w:val="1"/>
    <w:autoRedefine/>
    <w:qFormat/>
    <w:uiPriority w:val="99"/>
    <w:pPr>
      <w:snapToGrid w:val="0"/>
      <w:spacing w:line="360" w:lineRule="auto"/>
      <w:ind w:firstLine="529" w:firstLineChars="200"/>
    </w:pPr>
    <w:rPr>
      <w:rFonts w:ascii="宋体" w:hAnsi="宋体"/>
      <w:b/>
    </w:rPr>
  </w:style>
  <w:style w:type="paragraph" w:customStyle="1" w:styleId="191">
    <w:name w:val="列出段落2"/>
    <w:basedOn w:val="1"/>
    <w:autoRedefine/>
    <w:qFormat/>
    <w:uiPriority w:val="99"/>
    <w:pPr>
      <w:widowControl/>
      <w:ind w:firstLine="420" w:firstLineChars="200"/>
      <w:jc w:val="left"/>
    </w:pPr>
    <w:rPr>
      <w:kern w:val="0"/>
      <w:sz w:val="20"/>
      <w:szCs w:val="20"/>
    </w:rPr>
  </w:style>
  <w:style w:type="character" w:customStyle="1" w:styleId="192">
    <w:name w:val="标题 Char2"/>
    <w:autoRedefine/>
    <w:qFormat/>
    <w:uiPriority w:val="0"/>
    <w:rPr>
      <w:rFonts w:ascii="Cambria" w:hAnsi="Cambria" w:cs="Times New Roman"/>
      <w:b/>
      <w:bCs/>
      <w:kern w:val="2"/>
      <w:sz w:val="32"/>
      <w:szCs w:val="32"/>
    </w:rPr>
  </w:style>
  <w:style w:type="paragraph" w:customStyle="1" w:styleId="193">
    <w:name w:val="表格下方正文"/>
    <w:basedOn w:val="1"/>
    <w:autoRedefine/>
    <w:qFormat/>
    <w:uiPriority w:val="99"/>
    <w:pPr>
      <w:adjustRightInd w:val="0"/>
      <w:snapToGrid w:val="0"/>
      <w:spacing w:before="300" w:line="460" w:lineRule="exact"/>
      <w:ind w:firstLine="482"/>
    </w:pPr>
    <w:rPr>
      <w:sz w:val="24"/>
    </w:rPr>
  </w:style>
  <w:style w:type="paragraph" w:customStyle="1" w:styleId="194">
    <w:name w:val="封面标准文稿编辑信息"/>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95">
    <w:name w:val="Char Char Char1 Char Char Char Char Char Char Char Char Char Char Char Char Char Char Char Char Char Char Char Char Char Char"/>
    <w:basedOn w:val="1"/>
    <w:autoRedefine/>
    <w:qFormat/>
    <w:uiPriority w:val="0"/>
    <w:pPr>
      <w:spacing w:line="360" w:lineRule="auto"/>
      <w:ind w:firstLine="200" w:firstLineChars="200"/>
    </w:pPr>
    <w:rPr>
      <w:rFonts w:ascii="宋体" w:hAnsi="宋体" w:cs="宋体"/>
      <w:sz w:val="24"/>
    </w:rPr>
  </w:style>
  <w:style w:type="paragraph" w:customStyle="1" w:styleId="196">
    <w:name w:val="样式 样式 正文首行缩进 + 首行缩进:  2 字符 + 首行缩进:  2 字符"/>
    <w:basedOn w:val="1"/>
    <w:autoRedefine/>
    <w:qFormat/>
    <w:uiPriority w:val="99"/>
    <w:pPr>
      <w:topLinePunct/>
      <w:adjustRightInd w:val="0"/>
      <w:snapToGrid w:val="0"/>
      <w:spacing w:line="360" w:lineRule="auto"/>
      <w:ind w:firstLine="480"/>
      <w:textAlignment w:val="baseline"/>
    </w:pPr>
    <w:rPr>
      <w:rFonts w:hAnsi="宋体" w:eastAsia="Times New Roman"/>
      <w:kern w:val="0"/>
      <w:sz w:val="24"/>
      <w:szCs w:val="20"/>
    </w:rPr>
  </w:style>
  <w:style w:type="paragraph" w:customStyle="1" w:styleId="197">
    <w:name w:val="二级无标题条"/>
    <w:basedOn w:val="1"/>
    <w:autoRedefine/>
    <w:qFormat/>
    <w:uiPriority w:val="0"/>
  </w:style>
  <w:style w:type="paragraph" w:customStyle="1" w:styleId="198">
    <w:name w:val="框图"/>
    <w:basedOn w:val="1"/>
    <w:autoRedefine/>
    <w:qFormat/>
    <w:uiPriority w:val="99"/>
    <w:pPr>
      <w:adjustRightInd w:val="0"/>
      <w:snapToGrid w:val="0"/>
      <w:jc w:val="center"/>
    </w:pPr>
    <w:rPr>
      <w:rFonts w:ascii="仿宋_GB2312" w:hAnsi="宋体" w:eastAsia="仿宋_GB2312"/>
      <w:szCs w:val="21"/>
    </w:rPr>
  </w:style>
  <w:style w:type="paragraph" w:customStyle="1" w:styleId="199">
    <w:name w:val="p0"/>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00">
    <w:name w:val="默认段落字体 Para Char Char Char Char"/>
    <w:basedOn w:val="1"/>
    <w:autoRedefine/>
    <w:qFormat/>
    <w:uiPriority w:val="0"/>
    <w:rPr>
      <w:sz w:val="24"/>
    </w:rPr>
  </w:style>
  <w:style w:type="paragraph" w:customStyle="1" w:styleId="201">
    <w:name w:val="正文文本 (13)"/>
    <w:basedOn w:val="1"/>
    <w:autoRedefine/>
    <w:qFormat/>
    <w:uiPriority w:val="99"/>
    <w:pPr>
      <w:widowControl/>
      <w:shd w:val="clear" w:color="auto" w:fill="FFFFFF"/>
      <w:spacing w:line="240" w:lineRule="atLeast"/>
      <w:jc w:val="left"/>
    </w:pPr>
    <w:rPr>
      <w:rFonts w:ascii="Batang" w:eastAsia="Batang"/>
      <w:kern w:val="0"/>
      <w:sz w:val="14"/>
      <w:szCs w:val="14"/>
    </w:rPr>
  </w:style>
  <w:style w:type="paragraph" w:customStyle="1" w:styleId="202">
    <w:name w:val="Char Char Char Char"/>
    <w:basedOn w:val="1"/>
    <w:autoRedefine/>
    <w:qFormat/>
    <w:uiPriority w:val="0"/>
    <w:rPr>
      <w:szCs w:val="20"/>
    </w:rPr>
  </w:style>
  <w:style w:type="paragraph" w:customStyle="1" w:styleId="203">
    <w:name w:val="样式 表中文字 +"/>
    <w:basedOn w:val="1"/>
    <w:autoRedefine/>
    <w:qFormat/>
    <w:uiPriority w:val="99"/>
    <w:pPr>
      <w:adjustRightInd w:val="0"/>
      <w:snapToGrid w:val="0"/>
      <w:spacing w:line="400" w:lineRule="exact"/>
      <w:jc w:val="center"/>
    </w:pPr>
    <w:rPr>
      <w:kern w:val="0"/>
      <w:szCs w:val="21"/>
    </w:rPr>
  </w:style>
  <w:style w:type="paragraph" w:customStyle="1" w:styleId="204">
    <w:name w:val="无间隔1"/>
    <w:basedOn w:val="1"/>
    <w:autoRedefine/>
    <w:qFormat/>
    <w:uiPriority w:val="99"/>
    <w:pPr>
      <w:widowControl/>
      <w:jc w:val="left"/>
    </w:pPr>
    <w:rPr>
      <w:rFonts w:ascii="宋体" w:hAnsi="宋体"/>
      <w:kern w:val="0"/>
      <w:sz w:val="20"/>
      <w:szCs w:val="20"/>
    </w:rPr>
  </w:style>
  <w:style w:type="paragraph" w:customStyle="1" w:styleId="205">
    <w:name w:val="样式 xl27 + (西文) 楷体_GB2312 (符号) Courier New 小四 段前: 0 磅 段后: 0 磅..."/>
    <w:basedOn w:val="1"/>
    <w:autoRedefine/>
    <w:qFormat/>
    <w:uiPriority w:val="99"/>
    <w:pPr>
      <w:widowControl/>
      <w:jc w:val="center"/>
    </w:pPr>
    <w:rPr>
      <w:rFonts w:cs="宋体"/>
      <w:sz w:val="24"/>
      <w:szCs w:val="20"/>
    </w:rPr>
  </w:style>
  <w:style w:type="paragraph" w:customStyle="1" w:styleId="206">
    <w:name w:val="表格文字（对中）"/>
    <w:basedOn w:val="8"/>
    <w:autoRedefine/>
    <w:qFormat/>
    <w:uiPriority w:val="0"/>
    <w:pPr>
      <w:spacing w:line="480" w:lineRule="exact"/>
      <w:ind w:firstLine="0"/>
      <w:jc w:val="center"/>
    </w:pPr>
    <w:rPr>
      <w:rFonts w:ascii="黑体" w:hAnsi="Calibri" w:eastAsia="黑体"/>
      <w:color w:val="000000"/>
      <w:sz w:val="24"/>
      <w:szCs w:val="21"/>
    </w:rPr>
  </w:style>
  <w:style w:type="character" w:customStyle="1" w:styleId="207">
    <w:name w:val="正文首行缩进 Char1"/>
    <w:autoRedefine/>
    <w:qFormat/>
    <w:uiPriority w:val="99"/>
    <w:rPr>
      <w:kern w:val="2"/>
      <w:sz w:val="21"/>
      <w:szCs w:val="24"/>
    </w:rPr>
  </w:style>
  <w:style w:type="character" w:customStyle="1" w:styleId="208">
    <w:name w:val="正文文本 2 Char1"/>
    <w:autoRedefine/>
    <w:qFormat/>
    <w:uiPriority w:val="99"/>
    <w:rPr>
      <w:kern w:val="2"/>
      <w:sz w:val="21"/>
      <w:szCs w:val="24"/>
    </w:rPr>
  </w:style>
  <w:style w:type="character" w:customStyle="1" w:styleId="209">
    <w:name w:val="副标题 Char1"/>
    <w:qFormat/>
    <w:uiPriority w:val="11"/>
    <w:rPr>
      <w:rFonts w:ascii="Cambria" w:hAnsi="Cambria" w:cs="Times New Roman"/>
      <w:b/>
      <w:bCs/>
      <w:kern w:val="28"/>
      <w:sz w:val="32"/>
      <w:szCs w:val="32"/>
    </w:rPr>
  </w:style>
  <w:style w:type="paragraph" w:customStyle="1" w:styleId="210">
    <w:name w:val="默认段落字体 Para Char"/>
    <w:basedOn w:val="1"/>
    <w:autoRedefine/>
    <w:qFormat/>
    <w:uiPriority w:val="0"/>
  </w:style>
  <w:style w:type="paragraph" w:customStyle="1" w:styleId="211">
    <w:name w:val="标准样式"/>
    <w:autoRedefine/>
    <w:qFormat/>
    <w:uiPriority w:val="99"/>
    <w:pPr>
      <w:widowControl w:val="0"/>
      <w:ind w:firstLine="480" w:firstLineChars="200"/>
      <w:jc w:val="both"/>
    </w:pPr>
    <w:rPr>
      <w:rFonts w:ascii="Times New Roman" w:hAnsi="Times New Roman" w:eastAsia="宋体" w:cs="Times New Roman"/>
      <w:b/>
      <w:sz w:val="24"/>
      <w:lang w:val="en-US" w:eastAsia="zh-CN" w:bidi="ar-SA"/>
    </w:rPr>
  </w:style>
  <w:style w:type="paragraph" w:customStyle="1" w:styleId="212">
    <w:name w:val="Char Char Char Char Char Char"/>
    <w:basedOn w:val="1"/>
    <w:qFormat/>
    <w:uiPriority w:val="0"/>
    <w:rPr>
      <w:sz w:val="24"/>
    </w:rPr>
  </w:style>
  <w:style w:type="paragraph" w:customStyle="1" w:styleId="213">
    <w:name w:val="样式 样式 首行缩进:  2 字符 + 首行缩进:  2 字符"/>
    <w:autoRedefine/>
    <w:qFormat/>
    <w:uiPriority w:val="0"/>
    <w:pPr>
      <w:spacing w:line="500" w:lineRule="exact"/>
      <w:ind w:firstLine="200" w:firstLineChars="200"/>
    </w:pPr>
    <w:rPr>
      <w:rFonts w:ascii="Times New Roman" w:hAnsi="Times New Roman" w:eastAsia="宋体" w:cs="宋体"/>
      <w:spacing w:val="30"/>
      <w:sz w:val="28"/>
      <w:lang w:val="en-US" w:eastAsia="zh-CN" w:bidi="ar-SA"/>
    </w:rPr>
  </w:style>
  <w:style w:type="paragraph" w:customStyle="1" w:styleId="214">
    <w:name w:val="正文文本 (11)"/>
    <w:basedOn w:val="1"/>
    <w:autoRedefine/>
    <w:qFormat/>
    <w:uiPriority w:val="99"/>
    <w:pPr>
      <w:widowControl/>
      <w:shd w:val="clear" w:color="auto" w:fill="FFFFFF"/>
      <w:spacing w:after="120" w:line="240" w:lineRule="atLeast"/>
      <w:jc w:val="left"/>
    </w:pPr>
    <w:rPr>
      <w:rFonts w:ascii="MingLiU" w:eastAsia="MingLiU"/>
      <w:kern w:val="0"/>
      <w:sz w:val="19"/>
      <w:szCs w:val="19"/>
    </w:rPr>
  </w:style>
  <w:style w:type="paragraph" w:customStyle="1" w:styleId="215">
    <w:name w:val="1 Char Char Char Char"/>
    <w:basedOn w:val="1"/>
    <w:qFormat/>
    <w:uiPriority w:val="0"/>
    <w:pPr>
      <w:spacing w:line="360" w:lineRule="auto"/>
      <w:ind w:firstLine="200" w:firstLineChars="200"/>
    </w:pPr>
    <w:rPr>
      <w:rFonts w:ascii="宋体" w:hAnsi="宋体" w:cs="宋体"/>
      <w:sz w:val="24"/>
    </w:rPr>
  </w:style>
  <w:style w:type="paragraph" w:customStyle="1" w:styleId="216">
    <w:name w:val="正文文本 (9)1"/>
    <w:basedOn w:val="1"/>
    <w:autoRedefine/>
    <w:qFormat/>
    <w:uiPriority w:val="99"/>
    <w:pPr>
      <w:widowControl/>
      <w:shd w:val="clear" w:color="auto" w:fill="FFFFFF"/>
      <w:spacing w:line="240" w:lineRule="atLeast"/>
      <w:jc w:val="left"/>
    </w:pPr>
    <w:rPr>
      <w:rFonts w:ascii="MingLiU" w:eastAsia="MingLiU"/>
      <w:kern w:val="0"/>
      <w:sz w:val="16"/>
      <w:szCs w:val="16"/>
    </w:rPr>
  </w:style>
  <w:style w:type="paragraph" w:customStyle="1" w:styleId="217">
    <w:name w:val="新格式表"/>
    <w:basedOn w:val="1"/>
    <w:autoRedefine/>
    <w:qFormat/>
    <w:uiPriority w:val="99"/>
    <w:pPr>
      <w:spacing w:line="240" w:lineRule="exact"/>
      <w:jc w:val="center"/>
    </w:pPr>
    <w:rPr>
      <w:bCs/>
      <w:szCs w:val="21"/>
    </w:rPr>
  </w:style>
  <w:style w:type="paragraph" w:customStyle="1" w:styleId="218">
    <w:name w:val="Char"/>
    <w:basedOn w:val="1"/>
    <w:qFormat/>
    <w:uiPriority w:val="99"/>
    <w:rPr>
      <w:sz w:val="24"/>
    </w:rPr>
  </w:style>
  <w:style w:type="paragraph" w:customStyle="1" w:styleId="219">
    <w:name w:val="表格内容自定"/>
    <w:basedOn w:val="1"/>
    <w:autoRedefine/>
    <w:qFormat/>
    <w:uiPriority w:val="0"/>
    <w:pPr>
      <w:spacing w:line="280" w:lineRule="exact"/>
      <w:jc w:val="center"/>
    </w:pPr>
    <w:rPr>
      <w:kern w:val="0"/>
      <w:sz w:val="18"/>
      <w:szCs w:val="21"/>
    </w:rPr>
  </w:style>
  <w:style w:type="paragraph" w:customStyle="1" w:styleId="220">
    <w:name w:val="Char Char Char1 Char Char Char1"/>
    <w:basedOn w:val="1"/>
    <w:autoRedefine/>
    <w:qFormat/>
    <w:uiPriority w:val="99"/>
    <w:rPr>
      <w:rFonts w:ascii="Courier New" w:hAnsi="Courier New" w:eastAsia="仿宋" w:cs="Courier New"/>
      <w:sz w:val="24"/>
    </w:rPr>
  </w:style>
  <w:style w:type="paragraph" w:customStyle="1" w:styleId="221">
    <w:name w:val="WPS Plain"/>
    <w:autoRedefine/>
    <w:qFormat/>
    <w:uiPriority w:val="0"/>
    <w:rPr>
      <w:rFonts w:ascii="Times New Roman" w:hAnsi="Times New Roman" w:eastAsia="宋体" w:cs="Times New Roman"/>
      <w:sz w:val="24"/>
      <w:szCs w:val="24"/>
      <w:lang w:val="en-US" w:eastAsia="zh-CN" w:bidi="ar-SA"/>
    </w:rPr>
  </w:style>
  <w:style w:type="paragraph" w:customStyle="1" w:styleId="222">
    <w:name w:val="码头正文"/>
    <w:basedOn w:val="8"/>
    <w:autoRedefine/>
    <w:qFormat/>
    <w:uiPriority w:val="99"/>
    <w:pPr>
      <w:adjustRightInd w:val="0"/>
      <w:snapToGrid w:val="0"/>
      <w:spacing w:line="360" w:lineRule="auto"/>
      <w:ind w:firstLine="480" w:firstLineChars="200"/>
      <w:textAlignment w:val="baseline"/>
    </w:pPr>
    <w:rPr>
      <w:rFonts w:hAnsi="宋体"/>
      <w:bCs/>
      <w:color w:val="FF00FF"/>
      <w:sz w:val="24"/>
      <w:szCs w:val="24"/>
    </w:rPr>
  </w:style>
  <w:style w:type="paragraph" w:customStyle="1" w:styleId="223">
    <w:name w:val="Char Char Char Char Char Char Char"/>
    <w:basedOn w:val="1"/>
    <w:autoRedefine/>
    <w:qFormat/>
    <w:uiPriority w:val="0"/>
    <w:rPr>
      <w:sz w:val="24"/>
    </w:rPr>
  </w:style>
  <w:style w:type="paragraph" w:customStyle="1" w:styleId="224">
    <w:name w:val="xl23"/>
    <w:basedOn w:val="1"/>
    <w:autoRedefine/>
    <w:qFormat/>
    <w:uiPriority w:val="99"/>
    <w:pPr>
      <w:widowControl/>
      <w:spacing w:before="100" w:beforeAutospacing="1" w:after="100" w:afterAutospacing="1"/>
      <w:jc w:val="center"/>
    </w:pPr>
    <w:rPr>
      <w:rFonts w:ascii="Arial Unicode MS" w:hAnsi="Arial Unicode MS"/>
      <w:kern w:val="0"/>
      <w:sz w:val="24"/>
    </w:rPr>
  </w:style>
  <w:style w:type="table" w:customStyle="1" w:styleId="225">
    <w:name w:val="网格型-1"/>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26">
    <w:name w:val="ylf"/>
    <w:basedOn w:val="65"/>
    <w:autoRedefine/>
    <w:qFormat/>
    <w:uiPriority w:val="99"/>
    <w:pPr>
      <w:widowControl w:val="0"/>
      <w:jc w:val="center"/>
    </w:pPr>
    <w:rPr>
      <w:sz w:val="21"/>
      <w:szCs w:val="21"/>
    </w:rPr>
    <w:tblPr>
      <w:tblBorders>
        <w:top w:val="single" w:color="auto" w:sz="12" w:space="0"/>
        <w:bottom w:val="single" w:color="auto" w:sz="12" w:space="0"/>
      </w:tblBorders>
    </w:tblPr>
  </w:style>
  <w:style w:type="paragraph" w:customStyle="1" w:styleId="227">
    <w:name w:val="表格文字2"/>
    <w:basedOn w:val="1"/>
    <w:autoRedefine/>
    <w:qFormat/>
    <w:uiPriority w:val="0"/>
    <w:pPr>
      <w:tabs>
        <w:tab w:val="left" w:pos="277"/>
        <w:tab w:val="left" w:pos="600"/>
        <w:tab w:val="left" w:pos="780"/>
        <w:tab w:val="left" w:pos="2517"/>
      </w:tabs>
      <w:adjustRightInd w:val="0"/>
      <w:spacing w:before="60"/>
      <w:jc w:val="center"/>
      <w:textAlignment w:val="baseline"/>
    </w:pPr>
    <w:rPr>
      <w:rFonts w:ascii="仿宋_GB2312" w:eastAsia="仿宋_GB2312"/>
      <w:color w:val="000000"/>
      <w:kern w:val="0"/>
      <w:szCs w:val="21"/>
    </w:rPr>
  </w:style>
  <w:style w:type="paragraph" w:customStyle="1" w:styleId="228">
    <w:name w:val="Table Paragraph"/>
    <w:basedOn w:val="1"/>
    <w:autoRedefine/>
    <w:qFormat/>
    <w:uiPriority w:val="1"/>
    <w:pPr>
      <w:autoSpaceDE w:val="0"/>
      <w:autoSpaceDN w:val="0"/>
      <w:spacing w:before="58"/>
      <w:jc w:val="center"/>
    </w:pPr>
    <w:rPr>
      <w:rFonts w:ascii="宋体" w:hAnsi="宋体" w:cs="宋体"/>
      <w:kern w:val="0"/>
      <w:sz w:val="22"/>
      <w:szCs w:val="22"/>
      <w:lang w:val="zh-CN" w:bidi="zh-CN"/>
    </w:rPr>
  </w:style>
  <w:style w:type="character" w:styleId="229">
    <w:name w:val="Placeholder Text"/>
    <w:autoRedefine/>
    <w:unhideWhenUsed/>
    <w:qFormat/>
    <w:uiPriority w:val="99"/>
    <w:rPr>
      <w:color w:val="808080"/>
    </w:rPr>
  </w:style>
  <w:style w:type="character" w:customStyle="1" w:styleId="230">
    <w:name w:val="正文首行缩进 2 字符"/>
    <w:basedOn w:val="89"/>
    <w:link w:val="9"/>
    <w:autoRedefine/>
    <w:qFormat/>
    <w:uiPriority w:val="0"/>
    <w:rPr>
      <w:rFonts w:ascii="Times New Roman" w:hAnsi="Times New Roman" w:eastAsia="宋体"/>
      <w:sz w:val="24"/>
    </w:rPr>
  </w:style>
  <w:style w:type="character" w:customStyle="1" w:styleId="231">
    <w:name w:val="报告表正文 Char"/>
    <w:link w:val="232"/>
    <w:autoRedefine/>
    <w:qFormat/>
    <w:uiPriority w:val="0"/>
    <w:rPr>
      <w:sz w:val="24"/>
    </w:rPr>
  </w:style>
  <w:style w:type="paragraph" w:customStyle="1" w:styleId="232">
    <w:name w:val="报告表正文"/>
    <w:basedOn w:val="1"/>
    <w:link w:val="231"/>
    <w:autoRedefine/>
    <w:qFormat/>
    <w:uiPriority w:val="0"/>
    <w:pPr>
      <w:adjustRightInd w:val="0"/>
      <w:spacing w:line="300" w:lineRule="auto"/>
      <w:ind w:left="113" w:right="113"/>
      <w:textAlignment w:val="baseline"/>
    </w:pPr>
    <w:rPr>
      <w:kern w:val="0"/>
      <w:sz w:val="24"/>
      <w:szCs w:val="20"/>
    </w:rPr>
  </w:style>
  <w:style w:type="character" w:customStyle="1" w:styleId="233">
    <w:name w:val="Char Char29"/>
    <w:autoRedefine/>
    <w:qFormat/>
    <w:uiPriority w:val="0"/>
    <w:rPr>
      <w:rFonts w:eastAsia="宋体"/>
      <w:b/>
      <w:bCs/>
      <w:kern w:val="2"/>
      <w:sz w:val="32"/>
      <w:szCs w:val="32"/>
      <w:lang w:val="en-US" w:eastAsia="zh-CN" w:bidi="ar-SA"/>
    </w:rPr>
  </w:style>
  <w:style w:type="character" w:customStyle="1" w:styleId="234">
    <w:name w:val="tt"/>
    <w:autoRedefine/>
    <w:qFormat/>
    <w:uiPriority w:val="0"/>
  </w:style>
  <w:style w:type="character" w:customStyle="1" w:styleId="235">
    <w:name w:val="3zw1"/>
    <w:autoRedefine/>
    <w:qFormat/>
    <w:uiPriority w:val="0"/>
    <w:rPr>
      <w:color w:val="000000"/>
      <w:sz w:val="21"/>
      <w:szCs w:val="21"/>
    </w:rPr>
  </w:style>
  <w:style w:type="character" w:customStyle="1" w:styleId="236">
    <w:name w:val="Char Char11"/>
    <w:autoRedefine/>
    <w:qFormat/>
    <w:uiPriority w:val="0"/>
    <w:rPr>
      <w:rFonts w:ascii="Calibri" w:hAnsi="Tahoma" w:eastAsia="Calibri" w:cs="Tahoma"/>
      <w:kern w:val="2"/>
      <w:sz w:val="21"/>
      <w:szCs w:val="21"/>
      <w:lang w:val="en-US" w:eastAsia="zh-CN" w:bidi="ar-SA"/>
    </w:rPr>
  </w:style>
  <w:style w:type="character" w:customStyle="1" w:styleId="237">
    <w:name w:val="未命名11"/>
    <w:autoRedefine/>
    <w:qFormat/>
    <w:uiPriority w:val="0"/>
    <w:rPr>
      <w:rFonts w:hint="eastAsia" w:ascii="宋体" w:hAnsi="宋体" w:eastAsia="宋体"/>
      <w:sz w:val="18"/>
      <w:szCs w:val="18"/>
    </w:rPr>
  </w:style>
  <w:style w:type="character" w:customStyle="1" w:styleId="238">
    <w:name w:val="正文文本 + 10 pt8"/>
    <w:autoRedefine/>
    <w:qFormat/>
    <w:uiPriority w:val="0"/>
    <w:rPr>
      <w:rFonts w:ascii="宋体" w:eastAsia="宋体" w:cs="宋体"/>
      <w:b/>
      <w:bCs/>
      <w:sz w:val="20"/>
      <w:szCs w:val="20"/>
    </w:rPr>
  </w:style>
  <w:style w:type="character" w:customStyle="1" w:styleId="239">
    <w:name w:val="p18-hei"/>
    <w:autoRedefine/>
    <w:qFormat/>
    <w:uiPriority w:val="0"/>
  </w:style>
  <w:style w:type="character" w:customStyle="1" w:styleId="240">
    <w:name w:val="表格内容1 Char"/>
    <w:link w:val="241"/>
    <w:autoRedefine/>
    <w:qFormat/>
    <w:uiPriority w:val="0"/>
    <w:rPr>
      <w:kern w:val="24"/>
      <w:sz w:val="21"/>
      <w:szCs w:val="21"/>
    </w:rPr>
  </w:style>
  <w:style w:type="paragraph" w:customStyle="1" w:styleId="241">
    <w:name w:val="表格内容1"/>
    <w:basedOn w:val="1"/>
    <w:link w:val="240"/>
    <w:autoRedefine/>
    <w:qFormat/>
    <w:uiPriority w:val="0"/>
    <w:pPr>
      <w:widowControl/>
      <w:jc w:val="center"/>
    </w:pPr>
    <w:rPr>
      <w:kern w:val="24"/>
      <w:szCs w:val="21"/>
    </w:rPr>
  </w:style>
  <w:style w:type="character" w:customStyle="1" w:styleId="242">
    <w:name w:val="正文文本 + 10 pt5"/>
    <w:autoRedefine/>
    <w:qFormat/>
    <w:uiPriority w:val="0"/>
    <w:rPr>
      <w:rFonts w:ascii="宋体" w:eastAsia="宋体" w:cs="宋体"/>
      <w:b/>
      <w:bCs/>
      <w:sz w:val="20"/>
      <w:szCs w:val="20"/>
    </w:rPr>
  </w:style>
  <w:style w:type="character" w:customStyle="1" w:styleId="243">
    <w:name w:val="edit_font_color"/>
    <w:autoRedefine/>
    <w:qFormat/>
    <w:uiPriority w:val="0"/>
  </w:style>
  <w:style w:type="character" w:customStyle="1" w:styleId="244">
    <w:name w:val="keyword1"/>
    <w:autoRedefine/>
    <w:qFormat/>
    <w:uiPriority w:val="0"/>
  </w:style>
  <w:style w:type="character" w:customStyle="1" w:styleId="245">
    <w:name w:val="报告 Char"/>
    <w:link w:val="246"/>
    <w:autoRedefine/>
    <w:qFormat/>
    <w:uiPriority w:val="0"/>
    <w:rPr>
      <w:rFonts w:ascii="TimesNewRoman" w:hAnsi="TimesNewRoman"/>
      <w:sz w:val="24"/>
    </w:rPr>
  </w:style>
  <w:style w:type="paragraph" w:customStyle="1" w:styleId="246">
    <w:name w:val="报告"/>
    <w:basedOn w:val="1"/>
    <w:link w:val="245"/>
    <w:autoRedefine/>
    <w:qFormat/>
    <w:uiPriority w:val="0"/>
    <w:pPr>
      <w:adjustRightInd w:val="0"/>
      <w:spacing w:line="360" w:lineRule="auto"/>
      <w:ind w:firstLine="505"/>
      <w:textAlignment w:val="center"/>
    </w:pPr>
    <w:rPr>
      <w:rFonts w:ascii="TimesNewRoman" w:hAnsi="TimesNewRoman"/>
      <w:kern w:val="0"/>
      <w:sz w:val="24"/>
      <w:szCs w:val="20"/>
    </w:rPr>
  </w:style>
  <w:style w:type="character" w:customStyle="1" w:styleId="247">
    <w:name w:val="px141"/>
    <w:autoRedefine/>
    <w:qFormat/>
    <w:uiPriority w:val="0"/>
    <w:rPr>
      <w:rFonts w:hint="default" w:ascii="ˎ̥" w:hAnsi="ˎ̥"/>
      <w:sz w:val="21"/>
      <w:szCs w:val="21"/>
    </w:rPr>
  </w:style>
  <w:style w:type="character" w:customStyle="1" w:styleId="248">
    <w:name w:val="注释标题 字符1"/>
    <w:link w:val="18"/>
    <w:autoRedefine/>
    <w:qFormat/>
    <w:uiPriority w:val="0"/>
    <w:rPr>
      <w:rFonts w:ascii="宋体"/>
      <w:kern w:val="2"/>
      <w:sz w:val="21"/>
    </w:rPr>
  </w:style>
  <w:style w:type="character" w:customStyle="1" w:styleId="249">
    <w:name w:val="标题1"/>
    <w:autoRedefine/>
    <w:qFormat/>
    <w:uiPriority w:val="0"/>
  </w:style>
  <w:style w:type="character" w:customStyle="1" w:styleId="250">
    <w:name w:val="spelle"/>
    <w:autoRedefine/>
    <w:qFormat/>
    <w:uiPriority w:val="0"/>
  </w:style>
  <w:style w:type="character" w:customStyle="1" w:styleId="251">
    <w:name w:val="css"/>
    <w:autoRedefine/>
    <w:qFormat/>
    <w:uiPriority w:val="0"/>
  </w:style>
  <w:style w:type="character" w:customStyle="1" w:styleId="252">
    <w:name w:val="正文B Char"/>
    <w:link w:val="253"/>
    <w:autoRedefine/>
    <w:qFormat/>
    <w:locked/>
    <w:uiPriority w:val="0"/>
    <w:rPr>
      <w:rFonts w:ascii="楷体_GB2312" w:eastAsia="楷体_GB2312"/>
      <w:kern w:val="2"/>
      <w:sz w:val="28"/>
    </w:rPr>
  </w:style>
  <w:style w:type="paragraph" w:customStyle="1" w:styleId="253">
    <w:name w:val="正文B"/>
    <w:basedOn w:val="1"/>
    <w:link w:val="252"/>
    <w:autoRedefine/>
    <w:qFormat/>
    <w:uiPriority w:val="0"/>
    <w:pPr>
      <w:spacing w:line="500" w:lineRule="exact"/>
    </w:pPr>
    <w:rPr>
      <w:rFonts w:ascii="楷体_GB2312" w:eastAsia="楷体_GB2312"/>
      <w:sz w:val="28"/>
      <w:szCs w:val="20"/>
    </w:rPr>
  </w:style>
  <w:style w:type="character" w:customStyle="1" w:styleId="254">
    <w:name w:val="标题 3 Char Char2"/>
    <w:autoRedefine/>
    <w:qFormat/>
    <w:uiPriority w:val="0"/>
    <w:rPr>
      <w:rFonts w:eastAsia="宋体"/>
      <w:b/>
      <w:bCs/>
      <w:kern w:val="2"/>
      <w:sz w:val="32"/>
      <w:szCs w:val="32"/>
      <w:lang w:val="en-US" w:eastAsia="zh-CN" w:bidi="ar-SA"/>
    </w:rPr>
  </w:style>
  <w:style w:type="character" w:customStyle="1" w:styleId="255">
    <w:name w:val="Char Char4"/>
    <w:autoRedefine/>
    <w:qFormat/>
    <w:uiPriority w:val="0"/>
    <w:rPr>
      <w:rFonts w:ascii="宋体" w:hAnsi="Courier New" w:eastAsia="宋体"/>
      <w:kern w:val="2"/>
      <w:sz w:val="21"/>
      <w:lang w:val="en-US" w:eastAsia="zh-CN" w:bidi="ar-SA"/>
    </w:rPr>
  </w:style>
  <w:style w:type="character" w:customStyle="1" w:styleId="256">
    <w:name w:val="正文文本 + 6.5 pt3"/>
    <w:autoRedefine/>
    <w:qFormat/>
    <w:uiPriority w:val="0"/>
    <w:rPr>
      <w:rFonts w:ascii="宋体" w:hAnsi="宋体" w:eastAsia="宋体" w:cs="宋体"/>
      <w:b/>
      <w:bCs/>
      <w:sz w:val="13"/>
      <w:szCs w:val="13"/>
      <w:lang w:val="en-US" w:eastAsia="zh-CN"/>
    </w:rPr>
  </w:style>
  <w:style w:type="character" w:customStyle="1" w:styleId="257">
    <w:name w:val="t_tag"/>
    <w:autoRedefine/>
    <w:qFormat/>
    <w:uiPriority w:val="0"/>
  </w:style>
  <w:style w:type="character" w:customStyle="1" w:styleId="258">
    <w:name w:val="style31"/>
    <w:autoRedefine/>
    <w:qFormat/>
    <w:uiPriority w:val="0"/>
    <w:rPr>
      <w:color w:val="000000"/>
      <w:sz w:val="21"/>
      <w:szCs w:val="21"/>
    </w:rPr>
  </w:style>
  <w:style w:type="character" w:customStyle="1" w:styleId="259">
    <w:name w:val="链接"/>
    <w:autoRedefine/>
    <w:qFormat/>
    <w:uiPriority w:val="0"/>
    <w:rPr>
      <w:color w:val="0000FF"/>
      <w:u w:val="single" w:color="0000FF"/>
    </w:rPr>
  </w:style>
  <w:style w:type="character" w:customStyle="1" w:styleId="260">
    <w:name w:val="Char Char9"/>
    <w:autoRedefine/>
    <w:qFormat/>
    <w:uiPriority w:val="0"/>
    <w:rPr>
      <w:rFonts w:ascii="宋体" w:hAnsi="宋体" w:eastAsia="宋体"/>
      <w:kern w:val="2"/>
      <w:sz w:val="24"/>
      <w:szCs w:val="24"/>
      <w:lang w:val="en-US" w:eastAsia="zh-CN" w:bidi="ar-SA"/>
    </w:rPr>
  </w:style>
  <w:style w:type="character" w:customStyle="1" w:styleId="261">
    <w:name w:val="正文文本 3 字符1"/>
    <w:link w:val="27"/>
    <w:autoRedefine/>
    <w:qFormat/>
    <w:locked/>
    <w:uiPriority w:val="99"/>
    <w:rPr>
      <w:rFonts w:ascii="宋体" w:hAnsi="宋体"/>
      <w:kern w:val="2"/>
      <w:sz w:val="16"/>
      <w:szCs w:val="16"/>
    </w:rPr>
  </w:style>
  <w:style w:type="character" w:customStyle="1" w:styleId="262">
    <w:name w:val="表1 Char"/>
    <w:link w:val="263"/>
    <w:autoRedefine/>
    <w:qFormat/>
    <w:uiPriority w:val="0"/>
    <w:rPr>
      <w:rFonts w:eastAsia="Times New Roman"/>
      <w:sz w:val="21"/>
    </w:rPr>
  </w:style>
  <w:style w:type="paragraph" w:customStyle="1" w:styleId="263">
    <w:name w:val="表1"/>
    <w:next w:val="1"/>
    <w:link w:val="262"/>
    <w:autoRedefine/>
    <w:qFormat/>
    <w:uiPriority w:val="0"/>
    <w:pPr>
      <w:adjustRightInd w:val="0"/>
      <w:snapToGrid w:val="0"/>
      <w:jc w:val="center"/>
    </w:pPr>
    <w:rPr>
      <w:rFonts w:ascii="Times New Roman" w:hAnsi="Times New Roman" w:eastAsia="Times New Roman" w:cs="Times New Roman"/>
      <w:sz w:val="21"/>
      <w:lang w:val="en-US" w:eastAsia="zh-CN" w:bidi="ar-SA"/>
    </w:rPr>
  </w:style>
  <w:style w:type="character" w:customStyle="1" w:styleId="264">
    <w:name w:val="标题 2 Char3"/>
    <w:autoRedefine/>
    <w:qFormat/>
    <w:uiPriority w:val="0"/>
    <w:rPr>
      <w:rFonts w:eastAsia="宋体"/>
      <w:b/>
      <w:bCs/>
      <w:kern w:val="2"/>
      <w:sz w:val="21"/>
      <w:szCs w:val="24"/>
      <w:lang w:val="en-US" w:eastAsia="zh-CN" w:bidi="ar-SA"/>
    </w:rPr>
  </w:style>
  <w:style w:type="character" w:customStyle="1" w:styleId="265">
    <w:name w:val="grame"/>
    <w:autoRedefine/>
    <w:qFormat/>
    <w:uiPriority w:val="0"/>
  </w:style>
  <w:style w:type="character" w:customStyle="1" w:styleId="266">
    <w:name w:val="纯文本1"/>
    <w:autoRedefine/>
    <w:qFormat/>
    <w:uiPriority w:val="0"/>
    <w:rPr>
      <w:rFonts w:ascii="宋体" w:hAnsi="Courier New" w:eastAsia="宋体" w:cs="Courier New"/>
      <w:kern w:val="2"/>
      <w:sz w:val="21"/>
      <w:szCs w:val="21"/>
      <w:lang w:val="en-US" w:eastAsia="zh-CN" w:bidi="ar-SA"/>
    </w:rPr>
  </w:style>
  <w:style w:type="character" w:customStyle="1" w:styleId="267">
    <w:name w:val="ddd"/>
    <w:autoRedefine/>
    <w:qFormat/>
    <w:uiPriority w:val="0"/>
  </w:style>
  <w:style w:type="character" w:customStyle="1" w:styleId="268">
    <w:name w:val="表格 Char1"/>
    <w:autoRedefine/>
    <w:qFormat/>
    <w:uiPriority w:val="0"/>
    <w:rPr>
      <w:rFonts w:ascii="Times New Roman" w:hAnsi="Times New Roman" w:eastAsia="仿宋_GB2312"/>
      <w:color w:val="auto"/>
      <w:kern w:val="2"/>
      <w:sz w:val="21"/>
      <w:szCs w:val="24"/>
    </w:rPr>
  </w:style>
  <w:style w:type="character" w:customStyle="1" w:styleId="269">
    <w:name w:val="表 Char1"/>
    <w:autoRedefine/>
    <w:qFormat/>
    <w:uiPriority w:val="0"/>
    <w:rPr>
      <w:rFonts w:eastAsia="仿宋_GB2312" w:cs="仿宋_GB2312"/>
      <w:kern w:val="2"/>
      <w:sz w:val="21"/>
      <w:szCs w:val="21"/>
      <w:lang w:val="en-US" w:eastAsia="zh-CN" w:bidi="ar-SA"/>
    </w:rPr>
  </w:style>
  <w:style w:type="character" w:customStyle="1" w:styleId="270">
    <w:name w:val="正文1 Char"/>
    <w:link w:val="271"/>
    <w:autoRedefine/>
    <w:qFormat/>
    <w:uiPriority w:val="0"/>
    <w:rPr>
      <w:rFonts w:ascii="宋体" w:hAnsi="宋体"/>
      <w:color w:val="000000"/>
      <w:kern w:val="2"/>
      <w:sz w:val="24"/>
    </w:rPr>
  </w:style>
  <w:style w:type="paragraph" w:customStyle="1" w:styleId="271">
    <w:name w:val="正文1"/>
    <w:basedOn w:val="1"/>
    <w:link w:val="270"/>
    <w:autoRedefine/>
    <w:qFormat/>
    <w:uiPriority w:val="0"/>
    <w:pPr>
      <w:snapToGrid w:val="0"/>
      <w:spacing w:beforeLines="20" w:afterLines="20" w:line="312" w:lineRule="auto"/>
      <w:ind w:firstLine="475" w:firstLineChars="198"/>
    </w:pPr>
    <w:rPr>
      <w:rFonts w:ascii="宋体" w:hAnsi="宋体"/>
      <w:color w:val="000000"/>
      <w:sz w:val="24"/>
      <w:szCs w:val="20"/>
    </w:rPr>
  </w:style>
  <w:style w:type="character" w:customStyle="1" w:styleId="272">
    <w:name w:val="正文调整 Char"/>
    <w:link w:val="273"/>
    <w:autoRedefine/>
    <w:qFormat/>
    <w:uiPriority w:val="0"/>
    <w:rPr>
      <w:kern w:val="2"/>
      <w:sz w:val="24"/>
      <w:szCs w:val="24"/>
    </w:rPr>
  </w:style>
  <w:style w:type="paragraph" w:customStyle="1" w:styleId="273">
    <w:name w:val="正文调整"/>
    <w:basedOn w:val="1"/>
    <w:link w:val="272"/>
    <w:autoRedefine/>
    <w:qFormat/>
    <w:uiPriority w:val="0"/>
    <w:pPr>
      <w:spacing w:before="60" w:line="460" w:lineRule="atLeast"/>
      <w:ind w:firstLine="200" w:firstLineChars="200"/>
    </w:pPr>
    <w:rPr>
      <w:sz w:val="24"/>
    </w:rPr>
  </w:style>
  <w:style w:type="character" w:customStyle="1" w:styleId="274">
    <w:name w:val="表格标题 Char Char"/>
    <w:link w:val="119"/>
    <w:autoRedefine/>
    <w:qFormat/>
    <w:uiPriority w:val="0"/>
    <w:rPr>
      <w:rFonts w:eastAsia="方正魏碑简体"/>
      <w:kern w:val="2"/>
      <w:sz w:val="24"/>
    </w:rPr>
  </w:style>
  <w:style w:type="paragraph" w:customStyle="1" w:styleId="275">
    <w:name w:val="居中正文"/>
    <w:basedOn w:val="62"/>
    <w:autoRedefine/>
    <w:qFormat/>
    <w:uiPriority w:val="0"/>
    <w:pPr>
      <w:adjustRightInd w:val="0"/>
      <w:spacing w:before="120" w:after="0" w:line="360" w:lineRule="auto"/>
      <w:ind w:firstLine="0" w:firstLineChars="0"/>
      <w:jc w:val="center"/>
      <w:textAlignment w:val="baseline"/>
    </w:pPr>
    <w:rPr>
      <w:rFonts w:ascii="宋体"/>
      <w:kern w:val="28"/>
      <w:sz w:val="24"/>
      <w:szCs w:val="24"/>
      <w:lang w:val="zh-CN"/>
    </w:rPr>
  </w:style>
  <w:style w:type="character" w:customStyle="1" w:styleId="276">
    <w:name w:val="注释标题 Char1"/>
    <w:autoRedefine/>
    <w:qFormat/>
    <w:uiPriority w:val="99"/>
    <w:rPr>
      <w:kern w:val="2"/>
      <w:sz w:val="21"/>
      <w:szCs w:val="24"/>
    </w:rPr>
  </w:style>
  <w:style w:type="paragraph" w:customStyle="1" w:styleId="277">
    <w:name w:val="正文首行缩进 2 + Times New Roman"/>
    <w:basedOn w:val="1"/>
    <w:autoRedefine/>
    <w:qFormat/>
    <w:uiPriority w:val="0"/>
    <w:pPr>
      <w:tabs>
        <w:tab w:val="left" w:pos="0"/>
        <w:tab w:val="left" w:pos="1080"/>
      </w:tabs>
      <w:autoSpaceDE w:val="0"/>
      <w:autoSpaceDN w:val="0"/>
      <w:spacing w:line="540" w:lineRule="exact"/>
      <w:ind w:firstLine="480" w:firstLineChars="200"/>
    </w:pPr>
    <w:rPr>
      <w:sz w:val="24"/>
    </w:rPr>
  </w:style>
  <w:style w:type="paragraph" w:customStyle="1" w:styleId="278">
    <w:name w:val="CM11"/>
    <w:basedOn w:val="78"/>
    <w:next w:val="78"/>
    <w:autoRedefine/>
    <w:qFormat/>
    <w:uiPriority w:val="0"/>
    <w:pPr>
      <w:spacing w:line="460" w:lineRule="atLeast"/>
    </w:pPr>
    <w:rPr>
      <w:rFonts w:ascii="黑体" w:eastAsia="黑体" w:cs="Times New Roman"/>
      <w:color w:val="auto"/>
      <w:sz w:val="20"/>
    </w:rPr>
  </w:style>
  <w:style w:type="character" w:customStyle="1" w:styleId="279">
    <w:name w:val="HTML 预设格式 字符1"/>
    <w:link w:val="58"/>
    <w:autoRedefine/>
    <w:qFormat/>
    <w:uiPriority w:val="99"/>
    <w:rPr>
      <w:rFonts w:ascii="Arial" w:hAnsi="Arial"/>
      <w:sz w:val="23"/>
      <w:szCs w:val="23"/>
      <w:lang w:val="zh-CN" w:eastAsia="zh-CN"/>
    </w:rPr>
  </w:style>
  <w:style w:type="character" w:customStyle="1" w:styleId="280">
    <w:name w:val="正文文本 3 Char1"/>
    <w:autoRedefine/>
    <w:qFormat/>
    <w:uiPriority w:val="99"/>
    <w:rPr>
      <w:kern w:val="2"/>
      <w:sz w:val="16"/>
      <w:szCs w:val="16"/>
    </w:rPr>
  </w:style>
  <w:style w:type="paragraph" w:customStyle="1" w:styleId="281">
    <w:name w:val="IDC A-Head (2nd Line)"/>
    <w:basedOn w:val="1"/>
    <w:next w:val="1"/>
    <w:autoRedefine/>
    <w:qFormat/>
    <w:uiPriority w:val="0"/>
    <w:pPr>
      <w:widowControl/>
      <w:jc w:val="center"/>
    </w:pPr>
    <w:rPr>
      <w:caps/>
      <w:kern w:val="0"/>
      <w:sz w:val="24"/>
      <w:szCs w:val="20"/>
    </w:rPr>
  </w:style>
  <w:style w:type="paragraph" w:customStyle="1" w:styleId="282">
    <w:name w:val="前言、引言标题"/>
    <w:next w:val="1"/>
    <w:autoRedefine/>
    <w:qFormat/>
    <w:uiPriority w:val="0"/>
    <w:pPr>
      <w:shd w:val="clear" w:color="FFFFFF" w:fill="FFFFFF"/>
      <w:tabs>
        <w:tab w:val="left" w:pos="903"/>
      </w:tabs>
      <w:spacing w:before="640" w:after="560"/>
      <w:ind w:left="903" w:hanging="315"/>
      <w:jc w:val="center"/>
      <w:outlineLvl w:val="0"/>
    </w:pPr>
    <w:rPr>
      <w:rFonts w:ascii="黑体" w:hAnsi="Times New Roman" w:eastAsia="黑体" w:cs="Times New Roman"/>
      <w:sz w:val="32"/>
      <w:lang w:val="en-US" w:eastAsia="zh-CN" w:bidi="ar-SA"/>
    </w:rPr>
  </w:style>
  <w:style w:type="paragraph" w:customStyle="1" w:styleId="283">
    <w:name w:val="默认段落字体 Para Char Char Char Char Char Char Char Char Char Char Char Char Char"/>
    <w:basedOn w:val="1"/>
    <w:autoRedefine/>
    <w:qFormat/>
    <w:uiPriority w:val="0"/>
    <w:rPr>
      <w:sz w:val="24"/>
    </w:rPr>
  </w:style>
  <w:style w:type="paragraph" w:customStyle="1" w:styleId="284">
    <w:name w:val="1 Char Char Char Char Char Char Char Char Char Char Char Char Char Char Char Char"/>
    <w:basedOn w:val="1"/>
    <w:autoRedefine/>
    <w:qFormat/>
    <w:uiPriority w:val="0"/>
  </w:style>
  <w:style w:type="paragraph" w:customStyle="1" w:styleId="285">
    <w:name w:val="css1"/>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86">
    <w:name w:val="表2"/>
    <w:basedOn w:val="8"/>
    <w:autoRedefine/>
    <w:qFormat/>
    <w:uiPriority w:val="0"/>
    <w:pPr>
      <w:snapToGrid w:val="0"/>
      <w:ind w:firstLine="0"/>
      <w:jc w:val="center"/>
      <w:textAlignment w:val="baseline"/>
      <w:outlineLvl w:val="7"/>
    </w:pPr>
    <w:rPr>
      <w:rFonts w:eastAsia="仿宋_GB2312"/>
      <w:snapToGrid w:val="0"/>
      <w:color w:val="000000"/>
      <w:sz w:val="21"/>
      <w:szCs w:val="21"/>
    </w:rPr>
  </w:style>
  <w:style w:type="paragraph" w:customStyle="1" w:styleId="287">
    <w:name w:val="xl34"/>
    <w:basedOn w:val="1"/>
    <w:autoRedefine/>
    <w:qFormat/>
    <w:uiPriority w:val="0"/>
    <w:pPr>
      <w:widowControl/>
      <w:spacing w:before="100" w:beforeAutospacing="1" w:after="100" w:afterAutospacing="1"/>
      <w:jc w:val="center"/>
    </w:pPr>
    <w:rPr>
      <w:rFonts w:ascii="Arial Unicode MS" w:hAnsi="Arial Unicode MS" w:eastAsia="Arial Unicode MS"/>
      <w:kern w:val="0"/>
      <w:sz w:val="24"/>
    </w:rPr>
  </w:style>
  <w:style w:type="paragraph" w:customStyle="1" w:styleId="288">
    <w:name w:val="码头表"/>
    <w:basedOn w:val="1"/>
    <w:autoRedefine/>
    <w:qFormat/>
    <w:uiPriority w:val="0"/>
    <w:pPr>
      <w:jc w:val="center"/>
    </w:pPr>
    <w:rPr>
      <w:rFonts w:ascii="宋体" w:hAnsi="宋体"/>
      <w:color w:val="FF0000"/>
      <w:sz w:val="24"/>
    </w:rPr>
  </w:style>
  <w:style w:type="paragraph" w:customStyle="1" w:styleId="289">
    <w:name w:val="表内式样"/>
    <w:autoRedefine/>
    <w:qFormat/>
    <w:uiPriority w:val="0"/>
    <w:pPr>
      <w:widowControl w:val="0"/>
      <w:adjustRightInd w:val="0"/>
      <w:jc w:val="center"/>
      <w:textAlignment w:val="baseline"/>
    </w:pPr>
    <w:rPr>
      <w:rFonts w:ascii="宋体" w:hAnsi="宋体" w:eastAsia="宋体" w:cs="Times New Roman"/>
      <w:kern w:val="2"/>
      <w:sz w:val="21"/>
      <w:lang w:val="en-US" w:eastAsia="zh-CN" w:bidi="ar-SA"/>
    </w:rPr>
  </w:style>
  <w:style w:type="paragraph" w:customStyle="1" w:styleId="290">
    <w:name w:val="Char1"/>
    <w:basedOn w:val="1"/>
    <w:autoRedefine/>
    <w:qFormat/>
    <w:uiPriority w:val="0"/>
    <w:rPr>
      <w:sz w:val="24"/>
    </w:rPr>
  </w:style>
  <w:style w:type="paragraph" w:customStyle="1" w:styleId="291">
    <w:name w:val="正文2"/>
    <w:basedOn w:val="1"/>
    <w:autoRedefine/>
    <w:qFormat/>
    <w:uiPriority w:val="0"/>
    <w:pPr>
      <w:spacing w:line="500" w:lineRule="exact"/>
      <w:ind w:firstLine="560" w:firstLineChars="200"/>
    </w:pPr>
    <w:rPr>
      <w:rFonts w:ascii="楷体_GB2312" w:eastAsia="楷体_GB2312" w:cs="宋体"/>
      <w:sz w:val="28"/>
      <w:szCs w:val="20"/>
    </w:rPr>
  </w:style>
  <w:style w:type="paragraph" w:customStyle="1" w:styleId="292">
    <w:name w:val="xl37"/>
    <w:basedOn w:val="1"/>
    <w:autoRedefine/>
    <w:qFormat/>
    <w:uiPriority w:val="0"/>
    <w:pPr>
      <w:widowControl/>
      <w:pBdr>
        <w:left w:val="single" w:color="auto" w:sz="8" w:space="0"/>
        <w:bottom w:val="single" w:color="auto" w:sz="8" w:space="0"/>
      </w:pBdr>
      <w:spacing w:before="100" w:beforeAutospacing="1" w:after="100" w:afterAutospacing="1"/>
      <w:jc w:val="center"/>
    </w:pPr>
    <w:rPr>
      <w:rFonts w:ascii="Arial Unicode MS" w:hAnsi="Arial Unicode MS" w:eastAsia="Arial Unicode MS" w:cs="Arial Unicode MS"/>
      <w:kern w:val="0"/>
      <w:sz w:val="24"/>
    </w:rPr>
  </w:style>
  <w:style w:type="paragraph" w:customStyle="1" w:styleId="293">
    <w:name w:val="样式 标题 3ReHead 3 WSAh3标题 3 Char标题 32标题 311Re11Head 3 WSA1..."/>
    <w:basedOn w:val="5"/>
    <w:autoRedefine/>
    <w:qFormat/>
    <w:uiPriority w:val="0"/>
    <w:pPr>
      <w:keepNext w:val="0"/>
      <w:keepLines w:val="0"/>
      <w:widowControl/>
      <w:tabs>
        <w:tab w:val="clear" w:pos="567"/>
      </w:tabs>
      <w:spacing w:before="260" w:beforeLines="50" w:after="0"/>
      <w:ind w:left="0" w:firstLine="0"/>
      <w:jc w:val="left"/>
    </w:pPr>
    <w:rPr>
      <w:rFonts w:ascii="宋体" w:hAnsi="宋体" w:eastAsia="宋体" w:cs="宋体"/>
      <w:bCs/>
      <w:color w:val="000000"/>
      <w:kern w:val="0"/>
      <w:sz w:val="24"/>
    </w:rPr>
  </w:style>
  <w:style w:type="paragraph" w:customStyle="1" w:styleId="294">
    <w:name w:val="1 Char Char Char Char Char Char Char Char Char Char"/>
    <w:basedOn w:val="1"/>
    <w:autoRedefine/>
    <w:qFormat/>
    <w:uiPriority w:val="0"/>
  </w:style>
  <w:style w:type="paragraph" w:customStyle="1" w:styleId="295">
    <w:name w:val="Char Char Char Char Char Char Char1"/>
    <w:basedOn w:val="1"/>
    <w:autoRedefine/>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296">
    <w:name w:val="xl26"/>
    <w:basedOn w:val="1"/>
    <w:autoRedefine/>
    <w:qFormat/>
    <w:uiPriority w:val="0"/>
    <w:pPr>
      <w:widowControl/>
      <w:pBdr>
        <w:left w:val="single" w:color="auto" w:sz="4" w:space="0"/>
        <w:right w:val="single" w:color="auto" w:sz="4" w:space="0"/>
      </w:pBdr>
      <w:spacing w:before="100" w:beforeAutospacing="1" w:after="100" w:afterAutospacing="1"/>
      <w:jc w:val="center"/>
      <w:textAlignment w:val="top"/>
    </w:pPr>
    <w:rPr>
      <w:rFonts w:eastAsia="Arial Unicode MS"/>
      <w:kern w:val="0"/>
      <w:sz w:val="18"/>
      <w:szCs w:val="18"/>
    </w:rPr>
  </w:style>
  <w:style w:type="paragraph" w:customStyle="1" w:styleId="297">
    <w:name w:val="正文两端对齐"/>
    <w:basedOn w:val="1"/>
    <w:autoRedefine/>
    <w:qFormat/>
    <w:uiPriority w:val="0"/>
    <w:pPr>
      <w:spacing w:line="480" w:lineRule="exact"/>
    </w:pPr>
    <w:rPr>
      <w:rFonts w:ascii="宋体"/>
      <w:sz w:val="24"/>
    </w:rPr>
  </w:style>
  <w:style w:type="paragraph" w:customStyle="1" w:styleId="298">
    <w:name w:val="Char2"/>
    <w:basedOn w:val="1"/>
    <w:autoRedefine/>
    <w:qFormat/>
    <w:uiPriority w:val="0"/>
    <w:pPr>
      <w:ind w:firstLine="200" w:firstLineChars="200"/>
    </w:pPr>
    <w:rPr>
      <w:rFonts w:ascii="宋体" w:hAnsi="宋体" w:cs="宋体"/>
    </w:rPr>
  </w:style>
  <w:style w:type="paragraph" w:customStyle="1" w:styleId="299">
    <w:name w:val="1 Char Char Char Char Char Char Char Char Char Char Char Char Char"/>
    <w:basedOn w:val="1"/>
    <w:autoRedefine/>
    <w:qFormat/>
    <w:uiPriority w:val="0"/>
  </w:style>
  <w:style w:type="paragraph" w:customStyle="1" w:styleId="300">
    <w:name w:val="表格1"/>
    <w:basedOn w:val="1"/>
    <w:autoRedefine/>
    <w:qFormat/>
    <w:uiPriority w:val="0"/>
    <w:pPr>
      <w:spacing w:before="120" w:line="360" w:lineRule="auto"/>
    </w:pPr>
    <w:rPr>
      <w:sz w:val="24"/>
      <w:szCs w:val="20"/>
    </w:rPr>
  </w:style>
  <w:style w:type="paragraph" w:customStyle="1" w:styleId="301">
    <w:name w:val="中文报告书样式"/>
    <w:basedOn w:val="1"/>
    <w:autoRedefine/>
    <w:qFormat/>
    <w:uiPriority w:val="0"/>
    <w:pPr>
      <w:adjustRightInd w:val="0"/>
      <w:spacing w:line="480" w:lineRule="atLeast"/>
      <w:ind w:firstLine="482"/>
      <w:textAlignment w:val="baseline"/>
    </w:pPr>
    <w:rPr>
      <w:rFonts w:ascii="Lucida Console" w:hAnsi="Lucida Console" w:eastAsia="华文中宋" w:cs="Lucida Console"/>
      <w:kern w:val="24"/>
      <w:sz w:val="24"/>
      <w:szCs w:val="20"/>
    </w:rPr>
  </w:style>
  <w:style w:type="paragraph" w:customStyle="1" w:styleId="302">
    <w:name w:val="大表内容"/>
    <w:autoRedefine/>
    <w:qFormat/>
    <w:uiPriority w:val="0"/>
    <w:pPr>
      <w:snapToGrid w:val="0"/>
      <w:jc w:val="center"/>
    </w:pPr>
    <w:rPr>
      <w:rFonts w:ascii="Times New Roman" w:hAnsi="Times New Roman" w:eastAsia="宋体" w:cs="Times New Roman"/>
      <w:sz w:val="21"/>
      <w:szCs w:val="21"/>
      <w:lang w:val="en-US" w:eastAsia="zh-CN" w:bidi="ar-SA"/>
    </w:rPr>
  </w:style>
  <w:style w:type="paragraph" w:customStyle="1" w:styleId="303">
    <w:name w:val="简单回函地址"/>
    <w:basedOn w:val="1"/>
    <w:autoRedefine/>
    <w:qFormat/>
    <w:uiPriority w:val="0"/>
    <w:rPr>
      <w:szCs w:val="20"/>
    </w:rPr>
  </w:style>
  <w:style w:type="paragraph" w:customStyle="1" w:styleId="304">
    <w:name w:val="Char Char2"/>
    <w:basedOn w:val="1"/>
    <w:autoRedefine/>
    <w:qFormat/>
    <w:uiPriority w:val="0"/>
    <w:pPr>
      <w:adjustRightInd w:val="0"/>
      <w:spacing w:line="360" w:lineRule="auto"/>
    </w:pPr>
    <w:rPr>
      <w:kern w:val="0"/>
      <w:sz w:val="24"/>
    </w:rPr>
  </w:style>
  <w:style w:type="paragraph" w:customStyle="1" w:styleId="305">
    <w:name w:val="二级条标题"/>
    <w:basedOn w:val="306"/>
    <w:next w:val="1"/>
    <w:autoRedefine/>
    <w:qFormat/>
    <w:uiPriority w:val="0"/>
    <w:pPr>
      <w:tabs>
        <w:tab w:val="left" w:pos="360"/>
        <w:tab w:val="left" w:pos="903"/>
      </w:tabs>
      <w:outlineLvl w:val="3"/>
    </w:pPr>
  </w:style>
  <w:style w:type="paragraph" w:customStyle="1" w:styleId="306">
    <w:name w:val="一级条标题"/>
    <w:basedOn w:val="307"/>
    <w:next w:val="1"/>
    <w:autoRedefine/>
    <w:qFormat/>
    <w:uiPriority w:val="0"/>
    <w:pPr>
      <w:tabs>
        <w:tab w:val="left" w:pos="360"/>
        <w:tab w:val="left" w:pos="903"/>
      </w:tabs>
      <w:spacing w:before="0" w:after="0"/>
      <w:ind w:left="0" w:firstLine="0"/>
      <w:outlineLvl w:val="2"/>
    </w:pPr>
  </w:style>
  <w:style w:type="paragraph" w:customStyle="1" w:styleId="307">
    <w:name w:val="章标题"/>
    <w:next w:val="1"/>
    <w:autoRedefine/>
    <w:qFormat/>
    <w:uiPriority w:val="0"/>
    <w:pPr>
      <w:tabs>
        <w:tab w:val="left" w:pos="903"/>
      </w:tabs>
      <w:spacing w:before="50" w:after="50"/>
      <w:ind w:left="903" w:hanging="315"/>
      <w:jc w:val="both"/>
      <w:outlineLvl w:val="1"/>
    </w:pPr>
    <w:rPr>
      <w:rFonts w:ascii="黑体" w:hAnsi="Times New Roman" w:eastAsia="黑体" w:cs="Times New Roman"/>
      <w:sz w:val="21"/>
      <w:lang w:val="en-US" w:eastAsia="zh-CN" w:bidi="ar-SA"/>
    </w:rPr>
  </w:style>
  <w:style w:type="paragraph" w:customStyle="1" w:styleId="308">
    <w:name w:val="正文缩进1"/>
    <w:basedOn w:val="1"/>
    <w:autoRedefine/>
    <w:qFormat/>
    <w:uiPriority w:val="0"/>
    <w:pPr>
      <w:spacing w:beforeLines="50" w:afterLines="50" w:line="360" w:lineRule="auto"/>
      <w:ind w:firstLine="482" w:firstLineChars="200"/>
      <w:jc w:val="center"/>
    </w:pPr>
    <w:rPr>
      <w:b/>
      <w:sz w:val="24"/>
      <w:szCs w:val="20"/>
    </w:rPr>
  </w:style>
  <w:style w:type="paragraph" w:customStyle="1" w:styleId="309">
    <w:name w:val="标准"/>
    <w:basedOn w:val="1"/>
    <w:autoRedefine/>
    <w:qFormat/>
    <w:uiPriority w:val="0"/>
    <w:pPr>
      <w:adjustRightInd w:val="0"/>
      <w:spacing w:line="360" w:lineRule="auto"/>
      <w:textAlignment w:val="baseline"/>
    </w:pPr>
    <w:rPr>
      <w:rFonts w:ascii="楷体_GB2312" w:eastAsia="楷体_GB2312"/>
      <w:kern w:val="0"/>
      <w:sz w:val="28"/>
      <w:szCs w:val="20"/>
    </w:rPr>
  </w:style>
  <w:style w:type="paragraph" w:customStyle="1" w:styleId="310">
    <w:name w:val="表格001"/>
    <w:basedOn w:val="1"/>
    <w:autoRedefine/>
    <w:qFormat/>
    <w:uiPriority w:val="0"/>
    <w:pPr>
      <w:jc w:val="center"/>
    </w:pPr>
    <w:rPr>
      <w:rFonts w:ascii="宋体" w:hAnsi="宋体"/>
      <w:sz w:val="24"/>
      <w:szCs w:val="20"/>
    </w:rPr>
  </w:style>
  <w:style w:type="paragraph" w:customStyle="1" w:styleId="311">
    <w:name w:val="三级标题"/>
    <w:basedOn w:val="1"/>
    <w:next w:val="9"/>
    <w:autoRedefine/>
    <w:qFormat/>
    <w:uiPriority w:val="0"/>
    <w:pPr>
      <w:spacing w:line="360" w:lineRule="exact"/>
      <w:jc w:val="center"/>
    </w:pPr>
    <w:rPr>
      <w:sz w:val="24"/>
    </w:rPr>
  </w:style>
  <w:style w:type="paragraph" w:customStyle="1" w:styleId="312">
    <w:name w:val="表格内容"/>
    <w:basedOn w:val="1"/>
    <w:link w:val="469"/>
    <w:autoRedefine/>
    <w:qFormat/>
    <w:uiPriority w:val="0"/>
    <w:pPr>
      <w:overflowPunct w:val="0"/>
      <w:adjustRightInd w:val="0"/>
      <w:spacing w:before="40" w:after="60" w:line="200" w:lineRule="atLeast"/>
      <w:textAlignment w:val="baseline"/>
    </w:pPr>
    <w:rPr>
      <w:rFonts w:ascii="Arial" w:hAnsi="Arial" w:eastAsia="仿宋_GB2312"/>
      <w:kern w:val="0"/>
      <w:sz w:val="24"/>
      <w:szCs w:val="20"/>
    </w:rPr>
  </w:style>
  <w:style w:type="paragraph" w:customStyle="1" w:styleId="313">
    <w:name w:val="1文章"/>
    <w:basedOn w:val="1"/>
    <w:autoRedefine/>
    <w:qFormat/>
    <w:uiPriority w:val="0"/>
    <w:pPr>
      <w:snapToGrid w:val="0"/>
      <w:spacing w:line="420" w:lineRule="auto"/>
      <w:ind w:firstLine="454"/>
      <w:outlineLvl w:val="4"/>
    </w:pPr>
    <w:rPr>
      <w:spacing w:val="4"/>
      <w:sz w:val="24"/>
    </w:rPr>
  </w:style>
  <w:style w:type="paragraph" w:customStyle="1" w:styleId="314">
    <w:name w:val="本文正文"/>
    <w:basedOn w:val="1"/>
    <w:autoRedefine/>
    <w:qFormat/>
    <w:uiPriority w:val="0"/>
    <w:pPr>
      <w:autoSpaceDE w:val="0"/>
      <w:autoSpaceDN w:val="0"/>
      <w:adjustRightInd w:val="0"/>
      <w:spacing w:line="300" w:lineRule="auto"/>
      <w:ind w:firstLine="560" w:firstLineChars="200"/>
      <w:textAlignment w:val="baseline"/>
    </w:pPr>
    <w:rPr>
      <w:sz w:val="28"/>
      <w:szCs w:val="20"/>
    </w:rPr>
  </w:style>
  <w:style w:type="paragraph" w:customStyle="1" w:styleId="315">
    <w:name w:val="Char Char Char"/>
    <w:basedOn w:val="1"/>
    <w:autoRedefine/>
    <w:qFormat/>
    <w:uiPriority w:val="0"/>
  </w:style>
  <w:style w:type="paragraph" w:customStyle="1" w:styleId="316">
    <w:name w:val="样式"/>
    <w:basedOn w:val="1"/>
    <w:next w:val="36"/>
    <w:autoRedefine/>
    <w:qFormat/>
    <w:uiPriority w:val="0"/>
    <w:rPr>
      <w:rFonts w:ascii="宋体" w:hAnsi="Courier New"/>
      <w:sz w:val="24"/>
    </w:rPr>
  </w:style>
  <w:style w:type="paragraph" w:customStyle="1" w:styleId="317">
    <w:name w:val="4级标题"/>
    <w:basedOn w:val="153"/>
    <w:autoRedefine/>
    <w:qFormat/>
    <w:uiPriority w:val="0"/>
    <w:pPr>
      <w:ind w:firstLine="0" w:firstLineChars="0"/>
    </w:pPr>
    <w:rPr>
      <w:b/>
      <w:szCs w:val="24"/>
      <w:lang w:val="zh-CN"/>
    </w:rPr>
  </w:style>
  <w:style w:type="paragraph" w:customStyle="1" w:styleId="318">
    <w:name w:val="Char Char Char Char Char Char1 Char"/>
    <w:basedOn w:val="1"/>
    <w:autoRedefine/>
    <w:qFormat/>
    <w:uiPriority w:val="0"/>
    <w:pPr>
      <w:spacing w:line="360" w:lineRule="auto"/>
    </w:pPr>
    <w:rPr>
      <w:sz w:val="24"/>
    </w:rPr>
  </w:style>
  <w:style w:type="paragraph" w:customStyle="1" w:styleId="319">
    <w:name w:val="样式2"/>
    <w:basedOn w:val="1"/>
    <w:link w:val="408"/>
    <w:autoRedefine/>
    <w:qFormat/>
    <w:uiPriority w:val="0"/>
    <w:pPr>
      <w:spacing w:line="240" w:lineRule="exact"/>
      <w:jc w:val="left"/>
      <w:outlineLvl w:val="0"/>
    </w:pPr>
    <w:rPr>
      <w:sz w:val="24"/>
    </w:rPr>
  </w:style>
  <w:style w:type="paragraph" w:customStyle="1" w:styleId="320">
    <w:name w:val="表文"/>
    <w:basedOn w:val="148"/>
    <w:autoRedefine/>
    <w:qFormat/>
    <w:uiPriority w:val="0"/>
    <w:pPr>
      <w:overflowPunct/>
      <w:autoSpaceDE/>
      <w:autoSpaceDN/>
      <w:adjustRightInd/>
      <w:spacing w:before="0" w:beforeLines="20" w:after="0" w:afterLines="20" w:line="240" w:lineRule="auto"/>
      <w:ind w:firstLine="0"/>
      <w:textAlignment w:val="auto"/>
    </w:pPr>
    <w:rPr>
      <w:rFonts w:eastAsia="宋体"/>
      <w:b/>
      <w:bCs/>
      <w:kern w:val="2"/>
      <w:sz w:val="24"/>
    </w:rPr>
  </w:style>
  <w:style w:type="paragraph" w:customStyle="1" w:styleId="321">
    <w:name w:val="报告表格"/>
    <w:basedOn w:val="1"/>
    <w:autoRedefine/>
    <w:qFormat/>
    <w:uiPriority w:val="0"/>
    <w:pPr>
      <w:autoSpaceDE w:val="0"/>
      <w:autoSpaceDN w:val="0"/>
      <w:adjustRightInd w:val="0"/>
      <w:spacing w:before="40" w:after="40"/>
      <w:jc w:val="center"/>
      <w:textAlignment w:val="bottom"/>
    </w:pPr>
    <w:rPr>
      <w:kern w:val="0"/>
      <w:szCs w:val="20"/>
    </w:rPr>
  </w:style>
  <w:style w:type="paragraph" w:customStyle="1" w:styleId="322">
    <w:name w:val="xl22"/>
    <w:basedOn w:val="1"/>
    <w:autoRedefine/>
    <w:qFormat/>
    <w:uiPriority w:val="0"/>
    <w:pPr>
      <w:widowControl/>
      <w:spacing w:before="100" w:after="100"/>
      <w:jc w:val="center"/>
    </w:pPr>
    <w:rPr>
      <w:kern w:val="0"/>
      <w:sz w:val="24"/>
    </w:rPr>
  </w:style>
  <w:style w:type="paragraph" w:customStyle="1" w:styleId="323">
    <w:name w:val="xl29"/>
    <w:basedOn w:val="1"/>
    <w:autoRedefine/>
    <w:qFormat/>
    <w:uiPriority w:val="0"/>
    <w:pPr>
      <w:widowControl/>
      <w:pBdr>
        <w:bottom w:val="single" w:color="auto" w:sz="4" w:space="0"/>
        <w:right w:val="single" w:color="auto" w:sz="8" w:space="0"/>
      </w:pBdr>
      <w:spacing w:before="100" w:beforeAutospacing="1" w:after="100" w:afterAutospacing="1"/>
      <w:jc w:val="center"/>
    </w:pPr>
    <w:rPr>
      <w:kern w:val="0"/>
      <w:szCs w:val="21"/>
    </w:rPr>
  </w:style>
  <w:style w:type="paragraph" w:customStyle="1" w:styleId="324">
    <w:name w:val="三级条标题"/>
    <w:basedOn w:val="305"/>
    <w:next w:val="1"/>
    <w:autoRedefine/>
    <w:qFormat/>
    <w:uiPriority w:val="0"/>
    <w:pPr>
      <w:tabs>
        <w:tab w:val="clear" w:pos="360"/>
      </w:tabs>
      <w:outlineLvl w:val="4"/>
    </w:pPr>
  </w:style>
  <w:style w:type="paragraph" w:customStyle="1" w:styleId="325">
    <w:name w:val="xl28"/>
    <w:basedOn w:val="1"/>
    <w:autoRedefine/>
    <w:qFormat/>
    <w:uiPriority w:val="0"/>
    <w:pPr>
      <w:widowControl/>
      <w:pBdr>
        <w:bottom w:val="single" w:color="auto" w:sz="4" w:space="0"/>
        <w:right w:val="single" w:color="auto" w:sz="4" w:space="0"/>
      </w:pBdr>
      <w:spacing w:before="100" w:beforeAutospacing="1" w:after="100" w:afterAutospacing="1"/>
      <w:jc w:val="center"/>
    </w:pPr>
    <w:rPr>
      <w:kern w:val="0"/>
      <w:sz w:val="24"/>
    </w:rPr>
  </w:style>
  <w:style w:type="paragraph" w:customStyle="1" w:styleId="326">
    <w:name w:val="CM2"/>
    <w:basedOn w:val="78"/>
    <w:next w:val="78"/>
    <w:autoRedefine/>
    <w:qFormat/>
    <w:uiPriority w:val="0"/>
    <w:pPr>
      <w:spacing w:line="460" w:lineRule="atLeast"/>
    </w:pPr>
    <w:rPr>
      <w:rFonts w:ascii="黑体" w:eastAsia="黑体" w:cs="Times New Roman"/>
      <w:color w:val="auto"/>
      <w:sz w:val="20"/>
    </w:rPr>
  </w:style>
  <w:style w:type="paragraph" w:customStyle="1" w:styleId="327">
    <w:name w:val="表序号"/>
    <w:basedOn w:val="7"/>
    <w:autoRedefine/>
    <w:qFormat/>
    <w:uiPriority w:val="0"/>
    <w:pPr>
      <w:keepLines/>
      <w:tabs>
        <w:tab w:val="clear" w:pos="1080"/>
      </w:tabs>
      <w:spacing w:line="360" w:lineRule="auto"/>
      <w:ind w:left="1134" w:hanging="1134"/>
      <w:jc w:val="center"/>
    </w:pPr>
    <w:rPr>
      <w:rFonts w:ascii="宋体" w:hAnsi="宋体"/>
      <w:sz w:val="24"/>
    </w:rPr>
  </w:style>
  <w:style w:type="paragraph" w:customStyle="1" w:styleId="328">
    <w:name w:val="2"/>
    <w:basedOn w:val="1"/>
    <w:next w:val="53"/>
    <w:autoRedefine/>
    <w:qFormat/>
    <w:uiPriority w:val="0"/>
    <w:pPr>
      <w:spacing w:line="360" w:lineRule="auto"/>
      <w:ind w:firstLine="480"/>
    </w:pPr>
    <w:rPr>
      <w:sz w:val="24"/>
      <w:szCs w:val="20"/>
    </w:rPr>
  </w:style>
  <w:style w:type="paragraph" w:customStyle="1" w:styleId="329">
    <w:name w:val="标准文本 首行缩进:2 字符 行距1倍"/>
    <w:basedOn w:val="1"/>
    <w:autoRedefine/>
    <w:qFormat/>
    <w:uiPriority w:val="0"/>
    <w:pPr>
      <w:adjustRightInd w:val="0"/>
      <w:snapToGrid w:val="0"/>
      <w:spacing w:line="480" w:lineRule="exact"/>
      <w:textAlignment w:val="center"/>
    </w:pPr>
    <w:rPr>
      <w:rFonts w:cs="宋体"/>
      <w:sz w:val="24"/>
      <w:szCs w:val="20"/>
    </w:rPr>
  </w:style>
  <w:style w:type="paragraph" w:customStyle="1" w:styleId="330">
    <w:name w:val="1"/>
    <w:basedOn w:val="1"/>
    <w:next w:val="8"/>
    <w:autoRedefine/>
    <w:qFormat/>
    <w:uiPriority w:val="0"/>
    <w:pPr>
      <w:ind w:firstLine="420"/>
    </w:pPr>
    <w:rPr>
      <w:sz w:val="24"/>
    </w:rPr>
  </w:style>
  <w:style w:type="paragraph" w:customStyle="1" w:styleId="331">
    <w:name w:val="正文样式2"/>
    <w:basedOn w:val="1"/>
    <w:autoRedefine/>
    <w:qFormat/>
    <w:uiPriority w:val="0"/>
    <w:pPr>
      <w:adjustRightInd w:val="0"/>
      <w:snapToGrid w:val="0"/>
      <w:spacing w:line="360" w:lineRule="auto"/>
      <w:ind w:firstLine="510"/>
      <w:textAlignment w:val="baseline"/>
    </w:pPr>
    <w:rPr>
      <w:rFonts w:ascii="宋体"/>
      <w:kern w:val="24"/>
      <w:sz w:val="24"/>
      <w:szCs w:val="20"/>
    </w:rPr>
  </w:style>
  <w:style w:type="paragraph" w:customStyle="1" w:styleId="332">
    <w:name w:val="y表格"/>
    <w:basedOn w:val="28"/>
    <w:autoRedefine/>
    <w:qFormat/>
    <w:uiPriority w:val="0"/>
    <w:pPr>
      <w:adjustRightInd w:val="0"/>
      <w:spacing w:before="0" w:after="0" w:line="240" w:lineRule="auto"/>
      <w:ind w:right="0"/>
      <w:jc w:val="center"/>
      <w:textAlignment w:val="baseline"/>
    </w:pPr>
    <w:rPr>
      <w:rFonts w:hint="eastAsia" w:ascii="宋体" w:hAnsi="宋体"/>
      <w:sz w:val="24"/>
      <w:lang w:val="zh-CN"/>
    </w:rPr>
  </w:style>
  <w:style w:type="paragraph" w:customStyle="1" w:styleId="333">
    <w:name w:val="四级条标题"/>
    <w:basedOn w:val="324"/>
    <w:next w:val="1"/>
    <w:autoRedefine/>
    <w:qFormat/>
    <w:uiPriority w:val="0"/>
    <w:pPr>
      <w:outlineLvl w:val="5"/>
    </w:pPr>
  </w:style>
  <w:style w:type="paragraph" w:customStyle="1" w:styleId="334">
    <w:name w:val="五级条标题"/>
    <w:basedOn w:val="333"/>
    <w:next w:val="1"/>
    <w:autoRedefine/>
    <w:qFormat/>
    <w:uiPriority w:val="0"/>
    <w:pPr>
      <w:outlineLvl w:val="6"/>
    </w:pPr>
  </w:style>
  <w:style w:type="paragraph" w:customStyle="1" w:styleId="335">
    <w:name w:val="标题b"/>
    <w:basedOn w:val="1"/>
    <w:next w:val="1"/>
    <w:autoRedefine/>
    <w:qFormat/>
    <w:uiPriority w:val="0"/>
    <w:pPr>
      <w:spacing w:line="700" w:lineRule="exact"/>
    </w:pPr>
    <w:rPr>
      <w:rFonts w:ascii="楷体_GB2312" w:hAnsi="楷体_GB2312" w:eastAsia="楷体_GB2312"/>
      <w:b/>
      <w:sz w:val="30"/>
      <w:szCs w:val="20"/>
    </w:rPr>
  </w:style>
  <w:style w:type="paragraph" w:customStyle="1" w:styleId="336">
    <w:name w:val="iw_poi_title"/>
    <w:basedOn w:val="1"/>
    <w:autoRedefine/>
    <w:qFormat/>
    <w:uiPriority w:val="0"/>
    <w:pPr>
      <w:widowControl/>
      <w:jc w:val="left"/>
    </w:pPr>
    <w:rPr>
      <w:rFonts w:ascii="宋体" w:hAnsi="宋体" w:cs="宋体"/>
      <w:b/>
      <w:bCs/>
      <w:color w:val="CC5522"/>
      <w:kern w:val="0"/>
      <w:szCs w:val="21"/>
    </w:rPr>
  </w:style>
  <w:style w:type="paragraph" w:customStyle="1" w:styleId="337">
    <w:name w:val="表格 32"/>
    <w:basedOn w:val="1"/>
    <w:autoRedefine/>
    <w:qFormat/>
    <w:uiPriority w:val="0"/>
    <w:pPr>
      <w:autoSpaceDE w:val="0"/>
      <w:autoSpaceDN w:val="0"/>
      <w:adjustRightInd w:val="0"/>
      <w:spacing w:line="240" w:lineRule="atLeast"/>
      <w:jc w:val="center"/>
      <w:textAlignment w:val="baseline"/>
    </w:pPr>
    <w:rPr>
      <w:kern w:val="0"/>
      <w:sz w:val="24"/>
    </w:rPr>
  </w:style>
  <w:style w:type="paragraph" w:customStyle="1" w:styleId="338">
    <w:name w:val="正文3"/>
    <w:autoRedefine/>
    <w:qFormat/>
    <w:uiPriority w:val="0"/>
    <w:pPr>
      <w:widowControl w:val="0"/>
      <w:adjustRightInd w:val="0"/>
      <w:spacing w:line="360" w:lineRule="atLeast"/>
    </w:pPr>
    <w:rPr>
      <w:rFonts w:hint="eastAsia" w:ascii="宋体" w:hAnsi="Times New Roman" w:eastAsia="宋体" w:cs="Times New Roman"/>
      <w:sz w:val="24"/>
      <w:lang w:val="en-US" w:eastAsia="zh-CN" w:bidi="ar-SA"/>
    </w:rPr>
  </w:style>
  <w:style w:type="paragraph" w:customStyle="1" w:styleId="339">
    <w:name w:val="样式 表格 32 + 首行缩进:  2 字符"/>
    <w:basedOn w:val="1"/>
    <w:autoRedefine/>
    <w:qFormat/>
    <w:uiPriority w:val="0"/>
    <w:pPr>
      <w:autoSpaceDE w:val="0"/>
      <w:autoSpaceDN w:val="0"/>
      <w:adjustRightInd w:val="0"/>
      <w:spacing w:line="0" w:lineRule="atLeast"/>
      <w:jc w:val="center"/>
      <w:textAlignment w:val="baseline"/>
    </w:pPr>
    <w:rPr>
      <w:kern w:val="0"/>
      <w:szCs w:val="21"/>
    </w:rPr>
  </w:style>
  <w:style w:type="paragraph" w:customStyle="1" w:styleId="340">
    <w:name w:val="wpsplain"/>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341">
    <w:name w:val="_Style 10"/>
    <w:basedOn w:val="1"/>
    <w:autoRedefine/>
    <w:qFormat/>
    <w:uiPriority w:val="0"/>
    <w:rPr>
      <w:sz w:val="24"/>
    </w:rPr>
  </w:style>
  <w:style w:type="paragraph" w:customStyle="1" w:styleId="342">
    <w:name w:val="xl21"/>
    <w:basedOn w:val="1"/>
    <w:autoRedefine/>
    <w:qFormat/>
    <w:uiPriority w:val="0"/>
    <w:pPr>
      <w:widowControl/>
      <w:spacing w:before="100" w:beforeAutospacing="1" w:after="100" w:afterAutospacing="1"/>
      <w:jc w:val="center"/>
    </w:pPr>
    <w:rPr>
      <w:rFonts w:ascii="宋体" w:hAnsi="宋体"/>
      <w:kern w:val="0"/>
      <w:sz w:val="24"/>
    </w:rPr>
  </w:style>
  <w:style w:type="paragraph" w:customStyle="1" w:styleId="343">
    <w:name w:val="表前文字"/>
    <w:basedOn w:val="1"/>
    <w:autoRedefine/>
    <w:qFormat/>
    <w:uiPriority w:val="0"/>
    <w:pPr>
      <w:jc w:val="center"/>
    </w:pPr>
    <w:rPr>
      <w:sz w:val="24"/>
      <w:szCs w:val="21"/>
    </w:rPr>
  </w:style>
  <w:style w:type="paragraph" w:customStyle="1" w:styleId="344">
    <w:name w:val="表内5号居中"/>
    <w:qFormat/>
    <w:uiPriority w:val="0"/>
    <w:pPr>
      <w:widowControl w:val="0"/>
      <w:ind w:firstLine="1134"/>
      <w:jc w:val="center"/>
    </w:pPr>
    <w:rPr>
      <w:rFonts w:ascii="Times New Roman" w:hAnsi="Times New Roman" w:eastAsia="宋体" w:cs="Times New Roman"/>
      <w:kern w:val="2"/>
      <w:sz w:val="24"/>
      <w:szCs w:val="24"/>
      <w:lang w:val="en-US" w:eastAsia="zh-CN" w:bidi="ar-SA"/>
    </w:rPr>
  </w:style>
  <w:style w:type="paragraph" w:customStyle="1" w:styleId="345">
    <w:name w:val="样式 正文文字缩进 + 小四 首行缩进:  2 字符1"/>
    <w:basedOn w:val="10"/>
    <w:autoRedefine/>
    <w:qFormat/>
    <w:uiPriority w:val="0"/>
    <w:pPr>
      <w:spacing w:afterLines="50" w:line="400" w:lineRule="exact"/>
      <w:ind w:left="0" w:leftChars="0" w:firstLine="200" w:firstLineChars="200"/>
    </w:pPr>
    <w:rPr>
      <w:rFonts w:eastAsia="华文楷体" w:cs="宋体"/>
      <w:kern w:val="2"/>
      <w:sz w:val="28"/>
    </w:rPr>
  </w:style>
  <w:style w:type="paragraph" w:customStyle="1" w:styleId="346">
    <w:name w:val="3 Char Char Char Char"/>
    <w:basedOn w:val="1"/>
    <w:next w:val="1"/>
    <w:autoRedefine/>
    <w:qFormat/>
    <w:uiPriority w:val="0"/>
    <w:pPr>
      <w:spacing w:line="360" w:lineRule="auto"/>
      <w:ind w:firstLine="200" w:firstLineChars="200"/>
    </w:pPr>
    <w:rPr>
      <w:rFonts w:ascii="宋体" w:hAnsi="宋体" w:eastAsia="汉鼎简书宋" w:cs="宋体"/>
      <w:sz w:val="24"/>
    </w:rPr>
  </w:style>
  <w:style w:type="paragraph" w:customStyle="1" w:styleId="347">
    <w:name w:val="表格 23"/>
    <w:basedOn w:val="1"/>
    <w:qFormat/>
    <w:uiPriority w:val="0"/>
    <w:pPr>
      <w:autoSpaceDE w:val="0"/>
      <w:autoSpaceDN w:val="0"/>
      <w:adjustRightInd w:val="0"/>
      <w:jc w:val="center"/>
    </w:pPr>
    <w:rPr>
      <w:rFonts w:ascii="宋体" w:hAnsi="宋体" w:eastAsia="仿宋体"/>
      <w:kern w:val="0"/>
      <w:sz w:val="24"/>
      <w:szCs w:val="21"/>
    </w:rPr>
  </w:style>
  <w:style w:type="paragraph" w:customStyle="1" w:styleId="348">
    <w:name w:val="引言"/>
    <w:basedOn w:val="1"/>
    <w:next w:val="1"/>
    <w:qFormat/>
    <w:uiPriority w:val="0"/>
    <w:pPr>
      <w:jc w:val="center"/>
    </w:pPr>
    <w:rPr>
      <w:bCs/>
      <w:color w:val="000000"/>
      <w:szCs w:val="20"/>
    </w:rPr>
  </w:style>
  <w:style w:type="paragraph" w:customStyle="1" w:styleId="349">
    <w:name w:val="正文楷体"/>
    <w:basedOn w:val="1"/>
    <w:qFormat/>
    <w:uiPriority w:val="0"/>
    <w:rPr>
      <w:rFonts w:eastAsia="楷体_GB2312"/>
    </w:rPr>
  </w:style>
  <w:style w:type="paragraph" w:customStyle="1" w:styleId="350">
    <w:name w:val="文本正文"/>
    <w:basedOn w:val="1"/>
    <w:autoRedefine/>
    <w:qFormat/>
    <w:uiPriority w:val="0"/>
    <w:pPr>
      <w:spacing w:line="480" w:lineRule="exact"/>
      <w:ind w:firstLine="560" w:firstLineChars="200"/>
    </w:pPr>
    <w:rPr>
      <w:rFonts w:ascii="仿宋_GB2312" w:hAnsi="宋体" w:eastAsia="仿宋_GB2312" w:cs="Courier New"/>
      <w:sz w:val="28"/>
      <w:szCs w:val="28"/>
    </w:rPr>
  </w:style>
  <w:style w:type="paragraph" w:customStyle="1" w:styleId="351">
    <w:name w:val="正文文本缩进 31"/>
    <w:basedOn w:val="1"/>
    <w:qFormat/>
    <w:uiPriority w:val="0"/>
    <w:pPr>
      <w:adjustRightInd w:val="0"/>
      <w:spacing w:line="400" w:lineRule="exact"/>
      <w:ind w:firstLine="570"/>
      <w:jc w:val="left"/>
      <w:textAlignment w:val="baseline"/>
    </w:pPr>
    <w:rPr>
      <w:rFonts w:ascii="宋体" w:hAnsi="宋体"/>
      <w:spacing w:val="10"/>
      <w:sz w:val="24"/>
      <w:szCs w:val="20"/>
    </w:rPr>
  </w:style>
  <w:style w:type="paragraph" w:customStyle="1" w:styleId="352">
    <w:name w:val="body"/>
    <w:basedOn w:val="1"/>
    <w:autoRedefine/>
    <w:qFormat/>
    <w:uiPriority w:val="0"/>
    <w:pPr>
      <w:spacing w:line="360" w:lineRule="auto"/>
    </w:pPr>
    <w:rPr>
      <w:rFonts w:ascii="宋体" w:hAnsi="宋体" w:cs="宋体"/>
      <w:sz w:val="24"/>
    </w:rPr>
  </w:style>
  <w:style w:type="paragraph" w:customStyle="1" w:styleId="353">
    <w:name w:val="小四表文左齐"/>
    <w:basedOn w:val="1"/>
    <w:autoRedefine/>
    <w:qFormat/>
    <w:uiPriority w:val="0"/>
    <w:pPr>
      <w:jc w:val="center"/>
    </w:pPr>
    <w:rPr>
      <w:rFonts w:ascii="宋体" w:hAnsi="宋体"/>
      <w:color w:val="000000"/>
      <w:szCs w:val="21"/>
    </w:rPr>
  </w:style>
  <w:style w:type="paragraph" w:customStyle="1" w:styleId="354">
    <w:name w:val="表1表2"/>
    <w:basedOn w:val="1"/>
    <w:qFormat/>
    <w:uiPriority w:val="0"/>
    <w:pPr>
      <w:autoSpaceDE w:val="0"/>
      <w:autoSpaceDN w:val="0"/>
      <w:adjustRightInd w:val="0"/>
      <w:spacing w:line="360" w:lineRule="auto"/>
      <w:jc w:val="center"/>
      <w:textAlignment w:val="center"/>
    </w:pPr>
    <w:rPr>
      <w:rFonts w:ascii="宋体" w:hAnsi="宋体" w:eastAsia="仿宋体"/>
      <w:kern w:val="0"/>
      <w:sz w:val="24"/>
    </w:rPr>
  </w:style>
  <w:style w:type="paragraph" w:customStyle="1" w:styleId="355">
    <w:name w:val="新正文样式"/>
    <w:basedOn w:val="1"/>
    <w:qFormat/>
    <w:uiPriority w:val="0"/>
    <w:pPr>
      <w:tabs>
        <w:tab w:val="left" w:pos="567"/>
      </w:tabs>
      <w:spacing w:line="360" w:lineRule="auto"/>
      <w:ind w:firstLine="567"/>
    </w:pPr>
    <w:rPr>
      <w:spacing w:val="20"/>
      <w:sz w:val="24"/>
      <w:szCs w:val="20"/>
    </w:rPr>
  </w:style>
  <w:style w:type="paragraph" w:customStyle="1" w:styleId="356">
    <w:name w:val="标题11"/>
    <w:basedOn w:val="1"/>
    <w:qFormat/>
    <w:uiPriority w:val="0"/>
    <w:pPr>
      <w:spacing w:line="360" w:lineRule="auto"/>
    </w:pPr>
    <w:rPr>
      <w:b/>
      <w:bCs/>
      <w:sz w:val="28"/>
    </w:rPr>
  </w:style>
  <w:style w:type="paragraph" w:customStyle="1" w:styleId="357">
    <w:name w:val="字元 字元"/>
    <w:basedOn w:val="1"/>
    <w:autoRedefine/>
    <w:qFormat/>
    <w:uiPriority w:val="0"/>
    <w:rPr>
      <w:sz w:val="24"/>
    </w:rPr>
  </w:style>
  <w:style w:type="paragraph" w:customStyle="1" w:styleId="358">
    <w:name w:val="Char Char Char Char Char Char1 Char Char Char Char Char Char Char Char Char"/>
    <w:basedOn w:val="1"/>
    <w:qFormat/>
    <w:uiPriority w:val="0"/>
    <w:rPr>
      <w:sz w:val="24"/>
    </w:rPr>
  </w:style>
  <w:style w:type="paragraph" w:customStyle="1" w:styleId="359">
    <w:name w:val="默认段落字体 Para Char Char Char1 Char Char Char Char Char Char Char Char Char Char"/>
    <w:basedOn w:val="1"/>
    <w:autoRedefine/>
    <w:qFormat/>
    <w:uiPriority w:val="0"/>
    <w:rPr>
      <w:sz w:val="24"/>
    </w:rPr>
  </w:style>
  <w:style w:type="paragraph" w:customStyle="1" w:styleId="360">
    <w:name w:val="Char3"/>
    <w:basedOn w:val="1"/>
    <w:autoRedefine/>
    <w:qFormat/>
    <w:uiPriority w:val="0"/>
    <w:pPr>
      <w:tabs>
        <w:tab w:val="left" w:pos="794"/>
        <w:tab w:val="left" w:pos="1191"/>
        <w:tab w:val="left" w:pos="1588"/>
        <w:tab w:val="left" w:pos="1985"/>
      </w:tabs>
      <w:autoSpaceDE w:val="0"/>
      <w:autoSpaceDN w:val="0"/>
      <w:adjustRightInd w:val="0"/>
      <w:spacing w:line="360" w:lineRule="auto"/>
    </w:pPr>
    <w:rPr>
      <w:rFonts w:ascii="Tahoma" w:hAnsi="Tahoma"/>
      <w:kern w:val="0"/>
      <w:sz w:val="24"/>
      <w:lang w:val="en-GB"/>
    </w:rPr>
  </w:style>
  <w:style w:type="paragraph" w:customStyle="1" w:styleId="361">
    <w:name w:val="正文 1"/>
    <w:basedOn w:val="1"/>
    <w:qFormat/>
    <w:uiPriority w:val="0"/>
    <w:pPr>
      <w:spacing w:line="480" w:lineRule="exact"/>
      <w:ind w:firstLine="567"/>
    </w:pPr>
    <w:rPr>
      <w:sz w:val="28"/>
    </w:rPr>
  </w:style>
  <w:style w:type="paragraph" w:customStyle="1" w:styleId="362">
    <w:name w:val="zxz5"/>
    <w:next w:val="1"/>
    <w:qFormat/>
    <w:uiPriority w:val="0"/>
    <w:pPr>
      <w:tabs>
        <w:tab w:val="left" w:pos="0"/>
      </w:tabs>
      <w:jc w:val="center"/>
    </w:pPr>
    <w:rPr>
      <w:rFonts w:ascii="宋体" w:hAnsi="宋体" w:eastAsia="Times New Roman" w:cs="宋体"/>
      <w:bCs/>
      <w:kern w:val="2"/>
      <w:sz w:val="18"/>
      <w:szCs w:val="18"/>
      <w:lang w:val="en-US" w:eastAsia="zh-CN" w:bidi="ar-SA"/>
    </w:rPr>
  </w:style>
  <w:style w:type="table" w:customStyle="1" w:styleId="363">
    <w:name w:val="表格主题1"/>
    <w:basedOn w:val="6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4">
    <w:name w:val="网格型 11"/>
    <w:basedOn w:val="63"/>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65">
    <w:name w:val="网格型4"/>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6">
    <w:name w:val="左右无边框"/>
    <w:basedOn w:val="65"/>
    <w:autoRedefine/>
    <w:qFormat/>
    <w:uiPriority w:val="0"/>
    <w:pPr>
      <w:widowControl w:val="0"/>
      <w:jc w:val="both"/>
    </w:pPr>
    <w:tblPr>
      <w:tblBorders>
        <w:top w:val="single" w:color="auto" w:sz="12" w:space="0"/>
        <w:bottom w:val="single" w:color="auto" w:sz="12" w:space="0"/>
      </w:tblBorders>
    </w:tblPr>
  </w:style>
  <w:style w:type="table" w:customStyle="1" w:styleId="367">
    <w:name w:val="网格型3"/>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8">
    <w:name w:val="无左右边框型"/>
    <w:basedOn w:val="64"/>
    <w:qFormat/>
    <w:uiPriority w:val="0"/>
    <w:pPr>
      <w:widowControl w:val="0"/>
      <w:jc w:val="both"/>
    </w:pPr>
  </w:style>
  <w:style w:type="table" w:customStyle="1" w:styleId="369">
    <w:name w:val="典雅型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370">
    <w:name w:val="左右无边表格"/>
    <w:basedOn w:val="63"/>
    <w:autoRedefine/>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371">
    <w:name w:val="典雅型1"/>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paragraph" w:customStyle="1" w:styleId="372">
    <w:name w:val="Char Char Char1 Char1 Char Char Char"/>
    <w:basedOn w:val="1"/>
    <w:qFormat/>
    <w:uiPriority w:val="0"/>
    <w:pPr>
      <w:spacing w:line="500" w:lineRule="exact"/>
      <w:ind w:firstLine="480" w:firstLineChars="200"/>
    </w:pPr>
    <w:rPr>
      <w:sz w:val="24"/>
      <w:szCs w:val="20"/>
    </w:rPr>
  </w:style>
  <w:style w:type="character" w:customStyle="1" w:styleId="373">
    <w:name w:val="A标准格式 Char Char"/>
    <w:link w:val="374"/>
    <w:qFormat/>
    <w:uiPriority w:val="0"/>
    <w:rPr>
      <w:kern w:val="2"/>
      <w:sz w:val="24"/>
      <w:szCs w:val="24"/>
    </w:rPr>
  </w:style>
  <w:style w:type="paragraph" w:customStyle="1" w:styleId="374">
    <w:name w:val="A标准格式"/>
    <w:basedOn w:val="1"/>
    <w:link w:val="373"/>
    <w:qFormat/>
    <w:uiPriority w:val="0"/>
    <w:pPr>
      <w:spacing w:line="440" w:lineRule="exact"/>
      <w:ind w:firstLine="480" w:firstLineChars="200"/>
    </w:pPr>
    <w:rPr>
      <w:sz w:val="24"/>
    </w:rPr>
  </w:style>
  <w:style w:type="paragraph" w:customStyle="1" w:styleId="375">
    <w:name w:val="reader-word-layer reader-word-s16-15"/>
    <w:basedOn w:val="1"/>
    <w:qFormat/>
    <w:uiPriority w:val="0"/>
    <w:pPr>
      <w:widowControl/>
      <w:spacing w:before="100" w:beforeAutospacing="1" w:after="100" w:afterAutospacing="1"/>
      <w:jc w:val="left"/>
    </w:pPr>
    <w:rPr>
      <w:rFonts w:ascii="宋体" w:hAnsi="宋体" w:cs="宋体"/>
      <w:kern w:val="0"/>
      <w:sz w:val="24"/>
    </w:rPr>
  </w:style>
  <w:style w:type="paragraph" w:customStyle="1" w:styleId="376">
    <w:name w:val="reader-word-layer reader-word-s17-12"/>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377">
    <w:name w:val="reader-word-layer reader-word-s17-10"/>
    <w:basedOn w:val="1"/>
    <w:qFormat/>
    <w:uiPriority w:val="0"/>
    <w:pPr>
      <w:widowControl/>
      <w:spacing w:before="100" w:beforeAutospacing="1" w:after="100" w:afterAutospacing="1"/>
      <w:jc w:val="left"/>
    </w:pPr>
    <w:rPr>
      <w:rFonts w:ascii="宋体" w:hAnsi="宋体" w:cs="宋体"/>
      <w:kern w:val="0"/>
      <w:sz w:val="24"/>
    </w:rPr>
  </w:style>
  <w:style w:type="paragraph" w:customStyle="1" w:styleId="378">
    <w:name w:val="reader-word-layer reader-word-s17-11 reader-word-s17-13"/>
    <w:basedOn w:val="1"/>
    <w:qFormat/>
    <w:uiPriority w:val="0"/>
    <w:pPr>
      <w:widowControl/>
      <w:spacing w:before="100" w:beforeAutospacing="1" w:after="100" w:afterAutospacing="1"/>
      <w:jc w:val="left"/>
    </w:pPr>
    <w:rPr>
      <w:rFonts w:ascii="宋体" w:hAnsi="宋体" w:cs="宋体"/>
      <w:kern w:val="0"/>
      <w:sz w:val="24"/>
    </w:rPr>
  </w:style>
  <w:style w:type="paragraph" w:customStyle="1" w:styleId="379">
    <w:name w:val="reader-word-layer reader-word-s17-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80">
    <w:name w:val="reader-word-layer reader-word-s17-15"/>
    <w:basedOn w:val="1"/>
    <w:qFormat/>
    <w:uiPriority w:val="0"/>
    <w:pPr>
      <w:widowControl/>
      <w:spacing w:before="100" w:beforeAutospacing="1" w:after="100" w:afterAutospacing="1"/>
      <w:jc w:val="left"/>
    </w:pPr>
    <w:rPr>
      <w:rFonts w:ascii="宋体" w:hAnsi="宋体" w:cs="宋体"/>
      <w:kern w:val="0"/>
      <w:sz w:val="24"/>
    </w:rPr>
  </w:style>
  <w:style w:type="paragraph" w:customStyle="1" w:styleId="381">
    <w:name w:val="reader-word-layer reader-word-s18-11"/>
    <w:basedOn w:val="1"/>
    <w:qFormat/>
    <w:uiPriority w:val="0"/>
    <w:pPr>
      <w:widowControl/>
      <w:spacing w:before="100" w:beforeAutospacing="1" w:after="100" w:afterAutospacing="1"/>
      <w:jc w:val="left"/>
    </w:pPr>
    <w:rPr>
      <w:rFonts w:ascii="宋体" w:hAnsi="宋体" w:cs="宋体"/>
      <w:kern w:val="0"/>
      <w:sz w:val="24"/>
    </w:rPr>
  </w:style>
  <w:style w:type="paragraph" w:customStyle="1" w:styleId="382">
    <w:name w:val="reader-word-layer reader-word-s18-14"/>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383">
    <w:name w:val="reader-word-layer reader-word-s18-12"/>
    <w:basedOn w:val="1"/>
    <w:qFormat/>
    <w:uiPriority w:val="0"/>
    <w:pPr>
      <w:widowControl/>
      <w:spacing w:before="100" w:beforeAutospacing="1" w:after="100" w:afterAutospacing="1"/>
      <w:jc w:val="left"/>
    </w:pPr>
    <w:rPr>
      <w:rFonts w:ascii="宋体" w:hAnsi="宋体" w:cs="宋体"/>
      <w:kern w:val="0"/>
      <w:sz w:val="24"/>
    </w:rPr>
  </w:style>
  <w:style w:type="paragraph" w:customStyle="1" w:styleId="384">
    <w:name w:val="reader-word-layer reader-word-s18-26"/>
    <w:basedOn w:val="1"/>
    <w:qFormat/>
    <w:uiPriority w:val="0"/>
    <w:pPr>
      <w:widowControl/>
      <w:spacing w:before="100" w:beforeAutospacing="1" w:after="100" w:afterAutospacing="1"/>
      <w:jc w:val="left"/>
    </w:pPr>
    <w:rPr>
      <w:rFonts w:ascii="宋体" w:hAnsi="宋体" w:cs="宋体"/>
      <w:kern w:val="0"/>
      <w:sz w:val="24"/>
    </w:rPr>
  </w:style>
  <w:style w:type="paragraph" w:customStyle="1" w:styleId="385">
    <w:name w:val="reader-word-layer reader-word-s19-11"/>
    <w:basedOn w:val="1"/>
    <w:qFormat/>
    <w:uiPriority w:val="0"/>
    <w:pPr>
      <w:widowControl/>
      <w:spacing w:before="100" w:beforeAutospacing="1" w:after="100" w:afterAutospacing="1"/>
      <w:jc w:val="left"/>
    </w:pPr>
    <w:rPr>
      <w:rFonts w:ascii="宋体" w:hAnsi="宋体" w:cs="宋体"/>
      <w:kern w:val="0"/>
      <w:sz w:val="24"/>
    </w:rPr>
  </w:style>
  <w:style w:type="paragraph" w:customStyle="1" w:styleId="386">
    <w:name w:val="reader-word-layer reader-word-s19-13"/>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387">
    <w:name w:val="reader-word-layer reader-word-s19-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88">
    <w:name w:val="Normal+3"/>
    <w:basedOn w:val="78"/>
    <w:next w:val="78"/>
    <w:qFormat/>
    <w:uiPriority w:val="0"/>
    <w:rPr>
      <w:rFonts w:cs="Times New Roman"/>
      <w:color w:val="auto"/>
    </w:rPr>
  </w:style>
  <w:style w:type="character" w:customStyle="1" w:styleId="389">
    <w:name w:val="地理段落 Char"/>
    <w:link w:val="390"/>
    <w:qFormat/>
    <w:uiPriority w:val="0"/>
    <w:rPr>
      <w:rFonts w:ascii="仿宋_GB2312" w:eastAsia="仿宋_GB2312"/>
      <w:kern w:val="2"/>
      <w:sz w:val="28"/>
      <w:szCs w:val="28"/>
    </w:rPr>
  </w:style>
  <w:style w:type="paragraph" w:customStyle="1" w:styleId="390">
    <w:name w:val="地理段落"/>
    <w:basedOn w:val="1"/>
    <w:link w:val="389"/>
    <w:qFormat/>
    <w:uiPriority w:val="0"/>
    <w:pPr>
      <w:adjustRightInd w:val="0"/>
      <w:snapToGrid w:val="0"/>
      <w:spacing w:line="360" w:lineRule="auto"/>
      <w:ind w:firstLine="200" w:firstLineChars="200"/>
    </w:pPr>
    <w:rPr>
      <w:rFonts w:ascii="仿宋_GB2312" w:eastAsia="仿宋_GB2312"/>
      <w:sz w:val="28"/>
      <w:szCs w:val="28"/>
    </w:rPr>
  </w:style>
  <w:style w:type="paragraph" w:customStyle="1" w:styleId="391">
    <w:name w:val="报告正文"/>
    <w:basedOn w:val="1"/>
    <w:link w:val="392"/>
    <w:qFormat/>
    <w:uiPriority w:val="0"/>
    <w:pPr>
      <w:spacing w:line="360" w:lineRule="auto"/>
      <w:ind w:firstLine="482"/>
    </w:pPr>
    <w:rPr>
      <w:sz w:val="24"/>
      <w:szCs w:val="21"/>
    </w:rPr>
  </w:style>
  <w:style w:type="character" w:customStyle="1" w:styleId="392">
    <w:name w:val="报告正文 Char"/>
    <w:link w:val="391"/>
    <w:qFormat/>
    <w:uiPriority w:val="0"/>
    <w:rPr>
      <w:kern w:val="2"/>
      <w:sz w:val="24"/>
      <w:szCs w:val="21"/>
    </w:rPr>
  </w:style>
  <w:style w:type="character" w:customStyle="1" w:styleId="393">
    <w:name w:val="Char Char30"/>
    <w:qFormat/>
    <w:uiPriority w:val="0"/>
    <w:rPr>
      <w:rFonts w:eastAsia="宋体"/>
      <w:b/>
      <w:bCs/>
      <w:kern w:val="2"/>
      <w:sz w:val="21"/>
      <w:szCs w:val="24"/>
      <w:lang w:val="en-US" w:eastAsia="zh-CN" w:bidi="ar-SA"/>
    </w:rPr>
  </w:style>
  <w:style w:type="character" w:customStyle="1" w:styleId="394">
    <w:name w:val="Char Char17"/>
    <w:qFormat/>
    <w:locked/>
    <w:uiPriority w:val="0"/>
    <w:rPr>
      <w:rFonts w:eastAsia="宋体"/>
      <w:b/>
      <w:bCs/>
      <w:kern w:val="2"/>
      <w:sz w:val="32"/>
      <w:szCs w:val="32"/>
      <w:lang w:val="en-US" w:eastAsia="zh-CN" w:bidi="ar-SA"/>
    </w:rPr>
  </w:style>
  <w:style w:type="character" w:customStyle="1" w:styleId="395">
    <w:name w:val="Char Char6"/>
    <w:qFormat/>
    <w:locked/>
    <w:uiPriority w:val="0"/>
    <w:rPr>
      <w:rFonts w:eastAsia="宋体"/>
      <w:kern w:val="2"/>
      <w:sz w:val="21"/>
      <w:szCs w:val="24"/>
      <w:lang w:val="en-US" w:eastAsia="zh-CN" w:bidi="ar-SA"/>
    </w:rPr>
  </w:style>
  <w:style w:type="character" w:customStyle="1" w:styleId="396">
    <w:name w:val="Char Char1"/>
    <w:qFormat/>
    <w:uiPriority w:val="0"/>
    <w:rPr>
      <w:rFonts w:eastAsia="宋体"/>
      <w:kern w:val="2"/>
      <w:sz w:val="18"/>
      <w:szCs w:val="18"/>
      <w:lang w:val="en-US" w:eastAsia="zh-CN" w:bidi="ar-SA"/>
    </w:rPr>
  </w:style>
  <w:style w:type="character" w:customStyle="1" w:styleId="397">
    <w:name w:val="text06"/>
    <w:autoRedefine/>
    <w:qFormat/>
    <w:uiPriority w:val="0"/>
  </w:style>
  <w:style w:type="character" w:customStyle="1" w:styleId="398">
    <w:name w:val="标题 4 Char1"/>
    <w:qFormat/>
    <w:locked/>
    <w:uiPriority w:val="0"/>
    <w:rPr>
      <w:rFonts w:ascii="Arial" w:hAnsi="Arial" w:eastAsia="黑体"/>
      <w:b/>
      <w:bCs/>
      <w:kern w:val="2"/>
      <w:sz w:val="28"/>
      <w:szCs w:val="28"/>
      <w:lang w:val="en-US" w:eastAsia="zh-CN" w:bidi="ar-SA"/>
    </w:rPr>
  </w:style>
  <w:style w:type="character" w:customStyle="1" w:styleId="399">
    <w:name w:val="表 标题 Char"/>
    <w:link w:val="400"/>
    <w:qFormat/>
    <w:uiPriority w:val="0"/>
    <w:rPr>
      <w:rFonts w:hAnsi="宋体" w:cs="宋体"/>
      <w:b/>
      <w:smallCaps/>
      <w:kern w:val="2"/>
      <w:sz w:val="24"/>
    </w:rPr>
  </w:style>
  <w:style w:type="paragraph" w:customStyle="1" w:styleId="400">
    <w:name w:val="表 标题"/>
    <w:basedOn w:val="54"/>
    <w:next w:val="1"/>
    <w:link w:val="399"/>
    <w:qFormat/>
    <w:uiPriority w:val="0"/>
    <w:pPr>
      <w:spacing w:beforeLines="50"/>
      <w:ind w:left="420" w:leftChars="0" w:firstLine="0" w:firstLineChars="0"/>
      <w:jc w:val="center"/>
    </w:pPr>
    <w:rPr>
      <w:rFonts w:hAnsi="宋体" w:cs="宋体"/>
      <w:b/>
      <w:smallCaps/>
      <w:sz w:val="24"/>
      <w:szCs w:val="20"/>
    </w:rPr>
  </w:style>
  <w:style w:type="character" w:customStyle="1" w:styleId="401">
    <w:name w:val="文本 Char"/>
    <w:link w:val="79"/>
    <w:qFormat/>
    <w:uiPriority w:val="0"/>
    <w:rPr>
      <w:rFonts w:eastAsia="Times New Roman"/>
      <w:kern w:val="2"/>
      <w:sz w:val="24"/>
      <w:szCs w:val="24"/>
    </w:rPr>
  </w:style>
  <w:style w:type="paragraph" w:customStyle="1" w:styleId="402">
    <w:name w:val="dandan6-13正文 Char Char Char"/>
    <w:basedOn w:val="1"/>
    <w:next w:val="1"/>
    <w:qFormat/>
    <w:uiPriority w:val="0"/>
    <w:pPr>
      <w:keepNext/>
      <w:keepLines/>
      <w:widowControl/>
      <w:adjustRightInd w:val="0"/>
      <w:spacing w:before="40" w:after="40" w:line="360" w:lineRule="auto"/>
      <w:ind w:firstLine="200" w:firstLineChars="200"/>
      <w:textAlignment w:val="baseline"/>
    </w:pPr>
    <w:rPr>
      <w:rFonts w:cs="宋体"/>
      <w:kern w:val="0"/>
      <w:sz w:val="24"/>
      <w:szCs w:val="28"/>
    </w:rPr>
  </w:style>
  <w:style w:type="paragraph" w:customStyle="1" w:styleId="403">
    <w:name w:val="表格1+ 五号"/>
    <w:basedOn w:val="1"/>
    <w:autoRedefine/>
    <w:qFormat/>
    <w:uiPriority w:val="0"/>
    <w:pPr>
      <w:widowControl/>
      <w:spacing w:line="300" w:lineRule="exact"/>
      <w:jc w:val="center"/>
    </w:pPr>
    <w:rPr>
      <w:rFonts w:ascii="宋体" w:hAnsi="宋体" w:cs="宋体"/>
      <w:color w:val="000000"/>
      <w:spacing w:val="8"/>
      <w:kern w:val="0"/>
      <w:szCs w:val="20"/>
      <w:lang w:val="en-GB"/>
    </w:rPr>
  </w:style>
  <w:style w:type="character" w:customStyle="1" w:styleId="404">
    <w:name w:val="表格中文字 Char"/>
    <w:link w:val="405"/>
    <w:qFormat/>
    <w:uiPriority w:val="0"/>
    <w:rPr>
      <w:kern w:val="18"/>
      <w:sz w:val="21"/>
      <w:szCs w:val="21"/>
    </w:rPr>
  </w:style>
  <w:style w:type="paragraph" w:customStyle="1" w:styleId="405">
    <w:name w:val="表格中文字"/>
    <w:basedOn w:val="1"/>
    <w:link w:val="404"/>
    <w:qFormat/>
    <w:uiPriority w:val="0"/>
    <w:pPr>
      <w:adjustRightInd w:val="0"/>
      <w:snapToGrid w:val="0"/>
      <w:jc w:val="center"/>
    </w:pPr>
    <w:rPr>
      <w:kern w:val="18"/>
      <w:szCs w:val="21"/>
    </w:rPr>
  </w:style>
  <w:style w:type="character" w:customStyle="1" w:styleId="406">
    <w:name w:val="正本文字 Char"/>
    <w:link w:val="407"/>
    <w:qFormat/>
    <w:uiPriority w:val="0"/>
    <w:rPr>
      <w:kern w:val="18"/>
      <w:sz w:val="24"/>
    </w:rPr>
  </w:style>
  <w:style w:type="paragraph" w:customStyle="1" w:styleId="407">
    <w:name w:val="正本文字"/>
    <w:basedOn w:val="1"/>
    <w:link w:val="406"/>
    <w:autoRedefine/>
    <w:qFormat/>
    <w:uiPriority w:val="0"/>
    <w:pPr>
      <w:adjustRightInd w:val="0"/>
      <w:snapToGrid w:val="0"/>
      <w:spacing w:line="360" w:lineRule="auto"/>
      <w:ind w:firstLine="480" w:firstLineChars="200"/>
      <w:jc w:val="left"/>
    </w:pPr>
    <w:rPr>
      <w:kern w:val="18"/>
      <w:sz w:val="24"/>
      <w:szCs w:val="20"/>
    </w:rPr>
  </w:style>
  <w:style w:type="character" w:customStyle="1" w:styleId="408">
    <w:name w:val="样式2 Char"/>
    <w:link w:val="319"/>
    <w:qFormat/>
    <w:uiPriority w:val="0"/>
    <w:rPr>
      <w:kern w:val="2"/>
      <w:sz w:val="24"/>
      <w:szCs w:val="24"/>
    </w:rPr>
  </w:style>
  <w:style w:type="paragraph" w:customStyle="1" w:styleId="409">
    <w:name w:val="Char Char1 Char Char Char Char"/>
    <w:basedOn w:val="1"/>
    <w:qFormat/>
    <w:uiPriority w:val="0"/>
    <w:pPr>
      <w:spacing w:line="360" w:lineRule="auto"/>
    </w:pPr>
    <w:rPr>
      <w:sz w:val="32"/>
    </w:rPr>
  </w:style>
  <w:style w:type="paragraph" w:customStyle="1" w:styleId="410">
    <w:name w:val="正文首行缩进＋湿地"/>
    <w:basedOn w:val="1"/>
    <w:qFormat/>
    <w:uiPriority w:val="0"/>
    <w:pPr>
      <w:spacing w:line="440" w:lineRule="exact"/>
      <w:ind w:firstLine="540" w:firstLineChars="225"/>
    </w:pPr>
    <w:rPr>
      <w:rFonts w:ascii="仿宋_GB2312" w:hAnsi="宋体" w:eastAsia="仿宋_GB2312"/>
      <w:kern w:val="0"/>
      <w:sz w:val="28"/>
      <w:szCs w:val="20"/>
    </w:rPr>
  </w:style>
  <w:style w:type="paragraph" w:customStyle="1" w:styleId="411">
    <w:name w:val="a"/>
    <w:basedOn w:val="1"/>
    <w:qFormat/>
    <w:uiPriority w:val="0"/>
    <w:pPr>
      <w:widowControl/>
      <w:spacing w:before="100" w:beforeAutospacing="1" w:after="100" w:afterAutospacing="1"/>
      <w:jc w:val="left"/>
    </w:pPr>
    <w:rPr>
      <w:rFonts w:ascii="宋体" w:hAnsi="宋体" w:cs="宋体"/>
      <w:kern w:val="0"/>
      <w:sz w:val="24"/>
    </w:rPr>
  </w:style>
  <w:style w:type="character" w:customStyle="1" w:styleId="412">
    <w:name w:val="普通(网站) Char"/>
    <w:qFormat/>
    <w:uiPriority w:val="0"/>
    <w:rPr>
      <w:rFonts w:ascii="宋体" w:hAnsi="宋体" w:cs="宋体"/>
      <w:sz w:val="24"/>
      <w:szCs w:val="24"/>
    </w:rPr>
  </w:style>
  <w:style w:type="character" w:customStyle="1" w:styleId="413">
    <w:name w:val="表格标题新 Char Char Char"/>
    <w:qFormat/>
    <w:uiPriority w:val="0"/>
    <w:rPr>
      <w:rFonts w:ascii="仿宋_GB2312" w:eastAsia="仿宋_GB2312"/>
      <w:kern w:val="2"/>
      <w:sz w:val="24"/>
      <w:szCs w:val="24"/>
      <w:lang w:val="en-US" w:eastAsia="zh-CN" w:bidi="ar-SA"/>
    </w:rPr>
  </w:style>
  <w:style w:type="character" w:customStyle="1" w:styleId="414">
    <w:name w:val="Char Char15"/>
    <w:autoRedefine/>
    <w:qFormat/>
    <w:uiPriority w:val="0"/>
    <w:rPr>
      <w:rFonts w:ascii="宋体" w:hAnsi="Courier New" w:eastAsia="宋体"/>
      <w:kern w:val="2"/>
      <w:sz w:val="21"/>
      <w:lang w:val="en-US" w:eastAsia="zh-CN" w:bidi="ar-SA"/>
    </w:rPr>
  </w:style>
  <w:style w:type="character" w:customStyle="1" w:styleId="415">
    <w:name w:val="霍尼韦尔 Char Char"/>
    <w:link w:val="416"/>
    <w:qFormat/>
    <w:uiPriority w:val="0"/>
    <w:rPr>
      <w:rFonts w:cs="宋体"/>
      <w:kern w:val="2"/>
      <w:sz w:val="24"/>
    </w:rPr>
  </w:style>
  <w:style w:type="paragraph" w:customStyle="1" w:styleId="416">
    <w:name w:val="霍尼韦尔"/>
    <w:basedOn w:val="1"/>
    <w:link w:val="415"/>
    <w:qFormat/>
    <w:uiPriority w:val="0"/>
    <w:pPr>
      <w:spacing w:line="480" w:lineRule="exact"/>
      <w:ind w:firstLine="480" w:firstLineChars="200"/>
      <w:jc w:val="left"/>
    </w:pPr>
    <w:rPr>
      <w:rFonts w:cs="宋体"/>
      <w:sz w:val="24"/>
      <w:szCs w:val="20"/>
    </w:rPr>
  </w:style>
  <w:style w:type="character" w:customStyle="1" w:styleId="417">
    <w:name w:val="条标题1.1.1 Char2"/>
    <w:qFormat/>
    <w:uiPriority w:val="0"/>
    <w:rPr>
      <w:rFonts w:eastAsia="宋体"/>
      <w:b/>
      <w:bCs/>
      <w:kern w:val="2"/>
      <w:sz w:val="32"/>
      <w:szCs w:val="32"/>
      <w:lang w:val="en-US" w:eastAsia="zh-CN" w:bidi="ar-SA"/>
    </w:rPr>
  </w:style>
  <w:style w:type="character" w:customStyle="1" w:styleId="418">
    <w:name w:val="z101"/>
    <w:autoRedefine/>
    <w:qFormat/>
    <w:uiPriority w:val="0"/>
    <w:rPr>
      <w:color w:val="000000"/>
      <w:sz w:val="21"/>
      <w:szCs w:val="21"/>
    </w:rPr>
  </w:style>
  <w:style w:type="character" w:customStyle="1" w:styleId="419">
    <w:name w:val="正文文本 (2)"/>
    <w:qFormat/>
    <w:uiPriority w:val="0"/>
    <w:rPr>
      <w:rFonts w:ascii="宋体" w:hAnsi="宋体" w:eastAsia="宋体" w:cs="宋体"/>
      <w:color w:val="000000"/>
      <w:spacing w:val="0"/>
      <w:w w:val="100"/>
      <w:position w:val="0"/>
      <w:sz w:val="21"/>
      <w:szCs w:val="21"/>
      <w:u w:val="none"/>
      <w:lang w:val="zh-CN" w:eastAsia="zh-CN" w:bidi="zh-CN"/>
    </w:rPr>
  </w:style>
  <w:style w:type="character" w:customStyle="1" w:styleId="420">
    <w:name w:val="正文文本 (2) + Georgia"/>
    <w:qFormat/>
    <w:uiPriority w:val="0"/>
    <w:rPr>
      <w:rFonts w:ascii="Georgia" w:hAnsi="Georgia" w:eastAsia="Georgia" w:cs="Georgia"/>
      <w:color w:val="000000"/>
      <w:spacing w:val="0"/>
      <w:w w:val="100"/>
      <w:position w:val="0"/>
      <w:sz w:val="22"/>
      <w:szCs w:val="22"/>
      <w:u w:val="none"/>
      <w:lang w:val="en-US" w:eastAsia="en-US" w:bidi="en-US"/>
    </w:rPr>
  </w:style>
  <w:style w:type="character" w:customStyle="1" w:styleId="421">
    <w:name w:val="正文4号 Char Char"/>
    <w:link w:val="422"/>
    <w:qFormat/>
    <w:uiPriority w:val="0"/>
    <w:rPr>
      <w:kern w:val="2"/>
      <w:sz w:val="24"/>
      <w:szCs w:val="24"/>
    </w:rPr>
  </w:style>
  <w:style w:type="paragraph" w:customStyle="1" w:styleId="422">
    <w:name w:val="正文4号"/>
    <w:link w:val="421"/>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423">
    <w:name w:val="图表文字"/>
    <w:basedOn w:val="1"/>
    <w:autoRedefine/>
    <w:qFormat/>
    <w:uiPriority w:val="0"/>
    <w:pPr>
      <w:spacing w:line="300" w:lineRule="exact"/>
      <w:jc w:val="center"/>
    </w:pPr>
    <w:rPr>
      <w:bCs/>
      <w:szCs w:val="20"/>
    </w:rPr>
  </w:style>
  <w:style w:type="paragraph" w:customStyle="1" w:styleId="424">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styleId="425">
    <w:name w:val="No Spacing"/>
    <w:qFormat/>
    <w:uiPriority w:val="0"/>
    <w:pPr>
      <w:jc w:val="center"/>
    </w:pPr>
    <w:rPr>
      <w:rFonts w:ascii="Times New Roman" w:hAnsi="Times New Roman" w:eastAsia="宋体" w:cs="Times New Roman"/>
      <w:color w:val="000000"/>
      <w:kern w:val="2"/>
      <w:sz w:val="24"/>
      <w:szCs w:val="24"/>
      <w:lang w:val="en-US" w:eastAsia="zh-CN" w:bidi="ar-SA"/>
    </w:rPr>
  </w:style>
  <w:style w:type="paragraph" w:customStyle="1" w:styleId="426">
    <w:name w:val="二级标题"/>
    <w:basedOn w:val="50"/>
    <w:qFormat/>
    <w:uiPriority w:val="0"/>
    <w:pPr>
      <w:spacing w:before="240" w:after="60" w:line="312" w:lineRule="auto"/>
      <w:ind w:firstLine="200" w:firstLineChars="200"/>
      <w:jc w:val="left"/>
      <w:outlineLvl w:val="1"/>
    </w:pPr>
    <w:rPr>
      <w:b/>
      <w:bCs/>
      <w:kern w:val="28"/>
      <w:sz w:val="32"/>
      <w:szCs w:val="32"/>
      <w:lang w:eastAsia="zh-CN"/>
    </w:rPr>
  </w:style>
  <w:style w:type="character" w:customStyle="1" w:styleId="427">
    <w:name w:val="五号表格 Char Char"/>
    <w:link w:val="428"/>
    <w:autoRedefine/>
    <w:qFormat/>
    <w:locked/>
    <w:uiPriority w:val="0"/>
    <w:rPr>
      <w:rFonts w:ascii="宋体" w:hAnsi="宋体"/>
      <w:color w:val="000000"/>
      <w:kern w:val="2"/>
      <w:sz w:val="21"/>
      <w:szCs w:val="21"/>
      <w:lang w:val="en-GB"/>
    </w:rPr>
  </w:style>
  <w:style w:type="paragraph" w:customStyle="1" w:styleId="428">
    <w:name w:val="五号表格"/>
    <w:next w:val="1"/>
    <w:link w:val="427"/>
    <w:qFormat/>
    <w:uiPriority w:val="0"/>
    <w:pPr>
      <w:widowControl w:val="0"/>
      <w:adjustRightInd w:val="0"/>
      <w:snapToGrid w:val="0"/>
      <w:spacing w:line="320" w:lineRule="exact"/>
      <w:jc w:val="both"/>
      <w:textAlignment w:val="center"/>
    </w:pPr>
    <w:rPr>
      <w:rFonts w:ascii="宋体" w:hAnsi="宋体" w:eastAsia="宋体" w:cs="Times New Roman"/>
      <w:color w:val="000000"/>
      <w:kern w:val="2"/>
      <w:sz w:val="21"/>
      <w:szCs w:val="21"/>
      <w:lang w:val="en-GB" w:eastAsia="zh-CN" w:bidi="ar-SA"/>
    </w:rPr>
  </w:style>
  <w:style w:type="character" w:customStyle="1" w:styleId="429">
    <w:name w:val="占位符文本1"/>
    <w:semiHidden/>
    <w:qFormat/>
    <w:uiPriority w:val="99"/>
    <w:rPr>
      <w:rFonts w:cs="Times New Roman"/>
      <w:color w:val="808080"/>
    </w:rPr>
  </w:style>
  <w:style w:type="character" w:customStyle="1" w:styleId="430">
    <w:name w:val="宗兴正文 Char Char"/>
    <w:link w:val="431"/>
    <w:qFormat/>
    <w:locked/>
    <w:uiPriority w:val="0"/>
    <w:rPr>
      <w:sz w:val="24"/>
    </w:rPr>
  </w:style>
  <w:style w:type="paragraph" w:customStyle="1" w:styleId="431">
    <w:name w:val="宗兴正文"/>
    <w:basedOn w:val="1"/>
    <w:link w:val="430"/>
    <w:qFormat/>
    <w:uiPriority w:val="0"/>
    <w:pPr>
      <w:adjustRightInd w:val="0"/>
      <w:spacing w:before="93" w:after="93" w:line="360" w:lineRule="auto"/>
      <w:ind w:firstLine="480" w:firstLineChars="200"/>
      <w:jc w:val="left"/>
      <w:textAlignment w:val="baseline"/>
    </w:pPr>
    <w:rPr>
      <w:kern w:val="0"/>
      <w:sz w:val="24"/>
      <w:szCs w:val="20"/>
    </w:rPr>
  </w:style>
  <w:style w:type="character" w:customStyle="1" w:styleId="432">
    <w:name w:val="表题 Char Char"/>
    <w:link w:val="433"/>
    <w:qFormat/>
    <w:locked/>
    <w:uiPriority w:val="0"/>
    <w:rPr>
      <w:rFonts w:ascii="宋体"/>
      <w:b/>
      <w:sz w:val="24"/>
      <w:lang w:eastAsia="en-US"/>
    </w:rPr>
  </w:style>
  <w:style w:type="paragraph" w:customStyle="1" w:styleId="433">
    <w:name w:val="表题"/>
    <w:basedOn w:val="1"/>
    <w:link w:val="432"/>
    <w:qFormat/>
    <w:uiPriority w:val="0"/>
    <w:pPr>
      <w:widowControl/>
      <w:adjustRightInd w:val="0"/>
      <w:spacing w:before="120" w:line="360" w:lineRule="auto"/>
      <w:jc w:val="center"/>
      <w:textAlignment w:val="baseline"/>
    </w:pPr>
    <w:rPr>
      <w:rFonts w:ascii="宋体"/>
      <w:b/>
      <w:kern w:val="0"/>
      <w:sz w:val="24"/>
      <w:szCs w:val="20"/>
      <w:lang w:eastAsia="en-US"/>
    </w:rPr>
  </w:style>
  <w:style w:type="paragraph" w:customStyle="1" w:styleId="434">
    <w:name w:val="3"/>
    <w:autoRedefine/>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435">
    <w:name w:val="样式 样式 标题 2节 + (西文) Times New Roman (中文) 宋体 四号 段前: 0.5 行 段后: 0...... Char Char"/>
    <w:link w:val="436"/>
    <w:qFormat/>
    <w:locked/>
    <w:uiPriority w:val="0"/>
    <w:rPr>
      <w:rFonts w:ascii="宋体"/>
      <w:b/>
      <w:sz w:val="30"/>
    </w:rPr>
  </w:style>
  <w:style w:type="paragraph" w:customStyle="1" w:styleId="436">
    <w:name w:val="样式 样式 标题 2节 + (西文) Times New Roman (中文) 宋体 四号 段前: 0.5 行 段后: 0......"/>
    <w:basedOn w:val="1"/>
    <w:link w:val="435"/>
    <w:qFormat/>
    <w:uiPriority w:val="0"/>
    <w:pPr>
      <w:keepNext/>
      <w:keepLines/>
      <w:adjustRightInd w:val="0"/>
      <w:snapToGrid w:val="0"/>
      <w:spacing w:beforeLines="90" w:afterLines="90" w:line="312" w:lineRule="atLeast"/>
      <w:ind w:left="1260" w:hanging="420"/>
      <w:textAlignment w:val="baseline"/>
      <w:outlineLvl w:val="1"/>
    </w:pPr>
    <w:rPr>
      <w:rFonts w:ascii="宋体"/>
      <w:b/>
      <w:kern w:val="0"/>
      <w:sz w:val="30"/>
      <w:szCs w:val="20"/>
    </w:rPr>
  </w:style>
  <w:style w:type="character" w:customStyle="1" w:styleId="437">
    <w:name w:val="纯文本1 Char1"/>
    <w:qFormat/>
    <w:uiPriority w:val="0"/>
    <w:rPr>
      <w:rFonts w:ascii="宋体" w:hAnsi="Courier New" w:eastAsia="宋体"/>
      <w:kern w:val="2"/>
      <w:sz w:val="21"/>
      <w:lang w:val="en-US" w:eastAsia="zh-CN"/>
    </w:rPr>
  </w:style>
  <w:style w:type="character" w:customStyle="1" w:styleId="438">
    <w:name w:val="表格 Char Char"/>
    <w:autoRedefine/>
    <w:qFormat/>
    <w:locked/>
    <w:uiPriority w:val="0"/>
    <w:rPr>
      <w:rFonts w:ascii="Times New Roman" w:hAnsi="Times New Roman"/>
      <w:b/>
      <w:sz w:val="24"/>
    </w:rPr>
  </w:style>
  <w:style w:type="character" w:customStyle="1" w:styleId="439">
    <w:name w:val="正文文本缩进 2 Char Char"/>
    <w:qFormat/>
    <w:uiPriority w:val="0"/>
    <w:rPr>
      <w:rFonts w:eastAsia="宋体"/>
      <w:kern w:val="2"/>
      <w:sz w:val="24"/>
      <w:lang w:val="en-US" w:eastAsia="zh-CN"/>
    </w:rPr>
  </w:style>
  <w:style w:type="character" w:customStyle="1" w:styleId="440">
    <w:name w:val="表格的字 Char Char"/>
    <w:link w:val="441"/>
    <w:qFormat/>
    <w:locked/>
    <w:uiPriority w:val="0"/>
    <w:rPr>
      <w:sz w:val="24"/>
    </w:rPr>
  </w:style>
  <w:style w:type="paragraph" w:customStyle="1" w:styleId="441">
    <w:name w:val="表格的字"/>
    <w:basedOn w:val="1"/>
    <w:link w:val="440"/>
    <w:qFormat/>
    <w:uiPriority w:val="0"/>
    <w:pPr>
      <w:adjustRightInd w:val="0"/>
      <w:spacing w:line="312" w:lineRule="atLeast"/>
      <w:jc w:val="center"/>
      <w:textAlignment w:val="baseline"/>
    </w:pPr>
    <w:rPr>
      <w:kern w:val="0"/>
      <w:sz w:val="24"/>
      <w:szCs w:val="20"/>
    </w:rPr>
  </w:style>
  <w:style w:type="character" w:customStyle="1" w:styleId="442">
    <w:name w:val="表名图名 Char Char"/>
    <w:link w:val="443"/>
    <w:qFormat/>
    <w:locked/>
    <w:uiPriority w:val="0"/>
    <w:rPr>
      <w:rFonts w:ascii="宋体"/>
      <w:b/>
      <w:sz w:val="24"/>
      <w:lang w:eastAsia="en-US"/>
    </w:rPr>
  </w:style>
  <w:style w:type="paragraph" w:customStyle="1" w:styleId="443">
    <w:name w:val="表名图名"/>
    <w:basedOn w:val="1"/>
    <w:link w:val="442"/>
    <w:qFormat/>
    <w:uiPriority w:val="0"/>
    <w:pPr>
      <w:widowControl/>
      <w:adjustRightInd w:val="0"/>
      <w:spacing w:before="120" w:line="360" w:lineRule="auto"/>
      <w:jc w:val="center"/>
      <w:textAlignment w:val="baseline"/>
    </w:pPr>
    <w:rPr>
      <w:rFonts w:ascii="宋体"/>
      <w:b/>
      <w:kern w:val="0"/>
      <w:sz w:val="24"/>
      <w:szCs w:val="20"/>
      <w:lang w:eastAsia="en-US"/>
    </w:rPr>
  </w:style>
  <w:style w:type="character" w:customStyle="1" w:styleId="444">
    <w:name w:val="表、图名 Char Char"/>
    <w:link w:val="445"/>
    <w:qFormat/>
    <w:locked/>
    <w:uiPriority w:val="0"/>
    <w:rPr>
      <w:b/>
      <w:kern w:val="2"/>
      <w:sz w:val="21"/>
      <w:szCs w:val="24"/>
    </w:rPr>
  </w:style>
  <w:style w:type="paragraph" w:customStyle="1" w:styleId="445">
    <w:name w:val="表、图名"/>
    <w:link w:val="444"/>
    <w:autoRedefine/>
    <w:qFormat/>
    <w:uiPriority w:val="0"/>
    <w:pPr>
      <w:spacing w:before="120" w:line="360" w:lineRule="auto"/>
      <w:jc w:val="center"/>
    </w:pPr>
    <w:rPr>
      <w:rFonts w:ascii="Times New Roman" w:hAnsi="Times New Roman" w:eastAsia="宋体" w:cs="Times New Roman"/>
      <w:b/>
      <w:kern w:val="2"/>
      <w:sz w:val="21"/>
      <w:szCs w:val="24"/>
      <w:lang w:val="en-US" w:eastAsia="zh-CN" w:bidi="ar-SA"/>
    </w:rPr>
  </w:style>
  <w:style w:type="character" w:customStyle="1" w:styleId="446">
    <w:name w:val="Body Text Indent Char"/>
    <w:qFormat/>
    <w:locked/>
    <w:uiPriority w:val="0"/>
    <w:rPr>
      <w:sz w:val="24"/>
    </w:rPr>
  </w:style>
  <w:style w:type="character" w:customStyle="1" w:styleId="447">
    <w:name w:val="样式 标题 2节标题标题21.1H2h2第一层条4.1二级标题标题 lxb2二级标题 Char表标题单位... Char"/>
    <w:qFormat/>
    <w:uiPriority w:val="0"/>
    <w:rPr>
      <w:rFonts w:ascii="Verdana" w:hAnsi="Verdana" w:eastAsia="宋体"/>
      <w:b/>
      <w:kern w:val="32"/>
      <w:sz w:val="28"/>
      <w:lang w:val="en-US" w:eastAsia="zh-CN"/>
    </w:rPr>
  </w:style>
  <w:style w:type="character" w:customStyle="1" w:styleId="448">
    <w:name w:val="Document Map Char"/>
    <w:qFormat/>
    <w:locked/>
    <w:uiPriority w:val="0"/>
    <w:rPr>
      <w:rFonts w:ascii="宋体"/>
      <w:sz w:val="18"/>
    </w:rPr>
  </w:style>
  <w:style w:type="character" w:customStyle="1" w:styleId="449">
    <w:name w:val="Body Text First Indent Char"/>
    <w:autoRedefine/>
    <w:qFormat/>
    <w:locked/>
    <w:uiPriority w:val="0"/>
    <w:rPr>
      <w:rFonts w:ascii="Calibri" w:hAnsi="Calibri" w:eastAsia="宋体"/>
      <w:sz w:val="24"/>
    </w:rPr>
  </w:style>
  <w:style w:type="character" w:customStyle="1" w:styleId="450">
    <w:name w:val="表头 Char2"/>
    <w:qFormat/>
    <w:locked/>
    <w:uiPriority w:val="0"/>
    <w:rPr>
      <w:rFonts w:eastAsia="黑体"/>
      <w:color w:val="000000"/>
      <w:spacing w:val="-10"/>
    </w:rPr>
  </w:style>
  <w:style w:type="character" w:customStyle="1" w:styleId="451">
    <w:name w:val="图名 Char Char"/>
    <w:link w:val="452"/>
    <w:qFormat/>
    <w:locked/>
    <w:uiPriority w:val="0"/>
    <w:rPr>
      <w:b/>
      <w:kern w:val="2"/>
      <w:sz w:val="24"/>
      <w:szCs w:val="24"/>
      <w:lang w:eastAsia="en-US"/>
    </w:rPr>
  </w:style>
  <w:style w:type="paragraph" w:customStyle="1" w:styleId="452">
    <w:name w:val="图名"/>
    <w:link w:val="451"/>
    <w:qFormat/>
    <w:uiPriority w:val="0"/>
    <w:pPr>
      <w:spacing w:before="80" w:after="120" w:line="360" w:lineRule="auto"/>
      <w:jc w:val="center"/>
    </w:pPr>
    <w:rPr>
      <w:rFonts w:ascii="Times New Roman" w:hAnsi="Times New Roman" w:eastAsia="宋体" w:cs="Times New Roman"/>
      <w:b/>
      <w:kern w:val="2"/>
      <w:sz w:val="24"/>
      <w:szCs w:val="24"/>
      <w:lang w:val="en-US" w:eastAsia="en-US" w:bidi="ar-SA"/>
    </w:rPr>
  </w:style>
  <w:style w:type="character" w:customStyle="1" w:styleId="453">
    <w:name w:val="样式 标题 3 + (西文) Times New Roman (中文) 宋体 小四 加粗 Char Char"/>
    <w:link w:val="454"/>
    <w:qFormat/>
    <w:locked/>
    <w:uiPriority w:val="0"/>
    <w:rPr>
      <w:sz w:val="24"/>
    </w:rPr>
  </w:style>
  <w:style w:type="paragraph" w:customStyle="1" w:styleId="454">
    <w:name w:val="样式 标题 3 + (西文) Times New Roman (中文) 宋体 小四 加粗"/>
    <w:basedOn w:val="1"/>
    <w:link w:val="453"/>
    <w:qFormat/>
    <w:uiPriority w:val="0"/>
    <w:pPr>
      <w:adjustRightInd w:val="0"/>
      <w:spacing w:line="312" w:lineRule="atLeast"/>
      <w:textAlignment w:val="baseline"/>
    </w:pPr>
    <w:rPr>
      <w:kern w:val="0"/>
      <w:sz w:val="24"/>
      <w:szCs w:val="20"/>
    </w:rPr>
  </w:style>
  <w:style w:type="character" w:customStyle="1" w:styleId="455">
    <w:name w:val="1-正文样式 Char Char"/>
    <w:link w:val="456"/>
    <w:autoRedefine/>
    <w:qFormat/>
    <w:locked/>
    <w:uiPriority w:val="0"/>
    <w:rPr>
      <w:sz w:val="24"/>
    </w:rPr>
  </w:style>
  <w:style w:type="paragraph" w:customStyle="1" w:styleId="456">
    <w:name w:val="1-正文样式"/>
    <w:basedOn w:val="1"/>
    <w:link w:val="455"/>
    <w:qFormat/>
    <w:uiPriority w:val="0"/>
    <w:pPr>
      <w:adjustRightInd w:val="0"/>
      <w:spacing w:afterLines="50" w:line="360" w:lineRule="auto"/>
      <w:ind w:firstLine="200" w:firstLineChars="200"/>
      <w:textAlignment w:val="baseline"/>
    </w:pPr>
    <w:rPr>
      <w:kern w:val="0"/>
      <w:sz w:val="24"/>
      <w:szCs w:val="20"/>
    </w:rPr>
  </w:style>
  <w:style w:type="character" w:customStyle="1" w:styleId="457">
    <w:name w:val="我的正文 Char Char"/>
    <w:link w:val="458"/>
    <w:qFormat/>
    <w:locked/>
    <w:uiPriority w:val="0"/>
    <w:rPr>
      <w:kern w:val="2"/>
      <w:sz w:val="24"/>
      <w:szCs w:val="24"/>
    </w:rPr>
  </w:style>
  <w:style w:type="paragraph" w:customStyle="1" w:styleId="458">
    <w:name w:val="我的正文"/>
    <w:link w:val="457"/>
    <w:qFormat/>
    <w:uiPriority w:val="0"/>
    <w:pPr>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character" w:customStyle="1" w:styleId="459">
    <w:name w:val="样式1 Char Char"/>
    <w:autoRedefine/>
    <w:qFormat/>
    <w:locked/>
    <w:uiPriority w:val="0"/>
    <w:rPr>
      <w:rFonts w:ascii="Calibri" w:hAnsi="Calibri"/>
      <w:color w:val="000000"/>
      <w:sz w:val="24"/>
    </w:rPr>
  </w:style>
  <w:style w:type="character" w:customStyle="1" w:styleId="460">
    <w:name w:val="正文1 Char Char"/>
    <w:qFormat/>
    <w:locked/>
    <w:uiPriority w:val="0"/>
    <w:rPr>
      <w:color w:val="000000"/>
      <w:sz w:val="24"/>
    </w:rPr>
  </w:style>
  <w:style w:type="character" w:customStyle="1" w:styleId="461">
    <w:name w:val="正文（小四） Char Char"/>
    <w:link w:val="462"/>
    <w:qFormat/>
    <w:locked/>
    <w:uiPriority w:val="0"/>
    <w:rPr>
      <w:bCs/>
      <w:kern w:val="2"/>
      <w:sz w:val="24"/>
      <w:szCs w:val="32"/>
    </w:rPr>
  </w:style>
  <w:style w:type="paragraph" w:customStyle="1" w:styleId="462">
    <w:name w:val="正文（小四）"/>
    <w:link w:val="461"/>
    <w:qFormat/>
    <w:uiPriority w:val="0"/>
    <w:pPr>
      <w:spacing w:line="360" w:lineRule="auto"/>
      <w:ind w:firstLine="200" w:firstLineChars="200"/>
      <w:jc w:val="both"/>
    </w:pPr>
    <w:rPr>
      <w:rFonts w:ascii="Times New Roman" w:hAnsi="Times New Roman" w:eastAsia="宋体" w:cs="Times New Roman"/>
      <w:bCs/>
      <w:kern w:val="2"/>
      <w:sz w:val="24"/>
      <w:szCs w:val="32"/>
      <w:lang w:val="en-US" w:eastAsia="zh-CN" w:bidi="ar-SA"/>
    </w:rPr>
  </w:style>
  <w:style w:type="character" w:customStyle="1" w:styleId="463">
    <w:name w:val="表格文字 Char Char"/>
    <w:qFormat/>
    <w:locked/>
    <w:uiPriority w:val="0"/>
    <w:rPr>
      <w:kern w:val="2"/>
      <w:sz w:val="21"/>
      <w:szCs w:val="24"/>
    </w:rPr>
  </w:style>
  <w:style w:type="character" w:customStyle="1" w:styleId="464">
    <w:name w:val="我的正文 Char Char Char"/>
    <w:autoRedefine/>
    <w:qFormat/>
    <w:uiPriority w:val="0"/>
    <w:rPr>
      <w:kern w:val="2"/>
      <w:sz w:val="24"/>
      <w:lang w:val="en-US" w:eastAsia="zh-CN"/>
    </w:rPr>
  </w:style>
  <w:style w:type="character" w:customStyle="1" w:styleId="465">
    <w:name w:val="样式4 Char"/>
    <w:link w:val="466"/>
    <w:qFormat/>
    <w:locked/>
    <w:uiPriority w:val="0"/>
    <w:rPr>
      <w:rFonts w:eastAsia="仿宋_GB2312"/>
      <w:color w:val="0000FF"/>
      <w:spacing w:val="4"/>
      <w:sz w:val="24"/>
    </w:rPr>
  </w:style>
  <w:style w:type="paragraph" w:customStyle="1" w:styleId="466">
    <w:name w:val="样式4"/>
    <w:basedOn w:val="28"/>
    <w:link w:val="465"/>
    <w:autoRedefine/>
    <w:qFormat/>
    <w:uiPriority w:val="0"/>
    <w:pPr>
      <w:widowControl w:val="0"/>
      <w:adjustRightInd w:val="0"/>
      <w:snapToGrid/>
      <w:spacing w:before="0" w:after="0" w:line="360" w:lineRule="auto"/>
      <w:ind w:right="-119" w:firstLine="496" w:firstLineChars="200"/>
      <w:jc w:val="left"/>
      <w:textAlignment w:val="baseline"/>
    </w:pPr>
    <w:rPr>
      <w:rFonts w:eastAsia="仿宋_GB2312"/>
      <w:color w:val="0000FF"/>
      <w:spacing w:val="4"/>
      <w:sz w:val="24"/>
    </w:rPr>
  </w:style>
  <w:style w:type="character" w:customStyle="1" w:styleId="467">
    <w:name w:val="表格文字nana Char Char"/>
    <w:link w:val="468"/>
    <w:qFormat/>
    <w:locked/>
    <w:uiPriority w:val="0"/>
    <w:rPr>
      <w:rFonts w:ascii="宋体" w:hAnsi="宋体" w:eastAsia="仿宋_GB2312"/>
      <w:snapToGrid w:val="0"/>
      <w:color w:val="000000"/>
      <w:sz w:val="21"/>
    </w:rPr>
  </w:style>
  <w:style w:type="paragraph" w:customStyle="1" w:styleId="468">
    <w:name w:val="表格文字nana"/>
    <w:basedOn w:val="1"/>
    <w:link w:val="467"/>
    <w:qFormat/>
    <w:uiPriority w:val="0"/>
    <w:pPr>
      <w:widowControl/>
      <w:adjustRightInd w:val="0"/>
      <w:spacing w:line="300" w:lineRule="auto"/>
      <w:jc w:val="center"/>
      <w:textAlignment w:val="baseline"/>
    </w:pPr>
    <w:rPr>
      <w:rFonts w:ascii="宋体" w:hAnsi="宋体" w:eastAsia="仿宋_GB2312"/>
      <w:snapToGrid w:val="0"/>
      <w:color w:val="000000"/>
      <w:kern w:val="0"/>
      <w:szCs w:val="20"/>
    </w:rPr>
  </w:style>
  <w:style w:type="character" w:customStyle="1" w:styleId="469">
    <w:name w:val="表格内容 Char Char"/>
    <w:link w:val="312"/>
    <w:qFormat/>
    <w:locked/>
    <w:uiPriority w:val="0"/>
    <w:rPr>
      <w:rFonts w:ascii="Arial" w:hAnsi="Arial" w:eastAsia="仿宋_GB2312"/>
      <w:sz w:val="24"/>
    </w:rPr>
  </w:style>
  <w:style w:type="character" w:customStyle="1" w:styleId="470">
    <w:name w:val="样式2 Char Char"/>
    <w:autoRedefine/>
    <w:qFormat/>
    <w:locked/>
    <w:uiPriority w:val="0"/>
    <w:rPr>
      <w:rFonts w:ascii="Calibri" w:hAnsi="Calibri"/>
      <w:sz w:val="24"/>
    </w:rPr>
  </w:style>
  <w:style w:type="character" w:customStyle="1" w:styleId="471">
    <w:name w:val="注释 Char Char"/>
    <w:link w:val="472"/>
    <w:qFormat/>
    <w:locked/>
    <w:uiPriority w:val="0"/>
    <w:rPr>
      <w:rFonts w:ascii="宋体"/>
      <w:snapToGrid w:val="0"/>
      <w:spacing w:val="4"/>
      <w:sz w:val="24"/>
    </w:rPr>
  </w:style>
  <w:style w:type="paragraph" w:customStyle="1" w:styleId="472">
    <w:name w:val="注释"/>
    <w:basedOn w:val="1"/>
    <w:link w:val="471"/>
    <w:qFormat/>
    <w:uiPriority w:val="0"/>
    <w:pPr>
      <w:adjustRightInd w:val="0"/>
      <w:snapToGrid w:val="0"/>
      <w:spacing w:line="360" w:lineRule="auto"/>
      <w:textAlignment w:val="baseline"/>
    </w:pPr>
    <w:rPr>
      <w:rFonts w:ascii="宋体"/>
      <w:snapToGrid w:val="0"/>
      <w:spacing w:val="4"/>
      <w:kern w:val="0"/>
      <w:sz w:val="24"/>
      <w:szCs w:val="20"/>
    </w:rPr>
  </w:style>
  <w:style w:type="character" w:customStyle="1" w:styleId="473">
    <w:name w:val="表格字体 Char Char"/>
    <w:link w:val="474"/>
    <w:qFormat/>
    <w:locked/>
    <w:uiPriority w:val="0"/>
    <w:rPr>
      <w:sz w:val="21"/>
    </w:rPr>
  </w:style>
  <w:style w:type="paragraph" w:customStyle="1" w:styleId="474">
    <w:name w:val="表格字体"/>
    <w:basedOn w:val="1"/>
    <w:link w:val="473"/>
    <w:qFormat/>
    <w:uiPriority w:val="0"/>
    <w:pPr>
      <w:adjustRightInd w:val="0"/>
      <w:spacing w:beforeLines="20" w:afterLines="20" w:line="360" w:lineRule="auto"/>
      <w:jc w:val="center"/>
      <w:textAlignment w:val="baseline"/>
    </w:pPr>
    <w:rPr>
      <w:kern w:val="0"/>
      <w:szCs w:val="20"/>
    </w:rPr>
  </w:style>
  <w:style w:type="character" w:customStyle="1" w:styleId="475">
    <w:name w:val="Char Char18"/>
    <w:qFormat/>
    <w:uiPriority w:val="0"/>
    <w:rPr>
      <w:rFonts w:ascii="Cambria" w:hAnsi="Cambria" w:eastAsia="宋体"/>
      <w:sz w:val="24"/>
      <w:lang w:val="en-US" w:eastAsia="en-US"/>
    </w:rPr>
  </w:style>
  <w:style w:type="character" w:customStyle="1" w:styleId="476">
    <w:name w:val="1正文段落 Char Char"/>
    <w:qFormat/>
    <w:locked/>
    <w:uiPriority w:val="0"/>
    <w:rPr>
      <w:snapToGrid w:val="0"/>
      <w:sz w:val="24"/>
      <w:szCs w:val="24"/>
    </w:rPr>
  </w:style>
  <w:style w:type="character" w:customStyle="1" w:styleId="477">
    <w:name w:val="正文B Char Char"/>
    <w:autoRedefine/>
    <w:qFormat/>
    <w:locked/>
    <w:uiPriority w:val="0"/>
    <w:rPr>
      <w:rFonts w:ascii="宋体" w:hAnsi="宋体" w:eastAsia="宋体"/>
      <w:sz w:val="24"/>
    </w:rPr>
  </w:style>
  <w:style w:type="character" w:customStyle="1" w:styleId="478">
    <w:name w:val="正文加粗 Char Char"/>
    <w:link w:val="479"/>
    <w:qFormat/>
    <w:locked/>
    <w:uiPriority w:val="0"/>
    <w:rPr>
      <w:rFonts w:eastAsia="仿宋_GB2312"/>
      <w:b/>
      <w:kern w:val="2"/>
      <w:sz w:val="24"/>
      <w:szCs w:val="24"/>
    </w:rPr>
  </w:style>
  <w:style w:type="paragraph" w:customStyle="1" w:styleId="479">
    <w:name w:val="正文加粗"/>
    <w:next w:val="1"/>
    <w:link w:val="478"/>
    <w:qFormat/>
    <w:uiPriority w:val="0"/>
    <w:pPr>
      <w:spacing w:line="360" w:lineRule="auto"/>
      <w:ind w:firstLine="480"/>
    </w:pPr>
    <w:rPr>
      <w:rFonts w:ascii="Times New Roman" w:hAnsi="Times New Roman" w:eastAsia="仿宋_GB2312" w:cs="Times New Roman"/>
      <w:b/>
      <w:kern w:val="2"/>
      <w:sz w:val="24"/>
      <w:szCs w:val="24"/>
      <w:lang w:val="en-US" w:eastAsia="zh-CN" w:bidi="ar-SA"/>
    </w:rPr>
  </w:style>
  <w:style w:type="character" w:customStyle="1" w:styleId="480">
    <w:name w:val="表头 Char1"/>
    <w:qFormat/>
    <w:uiPriority w:val="0"/>
    <w:rPr>
      <w:rFonts w:eastAsia="仿宋_GB2312"/>
      <w:b/>
      <w:snapToGrid w:val="0"/>
      <w:color w:val="000000"/>
      <w:sz w:val="21"/>
    </w:rPr>
  </w:style>
  <w:style w:type="character" w:customStyle="1" w:styleId="481">
    <w:name w:val="正文(首行缩进) Char1"/>
    <w:autoRedefine/>
    <w:qFormat/>
    <w:locked/>
    <w:uiPriority w:val="0"/>
    <w:rPr>
      <w:rFonts w:ascii="宋体" w:eastAsia="宋体"/>
      <w:snapToGrid w:val="0"/>
      <w:color w:val="000000"/>
      <w:sz w:val="24"/>
    </w:rPr>
  </w:style>
  <w:style w:type="character" w:customStyle="1" w:styleId="482">
    <w:name w:val="nr"/>
    <w:qFormat/>
    <w:uiPriority w:val="0"/>
    <w:rPr>
      <w:rFonts w:cs="Times New Roman"/>
    </w:rPr>
  </w:style>
  <w:style w:type="character" w:customStyle="1" w:styleId="483">
    <w:name w:val="批注文字 Char1"/>
    <w:qFormat/>
    <w:locked/>
    <w:uiPriority w:val="99"/>
    <w:rPr>
      <w:kern w:val="2"/>
      <w:sz w:val="21"/>
      <w:szCs w:val="24"/>
    </w:rPr>
  </w:style>
  <w:style w:type="paragraph" w:customStyle="1" w:styleId="484">
    <w:name w:val="表格内容格式"/>
    <w:basedOn w:val="1"/>
    <w:qFormat/>
    <w:uiPriority w:val="0"/>
    <w:pPr>
      <w:adjustRightInd w:val="0"/>
      <w:spacing w:line="312" w:lineRule="atLeast"/>
      <w:jc w:val="center"/>
      <w:textAlignment w:val="baseline"/>
    </w:pPr>
    <w:rPr>
      <w:rFonts w:ascii="宋体" w:hAnsi="宋体"/>
      <w:color w:val="FF0000"/>
      <w:kern w:val="0"/>
      <w:szCs w:val="20"/>
    </w:rPr>
  </w:style>
  <w:style w:type="paragraph" w:customStyle="1" w:styleId="485">
    <w:name w:val="表字居中O"/>
    <w:basedOn w:val="1"/>
    <w:qFormat/>
    <w:uiPriority w:val="0"/>
    <w:pPr>
      <w:tabs>
        <w:tab w:val="left" w:pos="3626"/>
      </w:tabs>
      <w:adjustRightInd w:val="0"/>
      <w:spacing w:line="240" w:lineRule="atLeast"/>
      <w:jc w:val="center"/>
      <w:textAlignment w:val="baseline"/>
    </w:pPr>
    <w:rPr>
      <w:spacing w:val="-4"/>
      <w:kern w:val="0"/>
      <w:szCs w:val="21"/>
    </w:rPr>
  </w:style>
  <w:style w:type="character" w:customStyle="1" w:styleId="486">
    <w:name w:val="正文文本缩进 Char1"/>
    <w:semiHidden/>
    <w:qFormat/>
    <w:uiPriority w:val="99"/>
    <w:rPr>
      <w:rFonts w:ascii="Times New Roman" w:hAnsi="Times New Roman" w:eastAsia="宋体" w:cs="Times New Roman"/>
      <w:sz w:val="24"/>
      <w:szCs w:val="24"/>
    </w:rPr>
  </w:style>
  <w:style w:type="paragraph" w:customStyle="1" w:styleId="487">
    <w:name w:val="公参2"/>
    <w:basedOn w:val="1"/>
    <w:qFormat/>
    <w:uiPriority w:val="0"/>
    <w:pPr>
      <w:tabs>
        <w:tab w:val="left" w:pos="-2848"/>
      </w:tabs>
      <w:adjustRightInd w:val="0"/>
      <w:spacing w:line="360" w:lineRule="atLeast"/>
      <w:textAlignment w:val="baseline"/>
    </w:pPr>
    <w:rPr>
      <w:rFonts w:cs="宋体"/>
      <w:kern w:val="0"/>
      <w:position w:val="-10"/>
      <w:szCs w:val="20"/>
    </w:rPr>
  </w:style>
  <w:style w:type="paragraph" w:customStyle="1" w:styleId="488">
    <w:name w:val="a表格"/>
    <w:basedOn w:val="1"/>
    <w:autoRedefine/>
    <w:qFormat/>
    <w:uiPriority w:val="0"/>
    <w:pPr>
      <w:adjustRightInd w:val="0"/>
      <w:snapToGrid w:val="0"/>
      <w:spacing w:line="312" w:lineRule="atLeast"/>
      <w:jc w:val="center"/>
      <w:textAlignment w:val="baseline"/>
    </w:pPr>
    <w:rPr>
      <w:kern w:val="0"/>
      <w:szCs w:val="20"/>
    </w:rPr>
  </w:style>
  <w:style w:type="paragraph" w:customStyle="1" w:styleId="489">
    <w:name w:val="Char Char Char Char Char Char Char Char Char Char Char Char Char Char Char Char Char Char Char Char Char Char Char Char Char Char Char Char Char Char Char Char Char Char Char Char Char Char Char Char Char Char Char Char Char Char"/>
    <w:basedOn w:val="1"/>
    <w:next w:val="1"/>
    <w:qFormat/>
    <w:uiPriority w:val="0"/>
    <w:pPr>
      <w:pBdr>
        <w:right w:val="single" w:color="auto" w:sz="12" w:space="4"/>
      </w:pBdr>
      <w:adjustRightInd w:val="0"/>
      <w:spacing w:line="360" w:lineRule="auto"/>
      <w:ind w:firstLine="200" w:firstLineChars="200"/>
      <w:textAlignment w:val="baseline"/>
    </w:pPr>
    <w:rPr>
      <w:rFonts w:ascii="宋体" w:hAnsi="宋体" w:cs="宋体"/>
      <w:kern w:val="0"/>
      <w:sz w:val="28"/>
      <w:szCs w:val="20"/>
    </w:rPr>
  </w:style>
  <w:style w:type="paragraph" w:customStyle="1" w:styleId="490">
    <w:name w:val="我的表格"/>
    <w:qFormat/>
    <w:uiPriority w:val="0"/>
    <w:pPr>
      <w:adjustRightInd w:val="0"/>
      <w:snapToGrid w:val="0"/>
      <w:spacing w:line="300" w:lineRule="exact"/>
      <w:jc w:val="center"/>
    </w:pPr>
    <w:rPr>
      <w:rFonts w:ascii="Times New Roman" w:hAnsi="Times New Roman" w:eastAsia="宋体" w:cs="Times New Roman"/>
      <w:spacing w:val="4"/>
      <w:sz w:val="21"/>
      <w:szCs w:val="24"/>
      <w:lang w:val="en-US" w:eastAsia="zh-CN" w:bidi="th-TH"/>
    </w:rPr>
  </w:style>
  <w:style w:type="character" w:customStyle="1" w:styleId="491">
    <w:name w:val="正文文本 Char1"/>
    <w:qFormat/>
    <w:locked/>
    <w:uiPriority w:val="0"/>
    <w:rPr>
      <w:kern w:val="2"/>
      <w:sz w:val="44"/>
      <w:szCs w:val="24"/>
    </w:rPr>
  </w:style>
  <w:style w:type="paragraph" w:customStyle="1" w:styleId="492">
    <w:name w:val="样式 首行缩进:  0.99 厘米 行距: 1.5 倍行距2"/>
    <w:basedOn w:val="1"/>
    <w:autoRedefine/>
    <w:qFormat/>
    <w:uiPriority w:val="0"/>
    <w:pPr>
      <w:adjustRightInd w:val="0"/>
      <w:snapToGrid w:val="0"/>
      <w:spacing w:line="312" w:lineRule="atLeast"/>
      <w:jc w:val="center"/>
      <w:textAlignment w:val="baseline"/>
    </w:pPr>
    <w:rPr>
      <w:rFonts w:ascii="宋体" w:hAnsi="宋体"/>
      <w:color w:val="FF0000"/>
      <w:kern w:val="0"/>
      <w:szCs w:val="21"/>
    </w:rPr>
  </w:style>
  <w:style w:type="paragraph" w:customStyle="1" w:styleId="493">
    <w:name w:val="样式 正文首行缩进 + 首行缩进:  1 字符"/>
    <w:basedOn w:val="62"/>
    <w:autoRedefine/>
    <w:qFormat/>
    <w:uiPriority w:val="0"/>
    <w:pPr>
      <w:adjustRightInd w:val="0"/>
      <w:spacing w:after="0" w:line="480" w:lineRule="exact"/>
      <w:ind w:firstLine="200" w:firstLineChars="200"/>
      <w:textAlignment w:val="baseline"/>
    </w:pPr>
    <w:rPr>
      <w:rFonts w:ascii="Calibri" w:hAnsi="Calibri" w:cs="宋体"/>
      <w:bCs/>
      <w:sz w:val="28"/>
      <w:lang w:val="zh-CN"/>
    </w:rPr>
  </w:style>
  <w:style w:type="paragraph" w:customStyle="1" w:styleId="494">
    <w:name w:val="正文文字1"/>
    <w:basedOn w:val="1"/>
    <w:autoRedefine/>
    <w:qFormat/>
    <w:uiPriority w:val="0"/>
    <w:pPr>
      <w:adjustRightInd w:val="0"/>
      <w:spacing w:line="500" w:lineRule="exact"/>
      <w:ind w:firstLine="480" w:firstLineChars="200"/>
      <w:textAlignment w:val="baseline"/>
    </w:pPr>
    <w:rPr>
      <w:kern w:val="0"/>
      <w:sz w:val="24"/>
      <w:szCs w:val="20"/>
    </w:rPr>
  </w:style>
  <w:style w:type="paragraph" w:customStyle="1" w:styleId="495">
    <w:name w:val="环表头"/>
    <w:basedOn w:val="1"/>
    <w:link w:val="614"/>
    <w:autoRedefine/>
    <w:qFormat/>
    <w:uiPriority w:val="0"/>
    <w:pPr>
      <w:adjustRightInd w:val="0"/>
      <w:spacing w:line="480" w:lineRule="exact"/>
      <w:jc w:val="center"/>
      <w:textAlignment w:val="baseline"/>
    </w:pPr>
    <w:rPr>
      <w:rFonts w:ascii="黑体" w:hAnsi="宋体" w:eastAsia="黑体"/>
      <w:iCs/>
      <w:color w:val="000000"/>
      <w:kern w:val="0"/>
      <w:sz w:val="24"/>
      <w:szCs w:val="20"/>
      <w:lang w:val="zh-CN"/>
    </w:rPr>
  </w:style>
  <w:style w:type="paragraph" w:customStyle="1" w:styleId="496">
    <w:name w:val="样式 标题 2标题 2 Char + (西文) Times New Roman (中文) 宋体 小四"/>
    <w:basedOn w:val="3"/>
    <w:qFormat/>
    <w:uiPriority w:val="0"/>
    <w:pPr>
      <w:tabs>
        <w:tab w:val="left" w:pos="-1980"/>
        <w:tab w:val="clear" w:pos="425"/>
      </w:tabs>
      <w:adjustRightInd w:val="0"/>
      <w:spacing w:before="0" w:after="0" w:line="500" w:lineRule="exact"/>
      <w:ind w:left="0" w:firstLine="0"/>
      <w:textAlignment w:val="baseline"/>
    </w:pPr>
    <w:rPr>
      <w:rFonts w:ascii="Times New Roman" w:hAnsi="Times New Roman"/>
      <w:b w:val="0"/>
      <w:bCs/>
      <w:spacing w:val="1"/>
      <w:kern w:val="0"/>
      <w:sz w:val="28"/>
      <w:szCs w:val="28"/>
    </w:rPr>
  </w:style>
  <w:style w:type="paragraph" w:customStyle="1" w:styleId="497">
    <w:name w:val="Char Char1 Char Char Char Char Char Char Char Char Char Char Char Char Char Char Char Char Char Char Char Char1 Char"/>
    <w:basedOn w:val="1"/>
    <w:autoRedefine/>
    <w:qFormat/>
    <w:uiPriority w:val="0"/>
    <w:pPr>
      <w:adjustRightInd w:val="0"/>
      <w:spacing w:line="360" w:lineRule="auto"/>
      <w:ind w:firstLine="200" w:firstLineChars="200"/>
      <w:textAlignment w:val="baseline"/>
    </w:pPr>
    <w:rPr>
      <w:kern w:val="0"/>
      <w:szCs w:val="20"/>
    </w:rPr>
  </w:style>
  <w:style w:type="paragraph" w:customStyle="1" w:styleId="498">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9">
    <w:name w:val="zhang正文"/>
    <w:basedOn w:val="10"/>
    <w:qFormat/>
    <w:uiPriority w:val="0"/>
    <w:pPr>
      <w:autoSpaceDE w:val="0"/>
      <w:autoSpaceDN w:val="0"/>
      <w:adjustRightInd w:val="0"/>
      <w:snapToGrid w:val="0"/>
      <w:spacing w:after="0" w:line="500" w:lineRule="exact"/>
      <w:ind w:left="0" w:leftChars="0" w:firstLine="539"/>
      <w:textAlignment w:val="baseline"/>
    </w:pPr>
    <w:rPr>
      <w:rFonts w:ascii="Calibri" w:hAnsi="Calibri" w:eastAsia="楷体_GB2312"/>
      <w:sz w:val="28"/>
    </w:rPr>
  </w:style>
  <w:style w:type="paragraph" w:customStyle="1" w:styleId="500">
    <w:name w:val="样式 正文首行缩进正文首行缩进 Char + 首行缩进:  1 字符1"/>
    <w:basedOn w:val="62"/>
    <w:qFormat/>
    <w:uiPriority w:val="0"/>
    <w:pPr>
      <w:widowControl/>
      <w:adjustRightInd w:val="0"/>
      <w:spacing w:line="360" w:lineRule="auto"/>
      <w:ind w:firstLine="100"/>
      <w:jc w:val="left"/>
      <w:textAlignment w:val="baseline"/>
    </w:pPr>
    <w:rPr>
      <w:rFonts w:ascii="Calibri" w:hAnsi="Calibri" w:cs="宋体"/>
      <w:sz w:val="24"/>
      <w:lang w:val="zh-CN"/>
    </w:rPr>
  </w:style>
  <w:style w:type="paragraph" w:customStyle="1" w:styleId="501">
    <w:name w:val="p19"/>
    <w:basedOn w:val="1"/>
    <w:qFormat/>
    <w:uiPriority w:val="0"/>
    <w:pPr>
      <w:widowControl/>
      <w:adjustRightInd w:val="0"/>
      <w:spacing w:line="360" w:lineRule="atLeast"/>
      <w:jc w:val="center"/>
      <w:textAlignment w:val="baseline"/>
    </w:pPr>
    <w:rPr>
      <w:kern w:val="0"/>
      <w:szCs w:val="21"/>
    </w:rPr>
  </w:style>
  <w:style w:type="paragraph" w:customStyle="1" w:styleId="502">
    <w:name w:val="1表格头"/>
    <w:basedOn w:val="1"/>
    <w:qFormat/>
    <w:uiPriority w:val="0"/>
    <w:pPr>
      <w:adjustRightInd w:val="0"/>
      <w:snapToGrid w:val="0"/>
      <w:spacing w:line="160" w:lineRule="atLeast"/>
      <w:jc w:val="center"/>
      <w:textAlignment w:val="baseline"/>
    </w:pPr>
    <w:rPr>
      <w:rFonts w:eastAsia="仿宋_GB2312"/>
      <w:kern w:val="0"/>
      <w:sz w:val="24"/>
      <w:szCs w:val="20"/>
    </w:rPr>
  </w:style>
  <w:style w:type="paragraph" w:customStyle="1" w:styleId="503">
    <w:name w:val="样式3"/>
    <w:basedOn w:val="3"/>
    <w:qFormat/>
    <w:uiPriority w:val="0"/>
    <w:pPr>
      <w:tabs>
        <w:tab w:val="left" w:pos="-1980"/>
        <w:tab w:val="clear" w:pos="425"/>
      </w:tabs>
      <w:adjustRightInd w:val="0"/>
      <w:spacing w:before="0" w:after="0" w:line="500" w:lineRule="exact"/>
      <w:ind w:left="0" w:firstLine="0"/>
      <w:textAlignment w:val="baseline"/>
    </w:pPr>
    <w:rPr>
      <w:rFonts w:ascii="Times New Roman" w:hAnsi="Times New Roman"/>
      <w:b w:val="0"/>
      <w:color w:val="000000"/>
      <w:kern w:val="0"/>
      <w:sz w:val="28"/>
      <w:szCs w:val="28"/>
    </w:rPr>
  </w:style>
  <w:style w:type="paragraph" w:customStyle="1" w:styleId="504">
    <w:name w:val="样式 标题 1 + 黑体 小二 居中 首行缩进:  0 厘米 段前: 12 磅"/>
    <w:basedOn w:val="2"/>
    <w:qFormat/>
    <w:uiPriority w:val="0"/>
    <w:pPr>
      <w:overflowPunct/>
      <w:adjustRightInd w:val="0"/>
      <w:snapToGrid/>
      <w:spacing w:before="240" w:after="0" w:line="520" w:lineRule="exact"/>
      <w:ind w:left="0" w:firstLine="0"/>
      <w:jc w:val="center"/>
      <w:textAlignment w:val="baseline"/>
    </w:pPr>
    <w:rPr>
      <w:rFonts w:ascii="黑体"/>
      <w:bCs w:val="0"/>
      <w:color w:val="auto"/>
      <w:kern w:val="2"/>
      <w:sz w:val="36"/>
      <w:szCs w:val="36"/>
    </w:rPr>
  </w:style>
  <w:style w:type="paragraph" w:customStyle="1" w:styleId="505">
    <w:name w:val="样式 标题 2 + 首行缩进:  2 字符"/>
    <w:basedOn w:val="3"/>
    <w:qFormat/>
    <w:uiPriority w:val="0"/>
    <w:pPr>
      <w:tabs>
        <w:tab w:val="left" w:pos="-1980"/>
        <w:tab w:val="clear" w:pos="425"/>
      </w:tabs>
      <w:adjustRightInd w:val="0"/>
      <w:spacing w:before="0" w:after="0" w:afterLines="50" w:line="240" w:lineRule="auto"/>
      <w:ind w:left="0" w:firstLine="0"/>
      <w:textAlignment w:val="baseline"/>
    </w:pPr>
    <w:rPr>
      <w:bCs/>
      <w:spacing w:val="1"/>
      <w:kern w:val="0"/>
      <w:sz w:val="28"/>
      <w:szCs w:val="28"/>
    </w:rPr>
  </w:style>
  <w:style w:type="paragraph" w:customStyle="1" w:styleId="506">
    <w:name w:val="样式 标题 4 + (西文) Times New Roman (中文) 宋体 小四"/>
    <w:basedOn w:val="6"/>
    <w:qFormat/>
    <w:uiPriority w:val="0"/>
    <w:pPr>
      <w:tabs>
        <w:tab w:val="left" w:pos="1397"/>
        <w:tab w:val="clear" w:pos="1080"/>
      </w:tabs>
      <w:snapToGrid w:val="0"/>
      <w:spacing w:before="280" w:beforeLines="25" w:after="290" w:afterLines="25" w:line="360" w:lineRule="auto"/>
      <w:ind w:left="1114" w:hanging="964"/>
      <w:textAlignment w:val="baseline"/>
    </w:pPr>
    <w:rPr>
      <w:rFonts w:ascii="宋体" w:hAnsi="宋体" w:eastAsia="宋体"/>
      <w:b w:val="0"/>
      <w:sz w:val="24"/>
      <w:szCs w:val="24"/>
    </w:rPr>
  </w:style>
  <w:style w:type="paragraph" w:customStyle="1" w:styleId="507">
    <w:name w:val="正文11"/>
    <w:basedOn w:val="1"/>
    <w:autoRedefine/>
    <w:qFormat/>
    <w:uiPriority w:val="0"/>
    <w:pPr>
      <w:adjustRightInd w:val="0"/>
      <w:spacing w:before="120" w:after="120" w:line="360" w:lineRule="auto"/>
      <w:ind w:firstLine="539"/>
      <w:textAlignment w:val="baseline"/>
    </w:pPr>
    <w:rPr>
      <w:rFonts w:ascii="宋体" w:hAnsi="宋体"/>
      <w:kern w:val="0"/>
      <w:sz w:val="28"/>
      <w:szCs w:val="20"/>
    </w:rPr>
  </w:style>
  <w:style w:type="paragraph" w:customStyle="1" w:styleId="508">
    <w:name w:val="样式 标题 3 + 段前: 0 磅 段后: 8 磅 行距: 固定值 22 磅1"/>
    <w:basedOn w:val="5"/>
    <w:qFormat/>
    <w:uiPriority w:val="0"/>
    <w:pPr>
      <w:tabs>
        <w:tab w:val="left" w:pos="720"/>
        <w:tab w:val="clear" w:pos="567"/>
      </w:tabs>
      <w:adjustRightInd w:val="0"/>
      <w:snapToGrid w:val="0"/>
      <w:spacing w:before="0" w:after="0" w:line="360" w:lineRule="auto"/>
      <w:ind w:left="720" w:hanging="720"/>
      <w:textAlignment w:val="baseline"/>
    </w:pPr>
    <w:rPr>
      <w:rFonts w:eastAsia="宋体" w:cs="Arial"/>
      <w:sz w:val="24"/>
      <w:szCs w:val="30"/>
    </w:rPr>
  </w:style>
  <w:style w:type="paragraph" w:customStyle="1" w:styleId="509">
    <w:name w:val="表目"/>
    <w:basedOn w:val="1"/>
    <w:qFormat/>
    <w:uiPriority w:val="0"/>
    <w:pPr>
      <w:adjustRightInd w:val="0"/>
      <w:spacing w:line="480" w:lineRule="atLeast"/>
      <w:ind w:left="-105" w:leftChars="-50" w:right="-105" w:rightChars="-50"/>
      <w:jc w:val="center"/>
      <w:textAlignment w:val="baseline"/>
    </w:pPr>
    <w:rPr>
      <w:rFonts w:ascii="Arial" w:hAnsi="Arial" w:eastAsia="仿宋_GB2312" w:cs="Arial"/>
      <w:kern w:val="0"/>
      <w:sz w:val="24"/>
      <w:szCs w:val="20"/>
    </w:rPr>
  </w:style>
  <w:style w:type="paragraph" w:customStyle="1" w:styleId="510">
    <w:name w:val="Char Char Char1"/>
    <w:basedOn w:val="1"/>
    <w:qFormat/>
    <w:uiPriority w:val="0"/>
    <w:pPr>
      <w:widowControl/>
      <w:adjustRightInd w:val="0"/>
      <w:spacing w:after="160" w:line="240" w:lineRule="exact"/>
      <w:jc w:val="left"/>
      <w:textAlignment w:val="baseline"/>
    </w:pPr>
    <w:rPr>
      <w:rFonts w:ascii="Verdana" w:hAnsi="Verdana" w:eastAsia="仿宋_GB2312"/>
      <w:kern w:val="0"/>
      <w:sz w:val="24"/>
      <w:szCs w:val="20"/>
      <w:lang w:eastAsia="en-US"/>
    </w:rPr>
  </w:style>
  <w:style w:type="paragraph" w:customStyle="1" w:styleId="511">
    <w:name w:val="5"/>
    <w:basedOn w:val="1"/>
    <w:next w:val="53"/>
    <w:qFormat/>
    <w:uiPriority w:val="0"/>
    <w:pPr>
      <w:adjustRightInd w:val="0"/>
      <w:snapToGrid w:val="0"/>
      <w:spacing w:line="312" w:lineRule="auto"/>
      <w:ind w:firstLine="480" w:firstLineChars="200"/>
      <w:textAlignment w:val="baseline"/>
    </w:pPr>
    <w:rPr>
      <w:rFonts w:ascii="仿宋_GB2312" w:eastAsia="仿宋_GB2312"/>
      <w:kern w:val="0"/>
      <w:sz w:val="24"/>
      <w:szCs w:val="20"/>
    </w:rPr>
  </w:style>
  <w:style w:type="paragraph" w:customStyle="1" w:styleId="512">
    <w:name w:val="2级标题"/>
    <w:basedOn w:val="1"/>
    <w:qFormat/>
    <w:uiPriority w:val="0"/>
    <w:pPr>
      <w:adjustRightInd w:val="0"/>
      <w:spacing w:before="60" w:line="460" w:lineRule="exact"/>
      <w:textAlignment w:val="baseline"/>
      <w:outlineLvl w:val="1"/>
    </w:pPr>
    <w:rPr>
      <w:b/>
      <w:kern w:val="0"/>
      <w:sz w:val="28"/>
      <w:szCs w:val="20"/>
    </w:rPr>
  </w:style>
  <w:style w:type="paragraph" w:customStyle="1" w:styleId="513">
    <w:name w:val="图居中"/>
    <w:basedOn w:val="1"/>
    <w:next w:val="1"/>
    <w:qFormat/>
    <w:uiPriority w:val="0"/>
    <w:pPr>
      <w:tabs>
        <w:tab w:val="left" w:pos="3626"/>
      </w:tabs>
      <w:adjustRightInd w:val="0"/>
      <w:spacing w:line="480" w:lineRule="exact"/>
      <w:jc w:val="center"/>
      <w:textAlignment w:val="baseline"/>
    </w:pPr>
    <w:rPr>
      <w:rFonts w:ascii="黑体" w:eastAsia="黑体"/>
      <w:kern w:val="0"/>
      <w:sz w:val="24"/>
      <w:szCs w:val="20"/>
    </w:rPr>
  </w:style>
  <w:style w:type="paragraph" w:customStyle="1" w:styleId="514">
    <w:name w:val="样式 标题 3H3h33rd level第二层条Re标题 3 Char3条标题1.1.1 Char标题 3 Ch..."/>
    <w:basedOn w:val="5"/>
    <w:autoRedefine/>
    <w:qFormat/>
    <w:uiPriority w:val="0"/>
    <w:pPr>
      <w:tabs>
        <w:tab w:val="clear" w:pos="567"/>
      </w:tabs>
      <w:adjustRightInd w:val="0"/>
      <w:snapToGrid w:val="0"/>
      <w:spacing w:before="0" w:after="0"/>
      <w:ind w:left="0" w:firstLine="0"/>
      <w:jc w:val="left"/>
      <w:textAlignment w:val="baseline"/>
    </w:pPr>
    <w:rPr>
      <w:rFonts w:ascii="Times New Roman" w:hAnsi="Times New Roman"/>
      <w:b w:val="0"/>
      <w:kern w:val="20"/>
      <w:sz w:val="24"/>
      <w:szCs w:val="32"/>
    </w:rPr>
  </w:style>
  <w:style w:type="paragraph" w:customStyle="1" w:styleId="515">
    <w:name w:val="样式 首行缩进:  0.85 厘米1"/>
    <w:basedOn w:val="1"/>
    <w:qFormat/>
    <w:uiPriority w:val="0"/>
    <w:pPr>
      <w:adjustRightInd w:val="0"/>
      <w:spacing w:line="360" w:lineRule="auto"/>
      <w:ind w:firstLine="567" w:firstLineChars="200"/>
      <w:textAlignment w:val="baseline"/>
    </w:pPr>
    <w:rPr>
      <w:rFonts w:cs="PMingLiU"/>
      <w:kern w:val="0"/>
      <w:sz w:val="24"/>
      <w:szCs w:val="20"/>
    </w:rPr>
  </w:style>
  <w:style w:type="paragraph" w:customStyle="1" w:styleId="516">
    <w:name w:val="正文001"/>
    <w:qFormat/>
    <w:uiPriority w:val="0"/>
    <w:pPr>
      <w:spacing w:before="60" w:line="460" w:lineRule="exact"/>
      <w:ind w:firstLine="482"/>
    </w:pPr>
    <w:rPr>
      <w:rFonts w:ascii="Times New Roman" w:hAnsi="Times New Roman" w:eastAsia="宋体" w:cs="Times New Roman"/>
      <w:sz w:val="24"/>
      <w:lang w:val="en-US" w:eastAsia="zh-CN" w:bidi="ar-SA"/>
    </w:rPr>
  </w:style>
  <w:style w:type="paragraph" w:customStyle="1" w:styleId="517">
    <w:name w:val="报告1"/>
    <w:basedOn w:val="1"/>
    <w:qFormat/>
    <w:uiPriority w:val="0"/>
    <w:pPr>
      <w:adjustRightInd w:val="0"/>
      <w:spacing w:line="360" w:lineRule="auto"/>
      <w:ind w:firstLine="505"/>
      <w:jc w:val="left"/>
      <w:textAlignment w:val="baseline"/>
    </w:pPr>
    <w:rPr>
      <w:kern w:val="0"/>
      <w:sz w:val="24"/>
      <w:szCs w:val="20"/>
    </w:rPr>
  </w:style>
  <w:style w:type="paragraph" w:customStyle="1" w:styleId="518">
    <w:name w:val="样式 标题 1-*+章标题 11.标题 1h11st levelSection Headl1b1H1Head..."/>
    <w:basedOn w:val="2"/>
    <w:autoRedefine/>
    <w:qFormat/>
    <w:uiPriority w:val="0"/>
    <w:pPr>
      <w:keepLines/>
      <w:tabs>
        <w:tab w:val="left" w:pos="432"/>
      </w:tabs>
      <w:overflowPunct/>
      <w:adjustRightInd w:val="0"/>
      <w:snapToGrid/>
      <w:spacing w:before="0" w:after="0" w:line="360" w:lineRule="auto"/>
      <w:jc w:val="left"/>
      <w:textAlignment w:val="baseline"/>
    </w:pPr>
    <w:rPr>
      <w:rFonts w:ascii="宋体" w:hAnsi="宋体" w:cs="宋体"/>
      <w:b w:val="0"/>
      <w:kern w:val="2"/>
      <w:sz w:val="32"/>
      <w:szCs w:val="20"/>
    </w:rPr>
  </w:style>
  <w:style w:type="paragraph" w:customStyle="1" w:styleId="519">
    <w:name w:val="表名（标题）"/>
    <w:basedOn w:val="1"/>
    <w:qFormat/>
    <w:uiPriority w:val="0"/>
    <w:pPr>
      <w:adjustRightInd w:val="0"/>
      <w:spacing w:line="460" w:lineRule="exact"/>
      <w:jc w:val="left"/>
      <w:textAlignment w:val="baseline"/>
    </w:pPr>
    <w:rPr>
      <w:kern w:val="0"/>
      <w:sz w:val="24"/>
      <w:szCs w:val="20"/>
    </w:rPr>
  </w:style>
  <w:style w:type="paragraph" w:customStyle="1" w:styleId="520">
    <w:name w:val="Char11"/>
    <w:basedOn w:val="1"/>
    <w:qFormat/>
    <w:uiPriority w:val="0"/>
    <w:pPr>
      <w:adjustRightInd w:val="0"/>
      <w:spacing w:line="312" w:lineRule="atLeast"/>
      <w:textAlignment w:val="baseline"/>
    </w:pPr>
    <w:rPr>
      <w:kern w:val="0"/>
      <w:szCs w:val="20"/>
    </w:rPr>
  </w:style>
  <w:style w:type="paragraph" w:customStyle="1" w:styleId="521">
    <w:name w:val="样式 标题 2节节标题 1.1H2（一）Underrubrik1prop2Heading 2 HiddenHea...1"/>
    <w:basedOn w:val="3"/>
    <w:qFormat/>
    <w:uiPriority w:val="0"/>
    <w:pPr>
      <w:tabs>
        <w:tab w:val="left" w:pos="-1980"/>
        <w:tab w:val="left" w:pos="576"/>
        <w:tab w:val="clear" w:pos="425"/>
      </w:tabs>
      <w:adjustRightInd w:val="0"/>
      <w:spacing w:before="0" w:beforeLines="50" w:after="0" w:line="360" w:lineRule="auto"/>
      <w:ind w:left="0" w:firstLine="0"/>
      <w:jc w:val="left"/>
      <w:textAlignment w:val="baseline"/>
    </w:pPr>
    <w:rPr>
      <w:rFonts w:ascii="宋体" w:eastAsia="宋体"/>
      <w:b w:val="0"/>
      <w:bCs/>
      <w:color w:val="000000"/>
      <w:kern w:val="0"/>
      <w:sz w:val="30"/>
      <w:szCs w:val="28"/>
    </w:rPr>
  </w:style>
  <w:style w:type="paragraph" w:customStyle="1" w:styleId="522">
    <w:name w:val="图目"/>
    <w:basedOn w:val="1"/>
    <w:qFormat/>
    <w:uiPriority w:val="0"/>
    <w:pPr>
      <w:adjustRightInd w:val="0"/>
      <w:snapToGrid w:val="0"/>
      <w:spacing w:before="360" w:after="360" w:line="440" w:lineRule="atLeast"/>
      <w:jc w:val="center"/>
      <w:textAlignment w:val="baseline"/>
    </w:pPr>
    <w:rPr>
      <w:rFonts w:ascii="黑体" w:hAnsi="Arial" w:eastAsia="黑体"/>
      <w:kern w:val="0"/>
      <w:sz w:val="24"/>
      <w:szCs w:val="20"/>
    </w:rPr>
  </w:style>
  <w:style w:type="paragraph" w:customStyle="1" w:styleId="523">
    <w:name w:val="xl36"/>
    <w:basedOn w:val="1"/>
    <w:qFormat/>
    <w:uiPriority w:val="0"/>
    <w:pPr>
      <w:widowControl/>
      <w:pBdr>
        <w:bottom w:val="single" w:color="auto" w:sz="4" w:space="0"/>
        <w:right w:val="single" w:color="auto" w:sz="4" w:space="0"/>
      </w:pBdr>
      <w:adjustRightInd w:val="0"/>
      <w:spacing w:before="100" w:beforeAutospacing="1" w:after="100" w:afterAutospacing="1" w:line="312" w:lineRule="atLeast"/>
      <w:jc w:val="center"/>
      <w:textAlignment w:val="center"/>
    </w:pPr>
    <w:rPr>
      <w:rFonts w:ascii="Arial Unicode MS" w:hAnsi="Arial Unicode MS"/>
      <w:kern w:val="0"/>
      <w:sz w:val="24"/>
      <w:szCs w:val="20"/>
    </w:rPr>
  </w:style>
  <w:style w:type="paragraph" w:customStyle="1" w:styleId="524">
    <w:name w:val="CM16"/>
    <w:basedOn w:val="78"/>
    <w:next w:val="78"/>
    <w:qFormat/>
    <w:uiPriority w:val="0"/>
    <w:pPr>
      <w:spacing w:line="566" w:lineRule="atLeast"/>
    </w:pPr>
    <w:rPr>
      <w:rFonts w:ascii="华文中宋" w:eastAsia="华文中宋" w:cs="华文中宋"/>
      <w:color w:val="auto"/>
    </w:rPr>
  </w:style>
  <w:style w:type="paragraph" w:customStyle="1" w:styleId="525">
    <w:name w:val="样式 标题 2 + 黑体 小四 非加粗 段前: 0 磅 段后: 0 磅 行距: 固定值 22 磅"/>
    <w:basedOn w:val="3"/>
    <w:autoRedefine/>
    <w:qFormat/>
    <w:uiPriority w:val="0"/>
    <w:pPr>
      <w:tabs>
        <w:tab w:val="left" w:pos="-1980"/>
        <w:tab w:val="clear" w:pos="425"/>
      </w:tabs>
      <w:adjustRightInd w:val="0"/>
      <w:spacing w:before="0" w:after="0" w:line="500" w:lineRule="exact"/>
      <w:ind w:left="0" w:firstLine="363" w:firstLineChars="150"/>
      <w:textAlignment w:val="baseline"/>
    </w:pPr>
    <w:rPr>
      <w:rFonts w:ascii="Times New Roman" w:hAnsi="Times New Roman"/>
      <w:b w:val="0"/>
      <w:bCs/>
      <w:spacing w:val="1"/>
      <w:kern w:val="0"/>
      <w:sz w:val="28"/>
      <w:szCs w:val="28"/>
    </w:rPr>
  </w:style>
  <w:style w:type="paragraph" w:customStyle="1" w:styleId="526">
    <w:name w:val="样式 标题 1 + (中文) 宋体 小三 行距: 多倍行距 1.35 字行"/>
    <w:basedOn w:val="2"/>
    <w:qFormat/>
    <w:uiPriority w:val="0"/>
    <w:pPr>
      <w:keepLines/>
      <w:overflowPunct/>
      <w:adjustRightInd w:val="0"/>
      <w:spacing w:before="0" w:beforeLines="150" w:after="0" w:afterLines="150" w:line="240" w:lineRule="auto"/>
      <w:ind w:left="840" w:hanging="420"/>
      <w:jc w:val="center"/>
      <w:textAlignment w:val="baseline"/>
    </w:pPr>
    <w:rPr>
      <w:rFonts w:ascii="宋体" w:hAnsi="宋体"/>
      <w:b w:val="0"/>
      <w:color w:val="auto"/>
      <w:kern w:val="0"/>
      <w:sz w:val="32"/>
      <w:szCs w:val="32"/>
    </w:rPr>
  </w:style>
  <w:style w:type="paragraph" w:customStyle="1" w:styleId="527">
    <w:name w:val="正文（1）"/>
    <w:basedOn w:val="1"/>
    <w:qFormat/>
    <w:uiPriority w:val="0"/>
    <w:pPr>
      <w:autoSpaceDE w:val="0"/>
      <w:autoSpaceDN w:val="0"/>
      <w:adjustRightInd w:val="0"/>
      <w:snapToGrid w:val="0"/>
      <w:spacing w:line="480" w:lineRule="exact"/>
      <w:ind w:left="-17" w:firstLine="540" w:firstLineChars="225"/>
      <w:textAlignment w:val="baseline"/>
    </w:pPr>
    <w:rPr>
      <w:rFonts w:ascii="宋体" w:hAnsi="宋体" w:cs="宋体"/>
      <w:color w:val="FF0000"/>
      <w:kern w:val="0"/>
      <w:sz w:val="24"/>
      <w:szCs w:val="20"/>
      <w:lang w:val="zh-CN"/>
    </w:rPr>
  </w:style>
  <w:style w:type="paragraph" w:customStyle="1" w:styleId="528">
    <w:name w:val="表中正文居中"/>
    <w:qFormat/>
    <w:uiPriority w:val="0"/>
    <w:pPr>
      <w:spacing w:before="120" w:after="120" w:line="240" w:lineRule="atLeast"/>
      <w:jc w:val="center"/>
    </w:pPr>
    <w:rPr>
      <w:rFonts w:ascii="宋体" w:hAnsi="Times New Roman" w:eastAsia="宋体" w:cs="Times New Roman"/>
      <w:kern w:val="2"/>
      <w:sz w:val="21"/>
      <w:lang w:val="en-US" w:eastAsia="zh-CN" w:bidi="ar-SA"/>
    </w:rPr>
  </w:style>
  <w:style w:type="paragraph" w:customStyle="1" w:styleId="529">
    <w:name w:val="正文标准样式"/>
    <w:basedOn w:val="1"/>
    <w:autoRedefine/>
    <w:qFormat/>
    <w:uiPriority w:val="0"/>
    <w:pPr>
      <w:adjustRightInd w:val="0"/>
      <w:spacing w:line="300" w:lineRule="auto"/>
      <w:ind w:firstLine="482"/>
      <w:textAlignment w:val="baseline"/>
    </w:pPr>
    <w:rPr>
      <w:kern w:val="0"/>
      <w:sz w:val="24"/>
      <w:szCs w:val="20"/>
    </w:rPr>
  </w:style>
  <w:style w:type="paragraph" w:customStyle="1" w:styleId="530">
    <w:name w:val="p18"/>
    <w:basedOn w:val="1"/>
    <w:qFormat/>
    <w:uiPriority w:val="0"/>
    <w:pPr>
      <w:widowControl/>
      <w:adjustRightInd w:val="0"/>
      <w:spacing w:after="120" w:line="312" w:lineRule="atLeast"/>
      <w:textAlignment w:val="baseline"/>
    </w:pPr>
    <w:rPr>
      <w:kern w:val="0"/>
      <w:szCs w:val="21"/>
    </w:rPr>
  </w:style>
  <w:style w:type="paragraph" w:customStyle="1" w:styleId="531">
    <w:name w:val="样式 正文文本缩进 3 + 12 磅 左侧:  2 字符"/>
    <w:basedOn w:val="53"/>
    <w:qFormat/>
    <w:uiPriority w:val="0"/>
    <w:pPr>
      <w:adjustRightInd w:val="0"/>
      <w:spacing w:after="120" w:line="360" w:lineRule="auto"/>
      <w:ind w:firstLine="200"/>
      <w:jc w:val="left"/>
      <w:textAlignment w:val="baseline"/>
    </w:pPr>
    <w:rPr>
      <w:rFonts w:eastAsia="宋体" w:cs="PMingLiU"/>
      <w:b w:val="0"/>
      <w:sz w:val="24"/>
    </w:rPr>
  </w:style>
  <w:style w:type="paragraph" w:customStyle="1" w:styleId="532">
    <w:name w:val="表格2"/>
    <w:basedOn w:val="1"/>
    <w:qFormat/>
    <w:uiPriority w:val="0"/>
    <w:pPr>
      <w:adjustRightInd w:val="0"/>
      <w:spacing w:line="360" w:lineRule="auto"/>
      <w:textAlignment w:val="baseline"/>
    </w:pPr>
    <w:rPr>
      <w:rFonts w:ascii="Calibri" w:hAnsi="Calibri"/>
      <w:kern w:val="0"/>
      <w:sz w:val="24"/>
      <w:szCs w:val="21"/>
    </w:rPr>
  </w:style>
  <w:style w:type="paragraph" w:customStyle="1" w:styleId="533">
    <w:name w:val="CM4"/>
    <w:basedOn w:val="78"/>
    <w:next w:val="78"/>
    <w:qFormat/>
    <w:uiPriority w:val="0"/>
    <w:pPr>
      <w:spacing w:line="566" w:lineRule="atLeast"/>
    </w:pPr>
    <w:rPr>
      <w:rFonts w:ascii="华文中宋" w:eastAsia="华文中宋" w:cs="华文中宋"/>
      <w:color w:val="auto"/>
    </w:rPr>
  </w:style>
  <w:style w:type="paragraph" w:customStyle="1" w:styleId="534">
    <w:name w:val="缩进"/>
    <w:basedOn w:val="1"/>
    <w:qFormat/>
    <w:uiPriority w:val="0"/>
    <w:pPr>
      <w:autoSpaceDE w:val="0"/>
      <w:autoSpaceDN w:val="0"/>
      <w:adjustRightInd w:val="0"/>
      <w:spacing w:line="400" w:lineRule="atLeast"/>
      <w:ind w:firstLine="425"/>
      <w:textAlignment w:val="baseline"/>
    </w:pPr>
    <w:rPr>
      <w:kern w:val="0"/>
      <w:sz w:val="24"/>
      <w:szCs w:val="20"/>
    </w:rPr>
  </w:style>
  <w:style w:type="paragraph" w:customStyle="1" w:styleId="535">
    <w:name w:val="样式 样式 样式 样式 标题 3 + 左侧:  1.5 厘米 首行缩进:  0 厘米 + 行距: 单倍行距 + 段后: 1 行 ...2"/>
    <w:basedOn w:val="1"/>
    <w:qFormat/>
    <w:uiPriority w:val="0"/>
    <w:pPr>
      <w:keepNext/>
      <w:keepLines/>
      <w:adjustRightInd w:val="0"/>
      <w:spacing w:afterLines="100" w:line="312" w:lineRule="atLeast"/>
      <w:textAlignment w:val="baseline"/>
      <w:outlineLvl w:val="3"/>
    </w:pPr>
    <w:rPr>
      <w:rFonts w:ascii="Arial" w:hAnsi="Arial" w:eastAsia="仿宋_GB2312" w:cs="宋体"/>
      <w:kern w:val="0"/>
      <w:sz w:val="28"/>
      <w:szCs w:val="20"/>
    </w:rPr>
  </w:style>
  <w:style w:type="paragraph" w:customStyle="1" w:styleId="536">
    <w:name w:val="目录"/>
    <w:autoRedefine/>
    <w:qFormat/>
    <w:uiPriority w:val="0"/>
    <w:pPr>
      <w:jc w:val="center"/>
    </w:pPr>
    <w:rPr>
      <w:rFonts w:ascii="Times New Roman" w:hAnsi="Times New Roman" w:eastAsia="黑体" w:cs="Times New Roman"/>
      <w:b/>
      <w:bCs/>
      <w:kern w:val="44"/>
      <w:sz w:val="32"/>
      <w:szCs w:val="44"/>
      <w:lang w:val="en-US" w:eastAsia="zh-CN" w:bidi="ar-SA"/>
    </w:rPr>
  </w:style>
  <w:style w:type="paragraph" w:customStyle="1" w:styleId="537">
    <w:name w:val="表格头"/>
    <w:basedOn w:val="1"/>
    <w:qFormat/>
    <w:uiPriority w:val="0"/>
    <w:pPr>
      <w:adjustRightInd w:val="0"/>
      <w:spacing w:beforeLines="50" w:line="500" w:lineRule="exact"/>
      <w:jc w:val="center"/>
      <w:textAlignment w:val="baseline"/>
    </w:pPr>
    <w:rPr>
      <w:rFonts w:ascii="黑体" w:hAnsi="宋体" w:eastAsia="黑体"/>
      <w:kern w:val="0"/>
      <w:sz w:val="24"/>
      <w:szCs w:val="20"/>
    </w:rPr>
  </w:style>
  <w:style w:type="paragraph" w:customStyle="1" w:styleId="538">
    <w:name w:val="风玫瑰图"/>
    <w:qFormat/>
    <w:uiPriority w:val="0"/>
    <w:pPr>
      <w:autoSpaceDE w:val="0"/>
      <w:autoSpaceDN w:val="0"/>
      <w:adjustRightInd w:val="0"/>
      <w:snapToGrid w:val="0"/>
      <w:spacing w:line="500" w:lineRule="exact"/>
      <w:ind w:firstLine="539"/>
      <w:textAlignment w:val="baseline"/>
    </w:pPr>
    <w:rPr>
      <w:rFonts w:ascii="Times New Roman" w:hAnsi="Times New Roman" w:eastAsia="楷体_GB2312" w:cs="Times New Roman"/>
      <w:sz w:val="28"/>
      <w:lang w:val="en-US" w:eastAsia="zh-CN" w:bidi="ar-SA"/>
    </w:rPr>
  </w:style>
  <w:style w:type="paragraph" w:customStyle="1" w:styleId="539">
    <w:name w:val="xl24"/>
    <w:basedOn w:val="1"/>
    <w:qFormat/>
    <w:uiPriority w:val="0"/>
    <w:pPr>
      <w:widowControl/>
      <w:pBdr>
        <w:right w:val="single" w:color="auto" w:sz="4" w:space="0"/>
      </w:pBdr>
      <w:adjustRightInd w:val="0"/>
      <w:spacing w:before="100" w:beforeAutospacing="1" w:after="100" w:afterAutospacing="1" w:line="312" w:lineRule="atLeast"/>
      <w:jc w:val="center"/>
      <w:textAlignment w:val="baseline"/>
    </w:pPr>
    <w:rPr>
      <w:rFonts w:ascii="仿宋_GB2312" w:hAnsi="宋体" w:eastAsia="仿宋_GB2312"/>
      <w:kern w:val="0"/>
      <w:szCs w:val="21"/>
    </w:rPr>
  </w:style>
  <w:style w:type="paragraph" w:customStyle="1" w:styleId="540">
    <w:name w:val="样式 标题 2节节标题 1.1H2（一）Underrubrik1prop2Heading 2 HiddenHea...2"/>
    <w:basedOn w:val="3"/>
    <w:autoRedefine/>
    <w:qFormat/>
    <w:uiPriority w:val="0"/>
    <w:pPr>
      <w:tabs>
        <w:tab w:val="left" w:pos="-1980"/>
        <w:tab w:val="left" w:pos="576"/>
        <w:tab w:val="clear" w:pos="425"/>
      </w:tabs>
      <w:adjustRightInd w:val="0"/>
      <w:spacing w:before="0" w:beforeLines="50" w:after="0" w:line="360" w:lineRule="auto"/>
      <w:ind w:left="0" w:firstLine="0"/>
      <w:jc w:val="left"/>
      <w:textAlignment w:val="baseline"/>
    </w:pPr>
    <w:rPr>
      <w:rFonts w:ascii="宋体" w:hAnsi="Times New Roman" w:eastAsia="宋体"/>
      <w:b w:val="0"/>
      <w:bCs/>
      <w:color w:val="000000"/>
      <w:kern w:val="0"/>
      <w:sz w:val="30"/>
      <w:szCs w:val="28"/>
    </w:rPr>
  </w:style>
  <w:style w:type="paragraph" w:customStyle="1" w:styleId="541">
    <w:name w:val="表名"/>
    <w:qFormat/>
    <w:uiPriority w:val="0"/>
    <w:pPr>
      <w:spacing w:before="120" w:line="360" w:lineRule="auto"/>
      <w:jc w:val="center"/>
    </w:pPr>
    <w:rPr>
      <w:rFonts w:ascii="Times New Roman" w:hAnsi="Times New Roman" w:eastAsia="宋体" w:cs="Times New Roman"/>
      <w:b/>
      <w:bCs/>
      <w:kern w:val="2"/>
      <w:sz w:val="21"/>
      <w:szCs w:val="32"/>
      <w:lang w:val="en-US" w:eastAsia="zh-CN" w:bidi="ar-SA"/>
    </w:rPr>
  </w:style>
  <w:style w:type="paragraph" w:customStyle="1" w:styleId="542">
    <w:name w:val="1char"/>
    <w:basedOn w:val="1"/>
    <w:qFormat/>
    <w:uiPriority w:val="0"/>
    <w:pPr>
      <w:widowControl/>
      <w:adjustRightInd w:val="0"/>
      <w:spacing w:before="100" w:beforeAutospacing="1" w:after="100" w:afterAutospacing="1" w:line="312" w:lineRule="atLeast"/>
      <w:jc w:val="left"/>
      <w:textAlignment w:val="baseline"/>
    </w:pPr>
    <w:rPr>
      <w:rFonts w:ascii="Arial Unicode MS" w:hAnsi="Arial Unicode MS"/>
      <w:kern w:val="0"/>
      <w:sz w:val="24"/>
      <w:szCs w:val="20"/>
    </w:rPr>
  </w:style>
  <w:style w:type="character" w:customStyle="1" w:styleId="543">
    <w:name w:val="javascript1"/>
    <w:qFormat/>
    <w:uiPriority w:val="0"/>
    <w:rPr>
      <w:rFonts w:ascii="Tahoma" w:hAnsi="Tahoma" w:eastAsia="宋体"/>
      <w:kern w:val="2"/>
      <w:sz w:val="24"/>
      <w:lang w:val="en-US" w:eastAsia="zh-CN"/>
    </w:rPr>
  </w:style>
  <w:style w:type="paragraph" w:customStyle="1" w:styleId="544">
    <w:name w:val="1.1.1"/>
    <w:basedOn w:val="1"/>
    <w:qFormat/>
    <w:uiPriority w:val="0"/>
    <w:pPr>
      <w:spacing w:line="360" w:lineRule="auto"/>
      <w:ind w:firstLine="200" w:firstLineChars="200"/>
    </w:pPr>
    <w:rPr>
      <w:rFonts w:ascii="黑体"/>
      <w:sz w:val="24"/>
      <w:szCs w:val="20"/>
    </w:rPr>
  </w:style>
  <w:style w:type="character" w:customStyle="1" w:styleId="545">
    <w:name w:val="尾注文本 字符1"/>
    <w:link w:val="40"/>
    <w:qFormat/>
    <w:uiPriority w:val="99"/>
    <w:rPr>
      <w:sz w:val="21"/>
      <w:lang w:val="zh-CN" w:eastAsia="zh-CN"/>
    </w:rPr>
  </w:style>
  <w:style w:type="paragraph" w:customStyle="1" w:styleId="546">
    <w:name w:val="小表"/>
    <w:basedOn w:val="1"/>
    <w:qFormat/>
    <w:uiPriority w:val="0"/>
    <w:pPr>
      <w:widowControl/>
      <w:tabs>
        <w:tab w:val="left" w:pos="352"/>
      </w:tabs>
      <w:overflowPunct w:val="0"/>
      <w:autoSpaceDE w:val="0"/>
      <w:autoSpaceDN w:val="0"/>
      <w:adjustRightInd w:val="0"/>
      <w:spacing w:line="360" w:lineRule="auto"/>
      <w:ind w:firstLine="200" w:firstLineChars="200"/>
      <w:jc w:val="center"/>
      <w:textAlignment w:val="bottom"/>
    </w:pPr>
    <w:rPr>
      <w:rFonts w:ascii="宋体" w:hAnsi="宋体"/>
      <w:kern w:val="0"/>
      <w:sz w:val="24"/>
      <w:szCs w:val="20"/>
    </w:rPr>
  </w:style>
  <w:style w:type="character" w:customStyle="1" w:styleId="547">
    <w:name w:val="apple-style-span"/>
    <w:autoRedefine/>
    <w:qFormat/>
    <w:uiPriority w:val="0"/>
  </w:style>
  <w:style w:type="character" w:customStyle="1" w:styleId="548">
    <w:name w:val="List Paragraph Char"/>
    <w:link w:val="180"/>
    <w:qFormat/>
    <w:locked/>
    <w:uiPriority w:val="0"/>
  </w:style>
  <w:style w:type="paragraph" w:customStyle="1" w:styleId="549">
    <w:name w:val="Char6"/>
    <w:basedOn w:val="1"/>
    <w:qFormat/>
    <w:uiPriority w:val="0"/>
  </w:style>
  <w:style w:type="table" w:customStyle="1" w:styleId="550">
    <w:name w:val="网格型2"/>
    <w:basedOn w:val="6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51">
    <w:name w:val="网格型11"/>
    <w:basedOn w:val="63"/>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52">
    <w:name w:val="Char5"/>
    <w:basedOn w:val="1"/>
    <w:qFormat/>
    <w:uiPriority w:val="0"/>
  </w:style>
  <w:style w:type="table" w:customStyle="1" w:styleId="553">
    <w:name w:val="网格型12"/>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54">
    <w:name w:val="Char4"/>
    <w:basedOn w:val="1"/>
    <w:qFormat/>
    <w:uiPriority w:val="0"/>
  </w:style>
  <w:style w:type="paragraph" w:customStyle="1" w:styleId="555">
    <w:name w:val="Char Char Char Char Char Char Char Char Char1 Char Char Char Char"/>
    <w:basedOn w:val="1"/>
    <w:qFormat/>
    <w:uiPriority w:val="0"/>
    <w:rPr>
      <w:sz w:val="24"/>
    </w:rPr>
  </w:style>
  <w:style w:type="paragraph" w:customStyle="1" w:styleId="556">
    <w:name w:val="Char Char Char Char Char Char Char Char Char1 Char Char Char Char1"/>
    <w:basedOn w:val="1"/>
    <w:qFormat/>
    <w:uiPriority w:val="0"/>
    <w:rPr>
      <w:sz w:val="24"/>
    </w:rPr>
  </w:style>
  <w:style w:type="paragraph" w:customStyle="1" w:styleId="557">
    <w:name w:val="新正文"/>
    <w:basedOn w:val="1"/>
    <w:link w:val="558"/>
    <w:qFormat/>
    <w:uiPriority w:val="0"/>
    <w:pPr>
      <w:adjustRightInd w:val="0"/>
      <w:snapToGrid w:val="0"/>
      <w:spacing w:line="480" w:lineRule="exact"/>
      <w:ind w:firstLine="482" w:firstLineChars="200"/>
    </w:pPr>
    <w:rPr>
      <w:rFonts w:ascii="仿宋_GB2312" w:eastAsia="仿宋_GB2312"/>
      <w:kern w:val="0"/>
      <w:sz w:val="20"/>
      <w:szCs w:val="20"/>
      <w:lang w:val="zh-CN"/>
    </w:rPr>
  </w:style>
  <w:style w:type="character" w:customStyle="1" w:styleId="558">
    <w:name w:val="新正文 Char"/>
    <w:link w:val="557"/>
    <w:autoRedefine/>
    <w:qFormat/>
    <w:locked/>
    <w:uiPriority w:val="0"/>
    <w:rPr>
      <w:rFonts w:ascii="仿宋_GB2312" w:eastAsia="仿宋_GB2312"/>
      <w:lang w:val="zh-CN" w:eastAsia="zh-CN"/>
    </w:rPr>
  </w:style>
  <w:style w:type="table" w:customStyle="1" w:styleId="559">
    <w:name w:val="网格型13"/>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60">
    <w:name w:val="Char21"/>
    <w:basedOn w:val="1"/>
    <w:qFormat/>
    <w:uiPriority w:val="0"/>
  </w:style>
  <w:style w:type="paragraph" w:customStyle="1" w:styleId="561">
    <w:name w:val="TOC 标题1"/>
    <w:basedOn w:val="2"/>
    <w:next w:val="1"/>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562">
    <w:name w:val="网格型5"/>
    <w:basedOn w:val="63"/>
    <w:autoRedefine/>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63">
    <w:name w:val="show-img-bd"/>
    <w:qFormat/>
    <w:uiPriority w:val="0"/>
  </w:style>
  <w:style w:type="character" w:customStyle="1" w:styleId="564">
    <w:name w:val="图 标题 Char"/>
    <w:link w:val="565"/>
    <w:qFormat/>
    <w:uiPriority w:val="0"/>
    <w:rPr>
      <w:b/>
      <w:kern w:val="2"/>
      <w:sz w:val="24"/>
    </w:rPr>
  </w:style>
  <w:style w:type="paragraph" w:customStyle="1" w:styleId="565">
    <w:name w:val="图 标题"/>
    <w:basedOn w:val="1"/>
    <w:link w:val="564"/>
    <w:qFormat/>
    <w:uiPriority w:val="0"/>
    <w:pPr>
      <w:adjustRightInd w:val="0"/>
      <w:snapToGrid w:val="0"/>
      <w:spacing w:line="360" w:lineRule="auto"/>
      <w:jc w:val="center"/>
    </w:pPr>
    <w:rPr>
      <w:b/>
      <w:sz w:val="24"/>
      <w:szCs w:val="20"/>
    </w:rPr>
  </w:style>
  <w:style w:type="character" w:customStyle="1" w:styleId="566">
    <w:name w:val="aa正文 Char"/>
    <w:link w:val="567"/>
    <w:qFormat/>
    <w:uiPriority w:val="0"/>
    <w:rPr>
      <w:sz w:val="24"/>
      <w:szCs w:val="24"/>
    </w:rPr>
  </w:style>
  <w:style w:type="paragraph" w:customStyle="1" w:styleId="567">
    <w:name w:val="aa正文"/>
    <w:basedOn w:val="1"/>
    <w:link w:val="566"/>
    <w:qFormat/>
    <w:uiPriority w:val="0"/>
    <w:pPr>
      <w:spacing w:line="360" w:lineRule="auto"/>
      <w:ind w:firstLine="200" w:firstLineChars="200"/>
    </w:pPr>
    <w:rPr>
      <w:kern w:val="0"/>
      <w:sz w:val="24"/>
    </w:rPr>
  </w:style>
  <w:style w:type="character" w:customStyle="1" w:styleId="568">
    <w:name w:val="words-outer-wrap"/>
    <w:qFormat/>
    <w:uiPriority w:val="0"/>
  </w:style>
  <w:style w:type="character" w:customStyle="1" w:styleId="569">
    <w:name w:val="split-word"/>
    <w:autoRedefine/>
    <w:qFormat/>
    <w:uiPriority w:val="0"/>
  </w:style>
  <w:style w:type="paragraph" w:customStyle="1" w:styleId="570">
    <w:name w:val="List Paragraph1"/>
    <w:basedOn w:val="1"/>
    <w:qFormat/>
    <w:uiPriority w:val="0"/>
    <w:pPr>
      <w:widowControl/>
      <w:spacing w:after="160" w:line="259" w:lineRule="auto"/>
      <w:ind w:left="720"/>
      <w:contextualSpacing/>
      <w:jc w:val="left"/>
    </w:pPr>
    <w:rPr>
      <w:rFonts w:ascii="Calibri" w:hAnsi="Calibri"/>
      <w:kern w:val="0"/>
      <w:sz w:val="22"/>
      <w:szCs w:val="22"/>
    </w:rPr>
  </w:style>
  <w:style w:type="character" w:customStyle="1" w:styleId="571">
    <w:name w:val="表格标题 Char"/>
    <w:qFormat/>
    <w:uiPriority w:val="0"/>
    <w:rPr>
      <w:rFonts w:ascii="TimesNewRoman" w:hAnsi="TimesNewRoman"/>
      <w:b/>
      <w:sz w:val="24"/>
    </w:rPr>
  </w:style>
  <w:style w:type="paragraph" w:customStyle="1" w:styleId="572">
    <w:name w:val="Char Char21"/>
    <w:basedOn w:val="1"/>
    <w:qFormat/>
    <w:uiPriority w:val="0"/>
    <w:rPr>
      <w:szCs w:val="21"/>
    </w:rPr>
  </w:style>
  <w:style w:type="paragraph" w:customStyle="1" w:styleId="573">
    <w:name w:val="333333333333333"/>
    <w:basedOn w:val="5"/>
    <w:autoRedefine/>
    <w:qFormat/>
    <w:uiPriority w:val="0"/>
    <w:pPr>
      <w:tabs>
        <w:tab w:val="clear" w:pos="567"/>
      </w:tabs>
      <w:spacing w:before="0" w:after="0" w:line="360" w:lineRule="auto"/>
      <w:ind w:left="0" w:firstLine="0"/>
    </w:pPr>
    <w:rPr>
      <w:rFonts w:ascii="宋体" w:hAnsi="宋体" w:eastAsia="宋体" w:cs="宋体"/>
      <w:bCs/>
      <w:sz w:val="28"/>
    </w:rPr>
  </w:style>
  <w:style w:type="paragraph" w:customStyle="1" w:styleId="574">
    <w:name w:val="正文图"/>
    <w:basedOn w:val="1"/>
    <w:qFormat/>
    <w:uiPriority w:val="0"/>
    <w:pPr>
      <w:adjustRightInd w:val="0"/>
      <w:snapToGrid w:val="0"/>
      <w:spacing w:before="40"/>
      <w:jc w:val="center"/>
    </w:pPr>
    <w:rPr>
      <w:rFonts w:hint="eastAsia" w:ascii="宋体"/>
      <w:kern w:val="0"/>
      <w:sz w:val="24"/>
      <w:szCs w:val="20"/>
    </w:rPr>
  </w:style>
  <w:style w:type="paragraph" w:customStyle="1" w:styleId="575">
    <w:name w:val="Default Paragraph Font Para Char Char Char"/>
    <w:basedOn w:val="1"/>
    <w:qFormat/>
    <w:uiPriority w:val="0"/>
    <w:pPr>
      <w:widowControl/>
      <w:spacing w:after="160" w:line="240" w:lineRule="exact"/>
      <w:jc w:val="left"/>
    </w:pPr>
    <w:rPr>
      <w:rFonts w:ascii="Verdana" w:hAnsi="Verdana" w:eastAsia="Times New Roman"/>
      <w:kern w:val="0"/>
      <w:sz w:val="20"/>
      <w:szCs w:val="20"/>
      <w:lang w:eastAsia="en-US"/>
    </w:rPr>
  </w:style>
  <w:style w:type="character" w:customStyle="1" w:styleId="576">
    <w:name w:val="表的标题 Char"/>
    <w:link w:val="577"/>
    <w:qFormat/>
    <w:uiPriority w:val="0"/>
    <w:rPr>
      <w:rFonts w:eastAsia="黑体" w:cs="宋体"/>
      <w:kern w:val="2"/>
      <w:sz w:val="24"/>
    </w:rPr>
  </w:style>
  <w:style w:type="paragraph" w:customStyle="1" w:styleId="577">
    <w:name w:val="表的标题"/>
    <w:basedOn w:val="1"/>
    <w:next w:val="1"/>
    <w:link w:val="576"/>
    <w:qFormat/>
    <w:uiPriority w:val="0"/>
    <w:pPr>
      <w:adjustRightInd w:val="0"/>
      <w:snapToGrid w:val="0"/>
      <w:spacing w:beforeLines="50"/>
      <w:jc w:val="center"/>
    </w:pPr>
    <w:rPr>
      <w:rFonts w:eastAsia="黑体" w:cs="宋体"/>
      <w:sz w:val="24"/>
      <w:szCs w:val="20"/>
    </w:rPr>
  </w:style>
  <w:style w:type="character" w:customStyle="1" w:styleId="578">
    <w:name w:val="4正文 Char"/>
    <w:link w:val="579"/>
    <w:qFormat/>
    <w:uiPriority w:val="0"/>
    <w:rPr>
      <w:kern w:val="2"/>
      <w:sz w:val="24"/>
    </w:rPr>
  </w:style>
  <w:style w:type="paragraph" w:customStyle="1" w:styleId="579">
    <w:name w:val="4正文"/>
    <w:basedOn w:val="1"/>
    <w:link w:val="578"/>
    <w:qFormat/>
    <w:uiPriority w:val="0"/>
    <w:pPr>
      <w:spacing w:line="360" w:lineRule="auto"/>
      <w:ind w:firstLine="480" w:firstLineChars="200"/>
    </w:pPr>
    <w:rPr>
      <w:sz w:val="24"/>
      <w:szCs w:val="20"/>
    </w:rPr>
  </w:style>
  <w:style w:type="paragraph" w:customStyle="1" w:styleId="580">
    <w:name w:val="目录1"/>
    <w:basedOn w:val="1"/>
    <w:autoRedefine/>
    <w:qFormat/>
    <w:uiPriority w:val="0"/>
    <w:pPr>
      <w:tabs>
        <w:tab w:val="left" w:pos="2850"/>
        <w:tab w:val="center" w:pos="4649"/>
      </w:tabs>
      <w:spacing w:line="480" w:lineRule="exact"/>
      <w:jc w:val="center"/>
    </w:pPr>
    <w:rPr>
      <w:rFonts w:ascii="黑体" w:eastAsia="黑体"/>
      <w:sz w:val="36"/>
      <w:szCs w:val="36"/>
    </w:rPr>
  </w:style>
  <w:style w:type="character" w:customStyle="1" w:styleId="581">
    <w:name w:val="Char Char291"/>
    <w:qFormat/>
    <w:uiPriority w:val="0"/>
    <w:rPr>
      <w:rFonts w:eastAsia="宋体"/>
      <w:b/>
      <w:bCs/>
      <w:kern w:val="2"/>
      <w:sz w:val="32"/>
      <w:szCs w:val="32"/>
      <w:lang w:val="en-US" w:eastAsia="zh-CN" w:bidi="ar-SA"/>
    </w:rPr>
  </w:style>
  <w:style w:type="character" w:customStyle="1" w:styleId="582">
    <w:name w:val="Char Char111"/>
    <w:qFormat/>
    <w:uiPriority w:val="0"/>
    <w:rPr>
      <w:rFonts w:ascii="Calibri" w:hAnsi="Tahoma" w:eastAsia="Calibri" w:cs="Tahoma"/>
      <w:kern w:val="2"/>
      <w:sz w:val="21"/>
      <w:szCs w:val="21"/>
      <w:lang w:val="en-US" w:eastAsia="zh-CN" w:bidi="ar-SA"/>
    </w:rPr>
  </w:style>
  <w:style w:type="character" w:customStyle="1" w:styleId="583">
    <w:name w:val="Char Char41"/>
    <w:qFormat/>
    <w:uiPriority w:val="0"/>
    <w:rPr>
      <w:rFonts w:ascii="宋体" w:hAnsi="Courier New" w:eastAsia="宋体"/>
      <w:kern w:val="2"/>
      <w:sz w:val="21"/>
      <w:lang w:val="en-US" w:eastAsia="zh-CN" w:bidi="ar-SA"/>
    </w:rPr>
  </w:style>
  <w:style w:type="character" w:customStyle="1" w:styleId="584">
    <w:name w:val="Char Char91"/>
    <w:autoRedefine/>
    <w:qFormat/>
    <w:uiPriority w:val="0"/>
    <w:rPr>
      <w:rFonts w:ascii="宋体" w:hAnsi="宋体" w:eastAsia="宋体"/>
      <w:kern w:val="2"/>
      <w:sz w:val="24"/>
      <w:szCs w:val="24"/>
      <w:lang w:val="en-US" w:eastAsia="zh-CN" w:bidi="ar-SA"/>
    </w:rPr>
  </w:style>
  <w:style w:type="character" w:customStyle="1" w:styleId="585">
    <w:name w:val="正文文本缩进 2 Char2"/>
    <w:semiHidden/>
    <w:qFormat/>
    <w:uiPriority w:val="99"/>
    <w:rPr>
      <w:kern w:val="2"/>
      <w:sz w:val="21"/>
      <w:szCs w:val="24"/>
    </w:rPr>
  </w:style>
  <w:style w:type="character" w:customStyle="1" w:styleId="586">
    <w:name w:val="页脚 Char1"/>
    <w:qFormat/>
    <w:uiPriority w:val="0"/>
    <w:rPr>
      <w:kern w:val="2"/>
      <w:sz w:val="18"/>
      <w:szCs w:val="18"/>
    </w:rPr>
  </w:style>
  <w:style w:type="paragraph" w:customStyle="1" w:styleId="587">
    <w:name w:val="Char Char Char Char Char Char Char2"/>
    <w:basedOn w:val="1"/>
    <w:qFormat/>
    <w:uiPriority w:val="0"/>
    <w:pPr>
      <w:adjustRightInd w:val="0"/>
      <w:spacing w:line="360" w:lineRule="auto"/>
    </w:pPr>
    <w:rPr>
      <w:kern w:val="0"/>
      <w:sz w:val="24"/>
      <w:szCs w:val="20"/>
    </w:rPr>
  </w:style>
  <w:style w:type="character" w:customStyle="1" w:styleId="588">
    <w:name w:val="批注框文本 Char1"/>
    <w:semiHidden/>
    <w:qFormat/>
    <w:uiPriority w:val="99"/>
    <w:rPr>
      <w:kern w:val="2"/>
      <w:sz w:val="18"/>
      <w:szCs w:val="18"/>
    </w:rPr>
  </w:style>
  <w:style w:type="character" w:customStyle="1" w:styleId="589">
    <w:name w:val="正文首行缩进 2 Char1"/>
    <w:autoRedefine/>
    <w:semiHidden/>
    <w:qFormat/>
    <w:uiPriority w:val="99"/>
    <w:rPr>
      <w:rFonts w:ascii="Times New Roman" w:hAnsi="Times New Roman" w:eastAsia="宋体" w:cs="Times New Roman"/>
      <w:kern w:val="2"/>
      <w:sz w:val="21"/>
      <w:szCs w:val="24"/>
    </w:rPr>
  </w:style>
  <w:style w:type="paragraph" w:customStyle="1" w:styleId="590">
    <w:name w:val="Char12"/>
    <w:basedOn w:val="1"/>
    <w:qFormat/>
    <w:uiPriority w:val="0"/>
    <w:rPr>
      <w:sz w:val="24"/>
    </w:rPr>
  </w:style>
  <w:style w:type="paragraph" w:customStyle="1" w:styleId="591">
    <w:name w:val="Char22"/>
    <w:basedOn w:val="1"/>
    <w:autoRedefine/>
    <w:qFormat/>
    <w:uiPriority w:val="0"/>
    <w:pPr>
      <w:ind w:firstLine="200" w:firstLineChars="200"/>
    </w:pPr>
    <w:rPr>
      <w:rFonts w:ascii="宋体" w:hAnsi="宋体" w:cs="宋体"/>
    </w:rPr>
  </w:style>
  <w:style w:type="paragraph" w:customStyle="1" w:styleId="592">
    <w:name w:val="Char Char Char2"/>
    <w:basedOn w:val="1"/>
    <w:qFormat/>
    <w:uiPriority w:val="0"/>
  </w:style>
  <w:style w:type="paragraph" w:customStyle="1" w:styleId="593">
    <w:name w:val="正文4"/>
    <w:qFormat/>
    <w:uiPriority w:val="0"/>
    <w:pPr>
      <w:widowControl w:val="0"/>
      <w:adjustRightInd w:val="0"/>
      <w:spacing w:line="360" w:lineRule="atLeast"/>
    </w:pPr>
    <w:rPr>
      <w:rFonts w:hint="eastAsia" w:ascii="宋体" w:hAnsi="Times New Roman" w:eastAsia="宋体" w:cs="Times New Roman"/>
      <w:sz w:val="24"/>
      <w:lang w:val="en-US" w:eastAsia="zh-CN" w:bidi="ar-SA"/>
    </w:rPr>
  </w:style>
  <w:style w:type="paragraph" w:customStyle="1" w:styleId="594">
    <w:name w:val="正文文本缩进 32"/>
    <w:basedOn w:val="1"/>
    <w:qFormat/>
    <w:uiPriority w:val="0"/>
    <w:pPr>
      <w:adjustRightInd w:val="0"/>
      <w:spacing w:line="400" w:lineRule="exact"/>
      <w:ind w:firstLine="570"/>
      <w:jc w:val="left"/>
      <w:textAlignment w:val="baseline"/>
    </w:pPr>
    <w:rPr>
      <w:rFonts w:ascii="宋体" w:hAnsi="宋体"/>
      <w:spacing w:val="10"/>
      <w:sz w:val="24"/>
      <w:szCs w:val="20"/>
    </w:rPr>
  </w:style>
  <w:style w:type="paragraph" w:customStyle="1" w:styleId="595">
    <w:name w:val="字元 字元1"/>
    <w:basedOn w:val="1"/>
    <w:autoRedefine/>
    <w:qFormat/>
    <w:uiPriority w:val="0"/>
    <w:rPr>
      <w:sz w:val="24"/>
    </w:rPr>
  </w:style>
  <w:style w:type="paragraph" w:customStyle="1" w:styleId="596">
    <w:name w:val="Char Char Char Char Char Char1 Char Char Char Char Char Char Char Char Char1"/>
    <w:basedOn w:val="1"/>
    <w:qFormat/>
    <w:uiPriority w:val="0"/>
    <w:rPr>
      <w:sz w:val="24"/>
    </w:rPr>
  </w:style>
  <w:style w:type="paragraph" w:customStyle="1" w:styleId="597">
    <w:name w:val="Char Char Char1 Char1 Char Char Char1"/>
    <w:basedOn w:val="1"/>
    <w:qFormat/>
    <w:uiPriority w:val="0"/>
    <w:pPr>
      <w:spacing w:line="500" w:lineRule="exact"/>
      <w:ind w:firstLine="480" w:firstLineChars="200"/>
    </w:pPr>
    <w:rPr>
      <w:sz w:val="24"/>
      <w:szCs w:val="20"/>
    </w:rPr>
  </w:style>
  <w:style w:type="character" w:customStyle="1" w:styleId="598">
    <w:name w:val="Char Char301"/>
    <w:qFormat/>
    <w:uiPriority w:val="0"/>
    <w:rPr>
      <w:rFonts w:eastAsia="宋体"/>
      <w:b/>
      <w:bCs/>
      <w:kern w:val="2"/>
      <w:sz w:val="21"/>
      <w:szCs w:val="24"/>
      <w:lang w:val="en-US" w:eastAsia="zh-CN" w:bidi="ar-SA"/>
    </w:rPr>
  </w:style>
  <w:style w:type="character" w:customStyle="1" w:styleId="599">
    <w:name w:val="Char Char171"/>
    <w:qFormat/>
    <w:locked/>
    <w:uiPriority w:val="0"/>
    <w:rPr>
      <w:rFonts w:eastAsia="宋体"/>
      <w:b/>
      <w:bCs/>
      <w:kern w:val="2"/>
      <w:sz w:val="32"/>
      <w:szCs w:val="32"/>
      <w:lang w:val="en-US" w:eastAsia="zh-CN" w:bidi="ar-SA"/>
    </w:rPr>
  </w:style>
  <w:style w:type="character" w:customStyle="1" w:styleId="600">
    <w:name w:val="Char Char61"/>
    <w:qFormat/>
    <w:locked/>
    <w:uiPriority w:val="0"/>
    <w:rPr>
      <w:rFonts w:eastAsia="宋体"/>
      <w:kern w:val="2"/>
      <w:sz w:val="21"/>
      <w:szCs w:val="24"/>
      <w:lang w:val="en-US" w:eastAsia="zh-CN" w:bidi="ar-SA"/>
    </w:rPr>
  </w:style>
  <w:style w:type="character" w:customStyle="1" w:styleId="601">
    <w:name w:val="Char Char12"/>
    <w:qFormat/>
    <w:uiPriority w:val="0"/>
    <w:rPr>
      <w:rFonts w:eastAsia="宋体"/>
      <w:kern w:val="2"/>
      <w:sz w:val="18"/>
      <w:szCs w:val="18"/>
      <w:lang w:val="en-US" w:eastAsia="zh-CN" w:bidi="ar-SA"/>
    </w:rPr>
  </w:style>
  <w:style w:type="character" w:customStyle="1" w:styleId="602">
    <w:name w:val="Char Char151"/>
    <w:autoRedefine/>
    <w:qFormat/>
    <w:uiPriority w:val="0"/>
    <w:rPr>
      <w:rFonts w:ascii="宋体" w:hAnsi="Courier New" w:eastAsia="宋体"/>
      <w:kern w:val="2"/>
      <w:sz w:val="21"/>
      <w:lang w:val="en-US" w:eastAsia="zh-CN" w:bidi="ar-SA"/>
    </w:rPr>
  </w:style>
  <w:style w:type="character" w:customStyle="1" w:styleId="603">
    <w:name w:val="占位符文本2"/>
    <w:semiHidden/>
    <w:qFormat/>
    <w:uiPriority w:val="99"/>
    <w:rPr>
      <w:rFonts w:cs="Times New Roman"/>
      <w:color w:val="808080"/>
    </w:rPr>
  </w:style>
  <w:style w:type="paragraph" w:customStyle="1" w:styleId="604">
    <w:name w:val="TOC 标题2"/>
    <w:basedOn w:val="2"/>
    <w:next w:val="1"/>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character" w:customStyle="1" w:styleId="605">
    <w:name w:val="description"/>
    <w:qFormat/>
    <w:uiPriority w:val="0"/>
  </w:style>
  <w:style w:type="character" w:customStyle="1" w:styleId="606">
    <w:name w:val="Char Char1 Char"/>
    <w:autoRedefine/>
    <w:qFormat/>
    <w:uiPriority w:val="0"/>
    <w:rPr>
      <w:rFonts w:ascii="宋体" w:hAnsi="宋体" w:cs="宋体"/>
      <w:kern w:val="2"/>
      <w:sz w:val="24"/>
      <w:szCs w:val="24"/>
    </w:rPr>
  </w:style>
  <w:style w:type="character" w:customStyle="1" w:styleId="607">
    <w:name w:val="5文章(治) Char Char"/>
    <w:link w:val="608"/>
    <w:qFormat/>
    <w:uiPriority w:val="0"/>
    <w:rPr>
      <w:kern w:val="2"/>
      <w:sz w:val="24"/>
    </w:rPr>
  </w:style>
  <w:style w:type="paragraph" w:customStyle="1" w:styleId="608">
    <w:name w:val="5文章(治)"/>
    <w:basedOn w:val="1"/>
    <w:link w:val="607"/>
    <w:qFormat/>
    <w:uiPriority w:val="0"/>
    <w:pPr>
      <w:spacing w:line="360" w:lineRule="auto"/>
      <w:ind w:firstLine="560" w:firstLineChars="200"/>
    </w:pPr>
    <w:rPr>
      <w:sz w:val="24"/>
      <w:szCs w:val="20"/>
    </w:rPr>
  </w:style>
  <w:style w:type="character" w:customStyle="1" w:styleId="609">
    <w:name w:val="bjh-p"/>
    <w:qFormat/>
    <w:uiPriority w:val="0"/>
  </w:style>
  <w:style w:type="paragraph" w:customStyle="1" w:styleId="610">
    <w:name w:val="正文我要"/>
    <w:basedOn w:val="1"/>
    <w:qFormat/>
    <w:uiPriority w:val="0"/>
    <w:pPr>
      <w:tabs>
        <w:tab w:val="left" w:pos="320"/>
        <w:tab w:val="center" w:pos="709"/>
      </w:tabs>
      <w:spacing w:line="360" w:lineRule="auto"/>
      <w:ind w:firstLine="200" w:firstLineChars="200"/>
      <w:jc w:val="left"/>
      <w:textAlignment w:val="baseline"/>
    </w:pPr>
    <w:rPr>
      <w:color w:val="000000"/>
      <w:sz w:val="24"/>
      <w:szCs w:val="21"/>
    </w:rPr>
  </w:style>
  <w:style w:type="character" w:customStyle="1" w:styleId="611">
    <w:name w:val="002"/>
    <w:qFormat/>
    <w:uiPriority w:val="0"/>
    <w:rPr>
      <w:rFonts w:ascii="黑体" w:hAnsi="黑体" w:eastAsia="黑体"/>
      <w:sz w:val="28"/>
    </w:rPr>
  </w:style>
  <w:style w:type="character" w:customStyle="1" w:styleId="612">
    <w:name w:val="表格标题新 Char"/>
    <w:link w:val="613"/>
    <w:qFormat/>
    <w:uiPriority w:val="0"/>
    <w:rPr>
      <w:rFonts w:ascii="仿宋_GB2312" w:eastAsia="黑体"/>
      <w:b/>
      <w:snapToGrid w:val="0"/>
      <w:spacing w:val="4"/>
      <w:sz w:val="24"/>
      <w:szCs w:val="24"/>
    </w:rPr>
  </w:style>
  <w:style w:type="paragraph" w:customStyle="1" w:styleId="613">
    <w:name w:val="表格标题新"/>
    <w:basedOn w:val="166"/>
    <w:link w:val="612"/>
    <w:autoRedefine/>
    <w:qFormat/>
    <w:uiPriority w:val="0"/>
    <w:pPr>
      <w:spacing w:before="120" w:beforeLines="50"/>
      <w:ind w:firstLine="562"/>
    </w:pPr>
    <w:rPr>
      <w:rFonts w:ascii="仿宋_GB2312" w:eastAsia="黑体"/>
      <w:b/>
      <w:snapToGrid w:val="0"/>
      <w:spacing w:val="4"/>
      <w:szCs w:val="24"/>
    </w:rPr>
  </w:style>
  <w:style w:type="character" w:customStyle="1" w:styleId="614">
    <w:name w:val="环表头 Char Char"/>
    <w:link w:val="495"/>
    <w:qFormat/>
    <w:uiPriority w:val="0"/>
    <w:rPr>
      <w:rFonts w:ascii="黑体" w:hAnsi="宋体" w:eastAsia="黑体"/>
      <w:iCs/>
      <w:color w:val="000000"/>
      <w:sz w:val="24"/>
      <w:lang w:val="zh-CN" w:eastAsia="zh-CN"/>
    </w:rPr>
  </w:style>
  <w:style w:type="character" w:customStyle="1" w:styleId="615">
    <w:name w:val="书籍标题1"/>
    <w:qFormat/>
    <w:uiPriority w:val="33"/>
    <w:rPr>
      <w:b/>
      <w:bCs/>
      <w:smallCaps/>
      <w:spacing w:val="5"/>
    </w:rPr>
  </w:style>
  <w:style w:type="character" w:customStyle="1" w:styleId="616">
    <w:name w:val="large1"/>
    <w:qFormat/>
    <w:uiPriority w:val="0"/>
    <w:rPr>
      <w:rFonts w:hint="eastAsia" w:ascii="宋体" w:hAnsi="宋体" w:eastAsia="宋体"/>
      <w:sz w:val="22"/>
      <w:szCs w:val="22"/>
    </w:rPr>
  </w:style>
  <w:style w:type="character" w:customStyle="1" w:styleId="617">
    <w:name w:val="fontstyle11"/>
    <w:autoRedefine/>
    <w:qFormat/>
    <w:uiPriority w:val="0"/>
    <w:rPr>
      <w:rFonts w:hint="eastAsia" w:ascii="宋体" w:hAnsi="宋体" w:eastAsia="宋体"/>
      <w:color w:val="000000"/>
      <w:sz w:val="22"/>
      <w:szCs w:val="22"/>
    </w:rPr>
  </w:style>
  <w:style w:type="character" w:customStyle="1" w:styleId="618">
    <w:name w:val="3级 Char"/>
    <w:link w:val="619"/>
    <w:qFormat/>
    <w:uiPriority w:val="0"/>
    <w:rPr>
      <w:rFonts w:eastAsia="仿宋_GB2312"/>
      <w:bCs/>
      <w:kern w:val="2"/>
      <w:sz w:val="28"/>
      <w:szCs w:val="32"/>
    </w:rPr>
  </w:style>
  <w:style w:type="paragraph" w:customStyle="1" w:styleId="619">
    <w:name w:val="3级"/>
    <w:basedOn w:val="1"/>
    <w:link w:val="618"/>
    <w:autoRedefine/>
    <w:qFormat/>
    <w:uiPriority w:val="0"/>
    <w:pPr>
      <w:keepNext/>
      <w:keepLines/>
      <w:numPr>
        <w:ilvl w:val="2"/>
        <w:numId w:val="1"/>
      </w:numPr>
      <w:tabs>
        <w:tab w:val="left" w:pos="560"/>
        <w:tab w:val="left" w:pos="840"/>
        <w:tab w:val="left" w:pos="1260"/>
      </w:tabs>
      <w:adjustRightInd w:val="0"/>
      <w:snapToGrid w:val="0"/>
      <w:spacing w:before="20" w:after="20" w:line="324" w:lineRule="auto"/>
      <w:jc w:val="left"/>
      <w:outlineLvl w:val="2"/>
    </w:pPr>
    <w:rPr>
      <w:rFonts w:eastAsia="仿宋_GB2312"/>
      <w:bCs/>
      <w:sz w:val="28"/>
      <w:szCs w:val="32"/>
    </w:rPr>
  </w:style>
  <w:style w:type="character" w:customStyle="1" w:styleId="620">
    <w:name w:val="表题前1后0.5行 Char"/>
    <w:link w:val="621"/>
    <w:autoRedefine/>
    <w:qFormat/>
    <w:uiPriority w:val="0"/>
    <w:rPr>
      <w:rFonts w:ascii="宋体"/>
      <w:kern w:val="2"/>
      <w:sz w:val="26"/>
      <w:szCs w:val="24"/>
    </w:rPr>
  </w:style>
  <w:style w:type="paragraph" w:customStyle="1" w:styleId="621">
    <w:name w:val="表题前1后0.5行"/>
    <w:basedOn w:val="1"/>
    <w:link w:val="620"/>
    <w:autoRedefine/>
    <w:qFormat/>
    <w:uiPriority w:val="0"/>
    <w:pPr>
      <w:keepNext/>
      <w:overflowPunct w:val="0"/>
      <w:topLinePunct/>
      <w:autoSpaceDE w:val="0"/>
      <w:autoSpaceDN w:val="0"/>
      <w:adjustRightInd w:val="0"/>
      <w:spacing w:beforeLines="30" w:afterLines="30"/>
      <w:jc w:val="center"/>
    </w:pPr>
    <w:rPr>
      <w:rFonts w:ascii="宋体"/>
      <w:sz w:val="26"/>
    </w:rPr>
  </w:style>
  <w:style w:type="character" w:customStyle="1" w:styleId="622">
    <w:name w:val="height21"/>
    <w:autoRedefine/>
    <w:qFormat/>
    <w:uiPriority w:val="0"/>
    <w:rPr>
      <w:sz w:val="18"/>
      <w:szCs w:val="18"/>
    </w:rPr>
  </w:style>
  <w:style w:type="character" w:customStyle="1" w:styleId="623">
    <w:name w:val="fontstyle21"/>
    <w:autoRedefine/>
    <w:qFormat/>
    <w:uiPriority w:val="0"/>
    <w:rPr>
      <w:rFonts w:hint="default" w:ascii="TimesNewRomanPSMT" w:hAnsi="TimesNewRomanPSMT"/>
      <w:color w:val="000000"/>
      <w:sz w:val="28"/>
      <w:szCs w:val="28"/>
    </w:rPr>
  </w:style>
  <w:style w:type="character" w:customStyle="1" w:styleId="624">
    <w:name w:val="正文01 Char Char"/>
    <w:autoRedefine/>
    <w:qFormat/>
    <w:uiPriority w:val="0"/>
    <w:rPr>
      <w:kern w:val="2"/>
      <w:sz w:val="24"/>
      <w:szCs w:val="24"/>
    </w:rPr>
  </w:style>
  <w:style w:type="character" w:customStyle="1" w:styleId="625">
    <w:name w:val="fontstyle01"/>
    <w:autoRedefine/>
    <w:qFormat/>
    <w:uiPriority w:val="0"/>
    <w:rPr>
      <w:rFonts w:hint="default" w:ascii="Times New Roman" w:hAnsi="Times New Roman" w:cs="Times New Roman"/>
      <w:color w:val="000000"/>
      <w:sz w:val="22"/>
      <w:szCs w:val="22"/>
    </w:rPr>
  </w:style>
  <w:style w:type="paragraph" w:customStyle="1" w:styleId="626">
    <w:name w:val="Char33"/>
    <w:basedOn w:val="1"/>
    <w:autoRedefine/>
    <w:qFormat/>
    <w:uiPriority w:val="0"/>
    <w:rPr>
      <w:sz w:val="24"/>
    </w:rPr>
  </w:style>
  <w:style w:type="paragraph" w:customStyle="1" w:styleId="627">
    <w:name w:val="Hu表内"/>
    <w:basedOn w:val="628"/>
    <w:qFormat/>
    <w:uiPriority w:val="0"/>
    <w:rPr>
      <w:sz w:val="24"/>
    </w:rPr>
  </w:style>
  <w:style w:type="paragraph" w:customStyle="1" w:styleId="628">
    <w:name w:val="表内"/>
    <w:basedOn w:val="1"/>
    <w:autoRedefine/>
    <w:qFormat/>
    <w:uiPriority w:val="0"/>
    <w:pPr>
      <w:adjustRightInd w:val="0"/>
      <w:spacing w:line="240" w:lineRule="atLeast"/>
      <w:jc w:val="center"/>
      <w:textAlignment w:val="baseline"/>
    </w:pPr>
    <w:rPr>
      <w:rFonts w:ascii="宋体" w:hAnsi="宋体"/>
      <w:kern w:val="0"/>
      <w:szCs w:val="20"/>
    </w:rPr>
  </w:style>
  <w:style w:type="paragraph" w:customStyle="1" w:styleId="629">
    <w:name w:val="中等深浅网格 1 - 强调文字颜色 21"/>
    <w:basedOn w:val="1"/>
    <w:autoRedefine/>
    <w:qFormat/>
    <w:uiPriority w:val="34"/>
    <w:pPr>
      <w:ind w:firstLine="420" w:firstLineChars="200"/>
    </w:pPr>
    <w:rPr>
      <w:rFonts w:ascii="Calibri" w:hAnsi="Calibri"/>
      <w:szCs w:val="22"/>
    </w:rPr>
  </w:style>
  <w:style w:type="paragraph" w:customStyle="1" w:styleId="630">
    <w:name w:val="纯文本2"/>
    <w:basedOn w:val="1"/>
    <w:autoRedefine/>
    <w:qFormat/>
    <w:uiPriority w:val="0"/>
    <w:pPr>
      <w:adjustRightInd w:val="0"/>
      <w:textAlignment w:val="baseline"/>
    </w:pPr>
    <w:rPr>
      <w:rFonts w:ascii="宋体" w:hAnsi="Courier New" w:eastAsia="仿宋_GB2312"/>
      <w:sz w:val="28"/>
      <w:szCs w:val="28"/>
    </w:rPr>
  </w:style>
  <w:style w:type="paragraph" w:customStyle="1" w:styleId="631">
    <w:name w:val="二级大标题"/>
    <w:basedOn w:val="3"/>
    <w:autoRedefine/>
    <w:qFormat/>
    <w:uiPriority w:val="0"/>
    <w:pPr>
      <w:keepNext w:val="0"/>
      <w:keepLines w:val="0"/>
      <w:tabs>
        <w:tab w:val="left" w:pos="720"/>
        <w:tab w:val="clear" w:pos="425"/>
      </w:tabs>
      <w:adjustRightInd w:val="0"/>
      <w:snapToGrid w:val="0"/>
      <w:spacing w:before="0" w:after="0" w:line="360" w:lineRule="auto"/>
    </w:pPr>
    <w:rPr>
      <w:rFonts w:ascii="Times New Roman" w:hAnsi="Times New Roman" w:eastAsia="仿宋_GB2312"/>
      <w:sz w:val="28"/>
      <w:szCs w:val="28"/>
    </w:rPr>
  </w:style>
  <w:style w:type="paragraph" w:customStyle="1" w:styleId="632">
    <w:name w:val="Char Char Char5"/>
    <w:basedOn w:val="1"/>
    <w:autoRedefine/>
    <w:qFormat/>
    <w:uiPriority w:val="0"/>
    <w:pPr>
      <w:spacing w:line="360" w:lineRule="auto"/>
    </w:pPr>
    <w:rPr>
      <w:rFonts w:ascii="Tahoma" w:hAnsi="Tahoma"/>
      <w:sz w:val="24"/>
      <w:szCs w:val="20"/>
    </w:rPr>
  </w:style>
  <w:style w:type="paragraph" w:customStyle="1" w:styleId="633">
    <w:name w:val="Char Char1 Char Char Char Char Char Char Char Char Char Char Char Char Char"/>
    <w:basedOn w:val="1"/>
    <w:autoRedefine/>
    <w:qFormat/>
    <w:uiPriority w:val="0"/>
    <w:pPr>
      <w:spacing w:line="360" w:lineRule="auto"/>
    </w:pPr>
    <w:rPr>
      <w:rFonts w:ascii="Tahoma" w:hAnsi="Tahoma"/>
      <w:sz w:val="24"/>
      <w:szCs w:val="20"/>
    </w:rPr>
  </w:style>
  <w:style w:type="paragraph" w:customStyle="1" w:styleId="634">
    <w:name w:val="项目编号"/>
    <w:basedOn w:val="1"/>
    <w:next w:val="1"/>
    <w:autoRedefine/>
    <w:qFormat/>
    <w:uiPriority w:val="0"/>
    <w:pPr>
      <w:spacing w:before="120" w:after="120" w:line="360" w:lineRule="auto"/>
    </w:pPr>
    <w:rPr>
      <w:rFonts w:ascii="仿宋_GB2312" w:eastAsia="仿宋_GB2312"/>
      <w:sz w:val="24"/>
      <w:szCs w:val="20"/>
    </w:rPr>
  </w:style>
  <w:style w:type="paragraph" w:customStyle="1" w:styleId="635">
    <w:name w:val="默认段落字体 Para Char Char Char Char Char Char Char Char Char Char"/>
    <w:basedOn w:val="5"/>
    <w:autoRedefine/>
    <w:qFormat/>
    <w:uiPriority w:val="0"/>
    <w:pPr>
      <w:framePr w:wrap="around" w:vAnchor="margin" w:hAnchor="text" w:yAlign="top"/>
      <w:tabs>
        <w:tab w:val="left" w:pos="360"/>
        <w:tab w:val="left" w:pos="900"/>
        <w:tab w:val="clear" w:pos="567"/>
      </w:tabs>
      <w:snapToGrid w:val="0"/>
      <w:spacing w:line="360" w:lineRule="auto"/>
      <w:ind w:left="542" w:leftChars="-12" w:firstLine="200" w:firstLineChars="200"/>
    </w:pPr>
    <w:rPr>
      <w:rFonts w:ascii="Times New Roman" w:hAnsi="Times New Roman"/>
      <w:snapToGrid w:val="0"/>
      <w:sz w:val="21"/>
    </w:rPr>
  </w:style>
  <w:style w:type="paragraph" w:customStyle="1" w:styleId="636">
    <w:name w:val="表格文字1"/>
    <w:basedOn w:val="1"/>
    <w:autoRedefine/>
    <w:qFormat/>
    <w:uiPriority w:val="0"/>
    <w:pPr>
      <w:tabs>
        <w:tab w:val="left" w:pos="0"/>
      </w:tabs>
      <w:autoSpaceDE w:val="0"/>
      <w:autoSpaceDN w:val="0"/>
      <w:adjustRightInd w:val="0"/>
      <w:spacing w:before="60"/>
      <w:ind w:left="57" w:right="57"/>
      <w:jc w:val="center"/>
      <w:textAlignment w:val="baseline"/>
    </w:pPr>
    <w:rPr>
      <w:rFonts w:ascii="宋体"/>
      <w:szCs w:val="20"/>
    </w:rPr>
  </w:style>
  <w:style w:type="paragraph" w:customStyle="1" w:styleId="637">
    <w:name w:val="标题06"/>
    <w:basedOn w:val="1"/>
    <w:autoRedefine/>
    <w:qFormat/>
    <w:uiPriority w:val="0"/>
    <w:pPr>
      <w:adjustRightInd w:val="0"/>
      <w:spacing w:before="2040" w:line="400" w:lineRule="atLeast"/>
      <w:textAlignment w:val="baseline"/>
    </w:pPr>
    <w:rPr>
      <w:rFonts w:eastAsia="黑体"/>
      <w:spacing w:val="10"/>
      <w:kern w:val="0"/>
      <w:sz w:val="28"/>
    </w:rPr>
  </w:style>
  <w:style w:type="paragraph" w:customStyle="1" w:styleId="638">
    <w:name w:val="z-窗体底端1"/>
    <w:basedOn w:val="1"/>
    <w:next w:val="1"/>
    <w:link w:val="639"/>
    <w:autoRedefine/>
    <w:qFormat/>
    <w:uiPriority w:val="0"/>
    <w:pPr>
      <w:pBdr>
        <w:top w:val="single" w:color="auto" w:sz="6" w:space="1"/>
      </w:pBdr>
      <w:jc w:val="center"/>
    </w:pPr>
    <w:rPr>
      <w:rFonts w:ascii="Arial"/>
      <w:vanish/>
      <w:sz w:val="16"/>
    </w:rPr>
  </w:style>
  <w:style w:type="character" w:customStyle="1" w:styleId="639">
    <w:name w:val="z-窗体底端 Char"/>
    <w:link w:val="638"/>
    <w:autoRedefine/>
    <w:qFormat/>
    <w:uiPriority w:val="0"/>
    <w:rPr>
      <w:rFonts w:ascii="Arial"/>
      <w:vanish/>
      <w:kern w:val="2"/>
      <w:sz w:val="16"/>
      <w:szCs w:val="24"/>
    </w:rPr>
  </w:style>
  <w:style w:type="paragraph" w:customStyle="1" w:styleId="640">
    <w:name w:val="7表格(治)"/>
    <w:autoRedefine/>
    <w:qFormat/>
    <w:uiPriority w:val="0"/>
    <w:pPr>
      <w:spacing w:line="240" w:lineRule="exact"/>
      <w:jc w:val="center"/>
    </w:pPr>
    <w:rPr>
      <w:rFonts w:ascii="Times New Roman" w:hAnsi="Times New Roman" w:eastAsia="楷体_GB2312" w:cs="Times New Roman"/>
      <w:sz w:val="21"/>
      <w:lang w:val="en-US" w:eastAsia="zh-CN" w:bidi="ar-SA"/>
    </w:rPr>
  </w:style>
  <w:style w:type="paragraph" w:customStyle="1" w:styleId="641">
    <w:name w:val="Char Char Char Char Char Char Char5"/>
    <w:basedOn w:val="1"/>
    <w:autoRedefine/>
    <w:qFormat/>
    <w:uiPriority w:val="0"/>
    <w:rPr>
      <w:sz w:val="24"/>
    </w:rPr>
  </w:style>
  <w:style w:type="paragraph" w:customStyle="1" w:styleId="642">
    <w:name w:val="z-窗体顶端1"/>
    <w:basedOn w:val="1"/>
    <w:next w:val="1"/>
    <w:link w:val="643"/>
    <w:autoRedefine/>
    <w:qFormat/>
    <w:uiPriority w:val="0"/>
    <w:pPr>
      <w:pBdr>
        <w:bottom w:val="single" w:color="auto" w:sz="6" w:space="1"/>
      </w:pBdr>
      <w:jc w:val="center"/>
    </w:pPr>
    <w:rPr>
      <w:rFonts w:ascii="Arial"/>
      <w:vanish/>
      <w:sz w:val="16"/>
    </w:rPr>
  </w:style>
  <w:style w:type="character" w:customStyle="1" w:styleId="643">
    <w:name w:val="z-窗体顶端 Char"/>
    <w:link w:val="642"/>
    <w:autoRedefine/>
    <w:qFormat/>
    <w:uiPriority w:val="0"/>
    <w:rPr>
      <w:rFonts w:ascii="Arial"/>
      <w:vanish/>
      <w:kern w:val="2"/>
      <w:sz w:val="16"/>
      <w:szCs w:val="24"/>
    </w:rPr>
  </w:style>
  <w:style w:type="paragraph" w:customStyle="1" w:styleId="644">
    <w:name w:val="Char15"/>
    <w:basedOn w:val="1"/>
    <w:autoRedefine/>
    <w:qFormat/>
    <w:uiPriority w:val="0"/>
    <w:pPr>
      <w:widowControl/>
      <w:spacing w:line="360" w:lineRule="auto"/>
      <w:ind w:firstLine="200" w:firstLineChars="200"/>
      <w:jc w:val="left"/>
    </w:pPr>
    <w:rPr>
      <w:kern w:val="0"/>
      <w:sz w:val="24"/>
      <w:szCs w:val="20"/>
    </w:rPr>
  </w:style>
  <w:style w:type="paragraph" w:customStyle="1" w:styleId="645">
    <w:name w:val="_Style 5"/>
    <w:basedOn w:val="1"/>
    <w:autoRedefine/>
    <w:qFormat/>
    <w:uiPriority w:val="0"/>
  </w:style>
  <w:style w:type="paragraph" w:customStyle="1" w:styleId="646">
    <w:name w:val="日期1"/>
    <w:basedOn w:val="1"/>
    <w:next w:val="1"/>
    <w:autoRedefine/>
    <w:qFormat/>
    <w:uiPriority w:val="0"/>
    <w:pPr>
      <w:adjustRightInd w:val="0"/>
      <w:textAlignment w:val="baseline"/>
    </w:pPr>
    <w:rPr>
      <w:sz w:val="28"/>
      <w:szCs w:val="20"/>
    </w:rPr>
  </w:style>
  <w:style w:type="character" w:customStyle="1" w:styleId="647">
    <w:name w:val="4biaoge neibu Char"/>
    <w:link w:val="648"/>
    <w:autoRedefine/>
    <w:qFormat/>
    <w:uiPriority w:val="0"/>
    <w:rPr>
      <w:rFonts w:cs="黑体"/>
      <w:kern w:val="2"/>
      <w:sz w:val="21"/>
      <w:szCs w:val="16"/>
    </w:rPr>
  </w:style>
  <w:style w:type="paragraph" w:customStyle="1" w:styleId="648">
    <w:name w:val="4biaoge neibu"/>
    <w:basedOn w:val="1"/>
    <w:link w:val="647"/>
    <w:autoRedefine/>
    <w:qFormat/>
    <w:uiPriority w:val="0"/>
    <w:pPr>
      <w:jc w:val="center"/>
    </w:pPr>
    <w:rPr>
      <w:rFonts w:cs="黑体"/>
      <w:szCs w:val="16"/>
    </w:rPr>
  </w:style>
  <w:style w:type="paragraph" w:customStyle="1" w:styleId="649">
    <w:name w:val="图表标题"/>
    <w:basedOn w:val="1"/>
    <w:next w:val="1"/>
    <w:autoRedefine/>
    <w:qFormat/>
    <w:uiPriority w:val="0"/>
    <w:pPr>
      <w:spacing w:line="360" w:lineRule="auto"/>
      <w:ind w:firstLine="640" w:firstLineChars="200"/>
      <w:jc w:val="center"/>
    </w:pPr>
    <w:rPr>
      <w:b/>
      <w:bCs/>
    </w:rPr>
  </w:style>
  <w:style w:type="paragraph" w:customStyle="1" w:styleId="650">
    <w:name w:val="1正文"/>
    <w:basedOn w:val="1"/>
    <w:autoRedefine/>
    <w:qFormat/>
    <w:uiPriority w:val="0"/>
    <w:pPr>
      <w:widowControl/>
      <w:spacing w:line="360" w:lineRule="auto"/>
      <w:ind w:firstLine="200" w:firstLineChars="200"/>
    </w:pPr>
    <w:rPr>
      <w:kern w:val="0"/>
      <w:sz w:val="24"/>
      <w:szCs w:val="20"/>
      <w:lang w:val="en-GB"/>
    </w:rPr>
  </w:style>
  <w:style w:type="character" w:customStyle="1" w:styleId="651">
    <w:name w:val="doc_title"/>
    <w:autoRedefine/>
    <w:qFormat/>
    <w:uiPriority w:val="0"/>
  </w:style>
  <w:style w:type="paragraph" w:customStyle="1" w:styleId="652">
    <w:name w:val="ql-align-justify"/>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653">
    <w:name w:val="表格内容 Char1"/>
    <w:autoRedefine/>
    <w:qFormat/>
    <w:uiPriority w:val="0"/>
    <w:rPr>
      <w:kern w:val="20481"/>
      <w:sz w:val="21"/>
    </w:rPr>
  </w:style>
  <w:style w:type="table" w:customStyle="1" w:styleId="654">
    <w:name w:val="网格型6"/>
    <w:basedOn w:val="63"/>
    <w:autoRedefine/>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55">
    <w:name w:val="标题2"/>
    <w:autoRedefine/>
    <w:qFormat/>
    <w:uiPriority w:val="0"/>
  </w:style>
  <w:style w:type="table" w:customStyle="1" w:styleId="656">
    <w:name w:val="表格主题2"/>
    <w:basedOn w:val="6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57">
    <w:name w:val="网格型-2"/>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58">
    <w:name w:val="网格型 51"/>
    <w:basedOn w:val="63"/>
    <w:autoRedefine/>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659">
    <w:name w:val="典雅型3"/>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660">
    <w:name w:val="网格型 12"/>
    <w:basedOn w:val="63"/>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661">
    <w:name w:val="网格型41"/>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62">
    <w:name w:val="左右无边框1"/>
    <w:basedOn w:val="65"/>
    <w:autoRedefine/>
    <w:qFormat/>
    <w:uiPriority w:val="0"/>
    <w:pPr>
      <w:widowControl w:val="0"/>
      <w:jc w:val="both"/>
    </w:pPr>
    <w:tblPr>
      <w:tblBorders>
        <w:top w:val="single" w:color="auto" w:sz="12" w:space="0"/>
        <w:bottom w:val="single" w:color="auto" w:sz="12" w:space="0"/>
      </w:tblBorders>
    </w:tblPr>
  </w:style>
  <w:style w:type="table" w:customStyle="1" w:styleId="663">
    <w:name w:val="网格型31"/>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64">
    <w:name w:val="无左右边框型1"/>
    <w:basedOn w:val="64"/>
    <w:autoRedefine/>
    <w:qFormat/>
    <w:uiPriority w:val="0"/>
    <w:pPr>
      <w:widowControl w:val="0"/>
      <w:jc w:val="both"/>
    </w:pPr>
  </w:style>
  <w:style w:type="table" w:customStyle="1" w:styleId="665">
    <w:name w:val="典雅型21"/>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666">
    <w:name w:val="左右无边表格1"/>
    <w:basedOn w:val="63"/>
    <w:autoRedefine/>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667">
    <w:name w:val="典雅型11"/>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668">
    <w:name w:val="网格型21"/>
    <w:basedOn w:val="63"/>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69">
    <w:name w:val="网格型111"/>
    <w:basedOn w:val="63"/>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670">
    <w:name w:val="网格型121"/>
    <w:basedOn w:val="63"/>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671">
    <w:name w:val="网格型131"/>
    <w:basedOn w:val="63"/>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672">
    <w:name w:val="网格型51"/>
    <w:basedOn w:val="63"/>
    <w:autoRedefine/>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73">
    <w:name w:val="Char32"/>
    <w:basedOn w:val="1"/>
    <w:autoRedefine/>
    <w:qFormat/>
    <w:uiPriority w:val="0"/>
    <w:rPr>
      <w:sz w:val="24"/>
    </w:rPr>
  </w:style>
  <w:style w:type="paragraph" w:customStyle="1" w:styleId="674">
    <w:name w:val="纯文本3"/>
    <w:basedOn w:val="1"/>
    <w:autoRedefine/>
    <w:qFormat/>
    <w:uiPriority w:val="0"/>
    <w:pPr>
      <w:adjustRightInd w:val="0"/>
      <w:textAlignment w:val="baseline"/>
    </w:pPr>
    <w:rPr>
      <w:rFonts w:ascii="宋体" w:hAnsi="Courier New" w:eastAsia="仿宋_GB2312"/>
      <w:sz w:val="28"/>
      <w:szCs w:val="28"/>
    </w:rPr>
  </w:style>
  <w:style w:type="paragraph" w:customStyle="1" w:styleId="675">
    <w:name w:val="Char Char Char4"/>
    <w:basedOn w:val="1"/>
    <w:autoRedefine/>
    <w:qFormat/>
    <w:uiPriority w:val="0"/>
    <w:pPr>
      <w:spacing w:line="360" w:lineRule="auto"/>
    </w:pPr>
    <w:rPr>
      <w:rFonts w:ascii="Tahoma" w:hAnsi="Tahoma"/>
      <w:sz w:val="24"/>
      <w:szCs w:val="20"/>
    </w:rPr>
  </w:style>
  <w:style w:type="paragraph" w:customStyle="1" w:styleId="676">
    <w:name w:val="Char Char1 Char Char Char Char Char Char Char Char Char Char Char Char Char2"/>
    <w:basedOn w:val="1"/>
    <w:autoRedefine/>
    <w:qFormat/>
    <w:uiPriority w:val="0"/>
    <w:pPr>
      <w:spacing w:line="360" w:lineRule="auto"/>
    </w:pPr>
    <w:rPr>
      <w:rFonts w:ascii="Tahoma" w:hAnsi="Tahoma"/>
      <w:sz w:val="24"/>
      <w:szCs w:val="20"/>
    </w:rPr>
  </w:style>
  <w:style w:type="paragraph" w:customStyle="1" w:styleId="677">
    <w:name w:val="Char Char Char Char Char Char Char4"/>
    <w:basedOn w:val="1"/>
    <w:autoRedefine/>
    <w:qFormat/>
    <w:uiPriority w:val="0"/>
    <w:rPr>
      <w:sz w:val="24"/>
    </w:rPr>
  </w:style>
  <w:style w:type="paragraph" w:customStyle="1" w:styleId="678">
    <w:name w:val="Char14"/>
    <w:basedOn w:val="1"/>
    <w:autoRedefine/>
    <w:qFormat/>
    <w:uiPriority w:val="0"/>
    <w:pPr>
      <w:widowControl/>
      <w:spacing w:line="360" w:lineRule="auto"/>
      <w:ind w:firstLine="200" w:firstLineChars="200"/>
      <w:jc w:val="left"/>
    </w:pPr>
    <w:rPr>
      <w:kern w:val="0"/>
      <w:sz w:val="24"/>
      <w:szCs w:val="20"/>
    </w:rPr>
  </w:style>
  <w:style w:type="paragraph" w:customStyle="1" w:styleId="679">
    <w:name w:val="日期2"/>
    <w:basedOn w:val="1"/>
    <w:next w:val="1"/>
    <w:autoRedefine/>
    <w:qFormat/>
    <w:uiPriority w:val="0"/>
    <w:pPr>
      <w:adjustRightInd w:val="0"/>
      <w:textAlignment w:val="baseline"/>
    </w:pPr>
    <w:rPr>
      <w:sz w:val="28"/>
      <w:szCs w:val="20"/>
    </w:rPr>
  </w:style>
  <w:style w:type="table" w:customStyle="1" w:styleId="680">
    <w:name w:val="网格型61"/>
    <w:basedOn w:val="63"/>
    <w:autoRedefine/>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81">
    <w:name w:val="网格型7"/>
    <w:basedOn w:val="6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82">
    <w:name w:val="网格型8"/>
    <w:basedOn w:val="63"/>
    <w:autoRedefine/>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83">
    <w:name w:val="font01"/>
    <w:autoRedefine/>
    <w:qFormat/>
    <w:uiPriority w:val="0"/>
    <w:rPr>
      <w:rFonts w:ascii="font-weight : 400" w:hAnsi="font-weight : 400" w:eastAsia="font-weight : 400" w:cs="font-weight : 400"/>
      <w:color w:val="000000"/>
      <w:sz w:val="22"/>
      <w:szCs w:val="22"/>
      <w:u w:val="none"/>
    </w:rPr>
  </w:style>
  <w:style w:type="table" w:customStyle="1" w:styleId="684">
    <w:name w:val="网格型9"/>
    <w:basedOn w:val="63"/>
    <w:autoRedefine/>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685">
    <w:name w:val="Pa17"/>
    <w:basedOn w:val="78"/>
    <w:next w:val="78"/>
    <w:autoRedefine/>
    <w:qFormat/>
    <w:uiPriority w:val="99"/>
    <w:pPr>
      <w:spacing w:line="161" w:lineRule="atLeast"/>
    </w:pPr>
    <w:rPr>
      <w:rFonts w:ascii="黑体" w:eastAsia="黑体" w:cs="Times New Roman"/>
      <w:color w:val="auto"/>
    </w:rPr>
  </w:style>
  <w:style w:type="paragraph" w:customStyle="1" w:styleId="686">
    <w:name w:val="Pa29"/>
    <w:basedOn w:val="78"/>
    <w:next w:val="78"/>
    <w:autoRedefine/>
    <w:qFormat/>
    <w:uiPriority w:val="99"/>
    <w:pPr>
      <w:spacing w:line="161" w:lineRule="atLeast"/>
    </w:pPr>
    <w:rPr>
      <w:rFonts w:ascii="黑体" w:eastAsia="黑体" w:cs="Times New Roman"/>
      <w:color w:val="auto"/>
    </w:rPr>
  </w:style>
  <w:style w:type="character" w:customStyle="1" w:styleId="687">
    <w:name w:val="A24"/>
    <w:autoRedefine/>
    <w:qFormat/>
    <w:uiPriority w:val="99"/>
    <w:rPr>
      <w:rFonts w:ascii="Times New Roman"/>
      <w:i/>
      <w:iCs/>
      <w:color w:val="211D1E"/>
      <w:sz w:val="9"/>
      <w:szCs w:val="9"/>
    </w:rPr>
  </w:style>
  <w:style w:type="character" w:customStyle="1" w:styleId="688">
    <w:name w:val="A25"/>
    <w:autoRedefine/>
    <w:qFormat/>
    <w:uiPriority w:val="99"/>
    <w:rPr>
      <w:rFonts w:ascii="FZShuSong-Z01" w:eastAsia="FZShuSong-Z01" w:cs="FZShuSong-Z01"/>
      <w:color w:val="211D1E"/>
      <w:sz w:val="20"/>
      <w:szCs w:val="20"/>
    </w:rPr>
  </w:style>
  <w:style w:type="character" w:customStyle="1" w:styleId="689">
    <w:name w:val="HTML 预设格式 字符"/>
    <w:autoRedefine/>
    <w:qFormat/>
    <w:locked/>
    <w:uiPriority w:val="99"/>
    <w:rPr>
      <w:rFonts w:ascii="Arial" w:hAnsi="Arial" w:cs="Arial"/>
      <w:sz w:val="23"/>
      <w:szCs w:val="23"/>
    </w:rPr>
  </w:style>
  <w:style w:type="character" w:customStyle="1" w:styleId="690">
    <w:name w:val="标题 1 字符"/>
    <w:autoRedefine/>
    <w:qFormat/>
    <w:uiPriority w:val="0"/>
    <w:rPr>
      <w:rFonts w:eastAsia="宋体"/>
      <w:b/>
      <w:bCs/>
      <w:kern w:val="2"/>
      <w:sz w:val="24"/>
      <w:szCs w:val="24"/>
      <w:lang w:val="en-US" w:eastAsia="zh-CN" w:bidi="ar-SA"/>
    </w:rPr>
  </w:style>
  <w:style w:type="character" w:customStyle="1" w:styleId="691">
    <w:name w:val="标题 3 字符"/>
    <w:autoRedefine/>
    <w:qFormat/>
    <w:uiPriority w:val="0"/>
    <w:rPr>
      <w:rFonts w:eastAsia="宋体"/>
      <w:b/>
      <w:bCs/>
      <w:kern w:val="2"/>
      <w:sz w:val="32"/>
      <w:szCs w:val="32"/>
      <w:lang w:val="en-US" w:eastAsia="zh-CN" w:bidi="ar-SA"/>
    </w:rPr>
  </w:style>
  <w:style w:type="character" w:customStyle="1" w:styleId="692">
    <w:name w:val="标题 7 字符"/>
    <w:autoRedefine/>
    <w:qFormat/>
    <w:locked/>
    <w:uiPriority w:val="0"/>
    <w:rPr>
      <w:rFonts w:eastAsia="仿宋_GB2312"/>
      <w:b/>
      <w:sz w:val="24"/>
      <w:szCs w:val="24"/>
    </w:rPr>
  </w:style>
  <w:style w:type="character" w:customStyle="1" w:styleId="693">
    <w:name w:val="尾注文本 字符"/>
    <w:autoRedefine/>
    <w:qFormat/>
    <w:uiPriority w:val="99"/>
    <w:rPr>
      <w:sz w:val="21"/>
    </w:rPr>
  </w:style>
  <w:style w:type="character" w:customStyle="1" w:styleId="694">
    <w:name w:val="标题 8 字符"/>
    <w:autoRedefine/>
    <w:qFormat/>
    <w:locked/>
    <w:uiPriority w:val="0"/>
    <w:rPr>
      <w:rFonts w:ascii="Arial" w:hAnsi="Arial" w:eastAsia="黑体"/>
      <w:bCs/>
      <w:sz w:val="24"/>
      <w:szCs w:val="24"/>
    </w:rPr>
  </w:style>
  <w:style w:type="character" w:customStyle="1" w:styleId="695">
    <w:name w:val="正文缩进 字符"/>
    <w:autoRedefine/>
    <w:qFormat/>
    <w:uiPriority w:val="0"/>
    <w:rPr>
      <w:rFonts w:eastAsia="宋体"/>
      <w:kern w:val="2"/>
      <w:sz w:val="28"/>
      <w:szCs w:val="21"/>
      <w:lang w:val="en-US" w:eastAsia="zh-CN" w:bidi="ar-SA"/>
    </w:rPr>
  </w:style>
  <w:style w:type="character" w:customStyle="1" w:styleId="696">
    <w:name w:val="副标题 字符"/>
    <w:autoRedefine/>
    <w:qFormat/>
    <w:uiPriority w:val="0"/>
    <w:rPr>
      <w:rFonts w:ascii="Cambria" w:hAnsi="Cambria" w:eastAsia="宋体"/>
      <w:sz w:val="21"/>
      <w:szCs w:val="24"/>
      <w:lang w:val="en-US" w:eastAsia="en-US" w:bidi="en-US"/>
    </w:rPr>
  </w:style>
  <w:style w:type="character" w:customStyle="1" w:styleId="697">
    <w:name w:val="正文文本 2 字符"/>
    <w:autoRedefine/>
    <w:qFormat/>
    <w:locked/>
    <w:uiPriority w:val="99"/>
    <w:rPr>
      <w:rFonts w:eastAsia="宋体"/>
      <w:kern w:val="2"/>
      <w:sz w:val="24"/>
      <w:szCs w:val="24"/>
      <w:lang w:val="en-US" w:eastAsia="zh-CN" w:bidi="ar-SA"/>
    </w:rPr>
  </w:style>
  <w:style w:type="character" w:customStyle="1" w:styleId="698">
    <w:name w:val="正文文本缩进 2 字符"/>
    <w:autoRedefine/>
    <w:qFormat/>
    <w:uiPriority w:val="0"/>
    <w:rPr>
      <w:rFonts w:eastAsia="宋体"/>
      <w:kern w:val="2"/>
      <w:sz w:val="21"/>
      <w:szCs w:val="24"/>
      <w:lang w:val="en-US" w:eastAsia="zh-CN" w:bidi="ar-SA"/>
    </w:rPr>
  </w:style>
  <w:style w:type="character" w:customStyle="1" w:styleId="699">
    <w:name w:val="z-窗体底端 字符"/>
    <w:autoRedefine/>
    <w:qFormat/>
    <w:uiPriority w:val="0"/>
    <w:rPr>
      <w:rFonts w:ascii="Arial"/>
      <w:vanish/>
      <w:kern w:val="2"/>
      <w:sz w:val="16"/>
      <w:szCs w:val="24"/>
    </w:rPr>
  </w:style>
  <w:style w:type="character" w:customStyle="1" w:styleId="700">
    <w:name w:val="注释标题 字符"/>
    <w:autoRedefine/>
    <w:qFormat/>
    <w:uiPriority w:val="0"/>
    <w:rPr>
      <w:rFonts w:ascii="宋体" w:eastAsia="宋体"/>
      <w:kern w:val="2"/>
      <w:sz w:val="21"/>
      <w:lang w:val="en-US" w:eastAsia="zh-CN" w:bidi="ar-SA"/>
    </w:rPr>
  </w:style>
  <w:style w:type="character" w:customStyle="1" w:styleId="701">
    <w:name w:val="标题 2 字符"/>
    <w:autoRedefine/>
    <w:qFormat/>
    <w:uiPriority w:val="0"/>
    <w:rPr>
      <w:rFonts w:eastAsia="宋体"/>
      <w:b/>
      <w:bCs/>
      <w:kern w:val="2"/>
      <w:sz w:val="21"/>
      <w:szCs w:val="24"/>
      <w:lang w:val="en-US" w:eastAsia="zh-CN" w:bidi="ar-SA"/>
    </w:rPr>
  </w:style>
  <w:style w:type="character" w:customStyle="1" w:styleId="702">
    <w:name w:val="标题 字符"/>
    <w:autoRedefine/>
    <w:qFormat/>
    <w:uiPriority w:val="0"/>
    <w:rPr>
      <w:rFonts w:ascii="Cambria" w:hAnsi="Cambria"/>
      <w:b/>
      <w:bCs/>
      <w:kern w:val="2"/>
      <w:sz w:val="32"/>
      <w:szCs w:val="32"/>
    </w:rPr>
  </w:style>
  <w:style w:type="character" w:customStyle="1" w:styleId="703">
    <w:name w:val="正文文本首行缩进 2 字符"/>
    <w:autoRedefine/>
    <w:qFormat/>
    <w:locked/>
    <w:uiPriority w:val="0"/>
    <w:rPr>
      <w:rFonts w:eastAsia="宋体"/>
      <w:kern w:val="2"/>
      <w:sz w:val="21"/>
      <w:szCs w:val="24"/>
      <w:lang w:val="en-US" w:eastAsia="zh-CN" w:bidi="ar-SA"/>
    </w:rPr>
  </w:style>
  <w:style w:type="character" w:customStyle="1" w:styleId="704">
    <w:name w:val="标题 4 字符"/>
    <w:autoRedefine/>
    <w:qFormat/>
    <w:locked/>
    <w:uiPriority w:val="0"/>
    <w:rPr>
      <w:rFonts w:ascii="Arial" w:hAnsi="Arial" w:eastAsia="黑体"/>
      <w:b/>
      <w:bCs/>
      <w:kern w:val="2"/>
      <w:sz w:val="28"/>
      <w:szCs w:val="28"/>
      <w:lang w:val="en-US" w:eastAsia="zh-CN" w:bidi="ar-SA"/>
    </w:rPr>
  </w:style>
  <w:style w:type="character" w:customStyle="1" w:styleId="705">
    <w:name w:val="标题 9 字符"/>
    <w:autoRedefine/>
    <w:qFormat/>
    <w:locked/>
    <w:uiPriority w:val="0"/>
    <w:rPr>
      <w:rFonts w:ascii="Arial" w:hAnsi="Arial" w:eastAsia="黑体"/>
      <w:bCs/>
      <w:sz w:val="24"/>
      <w:szCs w:val="24"/>
    </w:rPr>
  </w:style>
  <w:style w:type="character" w:customStyle="1" w:styleId="706">
    <w:name w:val="文档结构图 字符"/>
    <w:autoRedefine/>
    <w:qFormat/>
    <w:locked/>
    <w:uiPriority w:val="99"/>
    <w:rPr>
      <w:kern w:val="2"/>
      <w:sz w:val="21"/>
      <w:szCs w:val="24"/>
      <w:shd w:val="clear" w:color="auto" w:fill="000080"/>
    </w:rPr>
  </w:style>
  <w:style w:type="character" w:customStyle="1" w:styleId="707">
    <w:name w:val="正文文本缩进 3 字符"/>
    <w:autoRedefine/>
    <w:qFormat/>
    <w:locked/>
    <w:uiPriority w:val="0"/>
    <w:rPr>
      <w:rFonts w:eastAsia="宋体"/>
      <w:kern w:val="2"/>
      <w:sz w:val="16"/>
      <w:szCs w:val="16"/>
      <w:lang w:val="en-US" w:eastAsia="zh-CN" w:bidi="ar-SA"/>
    </w:rPr>
  </w:style>
  <w:style w:type="character" w:customStyle="1" w:styleId="708">
    <w:name w:val="纯文本 字符"/>
    <w:autoRedefine/>
    <w:qFormat/>
    <w:uiPriority w:val="0"/>
    <w:rPr>
      <w:rFonts w:ascii="宋体" w:hAnsi="Courier New" w:eastAsia="宋体" w:cs="Courier New"/>
      <w:kern w:val="2"/>
      <w:sz w:val="21"/>
      <w:szCs w:val="21"/>
      <w:lang w:val="en-US" w:eastAsia="zh-CN" w:bidi="ar-SA"/>
    </w:rPr>
  </w:style>
  <w:style w:type="character" w:customStyle="1" w:styleId="709">
    <w:name w:val="正文文本 3 字符"/>
    <w:autoRedefine/>
    <w:qFormat/>
    <w:locked/>
    <w:uiPriority w:val="99"/>
    <w:rPr>
      <w:rFonts w:ascii="宋体" w:hAnsi="宋体" w:eastAsia="宋体"/>
      <w:kern w:val="2"/>
      <w:sz w:val="16"/>
      <w:szCs w:val="16"/>
      <w:lang w:val="en-US" w:eastAsia="zh-CN" w:bidi="ar-SA"/>
    </w:rPr>
  </w:style>
  <w:style w:type="character" w:customStyle="1" w:styleId="710">
    <w:name w:val="标题 6 字符"/>
    <w:autoRedefine/>
    <w:qFormat/>
    <w:locked/>
    <w:uiPriority w:val="0"/>
    <w:rPr>
      <w:rFonts w:ascii="Arial" w:hAnsi="Arial" w:eastAsia="黑体"/>
      <w:b/>
      <w:sz w:val="24"/>
      <w:szCs w:val="24"/>
    </w:rPr>
  </w:style>
  <w:style w:type="character" w:customStyle="1" w:styleId="711">
    <w:name w:val="标题 5 字符"/>
    <w:autoRedefine/>
    <w:qFormat/>
    <w:locked/>
    <w:uiPriority w:val="0"/>
    <w:rPr>
      <w:rFonts w:eastAsia="宋体"/>
      <w:b/>
      <w:bCs/>
      <w:kern w:val="2"/>
      <w:sz w:val="28"/>
      <w:szCs w:val="28"/>
      <w:lang w:val="en-US" w:eastAsia="zh-CN" w:bidi="ar-SA"/>
    </w:rPr>
  </w:style>
  <w:style w:type="character" w:customStyle="1" w:styleId="712">
    <w:name w:val="正文文本首行缩进 字符"/>
    <w:autoRedefine/>
    <w:qFormat/>
    <w:locked/>
    <w:uiPriority w:val="99"/>
    <w:rPr>
      <w:kern w:val="2"/>
      <w:sz w:val="21"/>
      <w:szCs w:val="24"/>
    </w:rPr>
  </w:style>
  <w:style w:type="character" w:customStyle="1" w:styleId="713">
    <w:name w:val="z-窗体顶端 字符"/>
    <w:autoRedefine/>
    <w:qFormat/>
    <w:uiPriority w:val="0"/>
    <w:rPr>
      <w:rFonts w:ascii="Arial"/>
      <w:vanish/>
      <w:kern w:val="2"/>
      <w:sz w:val="16"/>
      <w:szCs w:val="24"/>
    </w:rPr>
  </w:style>
  <w:style w:type="table" w:customStyle="1" w:styleId="714">
    <w:name w:val="网格型 111"/>
    <w:basedOn w:val="63"/>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15">
    <w:name w:val="典雅型31"/>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16">
    <w:name w:val="网格型 511"/>
    <w:basedOn w:val="63"/>
    <w:autoRedefine/>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17">
    <w:name w:val="典雅型211"/>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18">
    <w:name w:val="典雅型111"/>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19">
    <w:name w:val="MFS表格"/>
    <w:autoRedefine/>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character" w:customStyle="1" w:styleId="720">
    <w:name w:val="标题 5 字符1"/>
    <w:autoRedefine/>
    <w:qFormat/>
    <w:locked/>
    <w:uiPriority w:val="0"/>
    <w:rPr>
      <w:rFonts w:eastAsia="宋体"/>
      <w:b/>
      <w:bCs/>
      <w:kern w:val="2"/>
      <w:sz w:val="28"/>
      <w:szCs w:val="28"/>
      <w:lang w:val="en-US" w:eastAsia="zh-CN" w:bidi="ar-SA"/>
    </w:rPr>
  </w:style>
  <w:style w:type="character" w:customStyle="1" w:styleId="721">
    <w:name w:val="纯文本 字符1"/>
    <w:autoRedefine/>
    <w:qFormat/>
    <w:uiPriority w:val="0"/>
    <w:rPr>
      <w:rFonts w:ascii="宋体" w:hAnsi="Courier New" w:eastAsia="宋体" w:cs="Courier New"/>
      <w:kern w:val="2"/>
      <w:sz w:val="21"/>
      <w:szCs w:val="21"/>
      <w:lang w:val="en-US" w:eastAsia="zh-CN" w:bidi="ar-SA"/>
    </w:rPr>
  </w:style>
  <w:style w:type="table" w:customStyle="1" w:styleId="722">
    <w:name w:val="王新建"/>
    <w:autoRedefine/>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character" w:customStyle="1" w:styleId="723">
    <w:name w:val="font141"/>
    <w:autoRedefine/>
    <w:qFormat/>
    <w:uiPriority w:val="0"/>
    <w:rPr>
      <w:rFonts w:hint="default" w:ascii="Times New Roman" w:hAnsi="Times New Roman" w:cs="Times New Roman"/>
      <w:b/>
      <w:color w:val="000000"/>
      <w:sz w:val="21"/>
      <w:szCs w:val="21"/>
      <w:u w:val="none"/>
    </w:rPr>
  </w:style>
  <w:style w:type="character" w:customStyle="1" w:styleId="724">
    <w:name w:val="font91"/>
    <w:autoRedefine/>
    <w:qFormat/>
    <w:uiPriority w:val="0"/>
    <w:rPr>
      <w:rFonts w:hint="eastAsia" w:ascii="宋体" w:hAnsi="宋体" w:eastAsia="宋体" w:cs="宋体"/>
      <w:color w:val="000000"/>
      <w:sz w:val="18"/>
      <w:szCs w:val="18"/>
      <w:u w:val="none"/>
    </w:rPr>
  </w:style>
  <w:style w:type="character" w:customStyle="1" w:styleId="725">
    <w:name w:val="font31"/>
    <w:autoRedefine/>
    <w:qFormat/>
    <w:uiPriority w:val="0"/>
    <w:rPr>
      <w:rFonts w:hint="eastAsia" w:ascii="宋体" w:hAnsi="宋体" w:eastAsia="宋体" w:cs="宋体"/>
      <w:color w:val="000000"/>
      <w:sz w:val="21"/>
      <w:szCs w:val="21"/>
      <w:u w:val="none"/>
    </w:rPr>
  </w:style>
  <w:style w:type="character" w:customStyle="1" w:styleId="726">
    <w:name w:val="标题 1 Char Char"/>
    <w:autoRedefine/>
    <w:qFormat/>
    <w:uiPriority w:val="0"/>
    <w:rPr>
      <w:rFonts w:eastAsia="宋体"/>
      <w:b/>
      <w:bCs/>
      <w:kern w:val="44"/>
      <w:sz w:val="44"/>
      <w:szCs w:val="44"/>
      <w:lang w:val="en-US" w:eastAsia="zh-CN" w:bidi="ar-SA"/>
    </w:rPr>
  </w:style>
  <w:style w:type="character" w:customStyle="1" w:styleId="727">
    <w:name w:val="font21"/>
    <w:autoRedefine/>
    <w:qFormat/>
    <w:uiPriority w:val="0"/>
    <w:rPr>
      <w:rFonts w:hint="default" w:ascii="Times New Roman" w:hAnsi="Times New Roman" w:cs="Times New Roman"/>
      <w:color w:val="000000"/>
      <w:sz w:val="21"/>
      <w:szCs w:val="21"/>
      <w:u w:val="none"/>
      <w:vertAlign w:val="superscript"/>
    </w:rPr>
  </w:style>
  <w:style w:type="character" w:customStyle="1" w:styleId="728">
    <w:name w:val="font71"/>
    <w:autoRedefine/>
    <w:qFormat/>
    <w:uiPriority w:val="0"/>
    <w:rPr>
      <w:rFonts w:hint="default" w:ascii="Times New Roman" w:hAnsi="Times New Roman" w:cs="Times New Roman"/>
      <w:color w:val="000000"/>
      <w:sz w:val="21"/>
      <w:szCs w:val="21"/>
      <w:u w:val="none"/>
      <w:vertAlign w:val="subscript"/>
    </w:rPr>
  </w:style>
  <w:style w:type="character" w:customStyle="1" w:styleId="729">
    <w:name w:val="font41"/>
    <w:autoRedefine/>
    <w:qFormat/>
    <w:uiPriority w:val="0"/>
    <w:rPr>
      <w:rFonts w:hint="eastAsia" w:ascii="宋体" w:hAnsi="宋体" w:eastAsia="宋体" w:cs="宋体"/>
      <w:color w:val="000000"/>
      <w:sz w:val="18"/>
      <w:szCs w:val="18"/>
      <w:u w:val="none"/>
    </w:rPr>
  </w:style>
  <w:style w:type="character" w:customStyle="1" w:styleId="730">
    <w:name w:val="font51"/>
    <w:autoRedefine/>
    <w:qFormat/>
    <w:uiPriority w:val="0"/>
    <w:rPr>
      <w:rFonts w:hint="default" w:ascii="Times New Roman" w:hAnsi="Times New Roman" w:cs="Times New Roman"/>
      <w:color w:val="000000"/>
      <w:sz w:val="21"/>
      <w:szCs w:val="21"/>
      <w:u w:val="none"/>
    </w:rPr>
  </w:style>
  <w:style w:type="character" w:customStyle="1" w:styleId="731">
    <w:name w:val="font101"/>
    <w:autoRedefine/>
    <w:qFormat/>
    <w:uiPriority w:val="0"/>
    <w:rPr>
      <w:rFonts w:hint="default" w:ascii="Times New Roman" w:hAnsi="Times New Roman" w:cs="Times New Roman"/>
      <w:color w:val="000000"/>
      <w:sz w:val="18"/>
      <w:szCs w:val="18"/>
      <w:u w:val="none"/>
    </w:rPr>
  </w:style>
  <w:style w:type="character" w:customStyle="1" w:styleId="732">
    <w:name w:val="font131"/>
    <w:autoRedefine/>
    <w:qFormat/>
    <w:uiPriority w:val="0"/>
    <w:rPr>
      <w:rFonts w:hint="eastAsia" w:ascii="宋体" w:hAnsi="宋体" w:eastAsia="宋体" w:cs="宋体"/>
      <w:b/>
      <w:color w:val="000000"/>
      <w:sz w:val="21"/>
      <w:szCs w:val="21"/>
      <w:u w:val="none"/>
    </w:rPr>
  </w:style>
  <w:style w:type="character" w:customStyle="1" w:styleId="733">
    <w:name w:val="2号标题 Char Char"/>
    <w:autoRedefine/>
    <w:qFormat/>
    <w:uiPriority w:val="0"/>
    <w:rPr>
      <w:rFonts w:ascii="Arial" w:hAnsi="Arial" w:eastAsia="宋体"/>
      <w:b/>
      <w:bCs/>
      <w:kern w:val="2"/>
      <w:sz w:val="28"/>
      <w:szCs w:val="32"/>
      <w:lang w:val="en-US" w:eastAsia="zh-CN" w:bidi="ar-SA"/>
    </w:rPr>
  </w:style>
  <w:style w:type="character" w:customStyle="1" w:styleId="734">
    <w:name w:val="标题 3 Char Char Char Char Char Char"/>
    <w:autoRedefine/>
    <w:qFormat/>
    <w:uiPriority w:val="0"/>
    <w:rPr>
      <w:rFonts w:eastAsia="宋体"/>
      <w:b/>
      <w:bCs/>
      <w:kern w:val="2"/>
      <w:sz w:val="32"/>
      <w:szCs w:val="32"/>
      <w:lang w:val="en-US" w:eastAsia="zh-CN" w:bidi="ar-SA"/>
    </w:rPr>
  </w:style>
  <w:style w:type="character" w:customStyle="1" w:styleId="735">
    <w:name w:val="font121"/>
    <w:autoRedefine/>
    <w:qFormat/>
    <w:uiPriority w:val="0"/>
    <w:rPr>
      <w:rFonts w:hint="eastAsia" w:ascii="宋体" w:hAnsi="宋体" w:eastAsia="宋体" w:cs="宋体"/>
      <w:color w:val="000000"/>
      <w:sz w:val="21"/>
      <w:szCs w:val="21"/>
      <w:u w:val="none"/>
    </w:rPr>
  </w:style>
  <w:style w:type="character" w:customStyle="1" w:styleId="736">
    <w:name w:val="font11"/>
    <w:autoRedefine/>
    <w:qFormat/>
    <w:uiPriority w:val="0"/>
    <w:rPr>
      <w:rFonts w:hint="default" w:ascii="Times New Roman" w:hAnsi="Times New Roman" w:cs="Times New Roman"/>
      <w:color w:val="000000"/>
      <w:sz w:val="21"/>
      <w:szCs w:val="21"/>
      <w:u w:val="none"/>
      <w:vertAlign w:val="subscript"/>
    </w:rPr>
  </w:style>
  <w:style w:type="paragraph" w:customStyle="1" w:styleId="737">
    <w:name w:val="WPSOffice手动目录 1"/>
    <w:autoRedefine/>
    <w:qFormat/>
    <w:uiPriority w:val="0"/>
    <w:rPr>
      <w:rFonts w:ascii="Times New Roman" w:hAnsi="Times New Roman" w:eastAsia="宋体" w:cs="Times New Roman"/>
      <w:lang w:val="en-US" w:eastAsia="zh-CN" w:bidi="ar-SA"/>
    </w:rPr>
  </w:style>
  <w:style w:type="paragraph" w:customStyle="1" w:styleId="738">
    <w:name w:val="B2"/>
    <w:autoRedefine/>
    <w:qFormat/>
    <w:uiPriority w:val="0"/>
    <w:pPr>
      <w:widowControl w:val="0"/>
      <w:spacing w:line="480" w:lineRule="exact"/>
      <w:ind w:firstLine="200" w:firstLineChars="200"/>
      <w:jc w:val="both"/>
    </w:pPr>
    <w:rPr>
      <w:rFonts w:ascii="Times New Roman" w:hAnsi="Times New Roman" w:eastAsia="宋体" w:cs="Times New Roman"/>
      <w:kern w:val="2"/>
      <w:sz w:val="24"/>
      <w:lang w:val="en-US" w:eastAsia="zh-CN" w:bidi="ar-SA"/>
    </w:rPr>
  </w:style>
  <w:style w:type="paragraph" w:customStyle="1" w:styleId="739">
    <w:name w:val="正文 首行缩进:  2 字符"/>
    <w:basedOn w:val="1"/>
    <w:autoRedefine/>
    <w:qFormat/>
    <w:uiPriority w:val="0"/>
    <w:pPr>
      <w:ind w:firstLine="579" w:firstLineChars="200"/>
    </w:pPr>
    <w:rPr>
      <w:rFonts w:cs="宋体"/>
      <w:szCs w:val="20"/>
    </w:rPr>
  </w:style>
  <w:style w:type="paragraph" w:customStyle="1" w:styleId="740">
    <w:name w:val="默认 A"/>
    <w:autoRedefine/>
    <w:qFormat/>
    <w:uiPriority w:val="0"/>
    <w:rPr>
      <w:rFonts w:ascii="Helvetica" w:hAnsi="Helvetica" w:eastAsia="Arial Unicode MS" w:cs="Arial Unicode MS"/>
      <w:color w:val="000000"/>
      <w:sz w:val="22"/>
      <w:szCs w:val="22"/>
      <w:lang w:val="en-US" w:eastAsia="zh-CN" w:bidi="ar-SA"/>
    </w:rPr>
  </w:style>
  <w:style w:type="paragraph" w:customStyle="1" w:styleId="741">
    <w:name w:val="正文王"/>
    <w:basedOn w:val="36"/>
    <w:autoRedefine/>
    <w:qFormat/>
    <w:uiPriority w:val="0"/>
    <w:pPr>
      <w:spacing w:line="440" w:lineRule="exact"/>
    </w:pPr>
    <w:rPr>
      <w:rFonts w:ascii="Arial" w:hAnsi="Arial"/>
      <w:sz w:val="24"/>
    </w:rPr>
  </w:style>
  <w:style w:type="paragraph" w:customStyle="1" w:styleId="742">
    <w:name w:val="正文 A"/>
    <w:autoRedefine/>
    <w:qFormat/>
    <w:uiPriority w:val="0"/>
    <w:pPr>
      <w:widowControl w:val="0"/>
      <w:jc w:val="both"/>
    </w:pPr>
    <w:rPr>
      <w:rFonts w:ascii="Times New Roman" w:hAnsi="Times New Roman" w:eastAsia="Arial Unicode MS" w:cs="Arial Unicode MS"/>
      <w:color w:val="000000"/>
      <w:kern w:val="2"/>
      <w:sz w:val="21"/>
      <w:szCs w:val="21"/>
      <w:lang w:val="en-US" w:eastAsia="zh-CN" w:bidi="ar-SA"/>
    </w:rPr>
  </w:style>
  <w:style w:type="paragraph" w:customStyle="1" w:styleId="743">
    <w:name w:val="一级目录 1"/>
    <w:basedOn w:val="1"/>
    <w:autoRedefine/>
    <w:qFormat/>
    <w:uiPriority w:val="0"/>
    <w:pPr>
      <w:jc w:val="center"/>
    </w:pPr>
    <w:rPr>
      <w:rFonts w:eastAsia="黑体"/>
      <w:b/>
      <w:sz w:val="36"/>
      <w:szCs w:val="36"/>
    </w:rPr>
  </w:style>
  <w:style w:type="paragraph" w:customStyle="1" w:styleId="744">
    <w:name w:val="正文文本缩进1"/>
    <w:basedOn w:val="1"/>
    <w:autoRedefine/>
    <w:qFormat/>
    <w:uiPriority w:val="0"/>
    <w:pPr>
      <w:spacing w:beforeLines="50" w:afterLines="50" w:line="360" w:lineRule="auto"/>
      <w:ind w:firstLine="480" w:firstLineChars="200"/>
    </w:pPr>
    <w:rPr>
      <w:rFonts w:ascii="Arial" w:hAnsi="Arial" w:cs="Arial"/>
      <w:sz w:val="24"/>
    </w:rPr>
  </w:style>
  <w:style w:type="paragraph" w:customStyle="1" w:styleId="745">
    <w:name w:val="1号标题"/>
    <w:basedOn w:val="1"/>
    <w:autoRedefine/>
    <w:qFormat/>
    <w:uiPriority w:val="0"/>
    <w:pPr>
      <w:pageBreakBefore/>
      <w:spacing w:before="150" w:beforeLines="150" w:after="100" w:afterLines="100" w:line="360" w:lineRule="auto"/>
      <w:jc w:val="center"/>
      <w:outlineLvl w:val="0"/>
    </w:pPr>
    <w:rPr>
      <w:rFonts w:eastAsia="黑体" w:cs="Arial"/>
      <w:b/>
      <w:sz w:val="36"/>
    </w:rPr>
  </w:style>
  <w:style w:type="paragraph" w:customStyle="1" w:styleId="746">
    <w:name w:val="本文格式"/>
    <w:autoRedefine/>
    <w:qFormat/>
    <w:uiPriority w:val="0"/>
    <w:pPr>
      <w:widowControl w:val="0"/>
      <w:spacing w:line="360" w:lineRule="exact"/>
      <w:ind w:firstLine="476"/>
      <w:jc w:val="both"/>
    </w:pPr>
    <w:rPr>
      <w:rFonts w:ascii="Arial Unicode MS" w:hAnsi="Arial Unicode MS" w:eastAsia="Arial Unicode MS" w:cs="Arial Unicode MS"/>
      <w:color w:val="000000"/>
      <w:sz w:val="24"/>
      <w:szCs w:val="24"/>
      <w:lang w:val="en-US" w:eastAsia="zh-CN" w:bidi="ar-SA"/>
    </w:rPr>
  </w:style>
  <w:style w:type="paragraph" w:customStyle="1" w:styleId="747">
    <w:name w:val="11111111111"/>
    <w:basedOn w:val="1"/>
    <w:autoRedefine/>
    <w:qFormat/>
    <w:uiPriority w:val="0"/>
    <w:pPr>
      <w:spacing w:line="480" w:lineRule="exact"/>
      <w:ind w:firstLine="643" w:firstLineChars="200"/>
      <w:jc w:val="center"/>
    </w:pPr>
    <w:rPr>
      <w:rFonts w:eastAsia="黑体"/>
      <w:b/>
      <w:bCs/>
      <w:color w:val="000000"/>
      <w:sz w:val="44"/>
    </w:rPr>
  </w:style>
  <w:style w:type="paragraph" w:customStyle="1" w:styleId="748">
    <w:name w:val="33333333"/>
    <w:basedOn w:val="1"/>
    <w:autoRedefine/>
    <w:qFormat/>
    <w:uiPriority w:val="0"/>
    <w:pPr>
      <w:spacing w:line="500" w:lineRule="exact"/>
    </w:pPr>
    <w:rPr>
      <w:sz w:val="28"/>
      <w:szCs w:val="28"/>
    </w:rPr>
  </w:style>
  <w:style w:type="paragraph" w:customStyle="1" w:styleId="749">
    <w:name w:val="表内格式"/>
    <w:basedOn w:val="1"/>
    <w:autoRedefine/>
    <w:qFormat/>
    <w:uiPriority w:val="0"/>
    <w:pPr>
      <w:jc w:val="center"/>
    </w:pPr>
    <w:rPr>
      <w:sz w:val="18"/>
    </w:rPr>
  </w:style>
  <w:style w:type="paragraph" w:customStyle="1" w:styleId="750">
    <w:name w:val="_Style 158"/>
    <w:basedOn w:val="1"/>
    <w:next w:val="1"/>
    <w:autoRedefine/>
    <w:qFormat/>
    <w:uiPriority w:val="0"/>
    <w:rPr>
      <w:sz w:val="24"/>
    </w:rPr>
  </w:style>
  <w:style w:type="paragraph" w:customStyle="1" w:styleId="751">
    <w:name w:val="22222"/>
    <w:basedOn w:val="1"/>
    <w:autoRedefine/>
    <w:qFormat/>
    <w:uiPriority w:val="0"/>
    <w:pPr>
      <w:spacing w:before="240" w:beforeLines="100" w:line="360" w:lineRule="auto"/>
      <w:jc w:val="left"/>
      <w:outlineLvl w:val="1"/>
    </w:pPr>
    <w:rPr>
      <w:rFonts w:ascii="黑体" w:eastAsia="黑体"/>
      <w:b/>
      <w:sz w:val="30"/>
      <w:szCs w:val="30"/>
    </w:rPr>
  </w:style>
  <w:style w:type="paragraph" w:customStyle="1" w:styleId="752">
    <w:name w:val="WPSOffice手动目录 2"/>
    <w:autoRedefine/>
    <w:qFormat/>
    <w:uiPriority w:val="0"/>
    <w:pPr>
      <w:ind w:left="200" w:leftChars="200"/>
    </w:pPr>
    <w:rPr>
      <w:rFonts w:ascii="Times New Roman" w:hAnsi="Times New Roman" w:eastAsia="宋体" w:cs="Times New Roman"/>
      <w:lang w:val="en-US" w:eastAsia="zh-CN" w:bidi="ar-SA"/>
    </w:rPr>
  </w:style>
  <w:style w:type="paragraph" w:customStyle="1" w:styleId="753">
    <w:name w:val="君邦正文"/>
    <w:autoRedefine/>
    <w:qFormat/>
    <w:uiPriority w:val="0"/>
    <w:pPr>
      <w:widowControl w:val="0"/>
      <w:adjustRightInd w:val="0"/>
      <w:spacing w:after="60" w:line="360" w:lineRule="auto"/>
      <w:ind w:firstLine="480" w:firstLineChars="200"/>
      <w:jc w:val="both"/>
      <w:textAlignment w:val="baseline"/>
    </w:pPr>
    <w:rPr>
      <w:rFonts w:ascii="Times New Roman" w:hAnsi="Times New Roman" w:eastAsia="Times New Roman" w:cs="Times New Roman"/>
      <w:bCs/>
      <w:snapToGrid w:val="0"/>
      <w:sz w:val="24"/>
      <w:szCs w:val="22"/>
      <w:lang w:val="en-US" w:eastAsia="zh-CN" w:bidi="ar-SA"/>
    </w:rPr>
  </w:style>
  <w:style w:type="paragraph" w:customStyle="1" w:styleId="754">
    <w:name w:val="Normal_144"/>
    <w:autoRedefine/>
    <w:qFormat/>
    <w:uiPriority w:val="0"/>
    <w:pPr>
      <w:spacing w:before="120" w:after="240"/>
      <w:jc w:val="both"/>
    </w:pPr>
    <w:rPr>
      <w:rFonts w:ascii="Times New Roman" w:hAnsi="Times New Roman" w:eastAsia="Calibri" w:cs="Times New Roman"/>
      <w:sz w:val="22"/>
      <w:szCs w:val="22"/>
      <w:lang w:val="ru-RU" w:eastAsia="en-US" w:bidi="ar-SA"/>
    </w:rPr>
  </w:style>
  <w:style w:type="paragraph" w:customStyle="1" w:styleId="755">
    <w:name w:val="1级标题"/>
    <w:basedOn w:val="2"/>
    <w:autoRedefine/>
    <w:qFormat/>
    <w:uiPriority w:val="0"/>
    <w:pPr>
      <w:keepNext w:val="0"/>
      <w:overflowPunct/>
      <w:snapToGrid/>
      <w:spacing w:before="0" w:after="0" w:line="360" w:lineRule="auto"/>
      <w:ind w:left="0" w:firstLine="0"/>
      <w:jc w:val="center"/>
    </w:pPr>
    <w:rPr>
      <w:rFonts w:ascii="黑体" w:hAnsi="宋体"/>
      <w:b w:val="0"/>
      <w:bCs w:val="0"/>
      <w:color w:val="auto"/>
      <w:kern w:val="2"/>
    </w:rPr>
  </w:style>
  <w:style w:type="paragraph" w:customStyle="1" w:styleId="756">
    <w:name w:val="样式 首行缩进:  1.04 厘米"/>
    <w:autoRedefine/>
    <w:qFormat/>
    <w:uiPriority w:val="0"/>
    <w:pPr>
      <w:widowControl w:val="0"/>
      <w:spacing w:line="360" w:lineRule="auto"/>
    </w:pPr>
    <w:rPr>
      <w:rFonts w:ascii="Times New Roman" w:hAnsi="Times New Roman" w:eastAsia="Arial Unicode MS" w:cs="Arial Unicode MS"/>
      <w:color w:val="000000"/>
      <w:sz w:val="24"/>
      <w:szCs w:val="24"/>
      <w:lang w:val="en-US" w:eastAsia="zh-CN" w:bidi="ar-SA"/>
    </w:rPr>
  </w:style>
  <w:style w:type="paragraph" w:customStyle="1" w:styleId="757">
    <w:name w:val="表内小410"/>
    <w:basedOn w:val="1"/>
    <w:autoRedefine/>
    <w:qFormat/>
    <w:uiPriority w:val="0"/>
    <w:pPr>
      <w:adjustRightInd w:val="0"/>
      <w:snapToGrid w:val="0"/>
      <w:ind w:left="240" w:hanging="240"/>
    </w:pPr>
    <w:rPr>
      <w:rFonts w:ascii="宋体" w:hAnsi="Times"/>
      <w:sz w:val="24"/>
      <w:szCs w:val="20"/>
    </w:rPr>
  </w:style>
  <w:style w:type="paragraph" w:customStyle="1" w:styleId="758">
    <w:name w:val="表头样式1"/>
    <w:basedOn w:val="1"/>
    <w:autoRedefine/>
    <w:qFormat/>
    <w:uiPriority w:val="0"/>
    <w:pPr>
      <w:spacing w:before="156" w:beforeLines="50"/>
      <w:jc w:val="center"/>
    </w:pPr>
    <w:rPr>
      <w:rFonts w:eastAsia="黑体"/>
      <w:b/>
      <w:kern w:val="0"/>
      <w:sz w:val="24"/>
      <w:szCs w:val="20"/>
    </w:rPr>
  </w:style>
  <w:style w:type="paragraph" w:customStyle="1" w:styleId="759">
    <w:name w:val="3级标题"/>
    <w:basedOn w:val="5"/>
    <w:autoRedefine/>
    <w:qFormat/>
    <w:uiPriority w:val="0"/>
    <w:pPr>
      <w:keepNext w:val="0"/>
      <w:keepLines w:val="0"/>
      <w:tabs>
        <w:tab w:val="clear" w:pos="567"/>
      </w:tabs>
      <w:spacing w:before="0" w:after="0" w:line="360" w:lineRule="auto"/>
      <w:ind w:left="0" w:firstLine="0"/>
      <w:jc w:val="left"/>
    </w:pPr>
    <w:rPr>
      <w:rFonts w:ascii="黑体" w:hAnsi="Times New Roman"/>
      <w:b w:val="0"/>
      <w:kern w:val="0"/>
      <w:sz w:val="24"/>
      <w:szCs w:val="32"/>
    </w:rPr>
  </w:style>
  <w:style w:type="paragraph" w:customStyle="1" w:styleId="760">
    <w:name w:val="reader-word-layer reader-word-s48-8"/>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761">
    <w:name w:val="正文小四"/>
    <w:basedOn w:val="1"/>
    <w:autoRedefine/>
    <w:qFormat/>
    <w:uiPriority w:val="0"/>
    <w:pPr>
      <w:adjustRightInd w:val="0"/>
      <w:snapToGrid w:val="0"/>
      <w:spacing w:line="360" w:lineRule="auto"/>
      <w:ind w:firstLine="482" w:firstLineChars="200"/>
      <w:textAlignment w:val="baseline"/>
    </w:pPr>
    <w:rPr>
      <w:kern w:val="0"/>
      <w:sz w:val="24"/>
      <w:szCs w:val="20"/>
    </w:rPr>
  </w:style>
  <w:style w:type="character" w:customStyle="1" w:styleId="762">
    <w:name w:val="标题3"/>
    <w:autoRedefine/>
    <w:qFormat/>
    <w:uiPriority w:val="0"/>
  </w:style>
  <w:style w:type="table" w:customStyle="1" w:styleId="763">
    <w:name w:val="表格主题3"/>
    <w:basedOn w:val="6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64">
    <w:name w:val="网格型-3"/>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65">
    <w:name w:val="网格型 52"/>
    <w:basedOn w:val="63"/>
    <w:autoRedefine/>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66">
    <w:name w:val="典雅型4"/>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67">
    <w:name w:val="网格型 13"/>
    <w:basedOn w:val="63"/>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68">
    <w:name w:val="网格型42"/>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69">
    <w:name w:val="左右无边框2"/>
    <w:basedOn w:val="65"/>
    <w:autoRedefine/>
    <w:qFormat/>
    <w:uiPriority w:val="0"/>
    <w:pPr>
      <w:widowControl w:val="0"/>
      <w:jc w:val="both"/>
    </w:pPr>
    <w:tblPr>
      <w:tblBorders>
        <w:top w:val="single" w:color="auto" w:sz="12" w:space="0"/>
        <w:bottom w:val="single" w:color="auto" w:sz="12" w:space="0"/>
      </w:tblBorders>
    </w:tblPr>
  </w:style>
  <w:style w:type="table" w:customStyle="1" w:styleId="770">
    <w:name w:val="网格型32"/>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71">
    <w:name w:val="无左右边框型2"/>
    <w:basedOn w:val="64"/>
    <w:autoRedefine/>
    <w:qFormat/>
    <w:uiPriority w:val="0"/>
    <w:pPr>
      <w:widowControl w:val="0"/>
      <w:jc w:val="both"/>
    </w:pPr>
  </w:style>
  <w:style w:type="table" w:customStyle="1" w:styleId="772">
    <w:name w:val="典雅型22"/>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73">
    <w:name w:val="左右无边表格2"/>
    <w:basedOn w:val="63"/>
    <w:autoRedefine/>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774">
    <w:name w:val="典雅型12"/>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75">
    <w:name w:val="网格型22"/>
    <w:basedOn w:val="63"/>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76">
    <w:name w:val="网格型112"/>
    <w:basedOn w:val="63"/>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77">
    <w:name w:val="网格型122"/>
    <w:basedOn w:val="63"/>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78">
    <w:name w:val="网格型132"/>
    <w:basedOn w:val="63"/>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79">
    <w:name w:val="网格型52"/>
    <w:basedOn w:val="63"/>
    <w:autoRedefine/>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80">
    <w:name w:val="Char31"/>
    <w:basedOn w:val="1"/>
    <w:autoRedefine/>
    <w:qFormat/>
    <w:uiPriority w:val="0"/>
    <w:rPr>
      <w:sz w:val="24"/>
    </w:rPr>
  </w:style>
  <w:style w:type="paragraph" w:customStyle="1" w:styleId="781">
    <w:name w:val="纯文本4"/>
    <w:basedOn w:val="1"/>
    <w:autoRedefine/>
    <w:qFormat/>
    <w:uiPriority w:val="0"/>
    <w:pPr>
      <w:adjustRightInd w:val="0"/>
      <w:textAlignment w:val="baseline"/>
    </w:pPr>
    <w:rPr>
      <w:rFonts w:ascii="宋体" w:hAnsi="Courier New" w:eastAsia="仿宋_GB2312"/>
      <w:sz w:val="28"/>
      <w:szCs w:val="28"/>
    </w:rPr>
  </w:style>
  <w:style w:type="paragraph" w:customStyle="1" w:styleId="782">
    <w:name w:val="Char Char Char3"/>
    <w:basedOn w:val="1"/>
    <w:autoRedefine/>
    <w:qFormat/>
    <w:uiPriority w:val="0"/>
    <w:pPr>
      <w:spacing w:line="360" w:lineRule="auto"/>
    </w:pPr>
    <w:rPr>
      <w:rFonts w:ascii="Tahoma" w:hAnsi="Tahoma"/>
      <w:sz w:val="24"/>
      <w:szCs w:val="20"/>
    </w:rPr>
  </w:style>
  <w:style w:type="paragraph" w:customStyle="1" w:styleId="783">
    <w:name w:val="Char Char1 Char Char Char Char Char Char Char Char Char Char Char Char Char1"/>
    <w:basedOn w:val="1"/>
    <w:autoRedefine/>
    <w:qFormat/>
    <w:uiPriority w:val="0"/>
    <w:pPr>
      <w:spacing w:line="360" w:lineRule="auto"/>
    </w:pPr>
    <w:rPr>
      <w:rFonts w:ascii="Tahoma" w:hAnsi="Tahoma"/>
      <w:sz w:val="24"/>
      <w:szCs w:val="20"/>
    </w:rPr>
  </w:style>
  <w:style w:type="paragraph" w:customStyle="1" w:styleId="784">
    <w:name w:val="Char Char Char Char Char Char Char3"/>
    <w:basedOn w:val="1"/>
    <w:autoRedefine/>
    <w:qFormat/>
    <w:uiPriority w:val="0"/>
    <w:rPr>
      <w:sz w:val="24"/>
    </w:rPr>
  </w:style>
  <w:style w:type="paragraph" w:customStyle="1" w:styleId="785">
    <w:name w:val="Char13"/>
    <w:basedOn w:val="1"/>
    <w:autoRedefine/>
    <w:qFormat/>
    <w:uiPriority w:val="0"/>
    <w:pPr>
      <w:widowControl/>
      <w:spacing w:line="360" w:lineRule="auto"/>
      <w:ind w:firstLine="200" w:firstLineChars="200"/>
      <w:jc w:val="left"/>
    </w:pPr>
    <w:rPr>
      <w:kern w:val="0"/>
      <w:sz w:val="24"/>
      <w:szCs w:val="20"/>
    </w:rPr>
  </w:style>
  <w:style w:type="paragraph" w:customStyle="1" w:styleId="786">
    <w:name w:val="日期3"/>
    <w:basedOn w:val="1"/>
    <w:next w:val="1"/>
    <w:autoRedefine/>
    <w:qFormat/>
    <w:uiPriority w:val="0"/>
    <w:pPr>
      <w:adjustRightInd w:val="0"/>
      <w:textAlignment w:val="baseline"/>
    </w:pPr>
    <w:rPr>
      <w:sz w:val="28"/>
      <w:szCs w:val="20"/>
    </w:rPr>
  </w:style>
  <w:style w:type="table" w:customStyle="1" w:styleId="787">
    <w:name w:val="网格型62"/>
    <w:basedOn w:val="63"/>
    <w:autoRedefine/>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8">
    <w:name w:val="网格型71"/>
    <w:basedOn w:val="6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9">
    <w:name w:val="网格型81"/>
    <w:basedOn w:val="63"/>
    <w:autoRedefine/>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90">
    <w:name w:val="网格型91"/>
    <w:basedOn w:val="63"/>
    <w:autoRedefine/>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91">
    <w:name w:val="网格型 112"/>
    <w:basedOn w:val="63"/>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92">
    <w:name w:val="典雅型32"/>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93">
    <w:name w:val="网格型 512"/>
    <w:basedOn w:val="63"/>
    <w:autoRedefine/>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94">
    <w:name w:val="典雅型212"/>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95">
    <w:name w:val="典雅型112"/>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96">
    <w:name w:val="MFS表格1"/>
    <w:autoRedefine/>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797">
    <w:name w:val="王新建1"/>
    <w:autoRedefine/>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798">
    <w:name w:val="表格主题4"/>
    <w:basedOn w:val="6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99">
    <w:name w:val="网格型-4"/>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0">
    <w:name w:val="网格型 53"/>
    <w:basedOn w:val="63"/>
    <w:autoRedefine/>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01">
    <w:name w:val="典雅型5"/>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02">
    <w:name w:val="网格型 14"/>
    <w:basedOn w:val="63"/>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03">
    <w:name w:val="网格型43"/>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4">
    <w:name w:val="左右无边框3"/>
    <w:basedOn w:val="65"/>
    <w:autoRedefine/>
    <w:qFormat/>
    <w:uiPriority w:val="0"/>
    <w:pPr>
      <w:widowControl w:val="0"/>
      <w:jc w:val="both"/>
    </w:pPr>
    <w:tblPr>
      <w:tblBorders>
        <w:top w:val="single" w:color="auto" w:sz="12" w:space="0"/>
        <w:bottom w:val="single" w:color="auto" w:sz="12" w:space="0"/>
      </w:tblBorders>
    </w:tblPr>
  </w:style>
  <w:style w:type="table" w:customStyle="1" w:styleId="805">
    <w:name w:val="网格型33"/>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6">
    <w:name w:val="无左右边框型3"/>
    <w:basedOn w:val="64"/>
    <w:autoRedefine/>
    <w:qFormat/>
    <w:uiPriority w:val="0"/>
    <w:pPr>
      <w:widowControl w:val="0"/>
      <w:jc w:val="both"/>
    </w:pPr>
  </w:style>
  <w:style w:type="table" w:customStyle="1" w:styleId="807">
    <w:name w:val="典雅型23"/>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08">
    <w:name w:val="左右无边表格3"/>
    <w:basedOn w:val="63"/>
    <w:autoRedefine/>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09">
    <w:name w:val="典雅型13"/>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10">
    <w:name w:val="网格型23"/>
    <w:basedOn w:val="63"/>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1">
    <w:name w:val="网格型113"/>
    <w:basedOn w:val="63"/>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2">
    <w:name w:val="网格型123"/>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3">
    <w:name w:val="网格型133"/>
    <w:basedOn w:val="63"/>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4">
    <w:name w:val="网格型53"/>
    <w:basedOn w:val="63"/>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5">
    <w:name w:val="网格型63"/>
    <w:basedOn w:val="63"/>
    <w:autoRedefine/>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6">
    <w:name w:val="网格型72"/>
    <w:basedOn w:val="6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7">
    <w:name w:val="网格型82"/>
    <w:basedOn w:val="63"/>
    <w:autoRedefine/>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8">
    <w:name w:val="网格型92"/>
    <w:basedOn w:val="63"/>
    <w:autoRedefine/>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9">
    <w:name w:val="网格型 113"/>
    <w:basedOn w:val="63"/>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20">
    <w:name w:val="典雅型33"/>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21">
    <w:name w:val="网格型 513"/>
    <w:basedOn w:val="63"/>
    <w:autoRedefine/>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22">
    <w:name w:val="典雅型213"/>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23">
    <w:name w:val="典雅型113"/>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24">
    <w:name w:val="MFS表格2"/>
    <w:autoRedefine/>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825">
    <w:name w:val="王新建2"/>
    <w:autoRedefine/>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paragraph" w:customStyle="1" w:styleId="826">
    <w:name w:val="TOC 标题3"/>
    <w:basedOn w:val="2"/>
    <w:next w:val="1"/>
    <w:autoRedefine/>
    <w:unhideWhenUsed/>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827">
    <w:name w:val="网格型 15"/>
    <w:basedOn w:val="63"/>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rFonts w:cs="Times New Roman"/>
        <w:i/>
        <w:iCs/>
      </w:rPr>
      <w:tcPr>
        <w:tcBorders>
          <w:top w:val="nil"/>
          <w:left w:val="nil"/>
          <w:bottom w:val="nil"/>
          <w:right w:val="nil"/>
          <w:insideH w:val="nil"/>
          <w:insideV w:val="nil"/>
          <w:tl2br w:val="nil"/>
          <w:tr2bl w:val="nil"/>
        </w:tcBorders>
      </w:tcPr>
    </w:tblStylePr>
    <w:tblStylePr w:type="lastCol">
      <w:rPr>
        <w:rFonts w:cs="Times New Roman"/>
        <w:i/>
        <w:i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828">
    <w:name w:val="网格型-5"/>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9">
    <w:name w:val="表格主题5"/>
    <w:basedOn w:val="63"/>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0">
    <w:name w:val="ylf1"/>
    <w:basedOn w:val="65"/>
    <w:autoRedefine/>
    <w:qFormat/>
    <w:uiPriority w:val="99"/>
    <w:pPr>
      <w:widowControl w:val="0"/>
      <w:jc w:val="center"/>
    </w:pPr>
    <w:rPr>
      <w:sz w:val="21"/>
      <w:szCs w:val="21"/>
    </w:rPr>
    <w:tblPr>
      <w:tblBorders>
        <w:top w:val="single" w:color="auto" w:sz="12" w:space="0"/>
        <w:bottom w:val="single" w:color="auto" w:sz="12" w:space="0"/>
      </w:tblBorders>
    </w:tblPr>
  </w:style>
  <w:style w:type="table" w:customStyle="1" w:styleId="831">
    <w:name w:val="表格主题11"/>
    <w:basedOn w:val="6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2">
    <w:name w:val="网格型-11"/>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3">
    <w:name w:val="网格型 54"/>
    <w:basedOn w:val="63"/>
    <w:autoRedefine/>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34">
    <w:name w:val="典雅型6"/>
    <w:basedOn w:val="63"/>
    <w:autoRedefine/>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35">
    <w:name w:val="网格型 114"/>
    <w:basedOn w:val="63"/>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36">
    <w:name w:val="网格型44"/>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7">
    <w:name w:val="左右无边框4"/>
    <w:basedOn w:val="65"/>
    <w:autoRedefine/>
    <w:qFormat/>
    <w:uiPriority w:val="0"/>
    <w:pPr>
      <w:widowControl w:val="0"/>
      <w:jc w:val="both"/>
    </w:pPr>
    <w:tblPr>
      <w:tblBorders>
        <w:top w:val="single" w:color="auto" w:sz="12" w:space="0"/>
        <w:bottom w:val="single" w:color="auto" w:sz="12" w:space="0"/>
      </w:tblBorders>
    </w:tblPr>
  </w:style>
  <w:style w:type="table" w:customStyle="1" w:styleId="838">
    <w:name w:val="网格型34"/>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9">
    <w:name w:val="无左右边框型4"/>
    <w:basedOn w:val="64"/>
    <w:qFormat/>
    <w:uiPriority w:val="0"/>
    <w:pPr>
      <w:widowControl w:val="0"/>
      <w:jc w:val="both"/>
    </w:pPr>
  </w:style>
  <w:style w:type="table" w:customStyle="1" w:styleId="840">
    <w:name w:val="典雅型24"/>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41">
    <w:name w:val="左右无边表格4"/>
    <w:basedOn w:val="63"/>
    <w:autoRedefine/>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42">
    <w:name w:val="典雅型14"/>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43">
    <w:name w:val="网格型24"/>
    <w:basedOn w:val="63"/>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4">
    <w:name w:val="网格型114"/>
    <w:basedOn w:val="63"/>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45">
    <w:name w:val="网格型124"/>
    <w:basedOn w:val="63"/>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46">
    <w:name w:val="网格型134"/>
    <w:basedOn w:val="63"/>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47">
    <w:name w:val="网格型54"/>
    <w:basedOn w:val="63"/>
    <w:autoRedefine/>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8">
    <w:name w:val="网格型64"/>
    <w:basedOn w:val="63"/>
    <w:autoRedefine/>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9">
    <w:name w:val="表格主题21"/>
    <w:basedOn w:val="6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0">
    <w:name w:val="网格型-21"/>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1">
    <w:name w:val="网格型 514"/>
    <w:basedOn w:val="63"/>
    <w:autoRedefine/>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52">
    <w:name w:val="典雅型34"/>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53">
    <w:name w:val="网格型 121"/>
    <w:basedOn w:val="63"/>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54">
    <w:name w:val="网格型411"/>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5">
    <w:name w:val="左右无边框11"/>
    <w:basedOn w:val="65"/>
    <w:autoRedefine/>
    <w:qFormat/>
    <w:uiPriority w:val="0"/>
    <w:pPr>
      <w:widowControl w:val="0"/>
      <w:jc w:val="both"/>
    </w:pPr>
    <w:tblPr>
      <w:tblBorders>
        <w:top w:val="single" w:color="auto" w:sz="12" w:space="0"/>
        <w:bottom w:val="single" w:color="auto" w:sz="12" w:space="0"/>
      </w:tblBorders>
    </w:tblPr>
  </w:style>
  <w:style w:type="table" w:customStyle="1" w:styleId="856">
    <w:name w:val="网格型311"/>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7">
    <w:name w:val="无左右边框型11"/>
    <w:basedOn w:val="64"/>
    <w:autoRedefine/>
    <w:qFormat/>
    <w:uiPriority w:val="0"/>
    <w:pPr>
      <w:widowControl w:val="0"/>
      <w:jc w:val="both"/>
    </w:pPr>
  </w:style>
  <w:style w:type="table" w:customStyle="1" w:styleId="858">
    <w:name w:val="典雅型214"/>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59">
    <w:name w:val="左右无边表格11"/>
    <w:basedOn w:val="63"/>
    <w:autoRedefine/>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60">
    <w:name w:val="典雅型114"/>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61">
    <w:name w:val="网格型211"/>
    <w:basedOn w:val="63"/>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2">
    <w:name w:val="网格型1111"/>
    <w:basedOn w:val="63"/>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63">
    <w:name w:val="网格型1211"/>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64">
    <w:name w:val="网格型1311"/>
    <w:basedOn w:val="63"/>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65">
    <w:name w:val="网格型511"/>
    <w:basedOn w:val="63"/>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6">
    <w:name w:val="网格型611"/>
    <w:basedOn w:val="6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7">
    <w:name w:val="网格型73"/>
    <w:basedOn w:val="6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8">
    <w:name w:val="网格型83"/>
    <w:basedOn w:val="63"/>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69">
    <w:name w:val="网格型93"/>
    <w:basedOn w:val="63"/>
    <w:autoRedefine/>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70">
    <w:name w:val="网格型 1111"/>
    <w:basedOn w:val="63"/>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71">
    <w:name w:val="典雅型311"/>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72">
    <w:name w:val="网格型 5111"/>
    <w:basedOn w:val="63"/>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73">
    <w:name w:val="典雅型2111"/>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74">
    <w:name w:val="典雅型1111"/>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75">
    <w:name w:val="MFS表格3"/>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876">
    <w:name w:val="王新建3"/>
    <w:autoRedefine/>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877">
    <w:name w:val="表格主题31"/>
    <w:basedOn w:val="6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78">
    <w:name w:val="网格型-31"/>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79">
    <w:name w:val="网格型 521"/>
    <w:basedOn w:val="63"/>
    <w:autoRedefine/>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80">
    <w:name w:val="典雅型41"/>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81">
    <w:name w:val="网格型 131"/>
    <w:basedOn w:val="63"/>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82">
    <w:name w:val="网格型421"/>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3">
    <w:name w:val="左右无边框21"/>
    <w:basedOn w:val="65"/>
    <w:autoRedefine/>
    <w:qFormat/>
    <w:uiPriority w:val="0"/>
    <w:pPr>
      <w:widowControl w:val="0"/>
      <w:jc w:val="both"/>
    </w:pPr>
    <w:tblPr>
      <w:tblBorders>
        <w:top w:val="single" w:color="auto" w:sz="12" w:space="0"/>
        <w:bottom w:val="single" w:color="auto" w:sz="12" w:space="0"/>
      </w:tblBorders>
    </w:tblPr>
  </w:style>
  <w:style w:type="table" w:customStyle="1" w:styleId="884">
    <w:name w:val="网格型321"/>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5">
    <w:name w:val="无左右边框型21"/>
    <w:basedOn w:val="64"/>
    <w:autoRedefine/>
    <w:qFormat/>
    <w:uiPriority w:val="0"/>
    <w:pPr>
      <w:widowControl w:val="0"/>
      <w:jc w:val="both"/>
    </w:pPr>
  </w:style>
  <w:style w:type="table" w:customStyle="1" w:styleId="886">
    <w:name w:val="典雅型221"/>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87">
    <w:name w:val="左右无边表格21"/>
    <w:basedOn w:val="63"/>
    <w:autoRedefine/>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88">
    <w:name w:val="典雅型121"/>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89">
    <w:name w:val="网格型221"/>
    <w:basedOn w:val="63"/>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0">
    <w:name w:val="网格型1121"/>
    <w:basedOn w:val="63"/>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1">
    <w:name w:val="网格型1221"/>
    <w:basedOn w:val="63"/>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2">
    <w:name w:val="网格型1321"/>
    <w:basedOn w:val="63"/>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3">
    <w:name w:val="网格型521"/>
    <w:basedOn w:val="63"/>
    <w:autoRedefine/>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4">
    <w:name w:val="网格型621"/>
    <w:basedOn w:val="63"/>
    <w:autoRedefine/>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5">
    <w:name w:val="网格型711"/>
    <w:basedOn w:val="6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6">
    <w:name w:val="网格型811"/>
    <w:basedOn w:val="63"/>
    <w:autoRedefine/>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7">
    <w:name w:val="网格型911"/>
    <w:basedOn w:val="63"/>
    <w:autoRedefine/>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8">
    <w:name w:val="网格型 1121"/>
    <w:basedOn w:val="63"/>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99">
    <w:name w:val="典雅型321"/>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00">
    <w:name w:val="网格型 5121"/>
    <w:basedOn w:val="63"/>
    <w:autoRedefine/>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01">
    <w:name w:val="典雅型2121"/>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02">
    <w:name w:val="典雅型1121"/>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03">
    <w:name w:val="MFS表格11"/>
    <w:autoRedefine/>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04">
    <w:name w:val="王新建11"/>
    <w:autoRedefine/>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905">
    <w:name w:val="表格主题41"/>
    <w:basedOn w:val="6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6">
    <w:name w:val="网格型-41"/>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7">
    <w:name w:val="网格型 531"/>
    <w:basedOn w:val="63"/>
    <w:autoRedefine/>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08">
    <w:name w:val="典雅型51"/>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09">
    <w:name w:val="网格型 141"/>
    <w:basedOn w:val="63"/>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10">
    <w:name w:val="网格型431"/>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1">
    <w:name w:val="左右无边框31"/>
    <w:basedOn w:val="65"/>
    <w:autoRedefine/>
    <w:qFormat/>
    <w:uiPriority w:val="0"/>
    <w:pPr>
      <w:widowControl w:val="0"/>
      <w:jc w:val="both"/>
    </w:pPr>
    <w:tblPr>
      <w:tblBorders>
        <w:top w:val="single" w:color="auto" w:sz="12" w:space="0"/>
        <w:bottom w:val="single" w:color="auto" w:sz="12" w:space="0"/>
      </w:tblBorders>
    </w:tblPr>
  </w:style>
  <w:style w:type="table" w:customStyle="1" w:styleId="912">
    <w:name w:val="网格型331"/>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3">
    <w:name w:val="无左右边框型31"/>
    <w:basedOn w:val="64"/>
    <w:autoRedefine/>
    <w:qFormat/>
    <w:uiPriority w:val="0"/>
    <w:pPr>
      <w:widowControl w:val="0"/>
      <w:jc w:val="both"/>
    </w:pPr>
  </w:style>
  <w:style w:type="table" w:customStyle="1" w:styleId="914">
    <w:name w:val="典雅型231"/>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15">
    <w:name w:val="左右无边表格31"/>
    <w:basedOn w:val="63"/>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16">
    <w:name w:val="典雅型131"/>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17">
    <w:name w:val="网格型231"/>
    <w:basedOn w:val="63"/>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8">
    <w:name w:val="网格型1131"/>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19">
    <w:name w:val="网格型1231"/>
    <w:basedOn w:val="63"/>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20">
    <w:name w:val="网格型1331"/>
    <w:basedOn w:val="63"/>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21">
    <w:name w:val="网格型531"/>
    <w:basedOn w:val="63"/>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2">
    <w:name w:val="网格型631"/>
    <w:basedOn w:val="6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3">
    <w:name w:val="网格型721"/>
    <w:basedOn w:val="6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4">
    <w:name w:val="网格型821"/>
    <w:basedOn w:val="63"/>
    <w:autoRedefine/>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25">
    <w:name w:val="网格型921"/>
    <w:basedOn w:val="63"/>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26">
    <w:name w:val="网格型 1131"/>
    <w:basedOn w:val="63"/>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27">
    <w:name w:val="典雅型331"/>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28">
    <w:name w:val="网格型 5131"/>
    <w:basedOn w:val="63"/>
    <w:autoRedefine/>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29">
    <w:name w:val="典雅型2131"/>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30">
    <w:name w:val="典雅型1131"/>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31">
    <w:name w:val="MFS表格21"/>
    <w:autoRedefine/>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32">
    <w:name w:val="王新建21"/>
    <w:autoRedefine/>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paragraph" w:customStyle="1" w:styleId="933">
    <w:name w:val="正文_34"/>
    <w:autoRedefine/>
    <w:qFormat/>
    <w:uiPriority w:val="0"/>
    <w:pPr>
      <w:widowControl w:val="0"/>
      <w:jc w:val="both"/>
    </w:pPr>
    <w:rPr>
      <w:rFonts w:ascii="Calibri" w:hAnsi="Calibri" w:eastAsia="宋体" w:cs="Times New Roman"/>
      <w:kern w:val="2"/>
      <w:sz w:val="21"/>
      <w:lang w:val="en-US" w:eastAsia="zh-CN" w:bidi="ar-SA"/>
    </w:rPr>
  </w:style>
  <w:style w:type="table" w:customStyle="1" w:styleId="934">
    <w:name w:val="网格型 16"/>
    <w:basedOn w:val="63"/>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rFonts w:cs="Times New Roman"/>
        <w:i/>
        <w:iCs/>
      </w:rPr>
      <w:tcPr>
        <w:tcBorders>
          <w:top w:val="nil"/>
          <w:left w:val="nil"/>
          <w:bottom w:val="nil"/>
          <w:right w:val="nil"/>
          <w:insideH w:val="nil"/>
          <w:insideV w:val="nil"/>
          <w:tl2br w:val="nil"/>
          <w:tr2bl w:val="nil"/>
        </w:tcBorders>
      </w:tcPr>
    </w:tblStylePr>
    <w:tblStylePr w:type="lastCol">
      <w:rPr>
        <w:rFonts w:cs="Times New Roman"/>
        <w:i/>
        <w:i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935">
    <w:name w:val="网格型-6"/>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6">
    <w:name w:val="表格主题6"/>
    <w:basedOn w:val="63"/>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7">
    <w:name w:val="ylf2"/>
    <w:basedOn w:val="65"/>
    <w:qFormat/>
    <w:uiPriority w:val="99"/>
    <w:pPr>
      <w:widowControl w:val="0"/>
      <w:jc w:val="center"/>
    </w:pPr>
    <w:rPr>
      <w:sz w:val="21"/>
      <w:szCs w:val="21"/>
    </w:rPr>
    <w:tblPr>
      <w:tblBorders>
        <w:top w:val="single" w:color="auto" w:sz="12" w:space="0"/>
        <w:bottom w:val="single" w:color="auto" w:sz="12" w:space="0"/>
      </w:tblBorders>
    </w:tblPr>
  </w:style>
  <w:style w:type="table" w:customStyle="1" w:styleId="938">
    <w:name w:val="表格主题12"/>
    <w:basedOn w:val="6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9">
    <w:name w:val="网格型-12"/>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0">
    <w:name w:val="网格型 55"/>
    <w:basedOn w:val="63"/>
    <w:autoRedefine/>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41">
    <w:name w:val="典雅型7"/>
    <w:basedOn w:val="63"/>
    <w:autoRedefine/>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42">
    <w:name w:val="网格型 115"/>
    <w:basedOn w:val="63"/>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43">
    <w:name w:val="网格型45"/>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4">
    <w:name w:val="左右无边框5"/>
    <w:basedOn w:val="65"/>
    <w:autoRedefine/>
    <w:qFormat/>
    <w:uiPriority w:val="0"/>
    <w:pPr>
      <w:widowControl w:val="0"/>
      <w:jc w:val="both"/>
    </w:pPr>
    <w:tblPr>
      <w:tblBorders>
        <w:top w:val="single" w:color="auto" w:sz="12" w:space="0"/>
        <w:bottom w:val="single" w:color="auto" w:sz="12" w:space="0"/>
      </w:tblBorders>
    </w:tblPr>
  </w:style>
  <w:style w:type="table" w:customStyle="1" w:styleId="945">
    <w:name w:val="网格型35"/>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6">
    <w:name w:val="无左右边框型5"/>
    <w:basedOn w:val="64"/>
    <w:qFormat/>
    <w:uiPriority w:val="0"/>
    <w:pPr>
      <w:widowControl w:val="0"/>
      <w:jc w:val="both"/>
    </w:pPr>
  </w:style>
  <w:style w:type="table" w:customStyle="1" w:styleId="947">
    <w:name w:val="典雅型25"/>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48">
    <w:name w:val="左右无边表格5"/>
    <w:basedOn w:val="63"/>
    <w:autoRedefine/>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49">
    <w:name w:val="典雅型15"/>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50">
    <w:name w:val="网格型25"/>
    <w:basedOn w:val="63"/>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1">
    <w:name w:val="网格型115"/>
    <w:basedOn w:val="63"/>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52">
    <w:name w:val="网格型125"/>
    <w:basedOn w:val="63"/>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53">
    <w:name w:val="网格型135"/>
    <w:basedOn w:val="63"/>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54">
    <w:name w:val="网格型55"/>
    <w:basedOn w:val="63"/>
    <w:autoRedefine/>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5">
    <w:name w:val="网格型65"/>
    <w:basedOn w:val="63"/>
    <w:autoRedefine/>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6">
    <w:name w:val="表格主题22"/>
    <w:basedOn w:val="6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7">
    <w:name w:val="网格型-22"/>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8">
    <w:name w:val="网格型 515"/>
    <w:basedOn w:val="63"/>
    <w:autoRedefine/>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59">
    <w:name w:val="典雅型35"/>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60">
    <w:name w:val="网格型 122"/>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61">
    <w:name w:val="网格型412"/>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2">
    <w:name w:val="左右无边框12"/>
    <w:basedOn w:val="65"/>
    <w:qFormat/>
    <w:uiPriority w:val="0"/>
    <w:pPr>
      <w:widowControl w:val="0"/>
      <w:jc w:val="both"/>
    </w:pPr>
    <w:tblPr>
      <w:tblBorders>
        <w:top w:val="single" w:color="auto" w:sz="12" w:space="0"/>
        <w:bottom w:val="single" w:color="auto" w:sz="12" w:space="0"/>
      </w:tblBorders>
    </w:tblPr>
  </w:style>
  <w:style w:type="table" w:customStyle="1" w:styleId="963">
    <w:name w:val="网格型312"/>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4">
    <w:name w:val="无左右边框型12"/>
    <w:basedOn w:val="64"/>
    <w:qFormat/>
    <w:uiPriority w:val="0"/>
    <w:pPr>
      <w:widowControl w:val="0"/>
      <w:jc w:val="both"/>
    </w:pPr>
  </w:style>
  <w:style w:type="table" w:customStyle="1" w:styleId="965">
    <w:name w:val="典雅型215"/>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66">
    <w:name w:val="左右无边表格12"/>
    <w:basedOn w:val="63"/>
    <w:autoRedefine/>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67">
    <w:name w:val="典雅型115"/>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68">
    <w:name w:val="网格型212"/>
    <w:basedOn w:val="6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9">
    <w:name w:val="网格型1112"/>
    <w:basedOn w:val="63"/>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0">
    <w:name w:val="网格型1212"/>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1">
    <w:name w:val="网格型1312"/>
    <w:basedOn w:val="63"/>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2">
    <w:name w:val="网格型512"/>
    <w:basedOn w:val="63"/>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3">
    <w:name w:val="网格型612"/>
    <w:basedOn w:val="63"/>
    <w:autoRedefine/>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4">
    <w:name w:val="网格型74"/>
    <w:basedOn w:val="6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5">
    <w:name w:val="网格型84"/>
    <w:basedOn w:val="63"/>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6">
    <w:name w:val="网格型94"/>
    <w:basedOn w:val="63"/>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7">
    <w:name w:val="网格型 1112"/>
    <w:basedOn w:val="63"/>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78">
    <w:name w:val="典雅型31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79">
    <w:name w:val="网格型 5112"/>
    <w:basedOn w:val="63"/>
    <w:autoRedefine/>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80">
    <w:name w:val="典雅型211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81">
    <w:name w:val="典雅型1112"/>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82">
    <w:name w:val="MFS表格4"/>
    <w:autoRedefine/>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83">
    <w:name w:val="王新建4"/>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984">
    <w:name w:val="表格主题32"/>
    <w:basedOn w:val="6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85">
    <w:name w:val="网格型-32"/>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86">
    <w:name w:val="网格型 522"/>
    <w:basedOn w:val="63"/>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87">
    <w:name w:val="典雅型42"/>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88">
    <w:name w:val="网格型 132"/>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89">
    <w:name w:val="网格型422"/>
    <w:basedOn w:val="6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90">
    <w:name w:val="左右无边框22"/>
    <w:basedOn w:val="65"/>
    <w:autoRedefine/>
    <w:qFormat/>
    <w:uiPriority w:val="0"/>
    <w:pPr>
      <w:widowControl w:val="0"/>
      <w:jc w:val="both"/>
    </w:pPr>
    <w:tblPr>
      <w:tblBorders>
        <w:top w:val="single" w:color="auto" w:sz="12" w:space="0"/>
        <w:bottom w:val="single" w:color="auto" w:sz="12" w:space="0"/>
      </w:tblBorders>
    </w:tblPr>
  </w:style>
  <w:style w:type="table" w:customStyle="1" w:styleId="991">
    <w:name w:val="网格型322"/>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92">
    <w:name w:val="无左右边框型22"/>
    <w:basedOn w:val="64"/>
    <w:qFormat/>
    <w:uiPriority w:val="0"/>
    <w:pPr>
      <w:widowControl w:val="0"/>
      <w:jc w:val="both"/>
    </w:pPr>
  </w:style>
  <w:style w:type="table" w:customStyle="1" w:styleId="993">
    <w:name w:val="典雅型222"/>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94">
    <w:name w:val="左右无边表格22"/>
    <w:basedOn w:val="63"/>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95">
    <w:name w:val="典雅型122"/>
    <w:basedOn w:val="63"/>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96">
    <w:name w:val="网格型222"/>
    <w:basedOn w:val="6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97">
    <w:name w:val="网格型1122"/>
    <w:basedOn w:val="63"/>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98">
    <w:name w:val="网格型1222"/>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99">
    <w:name w:val="网格型1322"/>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00">
    <w:name w:val="网格型522"/>
    <w:basedOn w:val="63"/>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01">
    <w:name w:val="网格型622"/>
    <w:basedOn w:val="6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02">
    <w:name w:val="网格型712"/>
    <w:basedOn w:val="6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03">
    <w:name w:val="网格型812"/>
    <w:basedOn w:val="63"/>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04">
    <w:name w:val="网格型912"/>
    <w:basedOn w:val="63"/>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05">
    <w:name w:val="网格型 1122"/>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06">
    <w:name w:val="典雅型32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07">
    <w:name w:val="网格型 5122"/>
    <w:basedOn w:val="63"/>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08">
    <w:name w:val="典雅型212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09">
    <w:name w:val="典雅型112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10">
    <w:name w:val="MFS表格1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1011">
    <w:name w:val="王新建1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1012">
    <w:name w:val="表格主题42"/>
    <w:basedOn w:val="6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3">
    <w:name w:val="网格型-42"/>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4">
    <w:name w:val="网格型 532"/>
    <w:basedOn w:val="63"/>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15">
    <w:name w:val="典雅型5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16">
    <w:name w:val="网格型 142"/>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17">
    <w:name w:val="网格型432"/>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8">
    <w:name w:val="左右无边框32"/>
    <w:basedOn w:val="65"/>
    <w:qFormat/>
    <w:uiPriority w:val="0"/>
    <w:pPr>
      <w:widowControl w:val="0"/>
      <w:jc w:val="both"/>
    </w:pPr>
    <w:tblPr>
      <w:tblBorders>
        <w:top w:val="single" w:color="auto" w:sz="12" w:space="0"/>
        <w:bottom w:val="single" w:color="auto" w:sz="12" w:space="0"/>
      </w:tblBorders>
    </w:tblPr>
  </w:style>
  <w:style w:type="table" w:customStyle="1" w:styleId="1019">
    <w:name w:val="网格型332"/>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0">
    <w:name w:val="无左右边框型32"/>
    <w:basedOn w:val="64"/>
    <w:qFormat/>
    <w:uiPriority w:val="0"/>
    <w:pPr>
      <w:widowControl w:val="0"/>
      <w:jc w:val="both"/>
    </w:pPr>
  </w:style>
  <w:style w:type="table" w:customStyle="1" w:styleId="1021">
    <w:name w:val="典雅型23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22">
    <w:name w:val="左右无边表格32"/>
    <w:basedOn w:val="63"/>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1023">
    <w:name w:val="典雅型13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24">
    <w:name w:val="网格型232"/>
    <w:basedOn w:val="6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5">
    <w:name w:val="网格型1132"/>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6">
    <w:name w:val="网格型1232"/>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7">
    <w:name w:val="网格型1332"/>
    <w:basedOn w:val="6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8">
    <w:name w:val="网格型532"/>
    <w:basedOn w:val="63"/>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9">
    <w:name w:val="网格型632"/>
    <w:basedOn w:val="6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30">
    <w:name w:val="网格型722"/>
    <w:basedOn w:val="6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31">
    <w:name w:val="网格型822"/>
    <w:basedOn w:val="63"/>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32">
    <w:name w:val="网格型922"/>
    <w:basedOn w:val="63"/>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33">
    <w:name w:val="网格型 1132"/>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34">
    <w:name w:val="典雅型33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35">
    <w:name w:val="网格型 5132"/>
    <w:basedOn w:val="63"/>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36">
    <w:name w:val="典雅型213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37">
    <w:name w:val="典雅型1132"/>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38">
    <w:name w:val="MFS表格2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1039">
    <w:name w:val="王新建2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1040">
    <w:name w:val="网格型-7"/>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41">
    <w:name w:val="正文+宋体1"/>
    <w:basedOn w:val="6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42">
    <w:name w:val="ylf3"/>
    <w:basedOn w:val="65"/>
    <w:qFormat/>
    <w:uiPriority w:val="0"/>
    <w:pPr>
      <w:widowControl w:val="0"/>
      <w:jc w:val="center"/>
    </w:pPr>
    <w:rPr>
      <w:sz w:val="21"/>
      <w:szCs w:val="21"/>
    </w:rPr>
    <w:tblPr>
      <w:tblBorders>
        <w:top w:val="single" w:color="auto" w:sz="12" w:space="0"/>
        <w:bottom w:val="single" w:color="auto" w:sz="12" w:space="0"/>
      </w:tblBorders>
    </w:tblPr>
    <w:tcPr>
      <w:vAlign w:val="center"/>
    </w:tcPr>
  </w:style>
  <w:style w:type="table" w:customStyle="1" w:styleId="1043">
    <w:name w:val="表格主题7"/>
    <w:basedOn w:val="6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44">
    <w:name w:val="Char Char Char1 Char Char Char2"/>
    <w:basedOn w:val="1"/>
    <w:qFormat/>
    <w:uiPriority w:val="0"/>
    <w:rPr>
      <w:rFonts w:ascii="Courier New" w:hAnsi="Courier New" w:eastAsia="仿宋" w:cs="Courier New"/>
      <w:sz w:val="24"/>
    </w:rPr>
  </w:style>
  <w:style w:type="paragraph" w:customStyle="1" w:styleId="1045">
    <w:name w:val="Char Char Char1 Char Char Char6"/>
    <w:basedOn w:val="1"/>
    <w:qFormat/>
    <w:uiPriority w:val="0"/>
    <w:rPr>
      <w:rFonts w:ascii="Courier New" w:hAnsi="Courier New" w:eastAsia="仿宋" w:cs="Courier New"/>
      <w:sz w:val="24"/>
    </w:rPr>
  </w:style>
  <w:style w:type="character" w:customStyle="1" w:styleId="1046">
    <w:name w:val="正文1 Char1"/>
    <w:qFormat/>
    <w:uiPriority w:val="0"/>
    <w:rPr>
      <w:rFonts w:eastAsia="楷体_GB2312"/>
      <w:sz w:val="32"/>
    </w:rPr>
  </w:style>
  <w:style w:type="paragraph" w:customStyle="1" w:styleId="1047">
    <w:name w:val="Char Char Char1 Char Char Char5"/>
    <w:basedOn w:val="1"/>
    <w:qFormat/>
    <w:uiPriority w:val="0"/>
    <w:rPr>
      <w:rFonts w:ascii="Courier New" w:hAnsi="Courier New" w:eastAsia="仿宋" w:cs="Courier New"/>
      <w:sz w:val="24"/>
    </w:rPr>
  </w:style>
  <w:style w:type="paragraph" w:customStyle="1" w:styleId="1048">
    <w:name w:val="Char Char Char1 Char Char Char4"/>
    <w:basedOn w:val="1"/>
    <w:qFormat/>
    <w:uiPriority w:val="0"/>
    <w:rPr>
      <w:rFonts w:ascii="Courier New" w:hAnsi="Courier New" w:eastAsia="仿宋" w:cs="Courier New"/>
      <w:sz w:val="24"/>
    </w:rPr>
  </w:style>
  <w:style w:type="paragraph" w:customStyle="1" w:styleId="1049">
    <w:name w:val="Char Char Char1 Char Char Char3"/>
    <w:basedOn w:val="1"/>
    <w:qFormat/>
    <w:uiPriority w:val="0"/>
    <w:rPr>
      <w:rFonts w:ascii="Courier New" w:hAnsi="Courier New" w:eastAsia="仿宋" w:cs="Courier New"/>
      <w:sz w:val="24"/>
    </w:rPr>
  </w:style>
  <w:style w:type="paragraph" w:customStyle="1" w:styleId="1050">
    <w:name w:val="样式 标题 3标题 3 Char标题 3 Char Char Char Char Char Char Char Char C..."/>
    <w:basedOn w:val="5"/>
    <w:qFormat/>
    <w:uiPriority w:val="0"/>
    <w:pPr>
      <w:numPr>
        <w:ilvl w:val="0"/>
        <w:numId w:val="2"/>
      </w:numPr>
      <w:tabs>
        <w:tab w:val="left" w:pos="720"/>
        <w:tab w:val="clear" w:pos="425"/>
        <w:tab w:val="clear" w:pos="567"/>
      </w:tabs>
      <w:spacing w:before="0" w:after="0" w:line="360" w:lineRule="auto"/>
      <w:ind w:left="720" w:hanging="720"/>
    </w:pPr>
    <w:rPr>
      <w:rFonts w:ascii="宋体" w:hAnsi="宋体" w:eastAsia="宋体"/>
      <w:sz w:val="24"/>
      <w:lang w:val="zh-CN"/>
    </w:rPr>
  </w:style>
  <w:style w:type="paragraph" w:customStyle="1" w:styleId="1051">
    <w:name w:val="dandan6-13正文 Char Char Char Char Char1 Char Char Char Char"/>
    <w:basedOn w:val="1"/>
    <w:next w:val="1"/>
    <w:qFormat/>
    <w:uiPriority w:val="0"/>
    <w:pPr>
      <w:keepNext/>
      <w:keepLines/>
      <w:widowControl/>
      <w:adjustRightInd w:val="0"/>
      <w:spacing w:before="40" w:after="40" w:line="360" w:lineRule="auto"/>
      <w:ind w:firstLine="200" w:firstLineChars="200"/>
      <w:textAlignment w:val="baseline"/>
    </w:pPr>
    <w:rPr>
      <w:rFonts w:cs="宋体"/>
      <w:kern w:val="0"/>
      <w:sz w:val="24"/>
      <w:szCs w:val="28"/>
    </w:rPr>
  </w:style>
  <w:style w:type="character" w:customStyle="1" w:styleId="1052">
    <w:name w:val="页眉 Char1"/>
    <w:qFormat/>
    <w:locked/>
    <w:uiPriority w:val="99"/>
    <w:rPr>
      <w:sz w:val="18"/>
    </w:rPr>
  </w:style>
  <w:style w:type="character" w:customStyle="1" w:styleId="1053">
    <w:name w:val="普通(网站) Char1"/>
    <w:qFormat/>
    <w:locked/>
    <w:uiPriority w:val="0"/>
    <w:rPr>
      <w:rFonts w:ascii="宋体" w:hAnsi="宋体" w:eastAsia="宋体"/>
      <w:sz w:val="24"/>
    </w:rPr>
  </w:style>
  <w:style w:type="character" w:customStyle="1" w:styleId="1054">
    <w:name w:val="正文文本缩进 Char2"/>
    <w:qFormat/>
    <w:locked/>
    <w:uiPriority w:val="0"/>
    <w:rPr>
      <w:rFonts w:ascii="Times New Roman" w:hAnsi="Times New Roman" w:eastAsia="宋体"/>
      <w:sz w:val="24"/>
    </w:rPr>
  </w:style>
  <w:style w:type="character" w:customStyle="1" w:styleId="1055">
    <w:name w:val="页脚 Char2"/>
    <w:qFormat/>
    <w:locked/>
    <w:uiPriority w:val="99"/>
    <w:rPr>
      <w:sz w:val="18"/>
    </w:rPr>
  </w:style>
  <w:style w:type="character" w:customStyle="1" w:styleId="1056">
    <w:name w:val="批注主题 Char1"/>
    <w:qFormat/>
    <w:locked/>
    <w:uiPriority w:val="99"/>
    <w:rPr>
      <w:rFonts w:ascii="Times New Roman" w:hAnsi="Times New Roman" w:eastAsia="宋体"/>
      <w:b/>
      <w:kern w:val="2"/>
      <w:sz w:val="24"/>
    </w:rPr>
  </w:style>
  <w:style w:type="character" w:customStyle="1" w:styleId="1057">
    <w:name w:val="日期 Char1"/>
    <w:qFormat/>
    <w:locked/>
    <w:uiPriority w:val="0"/>
    <w:rPr>
      <w:rFonts w:ascii="Times New Roman" w:hAnsi="Times New Roman" w:eastAsia="宋体"/>
      <w:sz w:val="24"/>
    </w:rPr>
  </w:style>
  <w:style w:type="character" w:customStyle="1" w:styleId="1058">
    <w:name w:val="批注文字 Char2"/>
    <w:qFormat/>
    <w:locked/>
    <w:uiPriority w:val="99"/>
    <w:rPr>
      <w:rFonts w:ascii="Times New Roman" w:hAnsi="Times New Roman" w:eastAsia="宋体"/>
      <w:sz w:val="24"/>
    </w:rPr>
  </w:style>
  <w:style w:type="character" w:customStyle="1" w:styleId="1059">
    <w:name w:val="正文文本 Char2"/>
    <w:qFormat/>
    <w:locked/>
    <w:uiPriority w:val="0"/>
    <w:rPr>
      <w:sz w:val="18"/>
    </w:rPr>
  </w:style>
  <w:style w:type="character" w:customStyle="1" w:styleId="1060">
    <w:name w:val="批注框文本 Char2"/>
    <w:qFormat/>
    <w:locked/>
    <w:uiPriority w:val="99"/>
    <w:rPr>
      <w:rFonts w:ascii="Times New Roman" w:hAnsi="Times New Roman" w:eastAsia="宋体"/>
      <w:sz w:val="18"/>
    </w:rPr>
  </w:style>
  <w:style w:type="table" w:customStyle="1" w:styleId="1061">
    <w:name w:val="左右无边框6"/>
    <w:basedOn w:val="65"/>
    <w:qFormat/>
    <w:uiPriority w:val="0"/>
    <w:pPr>
      <w:widowControl w:val="0"/>
      <w:jc w:val="both"/>
    </w:pPr>
    <w:tblPr>
      <w:tblBorders>
        <w:top w:val="single" w:color="auto" w:sz="12" w:space="0"/>
        <w:bottom w:val="single" w:color="auto" w:sz="12" w:space="0"/>
      </w:tblBorders>
    </w:tblPr>
  </w:style>
  <w:style w:type="table" w:customStyle="1" w:styleId="1062">
    <w:name w:val="无左右边框型6"/>
    <w:basedOn w:val="64"/>
    <w:qFormat/>
    <w:uiPriority w:val="0"/>
    <w:pPr>
      <w:widowControl w:val="0"/>
      <w:jc w:val="both"/>
    </w:pPr>
  </w:style>
  <w:style w:type="character" w:customStyle="1" w:styleId="1063">
    <w:name w:val="书籍标题11"/>
    <w:qFormat/>
    <w:uiPriority w:val="33"/>
    <w:rPr>
      <w:b/>
      <w:bCs/>
      <w:smallCaps/>
      <w:spacing w:val="5"/>
    </w:rPr>
  </w:style>
  <w:style w:type="paragraph" w:customStyle="1" w:styleId="1064">
    <w:name w:val="z-窗体底端11"/>
    <w:basedOn w:val="1"/>
    <w:next w:val="1"/>
    <w:qFormat/>
    <w:uiPriority w:val="0"/>
    <w:pPr>
      <w:pBdr>
        <w:top w:val="single" w:color="auto" w:sz="6" w:space="1"/>
      </w:pBdr>
      <w:jc w:val="center"/>
    </w:pPr>
    <w:rPr>
      <w:rFonts w:ascii="Arial"/>
      <w:vanish/>
      <w:sz w:val="16"/>
    </w:rPr>
  </w:style>
  <w:style w:type="paragraph" w:customStyle="1" w:styleId="1065">
    <w:name w:val="z-窗体顶端11"/>
    <w:basedOn w:val="1"/>
    <w:next w:val="1"/>
    <w:qFormat/>
    <w:uiPriority w:val="0"/>
    <w:pPr>
      <w:pBdr>
        <w:bottom w:val="single" w:color="auto" w:sz="6" w:space="1"/>
      </w:pBdr>
      <w:jc w:val="center"/>
    </w:pPr>
    <w:rPr>
      <w:rFonts w:ascii="Arial"/>
      <w:vanish/>
      <w:sz w:val="16"/>
    </w:rPr>
  </w:style>
  <w:style w:type="table" w:customStyle="1" w:styleId="1066">
    <w:name w:val="左右无边框13"/>
    <w:basedOn w:val="65"/>
    <w:qFormat/>
    <w:uiPriority w:val="0"/>
    <w:pPr>
      <w:widowControl w:val="0"/>
      <w:jc w:val="both"/>
    </w:pPr>
    <w:tblPr>
      <w:tblBorders>
        <w:top w:val="single" w:color="auto" w:sz="12" w:space="0"/>
        <w:bottom w:val="single" w:color="auto" w:sz="12" w:space="0"/>
      </w:tblBorders>
    </w:tblPr>
  </w:style>
  <w:style w:type="table" w:customStyle="1" w:styleId="1067">
    <w:name w:val="无左右边框型13"/>
    <w:basedOn w:val="64"/>
    <w:qFormat/>
    <w:uiPriority w:val="0"/>
    <w:pPr>
      <w:widowControl w:val="0"/>
      <w:jc w:val="both"/>
    </w:pPr>
  </w:style>
  <w:style w:type="table" w:customStyle="1" w:styleId="1068">
    <w:name w:val="左右无边框23"/>
    <w:basedOn w:val="65"/>
    <w:qFormat/>
    <w:uiPriority w:val="0"/>
    <w:pPr>
      <w:widowControl w:val="0"/>
      <w:jc w:val="both"/>
    </w:pPr>
    <w:tblPr>
      <w:tblBorders>
        <w:top w:val="single" w:color="auto" w:sz="12" w:space="0"/>
        <w:bottom w:val="single" w:color="auto" w:sz="12" w:space="0"/>
      </w:tblBorders>
    </w:tblPr>
  </w:style>
  <w:style w:type="table" w:customStyle="1" w:styleId="1069">
    <w:name w:val="无左右边框型23"/>
    <w:basedOn w:val="64"/>
    <w:qFormat/>
    <w:uiPriority w:val="0"/>
    <w:pPr>
      <w:widowControl w:val="0"/>
      <w:jc w:val="both"/>
    </w:pPr>
  </w:style>
  <w:style w:type="table" w:customStyle="1" w:styleId="1070">
    <w:name w:val="左右无边框33"/>
    <w:basedOn w:val="65"/>
    <w:qFormat/>
    <w:uiPriority w:val="0"/>
    <w:pPr>
      <w:widowControl w:val="0"/>
      <w:jc w:val="both"/>
    </w:pPr>
    <w:tblPr>
      <w:tblBorders>
        <w:top w:val="single" w:color="auto" w:sz="12" w:space="0"/>
        <w:bottom w:val="single" w:color="auto" w:sz="12" w:space="0"/>
      </w:tblBorders>
    </w:tblPr>
  </w:style>
  <w:style w:type="table" w:customStyle="1" w:styleId="1071">
    <w:name w:val="无左右边框型33"/>
    <w:basedOn w:val="64"/>
    <w:qFormat/>
    <w:uiPriority w:val="0"/>
    <w:pPr>
      <w:widowControl w:val="0"/>
      <w:jc w:val="both"/>
    </w:pPr>
  </w:style>
  <w:style w:type="paragraph" w:customStyle="1" w:styleId="1072">
    <w:name w:val="TOC 标题31"/>
    <w:basedOn w:val="2"/>
    <w:next w:val="1"/>
    <w:unhideWhenUsed/>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1073">
    <w:name w:val="左右无边框41"/>
    <w:basedOn w:val="65"/>
    <w:qFormat/>
    <w:uiPriority w:val="0"/>
    <w:pPr>
      <w:widowControl w:val="0"/>
      <w:jc w:val="both"/>
    </w:pPr>
    <w:tblPr>
      <w:tblBorders>
        <w:top w:val="single" w:color="auto" w:sz="12" w:space="0"/>
        <w:bottom w:val="single" w:color="auto" w:sz="12" w:space="0"/>
      </w:tblBorders>
    </w:tblPr>
  </w:style>
  <w:style w:type="table" w:customStyle="1" w:styleId="1074">
    <w:name w:val="无左右边框型41"/>
    <w:basedOn w:val="64"/>
    <w:qFormat/>
    <w:uiPriority w:val="0"/>
    <w:pPr>
      <w:widowControl w:val="0"/>
      <w:jc w:val="both"/>
    </w:pPr>
  </w:style>
  <w:style w:type="table" w:customStyle="1" w:styleId="1075">
    <w:name w:val="左右无边框111"/>
    <w:basedOn w:val="65"/>
    <w:qFormat/>
    <w:uiPriority w:val="0"/>
    <w:pPr>
      <w:widowControl w:val="0"/>
      <w:jc w:val="both"/>
    </w:pPr>
    <w:tblPr>
      <w:tblBorders>
        <w:top w:val="single" w:color="auto" w:sz="12" w:space="0"/>
        <w:bottom w:val="single" w:color="auto" w:sz="12" w:space="0"/>
      </w:tblBorders>
    </w:tblPr>
  </w:style>
  <w:style w:type="table" w:customStyle="1" w:styleId="1076">
    <w:name w:val="无左右边框型111"/>
    <w:basedOn w:val="64"/>
    <w:qFormat/>
    <w:uiPriority w:val="0"/>
    <w:pPr>
      <w:widowControl w:val="0"/>
      <w:jc w:val="both"/>
    </w:pPr>
  </w:style>
  <w:style w:type="table" w:customStyle="1" w:styleId="1077">
    <w:name w:val="左右无边框211"/>
    <w:basedOn w:val="65"/>
    <w:qFormat/>
    <w:uiPriority w:val="0"/>
    <w:pPr>
      <w:widowControl w:val="0"/>
      <w:jc w:val="both"/>
    </w:pPr>
    <w:tblPr>
      <w:tblBorders>
        <w:top w:val="single" w:color="auto" w:sz="12" w:space="0"/>
        <w:bottom w:val="single" w:color="auto" w:sz="12" w:space="0"/>
      </w:tblBorders>
    </w:tblPr>
  </w:style>
  <w:style w:type="table" w:customStyle="1" w:styleId="1078">
    <w:name w:val="无左右边框型211"/>
    <w:basedOn w:val="64"/>
    <w:qFormat/>
    <w:uiPriority w:val="0"/>
    <w:pPr>
      <w:widowControl w:val="0"/>
      <w:jc w:val="both"/>
    </w:pPr>
  </w:style>
  <w:style w:type="table" w:customStyle="1" w:styleId="1079">
    <w:name w:val="左右无边框311"/>
    <w:basedOn w:val="65"/>
    <w:qFormat/>
    <w:uiPriority w:val="0"/>
    <w:pPr>
      <w:widowControl w:val="0"/>
      <w:jc w:val="both"/>
    </w:pPr>
    <w:tblPr>
      <w:tblBorders>
        <w:top w:val="single" w:color="auto" w:sz="12" w:space="0"/>
        <w:bottom w:val="single" w:color="auto" w:sz="12" w:space="0"/>
      </w:tblBorders>
    </w:tblPr>
  </w:style>
  <w:style w:type="table" w:customStyle="1" w:styleId="1080">
    <w:name w:val="无左右边框型311"/>
    <w:basedOn w:val="64"/>
    <w:qFormat/>
    <w:uiPriority w:val="0"/>
    <w:pPr>
      <w:widowControl w:val="0"/>
      <w:jc w:val="both"/>
    </w:pPr>
  </w:style>
  <w:style w:type="table" w:customStyle="1" w:styleId="1081">
    <w:name w:val="左右无边框51"/>
    <w:basedOn w:val="65"/>
    <w:qFormat/>
    <w:uiPriority w:val="0"/>
    <w:pPr>
      <w:widowControl w:val="0"/>
      <w:jc w:val="both"/>
    </w:pPr>
    <w:tblPr>
      <w:tblBorders>
        <w:top w:val="single" w:color="auto" w:sz="12" w:space="0"/>
        <w:bottom w:val="single" w:color="auto" w:sz="12" w:space="0"/>
      </w:tblBorders>
    </w:tblPr>
  </w:style>
  <w:style w:type="table" w:customStyle="1" w:styleId="1082">
    <w:name w:val="无左右边框型51"/>
    <w:basedOn w:val="64"/>
    <w:qFormat/>
    <w:uiPriority w:val="0"/>
    <w:pPr>
      <w:widowControl w:val="0"/>
      <w:jc w:val="both"/>
    </w:pPr>
  </w:style>
  <w:style w:type="table" w:customStyle="1" w:styleId="1083">
    <w:name w:val="左右无边框121"/>
    <w:basedOn w:val="65"/>
    <w:qFormat/>
    <w:uiPriority w:val="0"/>
    <w:pPr>
      <w:widowControl w:val="0"/>
      <w:jc w:val="both"/>
    </w:pPr>
    <w:tblPr>
      <w:tblBorders>
        <w:top w:val="single" w:color="auto" w:sz="12" w:space="0"/>
        <w:bottom w:val="single" w:color="auto" w:sz="12" w:space="0"/>
      </w:tblBorders>
    </w:tblPr>
  </w:style>
  <w:style w:type="table" w:customStyle="1" w:styleId="1084">
    <w:name w:val="无左右边框型121"/>
    <w:basedOn w:val="64"/>
    <w:qFormat/>
    <w:uiPriority w:val="0"/>
    <w:pPr>
      <w:widowControl w:val="0"/>
      <w:jc w:val="both"/>
    </w:pPr>
  </w:style>
  <w:style w:type="table" w:customStyle="1" w:styleId="1085">
    <w:name w:val="左右无边框221"/>
    <w:basedOn w:val="65"/>
    <w:qFormat/>
    <w:uiPriority w:val="0"/>
    <w:pPr>
      <w:widowControl w:val="0"/>
      <w:jc w:val="both"/>
    </w:pPr>
    <w:tblPr>
      <w:tblBorders>
        <w:top w:val="single" w:color="auto" w:sz="12" w:space="0"/>
        <w:bottom w:val="single" w:color="auto" w:sz="12" w:space="0"/>
      </w:tblBorders>
    </w:tblPr>
  </w:style>
  <w:style w:type="table" w:customStyle="1" w:styleId="1086">
    <w:name w:val="无左右边框型221"/>
    <w:basedOn w:val="64"/>
    <w:qFormat/>
    <w:uiPriority w:val="0"/>
    <w:pPr>
      <w:widowControl w:val="0"/>
      <w:jc w:val="both"/>
    </w:pPr>
  </w:style>
  <w:style w:type="table" w:customStyle="1" w:styleId="1087">
    <w:name w:val="左右无边框321"/>
    <w:basedOn w:val="65"/>
    <w:qFormat/>
    <w:uiPriority w:val="0"/>
    <w:pPr>
      <w:widowControl w:val="0"/>
      <w:jc w:val="both"/>
    </w:pPr>
    <w:tblPr>
      <w:tblBorders>
        <w:top w:val="single" w:color="auto" w:sz="12" w:space="0"/>
        <w:bottom w:val="single" w:color="auto" w:sz="12" w:space="0"/>
      </w:tblBorders>
    </w:tblPr>
  </w:style>
  <w:style w:type="table" w:customStyle="1" w:styleId="1088">
    <w:name w:val="无左右边框型321"/>
    <w:basedOn w:val="64"/>
    <w:qFormat/>
    <w:uiPriority w:val="0"/>
    <w:pPr>
      <w:widowControl w:val="0"/>
      <w:jc w:val="both"/>
    </w:pPr>
  </w:style>
  <w:style w:type="paragraph" w:customStyle="1" w:styleId="1089">
    <w:name w:val="修订1"/>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90">
    <w:name w:val="font61"/>
    <w:basedOn w:val="69"/>
    <w:autoRedefine/>
    <w:qFormat/>
    <w:uiPriority w:val="0"/>
    <w:rPr>
      <w:rFonts w:hint="default" w:ascii="Times New Roman" w:hAnsi="Times New Roman" w:cs="Times New Roman"/>
      <w:color w:val="000000"/>
      <w:sz w:val="21"/>
      <w:szCs w:val="21"/>
      <w:u w:val="none"/>
      <w:vertAlign w:val="subscript"/>
    </w:rPr>
  </w:style>
  <w:style w:type="paragraph" w:customStyle="1" w:styleId="1091">
    <w:name w:val="正文_19"/>
    <w:autoRedefine/>
    <w:qFormat/>
    <w:uiPriority w:val="0"/>
    <w:pPr>
      <w:widowControl w:val="0"/>
      <w:jc w:val="both"/>
    </w:pPr>
    <w:rPr>
      <w:rFonts w:ascii="Calibri" w:hAnsi="Calibri" w:eastAsia="宋体" w:cs="Times New Roman"/>
      <w:kern w:val="2"/>
      <w:sz w:val="21"/>
      <w:lang w:val="en-US" w:eastAsia="zh-CN" w:bidi="ar-SA"/>
    </w:rPr>
  </w:style>
  <w:style w:type="paragraph" w:customStyle="1" w:styleId="1092">
    <w:name w:val="1-正文"/>
    <w:basedOn w:val="1"/>
    <w:qFormat/>
    <w:uiPriority w:val="0"/>
    <w:pPr>
      <w:widowControl/>
      <w:spacing w:after="60" w:line="360" w:lineRule="auto"/>
      <w:ind w:firstLine="200" w:firstLineChars="200"/>
      <w:jc w:val="left"/>
    </w:pPr>
    <w:rPr>
      <w:rFonts w:ascii="Calibri" w:hAnsi="Calibri" w:cs="Arial"/>
      <w:sz w:val="24"/>
      <w:szCs w:val="22"/>
    </w:rPr>
  </w:style>
  <w:style w:type="paragraph" w:customStyle="1" w:styleId="1093">
    <w:name w:val="Table Text"/>
    <w:basedOn w:val="1"/>
    <w:semiHidden/>
    <w:qFormat/>
    <w:uiPriority w:val="0"/>
    <w:rPr>
      <w:rFonts w:ascii="宋体" w:hAnsi="宋体" w:eastAsia="宋体" w:cs="宋体"/>
      <w:sz w:val="24"/>
      <w:szCs w:val="24"/>
      <w:lang w:val="en-US" w:eastAsia="en-US" w:bidi="ar-SA"/>
    </w:rPr>
  </w:style>
  <w:style w:type="table" w:customStyle="1" w:styleId="1094">
    <w:name w:val="Table Normal"/>
    <w:autoRedefine/>
    <w:unhideWhenUsed/>
    <w:qFormat/>
    <w:uiPriority w:val="0"/>
    <w:tblPr>
      <w:tblCellMar>
        <w:top w:w="0" w:type="dxa"/>
        <w:left w:w="0" w:type="dxa"/>
        <w:bottom w:w="0" w:type="dxa"/>
        <w:right w:w="0" w:type="dxa"/>
      </w:tblCellMar>
    </w:tblPr>
  </w:style>
  <w:style w:type="paragraph" w:customStyle="1" w:styleId="1095">
    <w:name w:val="Body Text First Indent 21"/>
    <w:basedOn w:val="1"/>
    <w:next w:val="1"/>
    <w:autoRedefine/>
    <w:qFormat/>
    <w:uiPriority w:val="99"/>
    <w:pPr>
      <w:spacing w:after="120" w:line="360" w:lineRule="auto"/>
      <w:ind w:left="420" w:leftChars="200" w:firstLine="420" w:firstLineChars="200"/>
      <w:jc w:val="left"/>
    </w:pPr>
    <w:rPr>
      <w:sz w:val="24"/>
    </w:rPr>
  </w:style>
  <w:style w:type="paragraph" w:customStyle="1" w:styleId="1096">
    <w:name w:val="11正文"/>
    <w:autoRedefine/>
    <w:qFormat/>
    <w:uiPriority w:val="0"/>
    <w:pPr>
      <w:spacing w:line="360" w:lineRule="auto"/>
      <w:ind w:firstLine="200" w:firstLineChars="200"/>
      <w:jc w:val="both"/>
    </w:pPr>
    <w:rPr>
      <w:rFonts w:ascii="Times New Roman" w:hAnsi="Times New Roman" w:eastAsia="宋体" w:cs="Times New Roman"/>
      <w:kern w:val="2"/>
      <w:sz w:val="24"/>
      <w:szCs w:val="22"/>
      <w:lang w:val="en-US" w:eastAsia="zh-CN" w:bidi="ar-SA"/>
    </w:rPr>
  </w:style>
  <w:style w:type="paragraph" w:customStyle="1" w:styleId="1097">
    <w:name w:val="列出段落11"/>
    <w:basedOn w:val="1"/>
    <w:autoRedefine/>
    <w:qFormat/>
    <w:uiPriority w:val="0"/>
    <w:pPr>
      <w:ind w:firstLine="420" w:firstLineChars="200"/>
    </w:pPr>
    <w:rPr>
      <w:szCs w:val="21"/>
    </w:rPr>
  </w:style>
  <w:style w:type="paragraph" w:customStyle="1" w:styleId="1098">
    <w:name w:val="正文文本 21"/>
    <w:basedOn w:val="1"/>
    <w:qFormat/>
    <w:uiPriority w:val="0"/>
    <w:pPr>
      <w:adjustRightInd w:val="0"/>
      <w:jc w:val="center"/>
      <w:textAlignment w:val="baseline"/>
    </w:pPr>
    <w:rPr>
      <w:sz w:val="24"/>
      <w:szCs w:val="20"/>
    </w:rPr>
  </w:style>
  <w:style w:type="paragraph" w:customStyle="1" w:styleId="1099">
    <w:name w:val="正宋小四"/>
    <w:basedOn w:val="1"/>
    <w:autoRedefine/>
    <w:qFormat/>
    <w:uiPriority w:val="0"/>
    <w:pPr>
      <w:spacing w:line="360" w:lineRule="auto"/>
      <w:ind w:firstLine="1205" w:firstLineChars="200"/>
    </w:pPr>
  </w:style>
  <w:style w:type="paragraph" w:customStyle="1" w:styleId="1100">
    <w:name w:val="yt表头"/>
    <w:basedOn w:val="1"/>
    <w:next w:val="1101"/>
    <w:qFormat/>
    <w:uiPriority w:val="0"/>
    <w:pPr>
      <w:numPr>
        <w:ilvl w:val="3"/>
        <w:numId w:val="3"/>
      </w:numPr>
      <w:ind w:left="0" w:firstLine="0"/>
      <w:jc w:val="center"/>
    </w:pPr>
    <w:rPr>
      <w:rFonts w:ascii="Times New Roman" w:hAnsi="Times New Roman" w:eastAsia="宋体"/>
      <w:b/>
      <w:szCs w:val="21"/>
    </w:rPr>
  </w:style>
  <w:style w:type="paragraph" w:customStyle="1" w:styleId="1101">
    <w:name w:val="yt正文"/>
    <w:basedOn w:val="8"/>
    <w:next w:val="11"/>
    <w:qFormat/>
    <w:uiPriority w:val="0"/>
    <w:pPr>
      <w:spacing w:line="360" w:lineRule="auto"/>
      <w:ind w:firstLine="200"/>
    </w:pPr>
    <w:rPr>
      <w:rFonts w:ascii="Times New Roman" w:hAnsi="Times New Roman" w:eastAsia="宋体"/>
      <w:sz w:val="24"/>
    </w:rPr>
  </w:style>
  <w:style w:type="paragraph" w:customStyle="1" w:styleId="1102">
    <w:name w:val="Normal_0"/>
    <w:basedOn w:val="1"/>
    <w:qFormat/>
    <w:uiPriority w:val="0"/>
    <w:pPr>
      <w:widowControl/>
      <w:spacing w:before="0" w:beforeAutospacing="0" w:after="0" w:afterAutospacing="0"/>
      <w:ind w:left="0" w:right="0"/>
      <w:jc w:val="left"/>
    </w:pPr>
    <w:rPr>
      <w:rFonts w:hint="default" w:ascii="Times New Roman" w:hAnsi="Times New Roman" w:eastAsia="宋体" w:cs="Times New Roman"/>
      <w:color w:val="auto"/>
      <w:kern w:val="0"/>
      <w:sz w:val="24"/>
      <w:szCs w:val="24"/>
      <w:lang w:val="en-US" w:eastAsia="zh-CN" w:bidi="ar"/>
    </w:rPr>
  </w:style>
  <w:style w:type="paragraph" w:customStyle="1" w:styleId="1103">
    <w:name w:val="标号正文"/>
    <w:basedOn w:val="1"/>
    <w:next w:val="1"/>
    <w:qFormat/>
    <w:uiPriority w:val="99"/>
    <w:pPr>
      <w:tabs>
        <w:tab w:val="left" w:pos="1540"/>
      </w:tabs>
      <w:overflowPunct w:val="0"/>
      <w:snapToGrid w:val="0"/>
      <w:spacing w:line="360" w:lineRule="auto"/>
      <w:ind w:firstLine="1040"/>
      <w:jc w:val="left"/>
    </w:pPr>
    <w:rPr>
      <w:rFonts w:ascii="Arial" w:hAnsi="Arial"/>
      <w:sz w:val="24"/>
      <w:szCs w:val="20"/>
    </w:rPr>
  </w:style>
  <w:style w:type="paragraph" w:customStyle="1" w:styleId="1104">
    <w:name w:val="报告表 正文"/>
    <w:basedOn w:val="1"/>
    <w:qFormat/>
    <w:uiPriority w:val="0"/>
    <w:pPr>
      <w:spacing w:line="500" w:lineRule="exact"/>
      <w:ind w:firstLine="200"/>
    </w:pPr>
    <w:rPr>
      <w:rFonts w:cs="Times New Roman"/>
      <w:snapToGrid/>
    </w:rPr>
  </w:style>
  <w:style w:type="paragraph" w:customStyle="1" w:styleId="1105">
    <w:name w:val="正文_26"/>
    <w:autoRedefine/>
    <w:qFormat/>
    <w:uiPriority w:val="0"/>
    <w:pPr>
      <w:widowControl w:val="0"/>
      <w:jc w:val="both"/>
    </w:pPr>
    <w:rPr>
      <w:rFonts w:ascii="Calibri" w:hAnsi="Calibri" w:eastAsia="宋体" w:cs="Times New Roman"/>
      <w:kern w:val="2"/>
      <w:sz w:val="21"/>
      <w:lang w:val="en-US" w:eastAsia="zh-CN" w:bidi="ar-SA"/>
    </w:rPr>
  </w:style>
  <w:style w:type="paragraph" w:customStyle="1" w:styleId="1106">
    <w:name w:val="正文_28"/>
    <w:autoRedefine/>
    <w:qFormat/>
    <w:uiPriority w:val="0"/>
    <w:pPr>
      <w:widowControl w:val="0"/>
      <w:jc w:val="both"/>
    </w:pPr>
    <w:rPr>
      <w:rFonts w:ascii="Calibri" w:hAnsi="Calibri" w:eastAsia="宋体" w:cs="Times New Roman"/>
      <w:kern w:val="2"/>
      <w:sz w:val="21"/>
      <w:lang w:val="en-US" w:eastAsia="zh-CN" w:bidi="ar-SA"/>
    </w:rPr>
  </w:style>
  <w:style w:type="paragraph" w:customStyle="1" w:styleId="1107">
    <w:name w:val="正文_27"/>
    <w:autoRedefine/>
    <w:qFormat/>
    <w:uiPriority w:val="0"/>
    <w:pPr>
      <w:widowControl w:val="0"/>
      <w:jc w:val="both"/>
    </w:pPr>
    <w:rPr>
      <w:rFonts w:ascii="Calibri" w:hAnsi="Calibri" w:eastAsia="宋体" w:cs="Times New Roman"/>
      <w:kern w:val="2"/>
      <w:sz w:val="21"/>
      <w:lang w:val="en-US" w:eastAsia="zh-CN" w:bidi="ar-SA"/>
    </w:rPr>
  </w:style>
  <w:style w:type="paragraph" w:customStyle="1" w:styleId="1108">
    <w:name w:val="正文_29"/>
    <w:autoRedefine/>
    <w:qFormat/>
    <w:uiPriority w:val="0"/>
    <w:pPr>
      <w:widowControl w:val="0"/>
      <w:jc w:val="both"/>
    </w:pPr>
    <w:rPr>
      <w:rFonts w:ascii="Calibri" w:hAnsi="Calibri" w:eastAsia="宋体" w:cs="Times New Roman"/>
      <w:kern w:val="2"/>
      <w:sz w:val="21"/>
      <w:lang w:val="en-US" w:eastAsia="zh-CN" w:bidi="ar-SA"/>
    </w:rPr>
  </w:style>
  <w:style w:type="paragraph" w:customStyle="1" w:styleId="1109">
    <w:name w:val="正文_7"/>
    <w:autoRedefine/>
    <w:qFormat/>
    <w:uiPriority w:val="0"/>
    <w:pPr>
      <w:widowControl w:val="0"/>
      <w:jc w:val="both"/>
    </w:pPr>
    <w:rPr>
      <w:rFonts w:ascii="Calibri" w:hAnsi="Calibri" w:eastAsia="宋体" w:cs="Times New Roman"/>
      <w:kern w:val="2"/>
      <w:sz w:val="21"/>
      <w:lang w:val="en-US" w:eastAsia="zh-CN" w:bidi="ar-SA"/>
    </w:rPr>
  </w:style>
  <w:style w:type="paragraph" w:customStyle="1" w:styleId="1110">
    <w:name w:val="正文_37"/>
    <w:autoRedefine/>
    <w:qFormat/>
    <w:uiPriority w:val="0"/>
    <w:pPr>
      <w:widowControl w:val="0"/>
      <w:jc w:val="both"/>
    </w:pPr>
    <w:rPr>
      <w:rFonts w:ascii="等线" w:hAnsi="等线" w:eastAsia="等线" w:cs="Times New Roman"/>
      <w:kern w:val="2"/>
      <w:sz w:val="21"/>
      <w:szCs w:val="22"/>
      <w:lang w:val="en-US" w:eastAsia="zh-CN" w:bidi="ar-SA"/>
    </w:rPr>
  </w:style>
  <w:style w:type="paragraph" w:customStyle="1" w:styleId="1111">
    <w:name w:val="表格内容--中祥"/>
    <w:basedOn w:val="1"/>
    <w:qFormat/>
    <w:uiPriority w:val="0"/>
    <w:pPr>
      <w:spacing w:line="240" w:lineRule="auto"/>
      <w:ind w:firstLine="0" w:firstLineChars="0"/>
      <w:jc w:val="center"/>
    </w:pPr>
    <w:rPr>
      <w:rFonts w:ascii="Times New Roman" w:hAnsi="Times New Roman" w:eastAsia="宋体" w:cs="Times New Roman"/>
      <w:kern w:val="0"/>
      <w:sz w:val="21"/>
      <w:szCs w:val="21"/>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5" Type="http://schemas.openxmlformats.org/officeDocument/2006/relationships/fontTable" Target="fontTable.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image" Target="media/image19.png"/><Relationship Id="rId31" Type="http://schemas.openxmlformats.org/officeDocument/2006/relationships/image" Target="media/image18.png"/><Relationship Id="rId30" Type="http://schemas.openxmlformats.org/officeDocument/2006/relationships/image" Target="media/image17.emf"/><Relationship Id="rId3" Type="http://schemas.openxmlformats.org/officeDocument/2006/relationships/footer" Target="footer1.xml"/><Relationship Id="rId29" Type="http://schemas.openxmlformats.org/officeDocument/2006/relationships/image" Target="media/image16.emf"/><Relationship Id="rId28" Type="http://schemas.openxmlformats.org/officeDocument/2006/relationships/image" Target="media/image15.emf"/><Relationship Id="rId27" Type="http://schemas.openxmlformats.org/officeDocument/2006/relationships/image" Target="media/image14.emf"/><Relationship Id="rId26" Type="http://schemas.openxmlformats.org/officeDocument/2006/relationships/image" Target="media/image13.emf"/><Relationship Id="rId25" Type="http://schemas.openxmlformats.org/officeDocument/2006/relationships/image" Target="media/image12.emf"/><Relationship Id="rId24" Type="http://schemas.openxmlformats.org/officeDocument/2006/relationships/image" Target="media/image11.emf"/><Relationship Id="rId23" Type="http://schemas.openxmlformats.org/officeDocument/2006/relationships/image" Target="media/image10.emf"/><Relationship Id="rId22" Type="http://schemas.openxmlformats.org/officeDocument/2006/relationships/image" Target="media/image9.wmf"/><Relationship Id="rId21" Type="http://schemas.openxmlformats.org/officeDocument/2006/relationships/oleObject" Target="embeddings/oleObject6.bin"/><Relationship Id="rId20" Type="http://schemas.openxmlformats.org/officeDocument/2006/relationships/image" Target="media/image8.wmf"/><Relationship Id="rId2" Type="http://schemas.openxmlformats.org/officeDocument/2006/relationships/settings" Target="settings.xml"/><Relationship Id="rId19" Type="http://schemas.openxmlformats.org/officeDocument/2006/relationships/oleObject" Target="embeddings/oleObject5.bin"/><Relationship Id="rId18" Type="http://schemas.openxmlformats.org/officeDocument/2006/relationships/image" Target="media/image7.wmf"/><Relationship Id="rId17" Type="http://schemas.openxmlformats.org/officeDocument/2006/relationships/oleObject" Target="embeddings/oleObject4.bin"/><Relationship Id="rId16" Type="http://schemas.openxmlformats.org/officeDocument/2006/relationships/image" Target="media/image6.png"/><Relationship Id="rId15" Type="http://schemas.openxmlformats.org/officeDocument/2006/relationships/image" Target="media/image5.emf"/><Relationship Id="rId14" Type="http://schemas.openxmlformats.org/officeDocument/2006/relationships/oleObject" Target="embeddings/oleObject3.bin"/><Relationship Id="rId13" Type="http://schemas.openxmlformats.org/officeDocument/2006/relationships/image" Target="media/image4.png"/><Relationship Id="rId12" Type="http://schemas.openxmlformats.org/officeDocument/2006/relationships/image" Target="media/image3.emf"/><Relationship Id="rId11" Type="http://schemas.openxmlformats.org/officeDocument/2006/relationships/oleObject" Target="embeddings/oleObject2.bin"/><Relationship Id="rId10" Type="http://schemas.openxmlformats.org/officeDocument/2006/relationships/image" Target="media/image2.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Info spid="_x0000_s102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101</Pages>
  <Words>24343</Words>
  <Characters>26542</Characters>
  <Lines>336</Lines>
  <Paragraphs>94</Paragraphs>
  <TotalTime>3</TotalTime>
  <ScaleCrop>false</ScaleCrop>
  <LinksUpToDate>false</LinksUpToDate>
  <CharactersWithSpaces>26708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2021-05-19T02:53:00Z</dcterms:created>
  <dc:creator>lhj</dc:creator>
  <cp:lastModifiedBy>王俊</cp:lastModifiedBy>
  <cp:lastPrinted>2021-04-06T01:20:00Z</cp:lastPrinted>
  <dcterms:modified xsi:type="dcterms:W3CDTF">2025-06-26T03:15:49Z</dcterms:modified>
  <dc:title>附件2</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107E014ACE93406B8190D4542CEB144D</vt:lpwstr>
  </property>
  <property fmtid="{D5CDD505-2E9C-101B-9397-08002B2CF9AE}" pid="4" name="KSOTemplateDocerSaveRecord">
    <vt:lpwstr>eyJoZGlkIjoiNzk4ODEyNDNjNDI1NmUwMWU1M2RjMGE1MzhkMjQ2ZTciLCJ1c2VySWQiOiIyMTA3NzYzNTMifQ==</vt:lpwstr>
  </property>
</Properties>
</file>